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F1A8" w14:textId="083C74F8" w:rsidR="0002128E" w:rsidRPr="00FE6196" w:rsidRDefault="001C192A" w:rsidP="00E77F51">
      <w:pPr>
        <w:pStyle w:val="ESTitle"/>
        <w:spacing w:before="0" w:after="240"/>
        <w:rPr>
          <w:b w:val="0"/>
          <w:color w:val="auto"/>
        </w:rPr>
      </w:pPr>
      <w:r w:rsidRPr="00FE6196">
        <w:rPr>
          <w:color w:val="auto"/>
        </w:rPr>
        <w:t>EXPLANATORY STATEMENT</w:t>
      </w:r>
      <w:r w:rsidR="002B24FA" w:rsidRPr="00FE6196">
        <w:rPr>
          <w:color w:val="auto"/>
        </w:rPr>
        <w:t xml:space="preserve"> </w:t>
      </w:r>
    </w:p>
    <w:p w14:paraId="6EF53E0A" w14:textId="0CD4B763" w:rsidR="008D2BC9" w:rsidRPr="00FE6196" w:rsidRDefault="001C192A" w:rsidP="00E77F51">
      <w:pPr>
        <w:spacing w:after="240"/>
        <w:jc w:val="center"/>
        <w:rPr>
          <w:rFonts w:ascii="Times New Roman" w:hAnsi="Times New Roman" w:cs="Times New Roman"/>
          <w:i/>
          <w:iCs/>
          <w:sz w:val="24"/>
          <w:szCs w:val="24"/>
        </w:rPr>
      </w:pPr>
      <w:r w:rsidRPr="00FE6196">
        <w:rPr>
          <w:rFonts w:ascii="Times New Roman" w:hAnsi="Times New Roman" w:cs="Times New Roman"/>
          <w:i/>
          <w:iCs/>
          <w:sz w:val="24"/>
          <w:szCs w:val="24"/>
        </w:rPr>
        <w:t>Carbon Credits (Carbon Farming Initiative) Act 2011</w:t>
      </w:r>
    </w:p>
    <w:p w14:paraId="12F7D35B" w14:textId="54B48183" w:rsidR="001C192A" w:rsidRPr="00FE6196" w:rsidRDefault="003A767D" w:rsidP="00E77F51">
      <w:pPr>
        <w:spacing w:after="240"/>
        <w:jc w:val="center"/>
        <w:rPr>
          <w:rFonts w:ascii="Times New Roman" w:hAnsi="Times New Roman" w:cs="Times New Roman"/>
          <w:i/>
          <w:iCs/>
          <w:sz w:val="24"/>
          <w:szCs w:val="24"/>
        </w:rPr>
      </w:pPr>
      <w:r w:rsidRPr="003A767D">
        <w:rPr>
          <w:rFonts w:ascii="Times New Roman" w:hAnsi="Times New Roman" w:cs="Times New Roman"/>
          <w:i/>
          <w:iCs/>
          <w:sz w:val="24"/>
          <w:szCs w:val="24"/>
        </w:rPr>
        <w:t>Carbon Credits (Carbon Farming Initiative— Improved</w:t>
      </w:r>
      <w:r w:rsidR="0012376E">
        <w:rPr>
          <w:rFonts w:ascii="Times New Roman" w:hAnsi="Times New Roman" w:cs="Times New Roman"/>
          <w:i/>
          <w:iCs/>
          <w:sz w:val="24"/>
          <w:szCs w:val="24"/>
        </w:rPr>
        <w:t xml:space="preserve"> </w:t>
      </w:r>
      <w:r w:rsidRPr="003A767D">
        <w:rPr>
          <w:rFonts w:ascii="Times New Roman" w:hAnsi="Times New Roman" w:cs="Times New Roman"/>
          <w:i/>
          <w:iCs/>
          <w:sz w:val="24"/>
          <w:szCs w:val="24"/>
        </w:rPr>
        <w:t>Forest Management in Multi-use Public Native Forest) Methodology Determination 2025</w:t>
      </w:r>
    </w:p>
    <w:p w14:paraId="0322074A" w14:textId="22C3FF4A" w:rsidR="00DE1B80" w:rsidRPr="00FE6196" w:rsidRDefault="00DE1B80" w:rsidP="00EB4AB6">
      <w:pPr>
        <w:pStyle w:val="ESHeading"/>
        <w:spacing w:before="120"/>
        <w:jc w:val="center"/>
        <w:rPr>
          <w:b w:val="0"/>
          <w:color w:val="auto"/>
        </w:rPr>
      </w:pPr>
      <w:r>
        <w:rPr>
          <w:color w:val="auto"/>
        </w:rPr>
        <w:t>Executive Summary</w:t>
      </w:r>
    </w:p>
    <w:p w14:paraId="4B7E5B0D" w14:textId="70AEFD5E" w:rsidR="00DE1B80" w:rsidRPr="00486C60" w:rsidRDefault="00DE1B80" w:rsidP="00DE1B80">
      <w:pPr>
        <w:spacing w:before="120" w:after="120" w:line="240" w:lineRule="auto"/>
        <w:rPr>
          <w:rFonts w:ascii="Times New Roman" w:hAnsi="Times New Roman" w:cs="Times New Roman"/>
          <w:sz w:val="24"/>
          <w:szCs w:val="24"/>
        </w:rPr>
      </w:pPr>
      <w:r w:rsidRPr="00486C60">
        <w:rPr>
          <w:rFonts w:ascii="Times New Roman" w:hAnsi="Times New Roman" w:cs="Times New Roman"/>
          <w:sz w:val="24"/>
          <w:szCs w:val="24"/>
        </w:rPr>
        <w:t xml:space="preserve">In </w:t>
      </w:r>
      <w:r w:rsidR="00BA45A6">
        <w:rPr>
          <w:rFonts w:ascii="Times New Roman" w:hAnsi="Times New Roman" w:cs="Times New Roman"/>
          <w:sz w:val="24"/>
          <w:szCs w:val="24"/>
        </w:rPr>
        <w:t xml:space="preserve">public native forests </w:t>
      </w:r>
      <w:r w:rsidR="000C79DB">
        <w:rPr>
          <w:rFonts w:ascii="Times New Roman" w:hAnsi="Times New Roman" w:cs="Times New Roman"/>
          <w:sz w:val="24"/>
          <w:szCs w:val="24"/>
        </w:rPr>
        <w:t>where</w:t>
      </w:r>
      <w:r w:rsidR="00BA45A6">
        <w:rPr>
          <w:rFonts w:ascii="Times New Roman" w:hAnsi="Times New Roman" w:cs="Times New Roman"/>
          <w:sz w:val="24"/>
          <w:szCs w:val="24"/>
        </w:rPr>
        <w:t xml:space="preserve"> commercial harvesting</w:t>
      </w:r>
      <w:r w:rsidR="000C79DB">
        <w:rPr>
          <w:rFonts w:ascii="Times New Roman" w:hAnsi="Times New Roman" w:cs="Times New Roman"/>
          <w:sz w:val="24"/>
          <w:szCs w:val="24"/>
        </w:rPr>
        <w:t xml:space="preserve"> may occur</w:t>
      </w:r>
      <w:r w:rsidRPr="00486C60">
        <w:rPr>
          <w:rFonts w:ascii="Times New Roman" w:hAnsi="Times New Roman" w:cs="Times New Roman"/>
          <w:sz w:val="24"/>
          <w:szCs w:val="24"/>
        </w:rPr>
        <w:t xml:space="preserve">, </w:t>
      </w:r>
      <w:r w:rsidR="00BA45A6">
        <w:rPr>
          <w:rFonts w:ascii="Times New Roman" w:hAnsi="Times New Roman" w:cs="Times New Roman"/>
          <w:sz w:val="24"/>
          <w:szCs w:val="24"/>
        </w:rPr>
        <w:t>stopping or reducing</w:t>
      </w:r>
      <w:r w:rsidRPr="00486C60">
        <w:rPr>
          <w:rFonts w:ascii="Times New Roman" w:hAnsi="Times New Roman" w:cs="Times New Roman"/>
          <w:sz w:val="24"/>
          <w:szCs w:val="24"/>
        </w:rPr>
        <w:t xml:space="preserve"> harvesting will </w:t>
      </w:r>
      <w:r w:rsidR="00116E0B">
        <w:rPr>
          <w:rFonts w:ascii="Times New Roman" w:hAnsi="Times New Roman" w:cs="Times New Roman"/>
          <w:sz w:val="24"/>
          <w:szCs w:val="24"/>
        </w:rPr>
        <w:t>res</w:t>
      </w:r>
      <w:r w:rsidR="009174C5">
        <w:rPr>
          <w:rFonts w:ascii="Times New Roman" w:hAnsi="Times New Roman" w:cs="Times New Roman"/>
          <w:sz w:val="24"/>
          <w:szCs w:val="24"/>
        </w:rPr>
        <w:t xml:space="preserve">ult in improved greenhouse gas emission outcomes </w:t>
      </w:r>
      <w:r w:rsidRPr="00486C60">
        <w:rPr>
          <w:rFonts w:ascii="Times New Roman" w:hAnsi="Times New Roman" w:cs="Times New Roman"/>
          <w:sz w:val="24"/>
          <w:szCs w:val="24"/>
        </w:rPr>
        <w:t xml:space="preserve">compared to the </w:t>
      </w:r>
      <w:r w:rsidR="00284AA4">
        <w:rPr>
          <w:rFonts w:ascii="Times New Roman" w:hAnsi="Times New Roman" w:cs="Times New Roman"/>
          <w:sz w:val="24"/>
          <w:szCs w:val="24"/>
        </w:rPr>
        <w:t xml:space="preserve">continuation of </w:t>
      </w:r>
      <w:r w:rsidRPr="00486C60">
        <w:rPr>
          <w:rFonts w:ascii="Times New Roman" w:hAnsi="Times New Roman" w:cs="Times New Roman"/>
          <w:sz w:val="24"/>
          <w:szCs w:val="24"/>
        </w:rPr>
        <w:t>existing harvesting</w:t>
      </w:r>
      <w:r w:rsidR="005D257D">
        <w:rPr>
          <w:rFonts w:ascii="Times New Roman" w:hAnsi="Times New Roman" w:cs="Times New Roman"/>
          <w:sz w:val="24"/>
          <w:szCs w:val="24"/>
        </w:rPr>
        <w:t xml:space="preserve"> practices</w:t>
      </w:r>
      <w:r w:rsidRPr="00486C60">
        <w:rPr>
          <w:rFonts w:ascii="Times New Roman" w:hAnsi="Times New Roman" w:cs="Times New Roman"/>
          <w:sz w:val="24"/>
          <w:szCs w:val="24"/>
        </w:rPr>
        <w:t>.</w:t>
      </w:r>
    </w:p>
    <w:p w14:paraId="003CC8E8" w14:textId="285DCA0C" w:rsidR="00EF6AB0" w:rsidRDefault="00DE1B80" w:rsidP="00EF2FF2">
      <w:pPr>
        <w:spacing w:before="120" w:after="120" w:line="240" w:lineRule="auto"/>
        <w:rPr>
          <w:rFonts w:ascii="Times New Roman" w:hAnsi="Times New Roman" w:cs="Times New Roman"/>
          <w:sz w:val="24"/>
          <w:szCs w:val="24"/>
        </w:rPr>
      </w:pPr>
      <w:r w:rsidRPr="00486C60">
        <w:rPr>
          <w:rFonts w:ascii="Times New Roman" w:hAnsi="Times New Roman" w:cs="Times New Roman"/>
          <w:sz w:val="24"/>
          <w:szCs w:val="24"/>
        </w:rPr>
        <w:t xml:space="preserve">This </w:t>
      </w:r>
      <w:r w:rsidR="005D257D">
        <w:rPr>
          <w:rFonts w:ascii="Times New Roman" w:hAnsi="Times New Roman" w:cs="Times New Roman"/>
          <w:sz w:val="24"/>
          <w:szCs w:val="24"/>
        </w:rPr>
        <w:t>D</w:t>
      </w:r>
      <w:r w:rsidRPr="00486C60">
        <w:rPr>
          <w:rFonts w:ascii="Times New Roman" w:hAnsi="Times New Roman" w:cs="Times New Roman"/>
          <w:sz w:val="24"/>
          <w:szCs w:val="24"/>
        </w:rPr>
        <w:t xml:space="preserve">etermination </w:t>
      </w:r>
      <w:r w:rsidR="00F76BE8">
        <w:rPr>
          <w:rFonts w:ascii="Times New Roman" w:hAnsi="Times New Roman" w:cs="Times New Roman"/>
          <w:sz w:val="24"/>
          <w:szCs w:val="24"/>
        </w:rPr>
        <w:t xml:space="preserve">provides for the registration of </w:t>
      </w:r>
      <w:r w:rsidR="00A25239">
        <w:rPr>
          <w:rFonts w:ascii="Times New Roman" w:hAnsi="Times New Roman" w:cs="Times New Roman"/>
          <w:sz w:val="24"/>
          <w:szCs w:val="24"/>
        </w:rPr>
        <w:t xml:space="preserve">‘improved native forest management’ </w:t>
      </w:r>
      <w:r w:rsidR="00C16184" w:rsidRPr="00C16184">
        <w:rPr>
          <w:rFonts w:ascii="Times New Roman" w:hAnsi="Times New Roman" w:cs="Times New Roman"/>
          <w:sz w:val="24"/>
          <w:szCs w:val="24"/>
        </w:rPr>
        <w:t xml:space="preserve">projects </w:t>
      </w:r>
      <w:r w:rsidR="00F76BE8">
        <w:rPr>
          <w:rFonts w:ascii="Times New Roman" w:hAnsi="Times New Roman" w:cs="Times New Roman"/>
          <w:sz w:val="24"/>
          <w:szCs w:val="24"/>
        </w:rPr>
        <w:t xml:space="preserve">under the </w:t>
      </w:r>
      <w:r w:rsidR="00F76BE8" w:rsidRPr="00A2477F">
        <w:rPr>
          <w:rFonts w:ascii="Times New Roman" w:hAnsi="Times New Roman" w:cs="Times New Roman"/>
          <w:i/>
          <w:iCs/>
          <w:sz w:val="24"/>
          <w:szCs w:val="24"/>
        </w:rPr>
        <w:t>Carbon Credits (Carbon Farming Initiative) Act 2011</w:t>
      </w:r>
      <w:r w:rsidR="00F76BE8">
        <w:rPr>
          <w:rFonts w:ascii="Times New Roman" w:hAnsi="Times New Roman" w:cs="Times New Roman"/>
          <w:sz w:val="24"/>
          <w:szCs w:val="24"/>
        </w:rPr>
        <w:t xml:space="preserve"> (CFI Act) </w:t>
      </w:r>
      <w:r w:rsidR="00C16184" w:rsidRPr="00C16184">
        <w:rPr>
          <w:rFonts w:ascii="Times New Roman" w:hAnsi="Times New Roman" w:cs="Times New Roman"/>
          <w:sz w:val="24"/>
          <w:szCs w:val="24"/>
        </w:rPr>
        <w:t xml:space="preserve">that </w:t>
      </w:r>
      <w:r w:rsidR="004C6113">
        <w:rPr>
          <w:rFonts w:ascii="Times New Roman" w:hAnsi="Times New Roman" w:cs="Times New Roman"/>
          <w:sz w:val="24"/>
          <w:szCs w:val="24"/>
        </w:rPr>
        <w:t xml:space="preserve">generate greenhouse gas abatement </w:t>
      </w:r>
      <w:r w:rsidR="00C16184" w:rsidRPr="00C16184">
        <w:rPr>
          <w:rFonts w:ascii="Times New Roman" w:hAnsi="Times New Roman" w:cs="Times New Roman"/>
          <w:sz w:val="24"/>
          <w:szCs w:val="24"/>
        </w:rPr>
        <w:t>by stopping or reducing harvesting in multiple-use public native forests (INFM projects)</w:t>
      </w:r>
      <w:r w:rsidR="004C6113">
        <w:rPr>
          <w:rFonts w:ascii="Times New Roman" w:hAnsi="Times New Roman" w:cs="Times New Roman"/>
          <w:sz w:val="24"/>
          <w:szCs w:val="24"/>
        </w:rPr>
        <w:t>.</w:t>
      </w:r>
      <w:r w:rsidR="00C019ED">
        <w:rPr>
          <w:rFonts w:ascii="Times New Roman" w:hAnsi="Times New Roman" w:cs="Times New Roman"/>
          <w:sz w:val="24"/>
          <w:szCs w:val="24"/>
        </w:rPr>
        <w:t xml:space="preserve"> </w:t>
      </w:r>
    </w:p>
    <w:p w14:paraId="097BA87A" w14:textId="7597A1EB" w:rsidR="004C6113" w:rsidRDefault="00C019ED" w:rsidP="00EF2FF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Registered INFM projects can </w:t>
      </w:r>
      <w:r w:rsidR="001A7ECF">
        <w:rPr>
          <w:rFonts w:ascii="Times New Roman" w:hAnsi="Times New Roman" w:cs="Times New Roman"/>
          <w:sz w:val="24"/>
          <w:szCs w:val="24"/>
        </w:rPr>
        <w:t>generate</w:t>
      </w:r>
      <w:r>
        <w:rPr>
          <w:rFonts w:ascii="Times New Roman" w:hAnsi="Times New Roman" w:cs="Times New Roman"/>
          <w:sz w:val="24"/>
          <w:szCs w:val="24"/>
        </w:rPr>
        <w:t xml:space="preserve"> Australian carbon credit units (ACCUs)</w:t>
      </w:r>
      <w:r w:rsidR="00A2477F">
        <w:rPr>
          <w:rFonts w:ascii="Times New Roman" w:hAnsi="Times New Roman" w:cs="Times New Roman"/>
          <w:sz w:val="24"/>
          <w:szCs w:val="24"/>
        </w:rPr>
        <w:t xml:space="preserve">, which are able to be sold to </w:t>
      </w:r>
      <w:r w:rsidR="00A2477F" w:rsidRPr="00EF2FF2">
        <w:rPr>
          <w:rFonts w:ascii="Times New Roman" w:hAnsi="Times New Roman" w:cs="Times New Roman"/>
          <w:sz w:val="24"/>
          <w:szCs w:val="24"/>
        </w:rPr>
        <w:t xml:space="preserve">entities that want to, or are required to, offset their emissions. The ability to generate and sell ACCUs </w:t>
      </w:r>
      <w:r w:rsidR="001A7ECF" w:rsidRPr="00EF2FF2">
        <w:rPr>
          <w:rFonts w:ascii="Times New Roman" w:hAnsi="Times New Roman" w:cs="Times New Roman"/>
          <w:sz w:val="24"/>
          <w:szCs w:val="24"/>
        </w:rPr>
        <w:t>incentivises</w:t>
      </w:r>
      <w:r w:rsidR="00A2477F" w:rsidRPr="00EF2FF2">
        <w:rPr>
          <w:rFonts w:ascii="Times New Roman" w:hAnsi="Times New Roman" w:cs="Times New Roman"/>
          <w:sz w:val="24"/>
          <w:szCs w:val="24"/>
        </w:rPr>
        <w:t xml:space="preserve"> INFM projects.</w:t>
      </w:r>
    </w:p>
    <w:p w14:paraId="5BA6AE12" w14:textId="1700C5A7" w:rsidR="006B7C1B" w:rsidRPr="00EF2FF2" w:rsidRDefault="006B7C1B" w:rsidP="00EF2FF2">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w:t>
      </w:r>
      <w:r w:rsidRPr="00486C60">
        <w:rPr>
          <w:rFonts w:ascii="Times New Roman" w:hAnsi="Times New Roman" w:cs="Times New Roman"/>
          <w:sz w:val="24"/>
          <w:szCs w:val="24"/>
        </w:rPr>
        <w:t xml:space="preserve">he provisions </w:t>
      </w:r>
      <w:r>
        <w:rPr>
          <w:rFonts w:ascii="Times New Roman" w:hAnsi="Times New Roman" w:cs="Times New Roman"/>
          <w:sz w:val="24"/>
          <w:szCs w:val="24"/>
        </w:rPr>
        <w:t xml:space="preserve">of the Determination ensure the abatement that is credited in INFM projects is </w:t>
      </w:r>
      <w:r w:rsidRPr="006B7C1B">
        <w:rPr>
          <w:rFonts w:ascii="Times New Roman" w:hAnsi="Times New Roman" w:cs="Times New Roman"/>
          <w:b/>
          <w:bCs/>
          <w:sz w:val="24"/>
          <w:szCs w:val="24"/>
        </w:rPr>
        <w:t>real</w:t>
      </w:r>
      <w:r w:rsidR="00AC76A6">
        <w:rPr>
          <w:rFonts w:ascii="Times New Roman" w:hAnsi="Times New Roman" w:cs="Times New Roman"/>
          <w:b/>
          <w:bCs/>
          <w:sz w:val="24"/>
          <w:szCs w:val="24"/>
        </w:rPr>
        <w:t xml:space="preserve"> and </w:t>
      </w:r>
      <w:r w:rsidRPr="006B7C1B">
        <w:rPr>
          <w:rFonts w:ascii="Times New Roman" w:hAnsi="Times New Roman" w:cs="Times New Roman"/>
          <w:b/>
          <w:bCs/>
          <w:sz w:val="24"/>
          <w:szCs w:val="24"/>
        </w:rPr>
        <w:t>additional</w:t>
      </w:r>
      <w:r>
        <w:rPr>
          <w:rFonts w:ascii="Times New Roman" w:hAnsi="Times New Roman" w:cs="Times New Roman"/>
          <w:sz w:val="24"/>
          <w:szCs w:val="24"/>
        </w:rPr>
        <w:t>, and that it can be used to help meet Australia’s international climate change mitigation obligations.</w:t>
      </w:r>
      <w:r w:rsidR="00E522FE">
        <w:rPr>
          <w:rFonts w:ascii="Times New Roman" w:hAnsi="Times New Roman" w:cs="Times New Roman"/>
          <w:sz w:val="24"/>
          <w:szCs w:val="24"/>
        </w:rPr>
        <w:t xml:space="preserve"> The Determination also ensures that credited sequestration must be maintained for </w:t>
      </w:r>
      <w:r w:rsidR="0062343C">
        <w:rPr>
          <w:rFonts w:ascii="Times New Roman" w:hAnsi="Times New Roman" w:cs="Times New Roman"/>
          <w:sz w:val="24"/>
          <w:szCs w:val="24"/>
        </w:rPr>
        <w:t xml:space="preserve">at least 100 years. </w:t>
      </w:r>
    </w:p>
    <w:p w14:paraId="717B7935" w14:textId="238CE243" w:rsidR="00B8194E" w:rsidRPr="00EF2FF2" w:rsidRDefault="001A7ECF" w:rsidP="00EF2FF2">
      <w:pPr>
        <w:spacing w:before="120" w:after="120" w:line="240" w:lineRule="auto"/>
        <w:rPr>
          <w:rFonts w:ascii="Times New Roman" w:hAnsi="Times New Roman" w:cs="Times New Roman"/>
          <w:sz w:val="24"/>
          <w:szCs w:val="24"/>
        </w:rPr>
      </w:pPr>
      <w:r w:rsidRPr="00EF2FF2">
        <w:rPr>
          <w:rFonts w:ascii="Times New Roman" w:hAnsi="Times New Roman" w:cs="Times New Roman"/>
          <w:sz w:val="24"/>
          <w:szCs w:val="24"/>
        </w:rPr>
        <w:t>Under the Determination, INFM projects can involve</w:t>
      </w:r>
      <w:r w:rsidR="00DE1B80" w:rsidRPr="00EF2FF2">
        <w:rPr>
          <w:rFonts w:ascii="Times New Roman" w:hAnsi="Times New Roman" w:cs="Times New Roman"/>
          <w:sz w:val="24"/>
          <w:szCs w:val="24"/>
        </w:rPr>
        <w:t>:</w:t>
      </w:r>
    </w:p>
    <w:p w14:paraId="1AFDE3DE" w14:textId="48B7DB35" w:rsidR="00B8194E" w:rsidRPr="00EF2FF2" w:rsidRDefault="00B8194E" w:rsidP="009D5A62">
      <w:pPr>
        <w:pStyle w:val="ListParagraph"/>
        <w:numPr>
          <w:ilvl w:val="0"/>
          <w:numId w:val="76"/>
        </w:numPr>
        <w:spacing w:before="120" w:after="120" w:line="240" w:lineRule="auto"/>
        <w:ind w:left="714" w:hanging="357"/>
        <w:contextualSpacing w:val="0"/>
        <w:rPr>
          <w:rFonts w:ascii="Times New Roman" w:hAnsi="Times New Roman" w:cs="Times New Roman"/>
          <w:sz w:val="24"/>
          <w:szCs w:val="24"/>
        </w:rPr>
      </w:pPr>
      <w:r w:rsidRPr="00EF2FF2">
        <w:rPr>
          <w:rFonts w:ascii="Times New Roman" w:hAnsi="Times New Roman" w:cs="Times New Roman"/>
          <w:sz w:val="24"/>
          <w:szCs w:val="24"/>
        </w:rPr>
        <w:t>s</w:t>
      </w:r>
      <w:r w:rsidR="00DE1B80" w:rsidRPr="00EF2FF2">
        <w:rPr>
          <w:rFonts w:ascii="Times New Roman" w:hAnsi="Times New Roman" w:cs="Times New Roman"/>
          <w:sz w:val="24"/>
          <w:szCs w:val="24"/>
        </w:rPr>
        <w:t>topping harvesting in a defined area (</w:t>
      </w:r>
      <w:r w:rsidR="00EF6AB0">
        <w:rPr>
          <w:rFonts w:ascii="Times New Roman" w:hAnsi="Times New Roman" w:cs="Times New Roman"/>
          <w:sz w:val="24"/>
          <w:szCs w:val="24"/>
        </w:rPr>
        <w:t>‘</w:t>
      </w:r>
      <w:r w:rsidR="00DE1B80" w:rsidRPr="00EF2FF2">
        <w:rPr>
          <w:rFonts w:ascii="Times New Roman" w:hAnsi="Times New Roman" w:cs="Times New Roman"/>
          <w:sz w:val="24"/>
          <w:szCs w:val="24"/>
        </w:rPr>
        <w:t>carbon protection area</w:t>
      </w:r>
      <w:r w:rsidR="00EF6AB0">
        <w:rPr>
          <w:rFonts w:ascii="Times New Roman" w:hAnsi="Times New Roman" w:cs="Times New Roman"/>
          <w:sz w:val="24"/>
          <w:szCs w:val="24"/>
        </w:rPr>
        <w:t>’</w:t>
      </w:r>
      <w:r w:rsidR="00DE1B80" w:rsidRPr="00EF2FF2">
        <w:rPr>
          <w:rFonts w:ascii="Times New Roman" w:hAnsi="Times New Roman" w:cs="Times New Roman"/>
          <w:sz w:val="24"/>
          <w:szCs w:val="24"/>
        </w:rPr>
        <w:t>)</w:t>
      </w:r>
      <w:r w:rsidRPr="00EF2FF2">
        <w:rPr>
          <w:rFonts w:ascii="Times New Roman" w:hAnsi="Times New Roman" w:cs="Times New Roman"/>
          <w:sz w:val="24"/>
          <w:szCs w:val="24"/>
        </w:rPr>
        <w:t xml:space="preserve">; and/or </w:t>
      </w:r>
    </w:p>
    <w:p w14:paraId="2B430E1B" w14:textId="191B6ED4" w:rsidR="00DE1B80" w:rsidRPr="00EF2FF2" w:rsidRDefault="00B8194E" w:rsidP="009D5A62">
      <w:pPr>
        <w:pStyle w:val="ListParagraph"/>
        <w:numPr>
          <w:ilvl w:val="0"/>
          <w:numId w:val="76"/>
        </w:numPr>
        <w:spacing w:before="120" w:after="120" w:line="240" w:lineRule="auto"/>
        <w:ind w:left="714" w:hanging="357"/>
        <w:contextualSpacing w:val="0"/>
        <w:rPr>
          <w:rFonts w:ascii="Times New Roman" w:hAnsi="Times New Roman" w:cs="Times New Roman"/>
          <w:sz w:val="24"/>
          <w:szCs w:val="24"/>
        </w:rPr>
      </w:pPr>
      <w:r w:rsidRPr="00EF2FF2">
        <w:rPr>
          <w:rFonts w:ascii="Times New Roman" w:hAnsi="Times New Roman" w:cs="Times New Roman"/>
          <w:sz w:val="24"/>
          <w:szCs w:val="24"/>
        </w:rPr>
        <w:t>r</w:t>
      </w:r>
      <w:r w:rsidR="00DE1B80" w:rsidRPr="00EF2FF2">
        <w:rPr>
          <w:rFonts w:ascii="Times New Roman" w:hAnsi="Times New Roman" w:cs="Times New Roman"/>
          <w:sz w:val="24"/>
          <w:szCs w:val="24"/>
        </w:rPr>
        <w:t>educing harvesting across the project area</w:t>
      </w:r>
      <w:r w:rsidRPr="00EF2FF2">
        <w:rPr>
          <w:rFonts w:ascii="Times New Roman" w:hAnsi="Times New Roman" w:cs="Times New Roman"/>
          <w:sz w:val="24"/>
          <w:szCs w:val="24"/>
        </w:rPr>
        <w:t>.</w:t>
      </w:r>
      <w:r w:rsidR="00DE1B80" w:rsidRPr="00EF2FF2">
        <w:rPr>
          <w:rFonts w:ascii="Times New Roman" w:hAnsi="Times New Roman" w:cs="Times New Roman"/>
          <w:sz w:val="24"/>
          <w:szCs w:val="24"/>
        </w:rPr>
        <w:t xml:space="preserve"> </w:t>
      </w:r>
    </w:p>
    <w:p w14:paraId="098EAADC" w14:textId="780FA6D1" w:rsidR="00B8194E" w:rsidRPr="00EF2FF2" w:rsidRDefault="00DE1B80" w:rsidP="00EF2FF2">
      <w:pPr>
        <w:spacing w:before="120" w:after="120" w:line="240" w:lineRule="auto"/>
        <w:rPr>
          <w:rFonts w:ascii="Times New Roman" w:hAnsi="Times New Roman" w:cs="Times New Roman"/>
          <w:sz w:val="24"/>
          <w:szCs w:val="24"/>
        </w:rPr>
      </w:pPr>
      <w:r w:rsidRPr="00EF2FF2">
        <w:rPr>
          <w:rFonts w:ascii="Times New Roman" w:hAnsi="Times New Roman" w:cs="Times New Roman"/>
          <w:sz w:val="24"/>
          <w:szCs w:val="24"/>
        </w:rPr>
        <w:t xml:space="preserve">The project area </w:t>
      </w:r>
      <w:r w:rsidR="00B8194E" w:rsidRPr="00EF2FF2">
        <w:rPr>
          <w:rFonts w:ascii="Times New Roman" w:hAnsi="Times New Roman" w:cs="Times New Roman"/>
          <w:sz w:val="24"/>
          <w:szCs w:val="24"/>
        </w:rPr>
        <w:t>for an INFM project must consist of all public native forests designated for commercial forestry use in at least one whole forestry region</w:t>
      </w:r>
      <w:r w:rsidR="00B004A0" w:rsidRPr="00EF2FF2">
        <w:rPr>
          <w:rFonts w:ascii="Times New Roman" w:hAnsi="Times New Roman" w:cs="Times New Roman"/>
          <w:sz w:val="24"/>
          <w:szCs w:val="24"/>
        </w:rPr>
        <w:t xml:space="preserve">, defined as a </w:t>
      </w:r>
      <w:r w:rsidR="00B8194E" w:rsidRPr="00EF2FF2">
        <w:rPr>
          <w:rFonts w:ascii="Times New Roman" w:hAnsi="Times New Roman" w:cs="Times New Roman"/>
          <w:sz w:val="24"/>
          <w:szCs w:val="24"/>
        </w:rPr>
        <w:t>Regional Forest Agreement</w:t>
      </w:r>
      <w:r w:rsidR="00B004A0" w:rsidRPr="00EF2FF2">
        <w:rPr>
          <w:rFonts w:ascii="Times New Roman" w:hAnsi="Times New Roman" w:cs="Times New Roman"/>
          <w:sz w:val="24"/>
          <w:szCs w:val="24"/>
        </w:rPr>
        <w:t xml:space="preserve"> (RFA) region or</w:t>
      </w:r>
      <w:r w:rsidR="001A0F1B">
        <w:rPr>
          <w:rFonts w:ascii="Times New Roman" w:hAnsi="Times New Roman" w:cs="Times New Roman"/>
          <w:sz w:val="24"/>
          <w:szCs w:val="24"/>
        </w:rPr>
        <w:t>, in areas</w:t>
      </w:r>
      <w:r w:rsidR="001A0F1B" w:rsidRPr="00EF2FF2">
        <w:rPr>
          <w:rFonts w:ascii="Times New Roman" w:hAnsi="Times New Roman" w:cs="Times New Roman"/>
          <w:sz w:val="24"/>
          <w:szCs w:val="24"/>
        </w:rPr>
        <w:t xml:space="preserve"> not covered by an RFA</w:t>
      </w:r>
      <w:r w:rsidR="001A0F1B">
        <w:rPr>
          <w:rFonts w:ascii="Times New Roman" w:hAnsi="Times New Roman" w:cs="Times New Roman"/>
          <w:sz w:val="24"/>
          <w:szCs w:val="24"/>
        </w:rPr>
        <w:t>,</w:t>
      </w:r>
      <w:r w:rsidR="00B8194E" w:rsidRPr="00EF2FF2">
        <w:rPr>
          <w:rFonts w:ascii="Times New Roman" w:hAnsi="Times New Roman" w:cs="Times New Roman"/>
          <w:sz w:val="24"/>
          <w:szCs w:val="24"/>
        </w:rPr>
        <w:t xml:space="preserve"> </w:t>
      </w:r>
      <w:r w:rsidR="0031034E" w:rsidRPr="00EF2FF2">
        <w:rPr>
          <w:rFonts w:ascii="Times New Roman" w:hAnsi="Times New Roman" w:cs="Times New Roman"/>
          <w:sz w:val="24"/>
          <w:szCs w:val="24"/>
        </w:rPr>
        <w:t xml:space="preserve">an </w:t>
      </w:r>
      <w:r w:rsidR="00B004A0" w:rsidRPr="00EF2FF2">
        <w:rPr>
          <w:rFonts w:ascii="Times New Roman" w:hAnsi="Times New Roman" w:cs="Times New Roman"/>
          <w:sz w:val="24"/>
          <w:szCs w:val="24"/>
        </w:rPr>
        <w:t xml:space="preserve">equivalent </w:t>
      </w:r>
      <w:r w:rsidR="0031034E" w:rsidRPr="00EF2FF2">
        <w:rPr>
          <w:rFonts w:ascii="Times New Roman" w:hAnsi="Times New Roman" w:cs="Times New Roman"/>
          <w:sz w:val="24"/>
          <w:szCs w:val="24"/>
        </w:rPr>
        <w:t>region of not less than 1.5 million hectares.</w:t>
      </w:r>
    </w:p>
    <w:p w14:paraId="3F82BFD2" w14:textId="0EBEFBC3" w:rsidR="00ED6034" w:rsidRPr="00EF2FF2" w:rsidRDefault="0031034E" w:rsidP="00EF2FF2">
      <w:pPr>
        <w:spacing w:before="120" w:after="120" w:line="240" w:lineRule="auto"/>
        <w:rPr>
          <w:rFonts w:ascii="Times New Roman" w:hAnsi="Times New Roman" w:cs="Times New Roman"/>
          <w:sz w:val="24"/>
          <w:szCs w:val="24"/>
        </w:rPr>
      </w:pPr>
      <w:r w:rsidRPr="00EF2FF2">
        <w:rPr>
          <w:rFonts w:ascii="Times New Roman" w:hAnsi="Times New Roman" w:cs="Times New Roman"/>
          <w:sz w:val="24"/>
          <w:szCs w:val="24"/>
        </w:rPr>
        <w:t xml:space="preserve">Under the Determination, the net abatement amount that is used to determine ACCU issuances is </w:t>
      </w:r>
      <w:r w:rsidR="00DE1B80" w:rsidRPr="00EF2FF2">
        <w:rPr>
          <w:rFonts w:ascii="Times New Roman" w:hAnsi="Times New Roman" w:cs="Times New Roman"/>
          <w:sz w:val="24"/>
          <w:szCs w:val="24"/>
        </w:rPr>
        <w:t>calculated by reference to</w:t>
      </w:r>
      <w:r w:rsidR="00F77FB9" w:rsidRPr="00EF2FF2">
        <w:rPr>
          <w:rFonts w:ascii="Times New Roman" w:hAnsi="Times New Roman" w:cs="Times New Roman"/>
          <w:sz w:val="24"/>
          <w:szCs w:val="24"/>
        </w:rPr>
        <w:t xml:space="preserve"> the difference between:</w:t>
      </w:r>
    </w:p>
    <w:p w14:paraId="30EA4D06" w14:textId="76F6AD39" w:rsidR="00C12F25" w:rsidRPr="00EF2FF2" w:rsidRDefault="00EF2FF2" w:rsidP="009D5A62">
      <w:pPr>
        <w:pStyle w:val="ListParagraph"/>
        <w:numPr>
          <w:ilvl w:val="0"/>
          <w:numId w:val="77"/>
        </w:numPr>
        <w:spacing w:before="120"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a</w:t>
      </w:r>
      <w:r w:rsidR="00D41F1F" w:rsidRPr="00EF2FF2">
        <w:rPr>
          <w:rFonts w:ascii="Times New Roman" w:hAnsi="Times New Roman" w:cs="Times New Roman"/>
          <w:sz w:val="24"/>
          <w:szCs w:val="24"/>
        </w:rPr>
        <w:t xml:space="preserve">n assumed level of harvesting in the project area </w:t>
      </w:r>
      <w:r w:rsidR="00C12F25" w:rsidRPr="00EF2FF2">
        <w:rPr>
          <w:rFonts w:ascii="Times New Roman" w:hAnsi="Times New Roman" w:cs="Times New Roman"/>
          <w:sz w:val="24"/>
          <w:szCs w:val="24"/>
        </w:rPr>
        <w:t>in the absence of the INFM project (the ‘baseline harvest level’); and</w:t>
      </w:r>
    </w:p>
    <w:p w14:paraId="0CEE2464" w14:textId="39DD964F" w:rsidR="00DE1B80" w:rsidRPr="00EF2FF2" w:rsidRDefault="00EF2FF2" w:rsidP="009D5A62">
      <w:pPr>
        <w:pStyle w:val="ListParagraph"/>
        <w:numPr>
          <w:ilvl w:val="0"/>
          <w:numId w:val="77"/>
        </w:numPr>
        <w:spacing w:before="120"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t</w:t>
      </w:r>
      <w:r w:rsidR="00C12F25" w:rsidRPr="00EF2FF2">
        <w:rPr>
          <w:rFonts w:ascii="Times New Roman" w:hAnsi="Times New Roman" w:cs="Times New Roman"/>
          <w:sz w:val="24"/>
          <w:szCs w:val="24"/>
        </w:rPr>
        <w:t xml:space="preserve">he </w:t>
      </w:r>
      <w:r w:rsidR="00DE1B80" w:rsidRPr="00EF2FF2">
        <w:rPr>
          <w:rFonts w:ascii="Times New Roman" w:hAnsi="Times New Roman" w:cs="Times New Roman"/>
          <w:sz w:val="24"/>
          <w:szCs w:val="24"/>
        </w:rPr>
        <w:t>actual level of harvesting</w:t>
      </w:r>
      <w:r w:rsidR="00C12F25" w:rsidRPr="00EF2FF2">
        <w:rPr>
          <w:rFonts w:ascii="Times New Roman" w:hAnsi="Times New Roman" w:cs="Times New Roman"/>
          <w:sz w:val="24"/>
          <w:szCs w:val="24"/>
        </w:rPr>
        <w:t xml:space="preserve"> in the project area</w:t>
      </w:r>
      <w:r w:rsidR="00DE1B80" w:rsidRPr="00EF2FF2">
        <w:rPr>
          <w:rFonts w:ascii="Times New Roman" w:hAnsi="Times New Roman" w:cs="Times New Roman"/>
          <w:sz w:val="24"/>
          <w:szCs w:val="24"/>
        </w:rPr>
        <w:t>.</w:t>
      </w:r>
    </w:p>
    <w:p w14:paraId="07EF8B24" w14:textId="424E4BDC" w:rsidR="00481589" w:rsidRPr="00486C60" w:rsidRDefault="00EF2FF2" w:rsidP="0048158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baseline harvest level is </w:t>
      </w:r>
      <w:r w:rsidR="00021D2A">
        <w:rPr>
          <w:rFonts w:ascii="Times New Roman" w:hAnsi="Times New Roman" w:cs="Times New Roman"/>
          <w:sz w:val="24"/>
          <w:szCs w:val="24"/>
        </w:rPr>
        <w:t xml:space="preserve">the </w:t>
      </w:r>
      <w:r w:rsidR="000548B4">
        <w:rPr>
          <w:rFonts w:ascii="Times New Roman" w:hAnsi="Times New Roman" w:cs="Times New Roman"/>
          <w:sz w:val="24"/>
          <w:szCs w:val="24"/>
        </w:rPr>
        <w:t xml:space="preserve">latest </w:t>
      </w:r>
      <w:r w:rsidR="00481589" w:rsidRPr="00481589">
        <w:rPr>
          <w:rFonts w:ascii="Times New Roman" w:hAnsi="Times New Roman" w:cs="Times New Roman"/>
          <w:sz w:val="24"/>
          <w:szCs w:val="24"/>
        </w:rPr>
        <w:t>modified sustainable yield</w:t>
      </w:r>
      <w:r w:rsidR="00481589">
        <w:rPr>
          <w:rFonts w:ascii="Times New Roman" w:hAnsi="Times New Roman" w:cs="Times New Roman"/>
          <w:sz w:val="24"/>
          <w:szCs w:val="24"/>
        </w:rPr>
        <w:t xml:space="preserve"> calculated for the project area. </w:t>
      </w:r>
      <w:r w:rsidR="00481589" w:rsidRPr="00486C60">
        <w:rPr>
          <w:rFonts w:ascii="Times New Roman" w:hAnsi="Times New Roman" w:cs="Times New Roman"/>
          <w:sz w:val="24"/>
          <w:szCs w:val="24"/>
        </w:rPr>
        <w:t xml:space="preserve">The </w:t>
      </w:r>
      <w:r w:rsidR="00481589" w:rsidRPr="00021D2A">
        <w:rPr>
          <w:rFonts w:ascii="Times New Roman" w:hAnsi="Times New Roman" w:cs="Times New Roman"/>
          <w:sz w:val="24"/>
          <w:szCs w:val="24"/>
        </w:rPr>
        <w:t xml:space="preserve">modified sustainable </w:t>
      </w:r>
      <w:r w:rsidR="00481589">
        <w:rPr>
          <w:rFonts w:ascii="Times New Roman" w:hAnsi="Times New Roman" w:cs="Times New Roman"/>
          <w:sz w:val="24"/>
          <w:szCs w:val="24"/>
        </w:rPr>
        <w:t xml:space="preserve">yield </w:t>
      </w:r>
      <w:r w:rsidR="00481589" w:rsidRPr="00486C60">
        <w:rPr>
          <w:rFonts w:ascii="Times New Roman" w:hAnsi="Times New Roman" w:cs="Times New Roman"/>
          <w:sz w:val="24"/>
          <w:szCs w:val="24"/>
        </w:rPr>
        <w:t xml:space="preserve">is the </w:t>
      </w:r>
      <w:r w:rsidR="00481589">
        <w:rPr>
          <w:rFonts w:ascii="Times New Roman" w:hAnsi="Times New Roman" w:cs="Times New Roman"/>
          <w:sz w:val="24"/>
          <w:szCs w:val="24"/>
        </w:rPr>
        <w:t xml:space="preserve">unmodified </w:t>
      </w:r>
      <w:r w:rsidR="00481589" w:rsidRPr="00486C60">
        <w:rPr>
          <w:rFonts w:ascii="Times New Roman" w:hAnsi="Times New Roman" w:cs="Times New Roman"/>
          <w:sz w:val="24"/>
          <w:szCs w:val="24"/>
        </w:rPr>
        <w:t xml:space="preserve">sustainable yield </w:t>
      </w:r>
      <w:r w:rsidR="00481589">
        <w:rPr>
          <w:rFonts w:ascii="Times New Roman" w:hAnsi="Times New Roman" w:cs="Times New Roman"/>
          <w:sz w:val="24"/>
          <w:szCs w:val="24"/>
        </w:rPr>
        <w:t xml:space="preserve">for the project area </w:t>
      </w:r>
      <w:r w:rsidR="00481589" w:rsidRPr="00486C60">
        <w:rPr>
          <w:rFonts w:ascii="Times New Roman" w:hAnsi="Times New Roman" w:cs="Times New Roman"/>
          <w:sz w:val="24"/>
          <w:szCs w:val="24"/>
        </w:rPr>
        <w:t xml:space="preserve">discounted by the extent to which the level of actual harvesting was less than the sustainable yield in the </w:t>
      </w:r>
      <w:r w:rsidR="00481589">
        <w:rPr>
          <w:rFonts w:ascii="Times New Roman" w:hAnsi="Times New Roman" w:cs="Times New Roman"/>
          <w:sz w:val="24"/>
          <w:szCs w:val="24"/>
        </w:rPr>
        <w:t>baseline period (</w:t>
      </w:r>
      <w:r w:rsidR="00481589" w:rsidRPr="00486C60">
        <w:rPr>
          <w:rFonts w:ascii="Times New Roman" w:hAnsi="Times New Roman" w:cs="Times New Roman"/>
          <w:sz w:val="24"/>
          <w:szCs w:val="24"/>
        </w:rPr>
        <w:t>10-year</w:t>
      </w:r>
      <w:r w:rsidR="00481589">
        <w:rPr>
          <w:rFonts w:ascii="Times New Roman" w:hAnsi="Times New Roman" w:cs="Times New Roman"/>
          <w:sz w:val="24"/>
          <w:szCs w:val="24"/>
        </w:rPr>
        <w:t xml:space="preserve"> period</w:t>
      </w:r>
      <w:r w:rsidR="00481589" w:rsidRPr="00486C60">
        <w:rPr>
          <w:rFonts w:ascii="Times New Roman" w:hAnsi="Times New Roman" w:cs="Times New Roman"/>
          <w:sz w:val="24"/>
          <w:szCs w:val="24"/>
        </w:rPr>
        <w:t xml:space="preserve"> prior to </w:t>
      </w:r>
      <w:r w:rsidR="00481589">
        <w:rPr>
          <w:rFonts w:ascii="Times New Roman" w:hAnsi="Times New Roman" w:cs="Times New Roman"/>
          <w:sz w:val="24"/>
          <w:szCs w:val="24"/>
        </w:rPr>
        <w:t xml:space="preserve">the project application, excluding years </w:t>
      </w:r>
      <w:r w:rsidR="00481589" w:rsidRPr="00BD7AE3">
        <w:rPr>
          <w:rFonts w:ascii="Times New Roman" w:hAnsi="Times New Roman" w:cs="Times New Roman"/>
          <w:sz w:val="24"/>
          <w:szCs w:val="24"/>
        </w:rPr>
        <w:t>affected by major wildfire</w:t>
      </w:r>
      <w:r w:rsidR="00481589">
        <w:rPr>
          <w:rFonts w:ascii="Times New Roman" w:hAnsi="Times New Roman" w:cs="Times New Roman"/>
          <w:sz w:val="24"/>
          <w:szCs w:val="24"/>
        </w:rPr>
        <w:t>s)</w:t>
      </w:r>
      <w:r w:rsidR="00481589" w:rsidRPr="00486C60">
        <w:rPr>
          <w:rFonts w:ascii="Times New Roman" w:hAnsi="Times New Roman" w:cs="Times New Roman"/>
          <w:sz w:val="24"/>
          <w:szCs w:val="24"/>
        </w:rPr>
        <w:t>.</w:t>
      </w:r>
      <w:r w:rsidR="00481589">
        <w:rPr>
          <w:rFonts w:ascii="Times New Roman" w:hAnsi="Times New Roman" w:cs="Times New Roman"/>
          <w:sz w:val="24"/>
          <w:szCs w:val="24"/>
        </w:rPr>
        <w:t xml:space="preserve"> For example, </w:t>
      </w:r>
      <w:r w:rsidR="00481589" w:rsidRPr="00486C60">
        <w:rPr>
          <w:rFonts w:ascii="Times New Roman" w:hAnsi="Times New Roman" w:cs="Times New Roman"/>
          <w:sz w:val="24"/>
          <w:szCs w:val="24"/>
        </w:rPr>
        <w:t xml:space="preserve">if the level of harvesting </w:t>
      </w:r>
      <w:r w:rsidR="00481589">
        <w:rPr>
          <w:rFonts w:ascii="Times New Roman" w:hAnsi="Times New Roman" w:cs="Times New Roman"/>
          <w:sz w:val="24"/>
          <w:szCs w:val="24"/>
        </w:rPr>
        <w:t xml:space="preserve">over the baseline period was 60% of the sustainable yield over this period, the modified sustainable yield will be calculated as the </w:t>
      </w:r>
      <w:r w:rsidR="006A4446">
        <w:rPr>
          <w:rFonts w:ascii="Times New Roman" w:hAnsi="Times New Roman" w:cs="Times New Roman"/>
          <w:sz w:val="24"/>
          <w:szCs w:val="24"/>
        </w:rPr>
        <w:t xml:space="preserve">unmodified </w:t>
      </w:r>
      <w:r w:rsidR="00481589">
        <w:rPr>
          <w:rFonts w:ascii="Times New Roman" w:hAnsi="Times New Roman" w:cs="Times New Roman"/>
          <w:sz w:val="24"/>
          <w:szCs w:val="24"/>
        </w:rPr>
        <w:t>sustainable yield for the reporting period multiplied by 0.6.</w:t>
      </w:r>
    </w:p>
    <w:p w14:paraId="0A36982F" w14:textId="3E3317FF" w:rsidR="00021D2A" w:rsidRDefault="00721977" w:rsidP="00D43BC6">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unmodified sustainable yield </w:t>
      </w:r>
      <w:r w:rsidR="00CA19C1">
        <w:rPr>
          <w:rFonts w:ascii="Times New Roman" w:hAnsi="Times New Roman" w:cs="Times New Roman"/>
          <w:sz w:val="24"/>
          <w:szCs w:val="24"/>
        </w:rPr>
        <w:t>is the lower of:</w:t>
      </w:r>
    </w:p>
    <w:p w14:paraId="44D11F46" w14:textId="3D071E4A" w:rsidR="00CA19C1" w:rsidRDefault="00CA19C1" w:rsidP="009D5A62">
      <w:pPr>
        <w:pStyle w:val="ListParagraph"/>
        <w:numPr>
          <w:ilvl w:val="0"/>
          <w:numId w:val="78"/>
        </w:numPr>
        <w:spacing w:before="120"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07286F">
        <w:rPr>
          <w:rFonts w:ascii="Times New Roman" w:hAnsi="Times New Roman" w:cs="Times New Roman"/>
          <w:sz w:val="24"/>
          <w:szCs w:val="24"/>
        </w:rPr>
        <w:t xml:space="preserve">most recent </w:t>
      </w:r>
      <w:r>
        <w:rPr>
          <w:rFonts w:ascii="Times New Roman" w:hAnsi="Times New Roman" w:cs="Times New Roman"/>
          <w:sz w:val="24"/>
          <w:szCs w:val="24"/>
        </w:rPr>
        <w:t xml:space="preserve">sustainable yield calculated </w:t>
      </w:r>
      <w:r w:rsidR="0007286F">
        <w:rPr>
          <w:rFonts w:ascii="Times New Roman" w:hAnsi="Times New Roman" w:cs="Times New Roman"/>
          <w:sz w:val="24"/>
          <w:szCs w:val="24"/>
        </w:rPr>
        <w:t>for the purposes of the project; and</w:t>
      </w:r>
    </w:p>
    <w:p w14:paraId="211F7FB1" w14:textId="64283FDF" w:rsidR="00EF2FF2" w:rsidRPr="00A65110" w:rsidRDefault="00D43BC6" w:rsidP="00A65110">
      <w:pPr>
        <w:pStyle w:val="ListParagraph"/>
        <w:numPr>
          <w:ilvl w:val="0"/>
          <w:numId w:val="78"/>
        </w:numPr>
        <w:spacing w:before="120" w:after="120" w:line="240" w:lineRule="auto"/>
        <w:ind w:left="714" w:hanging="357"/>
        <w:contextualSpacing w:val="0"/>
        <w:rPr>
          <w:rFonts w:ascii="Times New Roman" w:hAnsi="Times New Roman" w:cs="Times New Roman"/>
          <w:sz w:val="24"/>
          <w:szCs w:val="24"/>
        </w:rPr>
      </w:pPr>
      <w:r w:rsidRPr="00021D2A">
        <w:rPr>
          <w:rFonts w:ascii="Times New Roman" w:hAnsi="Times New Roman" w:cs="Times New Roman"/>
          <w:sz w:val="24"/>
          <w:szCs w:val="24"/>
        </w:rPr>
        <w:lastRenderedPageBreak/>
        <w:t xml:space="preserve">the </w:t>
      </w:r>
      <w:r w:rsidR="001A283B">
        <w:rPr>
          <w:rFonts w:ascii="Times New Roman" w:hAnsi="Times New Roman" w:cs="Times New Roman"/>
          <w:sz w:val="24"/>
          <w:szCs w:val="24"/>
        </w:rPr>
        <w:t>most recent</w:t>
      </w:r>
      <w:r w:rsidRPr="00021D2A">
        <w:rPr>
          <w:rFonts w:ascii="Times New Roman" w:hAnsi="Times New Roman" w:cs="Times New Roman"/>
          <w:sz w:val="24"/>
          <w:szCs w:val="24"/>
        </w:rPr>
        <w:t xml:space="preserve"> sustainable yield published by the responsible State government agency for the project area over the period 1 July 2014 to 30 June 2024</w:t>
      </w:r>
      <w:r w:rsidR="00021D2A" w:rsidRPr="00A65110">
        <w:rPr>
          <w:rFonts w:ascii="Times New Roman" w:hAnsi="Times New Roman" w:cs="Times New Roman"/>
          <w:sz w:val="24"/>
          <w:szCs w:val="24"/>
        </w:rPr>
        <w:t xml:space="preserve">. </w:t>
      </w:r>
    </w:p>
    <w:p w14:paraId="5C4F30B2" w14:textId="14A08C75" w:rsidR="00180026" w:rsidRDefault="00B95BF6" w:rsidP="00DE1B8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B95BF6">
        <w:rPr>
          <w:rFonts w:ascii="Times New Roman" w:hAnsi="Times New Roman" w:cs="Times New Roman"/>
          <w:sz w:val="24"/>
          <w:szCs w:val="24"/>
        </w:rPr>
        <w:t xml:space="preserve">unmodified sustainable yield must be calculated in accordance with the method used to estimate the sustainable yield for the purposes of the most recent five-year sustainable yield review under </w:t>
      </w:r>
      <w:r w:rsidR="00024E85">
        <w:rPr>
          <w:rFonts w:ascii="Times New Roman" w:hAnsi="Times New Roman" w:cs="Times New Roman"/>
          <w:sz w:val="24"/>
          <w:szCs w:val="24"/>
        </w:rPr>
        <w:t>any applicable regional forest agreement. Where the project area is not covered by a regional forest agreement</w:t>
      </w:r>
      <w:r w:rsidR="006019C2">
        <w:rPr>
          <w:rFonts w:ascii="Times New Roman" w:hAnsi="Times New Roman" w:cs="Times New Roman"/>
          <w:sz w:val="24"/>
          <w:szCs w:val="24"/>
        </w:rPr>
        <w:t>, the proponent must use a</w:t>
      </w:r>
      <w:r w:rsidR="006019C2">
        <w:t xml:space="preserve"> </w:t>
      </w:r>
      <w:r w:rsidR="006019C2" w:rsidRPr="006019C2">
        <w:rPr>
          <w:rFonts w:ascii="Times New Roman" w:hAnsi="Times New Roman" w:cs="Times New Roman"/>
          <w:sz w:val="24"/>
          <w:szCs w:val="24"/>
        </w:rPr>
        <w:t xml:space="preserve">method </w:t>
      </w:r>
      <w:r w:rsidR="006019C2">
        <w:rPr>
          <w:rFonts w:ascii="Times New Roman" w:hAnsi="Times New Roman" w:cs="Times New Roman"/>
          <w:sz w:val="24"/>
          <w:szCs w:val="24"/>
        </w:rPr>
        <w:t xml:space="preserve">that is consistent </w:t>
      </w:r>
      <w:r w:rsidR="00B3753C">
        <w:rPr>
          <w:rFonts w:ascii="Times New Roman" w:hAnsi="Times New Roman" w:cs="Times New Roman"/>
          <w:sz w:val="24"/>
          <w:szCs w:val="24"/>
        </w:rPr>
        <w:t>with one used for the purposes of</w:t>
      </w:r>
      <w:r w:rsidR="006019C2" w:rsidRPr="006019C2">
        <w:rPr>
          <w:rFonts w:ascii="Times New Roman" w:hAnsi="Times New Roman" w:cs="Times New Roman"/>
          <w:sz w:val="24"/>
          <w:szCs w:val="24"/>
        </w:rPr>
        <w:t xml:space="preserve"> a current regional forest agreement</w:t>
      </w:r>
      <w:r w:rsidR="00B3753C">
        <w:rPr>
          <w:rFonts w:ascii="Times New Roman" w:hAnsi="Times New Roman" w:cs="Times New Roman"/>
          <w:sz w:val="24"/>
          <w:szCs w:val="24"/>
        </w:rPr>
        <w:t xml:space="preserve">. </w:t>
      </w:r>
    </w:p>
    <w:p w14:paraId="3D810D2C" w14:textId="5CF9200B" w:rsidR="008249AF" w:rsidRDefault="008249AF" w:rsidP="00DE1B80">
      <w:pPr>
        <w:spacing w:before="120" w:after="120" w:line="240" w:lineRule="auto"/>
        <w:rPr>
          <w:rFonts w:ascii="Times New Roman" w:hAnsi="Times New Roman" w:cs="Times New Roman"/>
          <w:sz w:val="24"/>
          <w:szCs w:val="24"/>
        </w:rPr>
      </w:pPr>
      <w:r w:rsidRPr="00486C60">
        <w:rPr>
          <w:rFonts w:ascii="Times New Roman" w:hAnsi="Times New Roman" w:cs="Times New Roman"/>
          <w:sz w:val="24"/>
          <w:szCs w:val="24"/>
        </w:rPr>
        <w:t>The baseline</w:t>
      </w:r>
      <w:r>
        <w:rPr>
          <w:rFonts w:ascii="Times New Roman" w:hAnsi="Times New Roman" w:cs="Times New Roman"/>
          <w:sz w:val="24"/>
          <w:szCs w:val="24"/>
        </w:rPr>
        <w:t xml:space="preserve"> harvest level</w:t>
      </w:r>
      <w:r w:rsidR="00D30A23">
        <w:rPr>
          <w:rFonts w:ascii="Times New Roman" w:hAnsi="Times New Roman" w:cs="Times New Roman"/>
          <w:sz w:val="24"/>
          <w:szCs w:val="24"/>
        </w:rPr>
        <w:t>, and the modified and unmodified sustainable yield,</w:t>
      </w:r>
      <w:r>
        <w:rPr>
          <w:rFonts w:ascii="Times New Roman" w:hAnsi="Times New Roman" w:cs="Times New Roman"/>
          <w:sz w:val="24"/>
          <w:szCs w:val="24"/>
        </w:rPr>
        <w:t xml:space="preserve"> </w:t>
      </w:r>
      <w:r w:rsidRPr="00486C60">
        <w:rPr>
          <w:rFonts w:ascii="Times New Roman" w:hAnsi="Times New Roman" w:cs="Times New Roman"/>
          <w:sz w:val="24"/>
          <w:szCs w:val="24"/>
        </w:rPr>
        <w:t xml:space="preserve">must be revised at </w:t>
      </w:r>
      <w:r>
        <w:rPr>
          <w:rFonts w:ascii="Times New Roman" w:hAnsi="Times New Roman" w:cs="Times New Roman"/>
          <w:sz w:val="24"/>
          <w:szCs w:val="24"/>
        </w:rPr>
        <w:t xml:space="preserve">5-year intervals </w:t>
      </w:r>
      <w:r w:rsidRPr="00486C60">
        <w:rPr>
          <w:rFonts w:ascii="Times New Roman" w:hAnsi="Times New Roman" w:cs="Times New Roman"/>
          <w:sz w:val="24"/>
          <w:szCs w:val="24"/>
        </w:rPr>
        <w:t xml:space="preserve">and after major disturbance events such as </w:t>
      </w:r>
      <w:r>
        <w:rPr>
          <w:rFonts w:ascii="Times New Roman" w:hAnsi="Times New Roman" w:cs="Times New Roman"/>
          <w:sz w:val="24"/>
          <w:szCs w:val="24"/>
        </w:rPr>
        <w:t>wild</w:t>
      </w:r>
      <w:r w:rsidRPr="00486C60">
        <w:rPr>
          <w:rFonts w:ascii="Times New Roman" w:hAnsi="Times New Roman" w:cs="Times New Roman"/>
          <w:sz w:val="24"/>
          <w:szCs w:val="24"/>
        </w:rPr>
        <w:t xml:space="preserve">fires. </w:t>
      </w:r>
    </w:p>
    <w:p w14:paraId="0BC0A1F9" w14:textId="0F43F7AB" w:rsidR="00DE1B80" w:rsidRPr="00486C60" w:rsidRDefault="00D700A7" w:rsidP="00DE1B8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For INFM projects to receive ACCUs, they must result in at least a 20% reduction in harvesting relative to the </w:t>
      </w:r>
      <w:r w:rsidR="00CB49CF">
        <w:rPr>
          <w:rFonts w:ascii="Times New Roman" w:hAnsi="Times New Roman" w:cs="Times New Roman"/>
          <w:sz w:val="24"/>
          <w:szCs w:val="24"/>
        </w:rPr>
        <w:t>baseline harvest level.</w:t>
      </w:r>
    </w:p>
    <w:p w14:paraId="339BC534" w14:textId="05011539" w:rsidR="007A6417" w:rsidRDefault="00DE1B80" w:rsidP="00CB49CF">
      <w:pPr>
        <w:spacing w:before="120" w:after="120" w:line="240" w:lineRule="auto"/>
        <w:rPr>
          <w:rFonts w:ascii="Times New Roman" w:hAnsi="Times New Roman" w:cs="Times New Roman"/>
          <w:sz w:val="24"/>
          <w:szCs w:val="24"/>
        </w:rPr>
      </w:pPr>
      <w:r w:rsidRPr="00486C60">
        <w:rPr>
          <w:rFonts w:ascii="Times New Roman" w:hAnsi="Times New Roman" w:cs="Times New Roman"/>
          <w:sz w:val="24"/>
          <w:szCs w:val="24"/>
        </w:rPr>
        <w:t xml:space="preserve">The number of ACCUs </w:t>
      </w:r>
      <w:r w:rsidR="00CB49CF">
        <w:rPr>
          <w:rFonts w:ascii="Times New Roman" w:hAnsi="Times New Roman" w:cs="Times New Roman"/>
          <w:sz w:val="24"/>
          <w:szCs w:val="24"/>
        </w:rPr>
        <w:t xml:space="preserve">issued to an INFM project for a reporting period </w:t>
      </w:r>
      <w:r w:rsidRPr="00486C60">
        <w:rPr>
          <w:rFonts w:ascii="Times New Roman" w:hAnsi="Times New Roman" w:cs="Times New Roman"/>
          <w:sz w:val="24"/>
          <w:szCs w:val="24"/>
        </w:rPr>
        <w:t>is discounted</w:t>
      </w:r>
      <w:r w:rsidR="00036719">
        <w:rPr>
          <w:rFonts w:ascii="Times New Roman" w:hAnsi="Times New Roman" w:cs="Times New Roman"/>
          <w:sz w:val="24"/>
          <w:szCs w:val="24"/>
        </w:rPr>
        <w:t xml:space="preserve"> if, and to the extent</w:t>
      </w:r>
      <w:r w:rsidRPr="00486C60">
        <w:rPr>
          <w:rFonts w:ascii="Times New Roman" w:hAnsi="Times New Roman" w:cs="Times New Roman"/>
          <w:sz w:val="24"/>
          <w:szCs w:val="24"/>
        </w:rPr>
        <w:t>:</w:t>
      </w:r>
    </w:p>
    <w:p w14:paraId="0ECCC43B" w14:textId="4FB8E6D2" w:rsidR="00EE544A" w:rsidRPr="003C3468" w:rsidRDefault="007A6417" w:rsidP="009D5A62">
      <w:pPr>
        <w:pStyle w:val="ListParagraph"/>
        <w:numPr>
          <w:ilvl w:val="0"/>
          <w:numId w:val="79"/>
        </w:numPr>
        <w:spacing w:before="120" w:after="120" w:line="240" w:lineRule="auto"/>
        <w:ind w:left="714" w:hanging="357"/>
        <w:contextualSpacing w:val="0"/>
        <w:rPr>
          <w:rFonts w:ascii="Times New Roman" w:hAnsi="Times New Roman" w:cs="Times New Roman"/>
          <w:sz w:val="24"/>
          <w:szCs w:val="24"/>
        </w:rPr>
      </w:pPr>
      <w:r w:rsidRPr="003C3468">
        <w:rPr>
          <w:rFonts w:ascii="Times New Roman" w:hAnsi="Times New Roman" w:cs="Times New Roman"/>
          <w:sz w:val="24"/>
          <w:szCs w:val="24"/>
        </w:rPr>
        <w:t xml:space="preserve">the </w:t>
      </w:r>
      <w:r w:rsidRPr="00831AFB">
        <w:rPr>
          <w:rFonts w:ascii="Times New Roman" w:hAnsi="Times New Roman" w:cs="Times New Roman"/>
          <w:sz w:val="24"/>
          <w:szCs w:val="24"/>
        </w:rPr>
        <w:t xml:space="preserve">volume of wood extracted from the </w:t>
      </w:r>
      <w:r w:rsidR="00515F6C" w:rsidRPr="00831AFB">
        <w:rPr>
          <w:rFonts w:ascii="Times New Roman" w:hAnsi="Times New Roman" w:cs="Times New Roman"/>
          <w:sz w:val="24"/>
          <w:szCs w:val="24"/>
        </w:rPr>
        <w:t xml:space="preserve">excluded sections of the </w:t>
      </w:r>
      <w:r w:rsidRPr="00831AFB">
        <w:rPr>
          <w:rFonts w:ascii="Times New Roman" w:hAnsi="Times New Roman" w:cs="Times New Roman"/>
          <w:sz w:val="24"/>
          <w:szCs w:val="24"/>
        </w:rPr>
        <w:t xml:space="preserve">proponent’s </w:t>
      </w:r>
      <w:r w:rsidR="00EE544A" w:rsidRPr="00831AFB">
        <w:rPr>
          <w:rFonts w:ascii="Times New Roman" w:hAnsi="Times New Roman" w:cs="Times New Roman"/>
          <w:sz w:val="24"/>
          <w:szCs w:val="24"/>
        </w:rPr>
        <w:t xml:space="preserve">public </w:t>
      </w:r>
      <w:r w:rsidRPr="00831AFB">
        <w:rPr>
          <w:rFonts w:ascii="Times New Roman" w:hAnsi="Times New Roman" w:cs="Times New Roman"/>
          <w:sz w:val="24"/>
          <w:szCs w:val="24"/>
        </w:rPr>
        <w:t>native forest estate</w:t>
      </w:r>
      <w:r w:rsidR="00EE544A" w:rsidRPr="00831AFB">
        <w:rPr>
          <w:rFonts w:ascii="Times New Roman" w:hAnsi="Times New Roman" w:cs="Times New Roman"/>
          <w:sz w:val="24"/>
          <w:szCs w:val="24"/>
        </w:rPr>
        <w:t xml:space="preserve"> </w:t>
      </w:r>
      <w:r w:rsidR="00515F6C" w:rsidRPr="00831AFB">
        <w:rPr>
          <w:rFonts w:ascii="Times New Roman" w:hAnsi="Times New Roman" w:cs="Times New Roman"/>
          <w:sz w:val="24"/>
          <w:szCs w:val="24"/>
        </w:rPr>
        <w:t xml:space="preserve">(i.e. </w:t>
      </w:r>
      <w:r w:rsidR="00831AFB" w:rsidRPr="00831AFB">
        <w:rPr>
          <w:rFonts w:ascii="Times New Roman" w:hAnsi="Times New Roman" w:cs="Times New Roman"/>
          <w:sz w:val="24"/>
          <w:szCs w:val="24"/>
        </w:rPr>
        <w:t xml:space="preserve">those parts of the </w:t>
      </w:r>
      <w:r w:rsidR="00515F6C" w:rsidRPr="00831AFB">
        <w:rPr>
          <w:rFonts w:ascii="Times New Roman" w:hAnsi="Times New Roman" w:cs="Times New Roman"/>
          <w:sz w:val="24"/>
          <w:szCs w:val="24"/>
        </w:rPr>
        <w:t>public native forest</w:t>
      </w:r>
      <w:r w:rsidR="00F571CD">
        <w:rPr>
          <w:rFonts w:ascii="Times New Roman" w:hAnsi="Times New Roman" w:cs="Times New Roman"/>
          <w:sz w:val="24"/>
          <w:szCs w:val="24"/>
        </w:rPr>
        <w:t xml:space="preserve"> estate</w:t>
      </w:r>
      <w:r w:rsidR="00515F6C" w:rsidRPr="00831AFB">
        <w:rPr>
          <w:rFonts w:ascii="Times New Roman" w:hAnsi="Times New Roman" w:cs="Times New Roman"/>
          <w:sz w:val="24"/>
          <w:szCs w:val="24"/>
        </w:rPr>
        <w:t xml:space="preserve"> in the </w:t>
      </w:r>
      <w:r w:rsidR="00F571CD">
        <w:rPr>
          <w:rFonts w:ascii="Times New Roman" w:hAnsi="Times New Roman" w:cs="Times New Roman"/>
          <w:sz w:val="24"/>
          <w:szCs w:val="24"/>
        </w:rPr>
        <w:t xml:space="preserve">jurisdiction </w:t>
      </w:r>
      <w:r w:rsidR="00515F6C" w:rsidRPr="00831AFB">
        <w:rPr>
          <w:rFonts w:ascii="Times New Roman" w:hAnsi="Times New Roman" w:cs="Times New Roman"/>
          <w:sz w:val="24"/>
          <w:szCs w:val="24"/>
        </w:rPr>
        <w:t>in which the project is located</w:t>
      </w:r>
      <w:r w:rsidR="00F571CD">
        <w:rPr>
          <w:rFonts w:ascii="Times New Roman" w:hAnsi="Times New Roman" w:cs="Times New Roman"/>
          <w:sz w:val="24"/>
          <w:szCs w:val="24"/>
        </w:rPr>
        <w:t xml:space="preserve"> that are not included in an INFM project)</w:t>
      </w:r>
      <w:r w:rsidR="00515F6C" w:rsidRPr="00515F6C">
        <w:rPr>
          <w:rFonts w:ascii="Times New Roman" w:hAnsi="Times New Roman" w:cs="Times New Roman"/>
          <w:sz w:val="24"/>
          <w:szCs w:val="24"/>
        </w:rPr>
        <w:t xml:space="preserve"> </w:t>
      </w:r>
      <w:r w:rsidR="00EE544A" w:rsidRPr="003C3468">
        <w:rPr>
          <w:rFonts w:ascii="Times New Roman" w:hAnsi="Times New Roman" w:cs="Times New Roman"/>
          <w:sz w:val="24"/>
          <w:szCs w:val="24"/>
        </w:rPr>
        <w:t xml:space="preserve">increases </w:t>
      </w:r>
      <w:r w:rsidR="00C314B3" w:rsidRPr="003C3468">
        <w:rPr>
          <w:rFonts w:ascii="Times New Roman" w:hAnsi="Times New Roman" w:cs="Times New Roman"/>
          <w:sz w:val="24"/>
          <w:szCs w:val="24"/>
        </w:rPr>
        <w:t xml:space="preserve">relative to a historically determined baseline; </w:t>
      </w:r>
      <w:r w:rsidR="00110F15" w:rsidRPr="003C3468">
        <w:rPr>
          <w:rFonts w:ascii="Times New Roman" w:hAnsi="Times New Roman" w:cs="Times New Roman"/>
          <w:sz w:val="24"/>
          <w:szCs w:val="24"/>
        </w:rPr>
        <w:t>and</w:t>
      </w:r>
    </w:p>
    <w:p w14:paraId="5A8EFD14" w14:textId="77777777" w:rsidR="00110F15" w:rsidRPr="003C3468" w:rsidRDefault="00C314B3" w:rsidP="009D5A62">
      <w:pPr>
        <w:pStyle w:val="ListParagraph"/>
        <w:numPr>
          <w:ilvl w:val="0"/>
          <w:numId w:val="79"/>
        </w:numPr>
        <w:spacing w:before="120" w:after="120" w:line="240" w:lineRule="auto"/>
        <w:ind w:left="714" w:hanging="357"/>
        <w:contextualSpacing w:val="0"/>
        <w:rPr>
          <w:rFonts w:ascii="Times New Roman" w:hAnsi="Times New Roman" w:cs="Times New Roman"/>
          <w:sz w:val="24"/>
          <w:szCs w:val="24"/>
        </w:rPr>
      </w:pPr>
      <w:r w:rsidRPr="003C3468">
        <w:rPr>
          <w:rFonts w:ascii="Times New Roman" w:hAnsi="Times New Roman" w:cs="Times New Roman"/>
          <w:sz w:val="24"/>
          <w:szCs w:val="24"/>
        </w:rPr>
        <w:t xml:space="preserve">the volume of wood extracted from </w:t>
      </w:r>
      <w:r w:rsidR="007A6417" w:rsidRPr="003C3468">
        <w:rPr>
          <w:rFonts w:ascii="Times New Roman" w:hAnsi="Times New Roman" w:cs="Times New Roman"/>
          <w:sz w:val="24"/>
          <w:szCs w:val="24"/>
        </w:rPr>
        <w:t>private native forest</w:t>
      </w:r>
      <w:r w:rsidRPr="003C3468">
        <w:rPr>
          <w:rFonts w:ascii="Times New Roman" w:hAnsi="Times New Roman" w:cs="Times New Roman"/>
          <w:sz w:val="24"/>
          <w:szCs w:val="24"/>
        </w:rPr>
        <w:t xml:space="preserve">s </w:t>
      </w:r>
      <w:r w:rsidR="007A6417" w:rsidRPr="003C3468">
        <w:rPr>
          <w:rFonts w:ascii="Times New Roman" w:hAnsi="Times New Roman" w:cs="Times New Roman"/>
          <w:sz w:val="24"/>
          <w:szCs w:val="24"/>
        </w:rPr>
        <w:t xml:space="preserve">in the same jurisdiction </w:t>
      </w:r>
      <w:r w:rsidR="00F763E5" w:rsidRPr="003C3468">
        <w:rPr>
          <w:rFonts w:ascii="Times New Roman" w:hAnsi="Times New Roman" w:cs="Times New Roman"/>
          <w:sz w:val="24"/>
          <w:szCs w:val="24"/>
        </w:rPr>
        <w:t>increases relative to a historically determined baseline</w:t>
      </w:r>
      <w:r w:rsidR="00110F15" w:rsidRPr="003C3468">
        <w:rPr>
          <w:rFonts w:ascii="Times New Roman" w:hAnsi="Times New Roman" w:cs="Times New Roman"/>
          <w:sz w:val="24"/>
          <w:szCs w:val="24"/>
        </w:rPr>
        <w:t>.</w:t>
      </w:r>
    </w:p>
    <w:p w14:paraId="73984995" w14:textId="5D7AA786" w:rsidR="008F1211" w:rsidRPr="000A34F5" w:rsidRDefault="00110F15" w:rsidP="00110F15">
      <w:pPr>
        <w:spacing w:before="120" w:after="120" w:line="240" w:lineRule="auto"/>
        <w:rPr>
          <w:rFonts w:ascii="Times New Roman" w:hAnsi="Times New Roman" w:cs="Times New Roman"/>
          <w:sz w:val="24"/>
          <w:szCs w:val="24"/>
        </w:rPr>
      </w:pPr>
      <w:r w:rsidRPr="000A34F5">
        <w:rPr>
          <w:rFonts w:ascii="Times New Roman" w:hAnsi="Times New Roman" w:cs="Times New Roman"/>
          <w:sz w:val="24"/>
          <w:szCs w:val="24"/>
        </w:rPr>
        <w:t xml:space="preserve">A 5% deduction is also applied </w:t>
      </w:r>
      <w:r w:rsidR="00127DF5" w:rsidRPr="000A34F5">
        <w:rPr>
          <w:rFonts w:ascii="Times New Roman" w:hAnsi="Times New Roman" w:cs="Times New Roman"/>
          <w:sz w:val="24"/>
          <w:szCs w:val="24"/>
        </w:rPr>
        <w:t xml:space="preserve">in calculating </w:t>
      </w:r>
      <w:r w:rsidR="000A34F5" w:rsidRPr="000A34F5">
        <w:rPr>
          <w:rFonts w:ascii="Times New Roman" w:hAnsi="Times New Roman" w:cs="Times New Roman"/>
          <w:sz w:val="24"/>
          <w:szCs w:val="24"/>
        </w:rPr>
        <w:t xml:space="preserve">the net abatement amount to account for the risk of indirect leakage into other forests and non-wood products. </w:t>
      </w:r>
      <w:r w:rsidR="008F1211">
        <w:rPr>
          <w:rFonts w:ascii="Times New Roman" w:hAnsi="Times New Roman" w:cs="Times New Roman"/>
          <w:sz w:val="24"/>
          <w:szCs w:val="24"/>
        </w:rPr>
        <w:t xml:space="preserve">The </w:t>
      </w:r>
      <w:r w:rsidR="005C6983">
        <w:rPr>
          <w:rFonts w:ascii="Times New Roman" w:hAnsi="Times New Roman" w:cs="Times New Roman"/>
          <w:sz w:val="24"/>
          <w:szCs w:val="24"/>
        </w:rPr>
        <w:t>standard</w:t>
      </w:r>
      <w:r w:rsidR="008F1211">
        <w:rPr>
          <w:rFonts w:ascii="Times New Roman" w:hAnsi="Times New Roman" w:cs="Times New Roman"/>
          <w:sz w:val="24"/>
          <w:szCs w:val="24"/>
        </w:rPr>
        <w:t xml:space="preserve"> 5% </w:t>
      </w:r>
      <w:r w:rsidR="005C6983">
        <w:rPr>
          <w:rFonts w:ascii="Times New Roman" w:hAnsi="Times New Roman" w:cs="Times New Roman"/>
          <w:sz w:val="24"/>
          <w:szCs w:val="24"/>
        </w:rPr>
        <w:t xml:space="preserve">risk of reversal buffer discount is also applied to INFM projects, consistent with the approach to other </w:t>
      </w:r>
      <w:r w:rsidR="00B55B97">
        <w:rPr>
          <w:rFonts w:ascii="Times New Roman" w:hAnsi="Times New Roman" w:cs="Times New Roman"/>
          <w:sz w:val="24"/>
          <w:szCs w:val="24"/>
        </w:rPr>
        <w:t>sequestration offsets projects.</w:t>
      </w:r>
    </w:p>
    <w:p w14:paraId="523C6270" w14:textId="05175655" w:rsidR="00036517" w:rsidRDefault="008F1211" w:rsidP="00DE1B8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INFM projects have a </w:t>
      </w:r>
      <w:r w:rsidR="007C531A">
        <w:rPr>
          <w:rFonts w:ascii="Times New Roman" w:hAnsi="Times New Roman" w:cs="Times New Roman"/>
          <w:sz w:val="24"/>
          <w:szCs w:val="24"/>
        </w:rPr>
        <w:t xml:space="preserve">shortened crediting period of 15 years. However, they must have 100-year permanence periods, </w:t>
      </w:r>
      <w:r w:rsidR="00AD085C">
        <w:rPr>
          <w:rFonts w:ascii="Times New Roman" w:hAnsi="Times New Roman" w:cs="Times New Roman"/>
          <w:sz w:val="24"/>
          <w:szCs w:val="24"/>
        </w:rPr>
        <w:t>which ensures the longevity of the credited sequestration.</w:t>
      </w:r>
    </w:p>
    <w:p w14:paraId="24911837" w14:textId="77777777" w:rsidR="00036517" w:rsidRDefault="00036517" w:rsidP="00DE1B80">
      <w:pPr>
        <w:spacing w:before="120" w:after="120" w:line="240" w:lineRule="auto"/>
        <w:rPr>
          <w:rFonts w:ascii="Times New Roman" w:hAnsi="Times New Roman" w:cs="Times New Roman"/>
          <w:sz w:val="24"/>
          <w:szCs w:val="24"/>
        </w:rPr>
      </w:pPr>
      <w:r w:rsidRPr="00036517">
        <w:rPr>
          <w:rFonts w:ascii="Times New Roman" w:hAnsi="Times New Roman" w:cs="Times New Roman"/>
          <w:sz w:val="24"/>
          <w:szCs w:val="24"/>
        </w:rPr>
        <w:t>The Determination includes additional permanence provisions that require the proponent to relinquish ACCUs if, after the end of the 15-year crediting period but before the end of the 100-year permanence period</w:t>
      </w:r>
      <w:r>
        <w:rPr>
          <w:rFonts w:ascii="Times New Roman" w:hAnsi="Times New Roman" w:cs="Times New Roman"/>
          <w:sz w:val="24"/>
          <w:szCs w:val="24"/>
        </w:rPr>
        <w:t>:</w:t>
      </w:r>
    </w:p>
    <w:p w14:paraId="3DFCCE69" w14:textId="77777777" w:rsidR="00036517" w:rsidRPr="00036517" w:rsidRDefault="00036517" w:rsidP="009D5A62">
      <w:pPr>
        <w:pStyle w:val="ListParagraph"/>
        <w:numPr>
          <w:ilvl w:val="0"/>
          <w:numId w:val="80"/>
        </w:numPr>
        <w:spacing w:before="120" w:after="120" w:line="240" w:lineRule="auto"/>
        <w:ind w:left="714" w:hanging="357"/>
        <w:contextualSpacing w:val="0"/>
        <w:rPr>
          <w:rFonts w:ascii="Times New Roman" w:hAnsi="Times New Roman" w:cs="Times New Roman"/>
          <w:sz w:val="24"/>
          <w:szCs w:val="24"/>
        </w:rPr>
      </w:pPr>
      <w:r w:rsidRPr="00036517">
        <w:rPr>
          <w:rFonts w:ascii="Times New Roman" w:hAnsi="Times New Roman" w:cs="Times New Roman"/>
          <w:sz w:val="24"/>
          <w:szCs w:val="24"/>
        </w:rPr>
        <w:t xml:space="preserve">harvesting resumes in any carbon protection area; or </w:t>
      </w:r>
    </w:p>
    <w:p w14:paraId="249BEBFA" w14:textId="77777777" w:rsidR="006B7C1B" w:rsidRDefault="00036517" w:rsidP="009D5A62">
      <w:pPr>
        <w:pStyle w:val="ListParagraph"/>
        <w:numPr>
          <w:ilvl w:val="0"/>
          <w:numId w:val="80"/>
        </w:numPr>
        <w:spacing w:before="120" w:after="120" w:line="240" w:lineRule="auto"/>
        <w:ind w:left="714" w:hanging="357"/>
        <w:contextualSpacing w:val="0"/>
        <w:rPr>
          <w:rFonts w:ascii="Times New Roman" w:hAnsi="Times New Roman" w:cs="Times New Roman"/>
          <w:sz w:val="24"/>
          <w:szCs w:val="24"/>
        </w:rPr>
      </w:pPr>
      <w:r w:rsidRPr="00036517">
        <w:rPr>
          <w:rFonts w:ascii="Times New Roman" w:hAnsi="Times New Roman" w:cs="Times New Roman"/>
          <w:sz w:val="24"/>
          <w:szCs w:val="24"/>
        </w:rPr>
        <w:t>the volume of wood extracted from</w:t>
      </w:r>
      <w:r w:rsidR="006B7C1B">
        <w:rPr>
          <w:rFonts w:ascii="Times New Roman" w:hAnsi="Times New Roman" w:cs="Times New Roman"/>
          <w:sz w:val="24"/>
          <w:szCs w:val="24"/>
        </w:rPr>
        <w:t>:</w:t>
      </w:r>
      <w:r w:rsidRPr="00036517">
        <w:rPr>
          <w:rFonts w:ascii="Times New Roman" w:hAnsi="Times New Roman" w:cs="Times New Roman"/>
          <w:sz w:val="24"/>
          <w:szCs w:val="24"/>
        </w:rPr>
        <w:t xml:space="preserve"> </w:t>
      </w:r>
    </w:p>
    <w:p w14:paraId="0C513C2D" w14:textId="7568F67A" w:rsidR="006B7C1B" w:rsidRDefault="00036517" w:rsidP="009D5A62">
      <w:pPr>
        <w:pStyle w:val="ListParagraph"/>
        <w:numPr>
          <w:ilvl w:val="1"/>
          <w:numId w:val="80"/>
        </w:numPr>
        <w:spacing w:before="120" w:after="120" w:line="240" w:lineRule="auto"/>
        <w:contextualSpacing w:val="0"/>
        <w:rPr>
          <w:rFonts w:ascii="Times New Roman" w:hAnsi="Times New Roman" w:cs="Times New Roman"/>
          <w:sz w:val="24"/>
          <w:szCs w:val="24"/>
        </w:rPr>
      </w:pPr>
      <w:r w:rsidRPr="00036517">
        <w:rPr>
          <w:rFonts w:ascii="Times New Roman" w:hAnsi="Times New Roman" w:cs="Times New Roman"/>
          <w:sz w:val="24"/>
          <w:szCs w:val="24"/>
        </w:rPr>
        <w:t xml:space="preserve">the project </w:t>
      </w:r>
      <w:proofErr w:type="gramStart"/>
      <w:r w:rsidRPr="00036517">
        <w:rPr>
          <w:rFonts w:ascii="Times New Roman" w:hAnsi="Times New Roman" w:cs="Times New Roman"/>
          <w:sz w:val="24"/>
          <w:szCs w:val="24"/>
        </w:rPr>
        <w:t>area</w:t>
      </w:r>
      <w:r w:rsidR="006B7C1B">
        <w:rPr>
          <w:rFonts w:ascii="Times New Roman" w:hAnsi="Times New Roman" w:cs="Times New Roman"/>
          <w:sz w:val="24"/>
          <w:szCs w:val="24"/>
        </w:rPr>
        <w:t>;</w:t>
      </w:r>
      <w:proofErr w:type="gramEnd"/>
    </w:p>
    <w:p w14:paraId="1D29B2D8" w14:textId="77777777" w:rsidR="006B7C1B" w:rsidRDefault="00036517" w:rsidP="009D5A62">
      <w:pPr>
        <w:pStyle w:val="ListParagraph"/>
        <w:numPr>
          <w:ilvl w:val="1"/>
          <w:numId w:val="80"/>
        </w:numPr>
        <w:spacing w:before="120" w:after="120" w:line="240" w:lineRule="auto"/>
        <w:contextualSpacing w:val="0"/>
        <w:rPr>
          <w:rFonts w:ascii="Times New Roman" w:hAnsi="Times New Roman" w:cs="Times New Roman"/>
          <w:sz w:val="24"/>
          <w:szCs w:val="24"/>
        </w:rPr>
      </w:pPr>
      <w:r w:rsidRPr="00036517">
        <w:rPr>
          <w:rFonts w:ascii="Times New Roman" w:hAnsi="Times New Roman" w:cs="Times New Roman"/>
          <w:sz w:val="24"/>
          <w:szCs w:val="24"/>
        </w:rPr>
        <w:t>excluded sections of the proponent’s public native forest estate</w:t>
      </w:r>
      <w:r w:rsidR="006B7C1B">
        <w:rPr>
          <w:rFonts w:ascii="Times New Roman" w:hAnsi="Times New Roman" w:cs="Times New Roman"/>
          <w:sz w:val="24"/>
          <w:szCs w:val="24"/>
        </w:rPr>
        <w:t>;</w:t>
      </w:r>
      <w:r w:rsidRPr="00036517">
        <w:rPr>
          <w:rFonts w:ascii="Times New Roman" w:hAnsi="Times New Roman" w:cs="Times New Roman"/>
          <w:sz w:val="24"/>
          <w:szCs w:val="24"/>
        </w:rPr>
        <w:t xml:space="preserve"> or </w:t>
      </w:r>
    </w:p>
    <w:p w14:paraId="48FB40AE" w14:textId="36048443" w:rsidR="006B7C1B" w:rsidRDefault="00036517" w:rsidP="009D5A62">
      <w:pPr>
        <w:pStyle w:val="ListParagraph"/>
        <w:numPr>
          <w:ilvl w:val="1"/>
          <w:numId w:val="80"/>
        </w:numPr>
        <w:spacing w:before="120" w:after="120" w:line="240" w:lineRule="auto"/>
        <w:contextualSpacing w:val="0"/>
        <w:rPr>
          <w:rFonts w:ascii="Times New Roman" w:hAnsi="Times New Roman" w:cs="Times New Roman"/>
          <w:sz w:val="24"/>
          <w:szCs w:val="24"/>
        </w:rPr>
      </w:pPr>
      <w:r w:rsidRPr="00036517">
        <w:rPr>
          <w:rFonts w:ascii="Times New Roman" w:hAnsi="Times New Roman" w:cs="Times New Roman"/>
          <w:sz w:val="24"/>
          <w:szCs w:val="24"/>
        </w:rPr>
        <w:t>private native forests in the jurisdiction in which the project is located</w:t>
      </w:r>
      <w:r w:rsidR="009B500A">
        <w:rPr>
          <w:rFonts w:ascii="Times New Roman" w:hAnsi="Times New Roman" w:cs="Times New Roman"/>
          <w:sz w:val="24"/>
          <w:szCs w:val="24"/>
        </w:rPr>
        <w:t>,</w:t>
      </w:r>
    </w:p>
    <w:p w14:paraId="345A9351" w14:textId="419A5695" w:rsidR="00036517" w:rsidRPr="006B7C1B" w:rsidRDefault="00036517" w:rsidP="006B7C1B">
      <w:pPr>
        <w:spacing w:before="120" w:after="120" w:line="240" w:lineRule="auto"/>
        <w:ind w:left="720"/>
        <w:rPr>
          <w:rFonts w:ascii="Times New Roman" w:hAnsi="Times New Roman" w:cs="Times New Roman"/>
          <w:sz w:val="24"/>
          <w:szCs w:val="24"/>
        </w:rPr>
      </w:pPr>
      <w:r w:rsidRPr="006B7C1B">
        <w:rPr>
          <w:rFonts w:ascii="Times New Roman" w:hAnsi="Times New Roman" w:cs="Times New Roman"/>
          <w:sz w:val="24"/>
          <w:szCs w:val="24"/>
        </w:rPr>
        <w:t>exceed</w:t>
      </w:r>
      <w:r w:rsidR="006B7C1B">
        <w:rPr>
          <w:rFonts w:ascii="Times New Roman" w:hAnsi="Times New Roman" w:cs="Times New Roman"/>
          <w:sz w:val="24"/>
          <w:szCs w:val="24"/>
        </w:rPr>
        <w:t>s</w:t>
      </w:r>
      <w:r w:rsidRPr="006B7C1B">
        <w:rPr>
          <w:rFonts w:ascii="Times New Roman" w:hAnsi="Times New Roman" w:cs="Times New Roman"/>
          <w:sz w:val="24"/>
          <w:szCs w:val="24"/>
        </w:rPr>
        <w:t xml:space="preserve"> prescribed baseline levels over any 2-year period. </w:t>
      </w:r>
    </w:p>
    <w:p w14:paraId="54F5C882" w14:textId="5634AC0B" w:rsidR="00036517" w:rsidRDefault="00036517" w:rsidP="00DE1B80">
      <w:pPr>
        <w:spacing w:before="120" w:after="120" w:line="240" w:lineRule="auto"/>
        <w:rPr>
          <w:rFonts w:ascii="Times New Roman" w:hAnsi="Times New Roman" w:cs="Times New Roman"/>
          <w:sz w:val="24"/>
          <w:szCs w:val="24"/>
        </w:rPr>
      </w:pPr>
      <w:r w:rsidRPr="00036517">
        <w:rPr>
          <w:rFonts w:ascii="Times New Roman" w:hAnsi="Times New Roman" w:cs="Times New Roman"/>
          <w:sz w:val="24"/>
          <w:szCs w:val="24"/>
        </w:rPr>
        <w:t>The relinquishment requirement is doubled in the event of a resumption of harvesting in a carbon protection area.</w:t>
      </w:r>
    </w:p>
    <w:p w14:paraId="5CED541E" w14:textId="643CAB6B" w:rsidR="00DE1B80" w:rsidRDefault="00DE1B80" w:rsidP="00DE1B80">
      <w:pPr>
        <w:spacing w:before="120" w:after="120" w:line="240" w:lineRule="auto"/>
        <w:rPr>
          <w:rFonts w:ascii="Times New Roman" w:hAnsi="Times New Roman" w:cs="Times New Roman"/>
          <w:sz w:val="24"/>
          <w:szCs w:val="24"/>
        </w:rPr>
      </w:pPr>
      <w:r w:rsidRPr="00486C60">
        <w:rPr>
          <w:rFonts w:ascii="Times New Roman" w:hAnsi="Times New Roman" w:cs="Times New Roman"/>
          <w:sz w:val="24"/>
          <w:szCs w:val="24"/>
        </w:rPr>
        <w:t xml:space="preserve">After a project is registered, a </w:t>
      </w:r>
      <w:r w:rsidR="00AD085C">
        <w:rPr>
          <w:rFonts w:ascii="Times New Roman" w:hAnsi="Times New Roman" w:cs="Times New Roman"/>
          <w:sz w:val="24"/>
          <w:szCs w:val="24"/>
        </w:rPr>
        <w:t xml:space="preserve">project proponent </w:t>
      </w:r>
      <w:r w:rsidRPr="00486C60">
        <w:rPr>
          <w:rFonts w:ascii="Times New Roman" w:hAnsi="Times New Roman" w:cs="Times New Roman"/>
          <w:sz w:val="24"/>
          <w:szCs w:val="24"/>
        </w:rPr>
        <w:t xml:space="preserve">may stop </w:t>
      </w:r>
      <w:r w:rsidR="00AD085C">
        <w:rPr>
          <w:rFonts w:ascii="Times New Roman" w:hAnsi="Times New Roman" w:cs="Times New Roman"/>
          <w:sz w:val="24"/>
          <w:szCs w:val="24"/>
        </w:rPr>
        <w:t xml:space="preserve">harvesting </w:t>
      </w:r>
      <w:r w:rsidRPr="00486C60">
        <w:rPr>
          <w:rFonts w:ascii="Times New Roman" w:hAnsi="Times New Roman" w:cs="Times New Roman"/>
          <w:sz w:val="24"/>
          <w:szCs w:val="24"/>
        </w:rPr>
        <w:t xml:space="preserve">in additional </w:t>
      </w:r>
      <w:r w:rsidR="00AD085C">
        <w:rPr>
          <w:rFonts w:ascii="Times New Roman" w:hAnsi="Times New Roman" w:cs="Times New Roman"/>
          <w:sz w:val="24"/>
          <w:szCs w:val="24"/>
        </w:rPr>
        <w:t xml:space="preserve">carbon protection </w:t>
      </w:r>
      <w:r w:rsidRPr="00486C60">
        <w:rPr>
          <w:rFonts w:ascii="Times New Roman" w:hAnsi="Times New Roman" w:cs="Times New Roman"/>
          <w:sz w:val="24"/>
          <w:szCs w:val="24"/>
        </w:rPr>
        <w:t>areas or further reduce the level of harvesting</w:t>
      </w:r>
      <w:r w:rsidR="00362BBA">
        <w:rPr>
          <w:rFonts w:ascii="Times New Roman" w:hAnsi="Times New Roman" w:cs="Times New Roman"/>
          <w:sz w:val="24"/>
          <w:szCs w:val="24"/>
        </w:rPr>
        <w:t xml:space="preserve">. However, the </w:t>
      </w:r>
      <w:r w:rsidRPr="00486C60">
        <w:rPr>
          <w:rFonts w:ascii="Times New Roman" w:hAnsi="Times New Roman" w:cs="Times New Roman"/>
          <w:sz w:val="24"/>
          <w:szCs w:val="24"/>
        </w:rPr>
        <w:t xml:space="preserve">additional </w:t>
      </w:r>
      <w:r w:rsidR="00362BBA">
        <w:rPr>
          <w:rFonts w:ascii="Times New Roman" w:hAnsi="Times New Roman" w:cs="Times New Roman"/>
          <w:sz w:val="24"/>
          <w:szCs w:val="24"/>
        </w:rPr>
        <w:t xml:space="preserve">ACCUs </w:t>
      </w:r>
      <w:r w:rsidRPr="00486C60">
        <w:rPr>
          <w:rFonts w:ascii="Times New Roman" w:hAnsi="Times New Roman" w:cs="Times New Roman"/>
          <w:sz w:val="24"/>
          <w:szCs w:val="24"/>
        </w:rPr>
        <w:t xml:space="preserve">generated by </w:t>
      </w:r>
      <w:r w:rsidR="00AE53F9">
        <w:rPr>
          <w:rFonts w:ascii="Times New Roman" w:hAnsi="Times New Roman" w:cs="Times New Roman"/>
          <w:sz w:val="24"/>
          <w:szCs w:val="24"/>
        </w:rPr>
        <w:t xml:space="preserve">these types of further </w:t>
      </w:r>
      <w:r w:rsidRPr="00486C60">
        <w:rPr>
          <w:rFonts w:ascii="Times New Roman" w:hAnsi="Times New Roman" w:cs="Times New Roman"/>
          <w:sz w:val="24"/>
          <w:szCs w:val="24"/>
        </w:rPr>
        <w:t>acti</w:t>
      </w:r>
      <w:r w:rsidR="00362BBA">
        <w:rPr>
          <w:rFonts w:ascii="Times New Roman" w:hAnsi="Times New Roman" w:cs="Times New Roman"/>
          <w:sz w:val="24"/>
          <w:szCs w:val="24"/>
        </w:rPr>
        <w:t>vities</w:t>
      </w:r>
      <w:r w:rsidRPr="00486C60">
        <w:rPr>
          <w:rFonts w:ascii="Times New Roman" w:hAnsi="Times New Roman" w:cs="Times New Roman"/>
          <w:sz w:val="24"/>
          <w:szCs w:val="24"/>
        </w:rPr>
        <w:t xml:space="preserve"> is limited.</w:t>
      </w:r>
    </w:p>
    <w:p w14:paraId="6EBC1AD5" w14:textId="0A9C7045" w:rsidR="00996A0C" w:rsidRPr="00486C60" w:rsidRDefault="00996A0C" w:rsidP="00DE1B8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INFM projects are subject to </w:t>
      </w:r>
      <w:r w:rsidR="00EB4AB6">
        <w:rPr>
          <w:rFonts w:ascii="Times New Roman" w:hAnsi="Times New Roman" w:cs="Times New Roman"/>
          <w:sz w:val="24"/>
          <w:szCs w:val="24"/>
        </w:rPr>
        <w:t xml:space="preserve">reporting, record-keeping and monitoring requirements. </w:t>
      </w:r>
    </w:p>
    <w:p w14:paraId="6EE00245" w14:textId="77777777" w:rsidR="00EB4AB6" w:rsidRDefault="00EB4AB6">
      <w:pPr>
        <w:rPr>
          <w:rFonts w:ascii="Times New Roman" w:eastAsia="Calibri" w:hAnsi="Times New Roman" w:cs="Times New Roman"/>
          <w:b/>
          <w:bCs/>
          <w:kern w:val="36"/>
          <w:sz w:val="24"/>
          <w:szCs w:val="24"/>
          <w:lang w:eastAsia="en-AU"/>
          <w14:ligatures w14:val="none"/>
        </w:rPr>
      </w:pPr>
      <w:r>
        <w:br w:type="page"/>
      </w:r>
    </w:p>
    <w:p w14:paraId="05F6CC51" w14:textId="0B163AF2" w:rsidR="009360AC" w:rsidRPr="00FE6196" w:rsidRDefault="009360AC" w:rsidP="003B1A5B">
      <w:pPr>
        <w:pStyle w:val="ESHeading"/>
        <w:spacing w:before="0" w:after="160" w:line="259" w:lineRule="auto"/>
      </w:pPr>
      <w:r w:rsidRPr="00FE6196">
        <w:rPr>
          <w:color w:val="auto"/>
        </w:rPr>
        <w:lastRenderedPageBreak/>
        <w:t>Legislative Authority</w:t>
      </w:r>
    </w:p>
    <w:p w14:paraId="057458DC" w14:textId="43BCF084" w:rsidR="001C192A" w:rsidRPr="00FE6196" w:rsidRDefault="008D6B71"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w:t>
      </w:r>
      <w:r w:rsidR="003A7686" w:rsidRPr="003A7686">
        <w:rPr>
          <w:rFonts w:ascii="Times New Roman" w:hAnsi="Times New Roman" w:cs="Times New Roman"/>
          <w:i/>
          <w:iCs/>
          <w:sz w:val="24"/>
          <w:szCs w:val="24"/>
        </w:rPr>
        <w:t xml:space="preserve">Carbon Credits (Carbon Farming Initiative— Improved Forest Management in Multi-use Public Native Forest) Methodology Determination 2025 </w:t>
      </w:r>
      <w:r w:rsidRPr="00FE6196">
        <w:rPr>
          <w:rFonts w:ascii="Times New Roman" w:hAnsi="Times New Roman" w:cs="Times New Roman"/>
          <w:sz w:val="24"/>
          <w:szCs w:val="24"/>
        </w:rPr>
        <w:t xml:space="preserve">(the Determination) </w:t>
      </w:r>
      <w:r w:rsidR="009360AC" w:rsidRPr="00FE6196">
        <w:rPr>
          <w:rFonts w:ascii="Times New Roman" w:hAnsi="Times New Roman" w:cs="Times New Roman"/>
          <w:sz w:val="24"/>
          <w:szCs w:val="24"/>
        </w:rPr>
        <w:t xml:space="preserve">is made under subsection 106(1) of the </w:t>
      </w:r>
      <w:r w:rsidR="00D65A39" w:rsidRPr="00FE6196">
        <w:rPr>
          <w:rFonts w:ascii="Times New Roman" w:hAnsi="Times New Roman" w:cs="Times New Roman"/>
          <w:i/>
          <w:iCs/>
          <w:sz w:val="24"/>
          <w:szCs w:val="24"/>
        </w:rPr>
        <w:t>Carbon Credits (Carbon Farming Initiative) Act 2011</w:t>
      </w:r>
      <w:r w:rsidR="00D65A39" w:rsidRPr="00FE6196">
        <w:rPr>
          <w:rFonts w:ascii="Times New Roman" w:hAnsi="Times New Roman" w:cs="Times New Roman"/>
          <w:sz w:val="24"/>
          <w:szCs w:val="24"/>
        </w:rPr>
        <w:t xml:space="preserve"> (</w:t>
      </w:r>
      <w:r w:rsidR="00761532">
        <w:rPr>
          <w:rFonts w:ascii="Times New Roman" w:hAnsi="Times New Roman" w:cs="Times New Roman"/>
          <w:sz w:val="24"/>
          <w:szCs w:val="24"/>
        </w:rPr>
        <w:t xml:space="preserve">CFI </w:t>
      </w:r>
      <w:r w:rsidR="00D65A39" w:rsidRPr="00FE6196">
        <w:rPr>
          <w:rFonts w:ascii="Times New Roman" w:hAnsi="Times New Roman" w:cs="Times New Roman"/>
          <w:sz w:val="24"/>
          <w:szCs w:val="24"/>
        </w:rPr>
        <w:t>Act)</w:t>
      </w:r>
      <w:r w:rsidR="009360AC" w:rsidRPr="00FE6196">
        <w:rPr>
          <w:rFonts w:ascii="Times New Roman" w:hAnsi="Times New Roman" w:cs="Times New Roman"/>
          <w:sz w:val="24"/>
          <w:szCs w:val="24"/>
        </w:rPr>
        <w:t xml:space="preserve"> which gives the Minister the power to make a methodology determination by legislative instrument.</w:t>
      </w:r>
    </w:p>
    <w:p w14:paraId="28BC611F" w14:textId="07A59523" w:rsidR="00D922E0" w:rsidRPr="00FE6196" w:rsidRDefault="00D922E0" w:rsidP="00A20587">
      <w:pPr>
        <w:pStyle w:val="ESHeading"/>
        <w:spacing w:before="120"/>
        <w:rPr>
          <w:b w:val="0"/>
          <w:color w:val="auto"/>
        </w:rPr>
      </w:pPr>
      <w:r w:rsidRPr="00FE6196">
        <w:rPr>
          <w:color w:val="auto"/>
        </w:rPr>
        <w:t>Purpose</w:t>
      </w:r>
    </w:p>
    <w:p w14:paraId="2EE56893" w14:textId="2D4AED72" w:rsidR="00A20AA1" w:rsidRDefault="0073131B"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w:t>
      </w:r>
      <w:r w:rsidR="00A20AA1">
        <w:rPr>
          <w:rFonts w:ascii="Times New Roman" w:hAnsi="Times New Roman" w:cs="Times New Roman"/>
          <w:sz w:val="24"/>
          <w:szCs w:val="24"/>
        </w:rPr>
        <w:t xml:space="preserve">purposes </w:t>
      </w:r>
      <w:r w:rsidR="00675343">
        <w:rPr>
          <w:rFonts w:ascii="Times New Roman" w:hAnsi="Times New Roman" w:cs="Times New Roman"/>
          <w:sz w:val="24"/>
          <w:szCs w:val="24"/>
        </w:rPr>
        <w:t xml:space="preserve">of the </w:t>
      </w:r>
      <w:r w:rsidR="008D6B71" w:rsidRPr="00FE6196">
        <w:rPr>
          <w:rFonts w:ascii="Times New Roman" w:hAnsi="Times New Roman" w:cs="Times New Roman"/>
          <w:sz w:val="24"/>
          <w:szCs w:val="24"/>
        </w:rPr>
        <w:t xml:space="preserve">Determination </w:t>
      </w:r>
      <w:r w:rsidR="00A51D49">
        <w:rPr>
          <w:rFonts w:ascii="Times New Roman" w:hAnsi="Times New Roman" w:cs="Times New Roman"/>
          <w:sz w:val="24"/>
          <w:szCs w:val="24"/>
        </w:rPr>
        <w:t>are</w:t>
      </w:r>
      <w:r w:rsidR="00675343">
        <w:rPr>
          <w:rFonts w:ascii="Times New Roman" w:hAnsi="Times New Roman" w:cs="Times New Roman"/>
          <w:sz w:val="24"/>
          <w:szCs w:val="24"/>
        </w:rPr>
        <w:t xml:space="preserve"> to</w:t>
      </w:r>
      <w:r w:rsidR="00A20AA1">
        <w:rPr>
          <w:rFonts w:ascii="Times New Roman" w:hAnsi="Times New Roman" w:cs="Times New Roman"/>
          <w:sz w:val="24"/>
          <w:szCs w:val="24"/>
        </w:rPr>
        <w:t>:</w:t>
      </w:r>
      <w:r w:rsidR="00675343">
        <w:rPr>
          <w:rFonts w:ascii="Times New Roman" w:hAnsi="Times New Roman" w:cs="Times New Roman"/>
          <w:sz w:val="24"/>
          <w:szCs w:val="24"/>
        </w:rPr>
        <w:t xml:space="preserve"> </w:t>
      </w:r>
    </w:p>
    <w:p w14:paraId="2E553AE1" w14:textId="47872B83" w:rsidR="0073131B" w:rsidRPr="00E824AF" w:rsidRDefault="00675343" w:rsidP="009D5A62">
      <w:pPr>
        <w:pStyle w:val="ListParagraph"/>
        <w:numPr>
          <w:ilvl w:val="0"/>
          <w:numId w:val="28"/>
        </w:numPr>
        <w:spacing w:before="120" w:after="120" w:line="240" w:lineRule="auto"/>
        <w:ind w:left="714" w:hanging="357"/>
        <w:contextualSpacing w:val="0"/>
        <w:rPr>
          <w:rFonts w:ascii="Times New Roman" w:hAnsi="Times New Roman" w:cs="Times New Roman"/>
          <w:sz w:val="24"/>
          <w:szCs w:val="24"/>
        </w:rPr>
      </w:pPr>
      <w:r w:rsidRPr="00E824AF">
        <w:rPr>
          <w:rFonts w:ascii="Times New Roman" w:hAnsi="Times New Roman" w:cs="Times New Roman"/>
          <w:sz w:val="24"/>
          <w:szCs w:val="24"/>
        </w:rPr>
        <w:t xml:space="preserve">incentivise </w:t>
      </w:r>
      <w:r w:rsidR="006C4432">
        <w:rPr>
          <w:rFonts w:ascii="Times New Roman" w:hAnsi="Times New Roman" w:cs="Times New Roman"/>
          <w:sz w:val="24"/>
          <w:szCs w:val="24"/>
        </w:rPr>
        <w:t xml:space="preserve">‘improved native forest management’ </w:t>
      </w:r>
      <w:r w:rsidR="00D83B15" w:rsidRPr="00E824AF">
        <w:rPr>
          <w:rFonts w:ascii="Times New Roman" w:hAnsi="Times New Roman" w:cs="Times New Roman"/>
          <w:sz w:val="24"/>
          <w:szCs w:val="24"/>
        </w:rPr>
        <w:t xml:space="preserve">projects that increase carbon stocks in forest-related carbon pools, and avoid greenhouse gas emissions from these pools, by stopping or </w:t>
      </w:r>
      <w:r w:rsidR="00236CB2" w:rsidRPr="00E824AF">
        <w:rPr>
          <w:rFonts w:ascii="Times New Roman" w:hAnsi="Times New Roman" w:cs="Times New Roman"/>
          <w:sz w:val="24"/>
          <w:szCs w:val="24"/>
        </w:rPr>
        <w:t xml:space="preserve">reducing </w:t>
      </w:r>
      <w:r w:rsidR="00D83B15" w:rsidRPr="00E824AF">
        <w:rPr>
          <w:rFonts w:ascii="Times New Roman" w:hAnsi="Times New Roman" w:cs="Times New Roman"/>
          <w:sz w:val="24"/>
          <w:szCs w:val="24"/>
        </w:rPr>
        <w:t>harvesting in multiple-use public native forests</w:t>
      </w:r>
      <w:r w:rsidR="006721B1" w:rsidRPr="00E824AF">
        <w:rPr>
          <w:rFonts w:ascii="Times New Roman" w:hAnsi="Times New Roman" w:cs="Times New Roman"/>
          <w:sz w:val="24"/>
          <w:szCs w:val="24"/>
        </w:rPr>
        <w:t xml:space="preserve"> (INFM projects)</w:t>
      </w:r>
      <w:r w:rsidR="00A20AA1" w:rsidRPr="00E824AF">
        <w:rPr>
          <w:rFonts w:ascii="Times New Roman" w:hAnsi="Times New Roman" w:cs="Times New Roman"/>
          <w:sz w:val="24"/>
          <w:szCs w:val="24"/>
        </w:rPr>
        <w:t xml:space="preserve">; and </w:t>
      </w:r>
    </w:p>
    <w:p w14:paraId="6B444C76" w14:textId="4D5A76D0" w:rsidR="00A20AA1" w:rsidRPr="00E824AF" w:rsidRDefault="00A20AA1" w:rsidP="009D5A62">
      <w:pPr>
        <w:pStyle w:val="ListParagraph"/>
        <w:numPr>
          <w:ilvl w:val="0"/>
          <w:numId w:val="28"/>
        </w:numPr>
        <w:spacing w:before="120" w:after="120" w:line="240" w:lineRule="auto"/>
        <w:ind w:left="714" w:hanging="357"/>
        <w:contextualSpacing w:val="0"/>
        <w:rPr>
          <w:rFonts w:ascii="Times New Roman" w:hAnsi="Times New Roman" w:cs="Times New Roman"/>
          <w:sz w:val="24"/>
          <w:szCs w:val="24"/>
        </w:rPr>
      </w:pPr>
      <w:r w:rsidRPr="00E824AF">
        <w:rPr>
          <w:rFonts w:ascii="Times New Roman" w:hAnsi="Times New Roman" w:cs="Times New Roman"/>
          <w:sz w:val="24"/>
          <w:szCs w:val="24"/>
        </w:rPr>
        <w:t xml:space="preserve">manage the </w:t>
      </w:r>
      <w:r w:rsidR="007B1843" w:rsidRPr="00E824AF">
        <w:rPr>
          <w:rFonts w:ascii="Times New Roman" w:hAnsi="Times New Roman" w:cs="Times New Roman"/>
          <w:sz w:val="24"/>
          <w:szCs w:val="24"/>
        </w:rPr>
        <w:t xml:space="preserve">risk of Australian carbon credit units (ACCUs) being issued to INFM projects </w:t>
      </w:r>
      <w:r w:rsidR="00E51234" w:rsidRPr="00E824AF">
        <w:rPr>
          <w:rFonts w:ascii="Times New Roman" w:hAnsi="Times New Roman" w:cs="Times New Roman"/>
          <w:sz w:val="24"/>
          <w:szCs w:val="24"/>
        </w:rPr>
        <w:t>for abatement that is not real, additional and permanent.</w:t>
      </w:r>
    </w:p>
    <w:p w14:paraId="6408BE16" w14:textId="3C7FCDA1" w:rsidR="00750723" w:rsidRDefault="0073131B"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693CDF">
        <w:rPr>
          <w:rFonts w:ascii="Times New Roman" w:hAnsi="Times New Roman" w:cs="Times New Roman"/>
          <w:sz w:val="24"/>
          <w:szCs w:val="24"/>
        </w:rPr>
        <w:t xml:space="preserve">does this by providing rules for the registration </w:t>
      </w:r>
      <w:r w:rsidR="00FC771D">
        <w:rPr>
          <w:rFonts w:ascii="Times New Roman" w:hAnsi="Times New Roman" w:cs="Times New Roman"/>
          <w:sz w:val="24"/>
          <w:szCs w:val="24"/>
        </w:rPr>
        <w:t xml:space="preserve">and implementation </w:t>
      </w:r>
      <w:r w:rsidR="00693CDF">
        <w:rPr>
          <w:rFonts w:ascii="Times New Roman" w:hAnsi="Times New Roman" w:cs="Times New Roman"/>
          <w:sz w:val="24"/>
          <w:szCs w:val="24"/>
        </w:rPr>
        <w:t>of INFM projects under the CFI Act</w:t>
      </w:r>
      <w:r w:rsidR="00FC771D">
        <w:rPr>
          <w:rFonts w:ascii="Times New Roman" w:hAnsi="Times New Roman" w:cs="Times New Roman"/>
          <w:sz w:val="24"/>
          <w:szCs w:val="24"/>
        </w:rPr>
        <w:t xml:space="preserve">. </w:t>
      </w:r>
      <w:r w:rsidR="00E02F74">
        <w:rPr>
          <w:rFonts w:ascii="Times New Roman" w:hAnsi="Times New Roman" w:cs="Times New Roman"/>
          <w:sz w:val="24"/>
          <w:szCs w:val="24"/>
        </w:rPr>
        <w:t xml:space="preserve">INFM projects that are registered under the CFI Act can </w:t>
      </w:r>
      <w:r w:rsidR="00D04047">
        <w:rPr>
          <w:rFonts w:ascii="Times New Roman" w:hAnsi="Times New Roman" w:cs="Times New Roman"/>
          <w:sz w:val="24"/>
          <w:szCs w:val="24"/>
        </w:rPr>
        <w:t xml:space="preserve">generate </w:t>
      </w:r>
      <w:r w:rsidR="00C45CAA">
        <w:rPr>
          <w:rFonts w:ascii="Times New Roman" w:hAnsi="Times New Roman" w:cs="Times New Roman"/>
          <w:sz w:val="24"/>
          <w:szCs w:val="24"/>
        </w:rPr>
        <w:t>ACCUs</w:t>
      </w:r>
      <w:r w:rsidR="00D04047">
        <w:rPr>
          <w:rFonts w:ascii="Times New Roman" w:hAnsi="Times New Roman" w:cs="Times New Roman"/>
          <w:sz w:val="24"/>
          <w:szCs w:val="24"/>
        </w:rPr>
        <w:t xml:space="preserve">, which are able to be sold to entities that want to, or are required to, offset their emissions. </w:t>
      </w:r>
      <w:r w:rsidR="00750723">
        <w:rPr>
          <w:rFonts w:ascii="Times New Roman" w:hAnsi="Times New Roman" w:cs="Times New Roman"/>
          <w:sz w:val="24"/>
          <w:szCs w:val="24"/>
        </w:rPr>
        <w:t xml:space="preserve">The ability to generate and sell ACCUs provides a way of incentivising INFM projects. </w:t>
      </w:r>
      <w:r w:rsidR="004008DF">
        <w:rPr>
          <w:rFonts w:ascii="Times New Roman" w:hAnsi="Times New Roman" w:cs="Times New Roman"/>
          <w:sz w:val="24"/>
          <w:szCs w:val="24"/>
        </w:rPr>
        <w:t xml:space="preserve">Allowing entities to rely on ACCUs </w:t>
      </w:r>
      <w:r w:rsidR="00D55765">
        <w:rPr>
          <w:rFonts w:ascii="Times New Roman" w:hAnsi="Times New Roman" w:cs="Times New Roman"/>
          <w:sz w:val="24"/>
          <w:szCs w:val="24"/>
        </w:rPr>
        <w:t xml:space="preserve">to meet </w:t>
      </w:r>
      <w:r w:rsidR="000303F3">
        <w:rPr>
          <w:rFonts w:ascii="Times New Roman" w:hAnsi="Times New Roman" w:cs="Times New Roman"/>
          <w:sz w:val="24"/>
          <w:szCs w:val="24"/>
        </w:rPr>
        <w:t xml:space="preserve">their </w:t>
      </w:r>
      <w:r w:rsidR="00D55765">
        <w:rPr>
          <w:rFonts w:ascii="Times New Roman" w:hAnsi="Times New Roman" w:cs="Times New Roman"/>
          <w:sz w:val="24"/>
          <w:szCs w:val="24"/>
        </w:rPr>
        <w:t xml:space="preserve">mitigation obligations and commitments </w:t>
      </w:r>
      <w:r w:rsidR="001350B9">
        <w:rPr>
          <w:rFonts w:ascii="Times New Roman" w:hAnsi="Times New Roman" w:cs="Times New Roman"/>
          <w:sz w:val="24"/>
          <w:szCs w:val="24"/>
        </w:rPr>
        <w:t>reduces abatement</w:t>
      </w:r>
      <w:r w:rsidR="001B4519">
        <w:rPr>
          <w:rFonts w:ascii="Times New Roman" w:hAnsi="Times New Roman" w:cs="Times New Roman"/>
          <w:sz w:val="24"/>
          <w:szCs w:val="24"/>
        </w:rPr>
        <w:t xml:space="preserve"> cost</w:t>
      </w:r>
      <w:r w:rsidR="001350B9">
        <w:rPr>
          <w:rFonts w:ascii="Times New Roman" w:hAnsi="Times New Roman" w:cs="Times New Roman"/>
          <w:sz w:val="24"/>
          <w:szCs w:val="24"/>
        </w:rPr>
        <w:t>s</w:t>
      </w:r>
      <w:r w:rsidR="001B4519">
        <w:rPr>
          <w:rFonts w:ascii="Times New Roman" w:hAnsi="Times New Roman" w:cs="Times New Roman"/>
          <w:sz w:val="24"/>
          <w:szCs w:val="24"/>
        </w:rPr>
        <w:t xml:space="preserve">, thereby </w:t>
      </w:r>
      <w:r w:rsidR="00160F77">
        <w:rPr>
          <w:rFonts w:ascii="Times New Roman" w:hAnsi="Times New Roman" w:cs="Times New Roman"/>
          <w:sz w:val="24"/>
          <w:szCs w:val="24"/>
        </w:rPr>
        <w:t xml:space="preserve">contributing to Australia’s efforts to meet its mitigation obligations under </w:t>
      </w:r>
      <w:r w:rsidR="00641D48">
        <w:rPr>
          <w:rFonts w:ascii="Times New Roman" w:hAnsi="Times New Roman" w:cs="Times New Roman"/>
          <w:sz w:val="24"/>
          <w:szCs w:val="24"/>
        </w:rPr>
        <w:t xml:space="preserve">the Paris Agreement to the United Nations Framework Convention on Climate Change (Climate Change Convention). </w:t>
      </w:r>
      <w:r w:rsidR="00F318C3">
        <w:rPr>
          <w:rFonts w:ascii="Times New Roman" w:hAnsi="Times New Roman" w:cs="Times New Roman"/>
          <w:sz w:val="24"/>
          <w:szCs w:val="24"/>
        </w:rPr>
        <w:t xml:space="preserve">However, </w:t>
      </w:r>
      <w:r w:rsidR="00C17960">
        <w:rPr>
          <w:rFonts w:ascii="Times New Roman" w:hAnsi="Times New Roman" w:cs="Times New Roman"/>
          <w:sz w:val="24"/>
          <w:szCs w:val="24"/>
        </w:rPr>
        <w:t xml:space="preserve">for ACCUs to perform this function, they </w:t>
      </w:r>
      <w:r w:rsidR="00C17960">
        <w:rPr>
          <w:rFonts w:ascii="Times New Roman" w:hAnsi="Times New Roman" w:cs="Times New Roman"/>
          <w:color w:val="000000"/>
          <w:sz w:val="24"/>
          <w:szCs w:val="24"/>
        </w:rPr>
        <w:t>must</w:t>
      </w:r>
      <w:r w:rsidR="00C17960" w:rsidRPr="004D48AF">
        <w:rPr>
          <w:rFonts w:ascii="Times New Roman" w:hAnsi="Times New Roman" w:cs="Times New Roman"/>
          <w:color w:val="000000"/>
          <w:sz w:val="24"/>
          <w:szCs w:val="24"/>
        </w:rPr>
        <w:t xml:space="preserve"> represent </w:t>
      </w:r>
      <w:r w:rsidR="00C17960">
        <w:rPr>
          <w:rFonts w:ascii="Times New Roman" w:hAnsi="Times New Roman" w:cs="Times New Roman"/>
          <w:color w:val="000000"/>
          <w:sz w:val="24"/>
          <w:szCs w:val="24"/>
        </w:rPr>
        <w:t xml:space="preserve">abatement that </w:t>
      </w:r>
      <w:r w:rsidR="003F6866">
        <w:rPr>
          <w:rFonts w:ascii="Times New Roman" w:hAnsi="Times New Roman" w:cs="Times New Roman"/>
          <w:color w:val="000000"/>
          <w:sz w:val="24"/>
          <w:szCs w:val="24"/>
        </w:rPr>
        <w:t xml:space="preserve">is </w:t>
      </w:r>
      <w:r w:rsidR="00C17960" w:rsidRPr="00FE6196">
        <w:rPr>
          <w:rFonts w:ascii="Times New Roman" w:hAnsi="Times New Roman" w:cs="Times New Roman"/>
          <w:color w:val="000000"/>
          <w:sz w:val="24"/>
          <w:szCs w:val="24"/>
        </w:rPr>
        <w:t>real</w:t>
      </w:r>
      <w:r w:rsidR="00C17960">
        <w:rPr>
          <w:rFonts w:ascii="Times New Roman" w:hAnsi="Times New Roman" w:cs="Times New Roman"/>
          <w:color w:val="000000"/>
          <w:sz w:val="24"/>
          <w:szCs w:val="24"/>
        </w:rPr>
        <w:t xml:space="preserve">, </w:t>
      </w:r>
      <w:r w:rsidR="00C17960" w:rsidRPr="00FE6196">
        <w:rPr>
          <w:rFonts w:ascii="Times New Roman" w:hAnsi="Times New Roman" w:cs="Times New Roman"/>
          <w:color w:val="000000"/>
          <w:sz w:val="24"/>
          <w:szCs w:val="24"/>
        </w:rPr>
        <w:t>additional to business</w:t>
      </w:r>
      <w:r w:rsidR="00C17960">
        <w:rPr>
          <w:rFonts w:ascii="Times New Roman" w:hAnsi="Times New Roman" w:cs="Times New Roman"/>
          <w:color w:val="000000"/>
          <w:sz w:val="24"/>
          <w:szCs w:val="24"/>
        </w:rPr>
        <w:t>-</w:t>
      </w:r>
      <w:r w:rsidR="00C17960" w:rsidRPr="00FE6196">
        <w:rPr>
          <w:rFonts w:ascii="Times New Roman" w:hAnsi="Times New Roman" w:cs="Times New Roman"/>
          <w:color w:val="000000"/>
          <w:sz w:val="24"/>
          <w:szCs w:val="24"/>
        </w:rPr>
        <w:t>as</w:t>
      </w:r>
      <w:r w:rsidR="00C17960">
        <w:rPr>
          <w:rFonts w:ascii="Times New Roman" w:hAnsi="Times New Roman" w:cs="Times New Roman"/>
          <w:color w:val="000000"/>
          <w:sz w:val="24"/>
          <w:szCs w:val="24"/>
        </w:rPr>
        <w:t>-</w:t>
      </w:r>
      <w:r w:rsidR="00C17960" w:rsidRPr="00FE6196">
        <w:rPr>
          <w:rFonts w:ascii="Times New Roman" w:hAnsi="Times New Roman" w:cs="Times New Roman"/>
          <w:color w:val="000000"/>
          <w:sz w:val="24"/>
          <w:szCs w:val="24"/>
        </w:rPr>
        <w:t>usual</w:t>
      </w:r>
      <w:r w:rsidR="00C17960">
        <w:rPr>
          <w:rFonts w:ascii="Times New Roman" w:hAnsi="Times New Roman" w:cs="Times New Roman"/>
          <w:color w:val="000000"/>
          <w:sz w:val="24"/>
          <w:szCs w:val="24"/>
        </w:rPr>
        <w:t xml:space="preserve"> </w:t>
      </w:r>
      <w:r w:rsidR="00D06E37">
        <w:rPr>
          <w:rFonts w:ascii="Times New Roman" w:hAnsi="Times New Roman" w:cs="Times New Roman"/>
          <w:color w:val="000000"/>
          <w:sz w:val="24"/>
          <w:szCs w:val="24"/>
        </w:rPr>
        <w:t xml:space="preserve">(i.e. it would not occur in the absence of the incentive provided by the CFI Act and ACCUs) </w:t>
      </w:r>
      <w:r w:rsidR="00C17960">
        <w:rPr>
          <w:rFonts w:ascii="Times New Roman" w:hAnsi="Times New Roman" w:cs="Times New Roman"/>
          <w:color w:val="000000"/>
          <w:sz w:val="24"/>
          <w:szCs w:val="24"/>
        </w:rPr>
        <w:t xml:space="preserve">and permanent (i.e. </w:t>
      </w:r>
      <w:r w:rsidR="008F644E">
        <w:rPr>
          <w:rFonts w:ascii="Times New Roman" w:hAnsi="Times New Roman" w:cs="Times New Roman"/>
          <w:color w:val="000000"/>
          <w:sz w:val="24"/>
          <w:szCs w:val="24"/>
        </w:rPr>
        <w:t>any</w:t>
      </w:r>
      <w:r w:rsidR="00E824AF">
        <w:rPr>
          <w:rFonts w:ascii="Times New Roman" w:hAnsi="Times New Roman" w:cs="Times New Roman"/>
          <w:color w:val="000000"/>
          <w:sz w:val="24"/>
          <w:szCs w:val="24"/>
        </w:rPr>
        <w:t xml:space="preserve"> </w:t>
      </w:r>
      <w:r w:rsidR="00C17960">
        <w:rPr>
          <w:rFonts w:ascii="Times New Roman" w:hAnsi="Times New Roman" w:cs="Times New Roman"/>
          <w:color w:val="000000"/>
          <w:sz w:val="24"/>
          <w:szCs w:val="24"/>
        </w:rPr>
        <w:t>credited sequestration must persist in the relevant carbon stocks for at least the length of the permanence period)</w:t>
      </w:r>
      <w:r w:rsidR="00E824AF">
        <w:rPr>
          <w:rFonts w:ascii="Times New Roman" w:hAnsi="Times New Roman" w:cs="Times New Roman"/>
          <w:color w:val="000000"/>
          <w:sz w:val="24"/>
          <w:szCs w:val="24"/>
        </w:rPr>
        <w:t xml:space="preserve">. </w:t>
      </w:r>
    </w:p>
    <w:p w14:paraId="26F4E577" w14:textId="4F7B1F6D" w:rsidR="006A58DA" w:rsidRDefault="00A67AB3"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Determination</w:t>
      </w:r>
      <w:r w:rsidR="00FC771D">
        <w:rPr>
          <w:rFonts w:ascii="Times New Roman" w:hAnsi="Times New Roman" w:cs="Times New Roman"/>
          <w:sz w:val="24"/>
          <w:szCs w:val="24"/>
        </w:rPr>
        <w:t xml:space="preserve"> </w:t>
      </w:r>
      <w:r w:rsidR="007D6EB2">
        <w:rPr>
          <w:rFonts w:ascii="Times New Roman" w:hAnsi="Times New Roman" w:cs="Times New Roman"/>
          <w:sz w:val="24"/>
          <w:szCs w:val="24"/>
        </w:rPr>
        <w:t>contains rules governing</w:t>
      </w:r>
      <w:r w:rsidR="006A58DA">
        <w:rPr>
          <w:rFonts w:ascii="Times New Roman" w:hAnsi="Times New Roman" w:cs="Times New Roman"/>
          <w:sz w:val="24"/>
          <w:szCs w:val="24"/>
        </w:rPr>
        <w:t xml:space="preserve">: </w:t>
      </w:r>
    </w:p>
    <w:p w14:paraId="53E3FF88" w14:textId="2EDCBB9E" w:rsidR="006A58DA" w:rsidRPr="007D6EB2" w:rsidRDefault="007D6EB2" w:rsidP="00E43863">
      <w:pPr>
        <w:pStyle w:val="ListParagraph"/>
        <w:numPr>
          <w:ilvl w:val="0"/>
          <w:numId w:val="2"/>
        </w:numPr>
        <w:spacing w:before="120"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eligibility</w:t>
      </w:r>
      <w:r w:rsidR="00FB5D04" w:rsidRPr="007D6EB2">
        <w:rPr>
          <w:rFonts w:ascii="Times New Roman" w:hAnsi="Times New Roman" w:cs="Times New Roman"/>
          <w:sz w:val="24"/>
          <w:szCs w:val="24"/>
        </w:rPr>
        <w:t xml:space="preserve"> for establishing</w:t>
      </w:r>
      <w:r w:rsidR="00052182" w:rsidRPr="007D6EB2">
        <w:rPr>
          <w:rFonts w:ascii="Times New Roman" w:hAnsi="Times New Roman" w:cs="Times New Roman"/>
          <w:sz w:val="24"/>
          <w:szCs w:val="24"/>
        </w:rPr>
        <w:t xml:space="preserve"> and manag</w:t>
      </w:r>
      <w:r w:rsidR="004252E3" w:rsidRPr="007D6EB2">
        <w:rPr>
          <w:rFonts w:ascii="Times New Roman" w:hAnsi="Times New Roman" w:cs="Times New Roman"/>
          <w:sz w:val="24"/>
          <w:szCs w:val="24"/>
        </w:rPr>
        <w:t>ing</w:t>
      </w:r>
      <w:r w:rsidR="00FB5D04" w:rsidRPr="007D6EB2">
        <w:rPr>
          <w:rFonts w:ascii="Times New Roman" w:hAnsi="Times New Roman" w:cs="Times New Roman"/>
          <w:sz w:val="24"/>
          <w:szCs w:val="24"/>
        </w:rPr>
        <w:t xml:space="preserve"> </w:t>
      </w:r>
      <w:r w:rsidR="006721B1" w:rsidRPr="007D6EB2">
        <w:rPr>
          <w:rFonts w:ascii="Times New Roman" w:hAnsi="Times New Roman" w:cs="Times New Roman"/>
          <w:sz w:val="24"/>
          <w:szCs w:val="24"/>
        </w:rPr>
        <w:t>INFM</w:t>
      </w:r>
      <w:r w:rsidR="00FB5D04" w:rsidRPr="007D6EB2">
        <w:rPr>
          <w:rFonts w:ascii="Times New Roman" w:hAnsi="Times New Roman" w:cs="Times New Roman"/>
          <w:sz w:val="24"/>
          <w:szCs w:val="24"/>
        </w:rPr>
        <w:t xml:space="preserve"> </w:t>
      </w:r>
      <w:proofErr w:type="gramStart"/>
      <w:r w:rsidR="00FB5D04" w:rsidRPr="007D6EB2">
        <w:rPr>
          <w:rFonts w:ascii="Times New Roman" w:hAnsi="Times New Roman" w:cs="Times New Roman"/>
          <w:sz w:val="24"/>
          <w:szCs w:val="24"/>
        </w:rPr>
        <w:t>project</w:t>
      </w:r>
      <w:r w:rsidR="006721B1" w:rsidRPr="007D6EB2">
        <w:rPr>
          <w:rFonts w:ascii="Times New Roman" w:hAnsi="Times New Roman" w:cs="Times New Roman"/>
          <w:sz w:val="24"/>
          <w:szCs w:val="24"/>
        </w:rPr>
        <w:t>s</w:t>
      </w:r>
      <w:r w:rsidR="006A58DA" w:rsidRPr="007D6EB2">
        <w:rPr>
          <w:rFonts w:ascii="Times New Roman" w:hAnsi="Times New Roman" w:cs="Times New Roman"/>
          <w:sz w:val="24"/>
          <w:szCs w:val="24"/>
        </w:rPr>
        <w:t>;</w:t>
      </w:r>
      <w:proofErr w:type="gramEnd"/>
      <w:r w:rsidR="006A58DA" w:rsidRPr="007D6EB2">
        <w:rPr>
          <w:rFonts w:ascii="Times New Roman" w:hAnsi="Times New Roman" w:cs="Times New Roman"/>
          <w:sz w:val="24"/>
          <w:szCs w:val="24"/>
        </w:rPr>
        <w:t xml:space="preserve"> </w:t>
      </w:r>
    </w:p>
    <w:p w14:paraId="13994C6E" w14:textId="0395FE2B" w:rsidR="009E218D" w:rsidRPr="007D6EB2" w:rsidRDefault="006A58DA" w:rsidP="00E43863">
      <w:pPr>
        <w:pStyle w:val="ListParagraph"/>
        <w:numPr>
          <w:ilvl w:val="0"/>
          <w:numId w:val="2"/>
        </w:numPr>
        <w:spacing w:before="120" w:after="120" w:line="240" w:lineRule="auto"/>
        <w:ind w:left="714" w:hanging="357"/>
        <w:contextualSpacing w:val="0"/>
        <w:rPr>
          <w:rFonts w:ascii="Times New Roman" w:hAnsi="Times New Roman" w:cs="Times New Roman"/>
          <w:sz w:val="24"/>
          <w:szCs w:val="24"/>
        </w:rPr>
      </w:pPr>
      <w:r w:rsidRPr="007D6EB2">
        <w:rPr>
          <w:rFonts w:ascii="Times New Roman" w:hAnsi="Times New Roman" w:cs="Times New Roman"/>
          <w:sz w:val="24"/>
          <w:szCs w:val="24"/>
        </w:rPr>
        <w:t xml:space="preserve">the calculation of abatement </w:t>
      </w:r>
      <w:r w:rsidR="003C2528" w:rsidRPr="007D6EB2">
        <w:rPr>
          <w:rFonts w:ascii="Times New Roman" w:hAnsi="Times New Roman" w:cs="Times New Roman"/>
          <w:sz w:val="24"/>
          <w:szCs w:val="24"/>
        </w:rPr>
        <w:t>generated by INFM projects for the pur</w:t>
      </w:r>
      <w:r w:rsidR="004252E3" w:rsidRPr="007D6EB2">
        <w:rPr>
          <w:rFonts w:ascii="Times New Roman" w:hAnsi="Times New Roman" w:cs="Times New Roman"/>
          <w:sz w:val="24"/>
          <w:szCs w:val="24"/>
        </w:rPr>
        <w:t>p</w:t>
      </w:r>
      <w:r w:rsidR="003C2528" w:rsidRPr="007D6EB2">
        <w:rPr>
          <w:rFonts w:ascii="Times New Roman" w:hAnsi="Times New Roman" w:cs="Times New Roman"/>
          <w:sz w:val="24"/>
          <w:szCs w:val="24"/>
        </w:rPr>
        <w:t>ose of issuing ACCUs</w:t>
      </w:r>
      <w:r w:rsidR="009E218D" w:rsidRPr="007D6EB2">
        <w:rPr>
          <w:rFonts w:ascii="Times New Roman" w:hAnsi="Times New Roman" w:cs="Times New Roman"/>
          <w:sz w:val="24"/>
          <w:szCs w:val="24"/>
        </w:rPr>
        <w:t xml:space="preserve">; and </w:t>
      </w:r>
    </w:p>
    <w:p w14:paraId="1450259E" w14:textId="200B33BC" w:rsidR="00D922E0" w:rsidRPr="007D6EB2" w:rsidRDefault="0088098C" w:rsidP="00E43863">
      <w:pPr>
        <w:pStyle w:val="ListParagraph"/>
        <w:numPr>
          <w:ilvl w:val="0"/>
          <w:numId w:val="2"/>
        </w:numPr>
        <w:spacing w:before="120" w:after="120" w:line="240" w:lineRule="auto"/>
        <w:ind w:left="714" w:hanging="357"/>
        <w:contextualSpacing w:val="0"/>
        <w:rPr>
          <w:rFonts w:ascii="Times New Roman" w:hAnsi="Times New Roman" w:cs="Times New Roman"/>
          <w:sz w:val="24"/>
          <w:szCs w:val="24"/>
        </w:rPr>
      </w:pPr>
      <w:r w:rsidRPr="007D6EB2">
        <w:rPr>
          <w:rFonts w:ascii="Times New Roman" w:hAnsi="Times New Roman" w:cs="Times New Roman"/>
          <w:sz w:val="24"/>
          <w:szCs w:val="24"/>
        </w:rPr>
        <w:t>monitoring</w:t>
      </w:r>
      <w:r w:rsidR="009E218D" w:rsidRPr="007D6EB2">
        <w:rPr>
          <w:rFonts w:ascii="Times New Roman" w:hAnsi="Times New Roman" w:cs="Times New Roman"/>
          <w:sz w:val="24"/>
          <w:szCs w:val="24"/>
        </w:rPr>
        <w:t xml:space="preserve"> and </w:t>
      </w:r>
      <w:r w:rsidR="007C7EF1" w:rsidRPr="007D6EB2">
        <w:rPr>
          <w:rFonts w:ascii="Times New Roman" w:hAnsi="Times New Roman" w:cs="Times New Roman"/>
          <w:sz w:val="24"/>
          <w:szCs w:val="24"/>
        </w:rPr>
        <w:t>reporting</w:t>
      </w:r>
      <w:r w:rsidR="009E218D" w:rsidRPr="007D6EB2">
        <w:rPr>
          <w:rFonts w:ascii="Times New Roman" w:hAnsi="Times New Roman" w:cs="Times New Roman"/>
          <w:sz w:val="24"/>
          <w:szCs w:val="24"/>
        </w:rPr>
        <w:t xml:space="preserve"> for registered INFM projects.</w:t>
      </w:r>
    </w:p>
    <w:p w14:paraId="52F2D261" w14:textId="636E5B00" w:rsidR="00741F19" w:rsidRPr="00FE6196" w:rsidRDefault="001C192A" w:rsidP="00A20587">
      <w:pPr>
        <w:pStyle w:val="ESHeading"/>
        <w:spacing w:before="120"/>
        <w:rPr>
          <w:b w:val="0"/>
          <w:color w:val="auto"/>
        </w:rPr>
      </w:pPr>
      <w:bookmarkStart w:id="0" w:name="_Toc164439974"/>
      <w:r w:rsidRPr="00FE6196">
        <w:rPr>
          <w:color w:val="auto"/>
        </w:rPr>
        <w:t>Background</w:t>
      </w:r>
      <w:bookmarkEnd w:id="0"/>
      <w:r w:rsidRPr="00FE6196">
        <w:rPr>
          <w:color w:val="auto"/>
        </w:rPr>
        <w:t xml:space="preserve"> </w:t>
      </w:r>
    </w:p>
    <w:p w14:paraId="1A0D188A" w14:textId="3EEEC4AD" w:rsidR="00C45767" w:rsidRPr="00FE6196" w:rsidRDefault="001C192A"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w:t>
      </w:r>
      <w:r w:rsidR="00761532">
        <w:rPr>
          <w:rFonts w:ascii="Times New Roman" w:hAnsi="Times New Roman" w:cs="Times New Roman"/>
          <w:sz w:val="24"/>
          <w:szCs w:val="24"/>
        </w:rPr>
        <w:t xml:space="preserve">CFI </w:t>
      </w:r>
      <w:r w:rsidR="00D65A39" w:rsidRPr="00FE6196">
        <w:rPr>
          <w:rFonts w:ascii="Times New Roman" w:hAnsi="Times New Roman" w:cs="Times New Roman"/>
          <w:sz w:val="24"/>
          <w:szCs w:val="24"/>
        </w:rPr>
        <w:t>Act</w:t>
      </w:r>
      <w:r w:rsidRPr="00FE6196">
        <w:rPr>
          <w:rFonts w:ascii="Times New Roman" w:hAnsi="Times New Roman" w:cs="Times New Roman"/>
          <w:sz w:val="24"/>
          <w:szCs w:val="24"/>
        </w:rPr>
        <w:t xml:space="preserve"> enables the crediting of greenhouse gas abatement </w:t>
      </w:r>
      <w:r w:rsidR="00902183">
        <w:rPr>
          <w:rFonts w:ascii="Times New Roman" w:hAnsi="Times New Roman" w:cs="Times New Roman"/>
          <w:sz w:val="24"/>
          <w:szCs w:val="24"/>
        </w:rPr>
        <w:t>generated by sequestration project</w:t>
      </w:r>
      <w:r w:rsidR="000B7E81">
        <w:rPr>
          <w:rFonts w:ascii="Times New Roman" w:hAnsi="Times New Roman" w:cs="Times New Roman"/>
          <w:sz w:val="24"/>
          <w:szCs w:val="24"/>
        </w:rPr>
        <w:t>s, which r</w:t>
      </w:r>
      <w:r w:rsidR="000B7E81" w:rsidRPr="000B7E81">
        <w:rPr>
          <w:rFonts w:ascii="Times New Roman" w:hAnsi="Times New Roman" w:cs="Times New Roman"/>
          <w:sz w:val="24"/>
          <w:szCs w:val="24"/>
        </w:rPr>
        <w:t>emove carbon dioxide from the atmosphere by sequestering carbon in, and avoid emissions of greenhouses gases from, living biomass</w:t>
      </w:r>
      <w:r w:rsidR="00816274">
        <w:rPr>
          <w:rFonts w:ascii="Times New Roman" w:hAnsi="Times New Roman" w:cs="Times New Roman"/>
          <w:sz w:val="24"/>
          <w:szCs w:val="24"/>
        </w:rPr>
        <w:t xml:space="preserve">, </w:t>
      </w:r>
      <w:r w:rsidR="000B7E81" w:rsidRPr="000B7E81">
        <w:rPr>
          <w:rFonts w:ascii="Times New Roman" w:hAnsi="Times New Roman" w:cs="Times New Roman"/>
          <w:sz w:val="24"/>
          <w:szCs w:val="24"/>
        </w:rPr>
        <w:t>dead organic matter</w:t>
      </w:r>
      <w:r w:rsidR="00816274">
        <w:rPr>
          <w:rFonts w:ascii="Times New Roman" w:hAnsi="Times New Roman" w:cs="Times New Roman"/>
          <w:sz w:val="24"/>
          <w:szCs w:val="24"/>
        </w:rPr>
        <w:t xml:space="preserve"> and/or soils. For these projects to be eligible to </w:t>
      </w:r>
      <w:r w:rsidR="003F6616">
        <w:rPr>
          <w:rFonts w:ascii="Times New Roman" w:hAnsi="Times New Roman" w:cs="Times New Roman"/>
          <w:sz w:val="24"/>
          <w:szCs w:val="24"/>
        </w:rPr>
        <w:t xml:space="preserve">receive ACCUs, they must be </w:t>
      </w:r>
      <w:r w:rsidR="00F07BB2">
        <w:rPr>
          <w:rFonts w:ascii="Times New Roman" w:hAnsi="Times New Roman" w:cs="Times New Roman"/>
          <w:sz w:val="24"/>
          <w:szCs w:val="24"/>
        </w:rPr>
        <w:t>declared to be an eligible offsets project</w:t>
      </w:r>
      <w:r w:rsidR="00C40F6E">
        <w:rPr>
          <w:rFonts w:ascii="Times New Roman" w:hAnsi="Times New Roman" w:cs="Times New Roman"/>
          <w:sz w:val="24"/>
          <w:szCs w:val="24"/>
        </w:rPr>
        <w:t xml:space="preserve"> (</w:t>
      </w:r>
      <w:r w:rsidR="009B6520">
        <w:rPr>
          <w:rFonts w:ascii="Times New Roman" w:hAnsi="Times New Roman" w:cs="Times New Roman"/>
          <w:sz w:val="24"/>
          <w:szCs w:val="24"/>
        </w:rPr>
        <w:t>commonly referred to as being ‘registered’)</w:t>
      </w:r>
      <w:r w:rsidR="006D666C">
        <w:rPr>
          <w:rFonts w:ascii="Times New Roman" w:hAnsi="Times New Roman" w:cs="Times New Roman"/>
          <w:sz w:val="24"/>
          <w:szCs w:val="24"/>
        </w:rPr>
        <w:t>.</w:t>
      </w:r>
      <w:r w:rsidR="00F07BB2">
        <w:rPr>
          <w:rFonts w:ascii="Times New Roman" w:hAnsi="Times New Roman" w:cs="Times New Roman"/>
          <w:sz w:val="24"/>
          <w:szCs w:val="24"/>
        </w:rPr>
        <w:t xml:space="preserve"> </w:t>
      </w:r>
      <w:r w:rsidR="000D664F">
        <w:rPr>
          <w:rFonts w:ascii="Times New Roman" w:hAnsi="Times New Roman" w:cs="Times New Roman"/>
          <w:sz w:val="24"/>
          <w:szCs w:val="24"/>
        </w:rPr>
        <w:t xml:space="preserve">To be </w:t>
      </w:r>
      <w:r w:rsidR="009B6520">
        <w:rPr>
          <w:rFonts w:ascii="Times New Roman" w:hAnsi="Times New Roman" w:cs="Times New Roman"/>
          <w:sz w:val="24"/>
          <w:szCs w:val="24"/>
        </w:rPr>
        <w:t>registered</w:t>
      </w:r>
      <w:r w:rsidR="000D664F">
        <w:rPr>
          <w:rFonts w:ascii="Times New Roman" w:hAnsi="Times New Roman" w:cs="Times New Roman"/>
          <w:sz w:val="24"/>
          <w:szCs w:val="24"/>
        </w:rPr>
        <w:t xml:space="preserve">, </w:t>
      </w:r>
      <w:r w:rsidR="00B4414A">
        <w:rPr>
          <w:rFonts w:ascii="Times New Roman" w:hAnsi="Times New Roman" w:cs="Times New Roman"/>
          <w:sz w:val="24"/>
          <w:szCs w:val="24"/>
        </w:rPr>
        <w:t xml:space="preserve">the Regulator must be satisfied that the project meets the requirements specified in </w:t>
      </w:r>
      <w:r w:rsidR="00EC599C">
        <w:rPr>
          <w:rFonts w:ascii="Times New Roman" w:hAnsi="Times New Roman" w:cs="Times New Roman"/>
          <w:sz w:val="24"/>
          <w:szCs w:val="24"/>
        </w:rPr>
        <w:t>sub</w:t>
      </w:r>
      <w:r w:rsidR="00B4414A">
        <w:rPr>
          <w:rFonts w:ascii="Times New Roman" w:hAnsi="Times New Roman" w:cs="Times New Roman"/>
          <w:sz w:val="24"/>
          <w:szCs w:val="24"/>
        </w:rPr>
        <w:t xml:space="preserve">section </w:t>
      </w:r>
      <w:r w:rsidR="002349D7">
        <w:rPr>
          <w:rFonts w:ascii="Times New Roman" w:hAnsi="Times New Roman" w:cs="Times New Roman"/>
          <w:sz w:val="24"/>
          <w:szCs w:val="24"/>
        </w:rPr>
        <w:t>27(4)</w:t>
      </w:r>
      <w:r w:rsidR="001F389D">
        <w:rPr>
          <w:rFonts w:ascii="Times New Roman" w:hAnsi="Times New Roman" w:cs="Times New Roman"/>
          <w:sz w:val="24"/>
          <w:szCs w:val="24"/>
        </w:rPr>
        <w:t xml:space="preserve"> of the </w:t>
      </w:r>
      <w:r w:rsidR="00761532">
        <w:rPr>
          <w:rFonts w:ascii="Times New Roman" w:hAnsi="Times New Roman" w:cs="Times New Roman"/>
          <w:sz w:val="24"/>
          <w:szCs w:val="24"/>
        </w:rPr>
        <w:t xml:space="preserve">CFI </w:t>
      </w:r>
      <w:r w:rsidR="001F389D">
        <w:rPr>
          <w:rFonts w:ascii="Times New Roman" w:hAnsi="Times New Roman" w:cs="Times New Roman"/>
          <w:sz w:val="24"/>
          <w:szCs w:val="24"/>
        </w:rPr>
        <w:t>Act</w:t>
      </w:r>
      <w:r w:rsidR="002349D7">
        <w:rPr>
          <w:rFonts w:ascii="Times New Roman" w:hAnsi="Times New Roman" w:cs="Times New Roman"/>
          <w:sz w:val="24"/>
          <w:szCs w:val="24"/>
        </w:rPr>
        <w:t xml:space="preserve">, which include that the project is </w:t>
      </w:r>
      <w:r w:rsidR="00235A18">
        <w:rPr>
          <w:rFonts w:ascii="Times New Roman" w:hAnsi="Times New Roman" w:cs="Times New Roman"/>
          <w:sz w:val="24"/>
          <w:szCs w:val="24"/>
        </w:rPr>
        <w:t xml:space="preserve">covered by </w:t>
      </w:r>
      <w:r w:rsidR="001F389D">
        <w:rPr>
          <w:rFonts w:ascii="Times New Roman" w:hAnsi="Times New Roman" w:cs="Times New Roman"/>
          <w:sz w:val="24"/>
          <w:szCs w:val="24"/>
        </w:rPr>
        <w:t xml:space="preserve">a </w:t>
      </w:r>
      <w:r w:rsidRPr="00FE6196">
        <w:rPr>
          <w:rFonts w:ascii="Times New Roman" w:hAnsi="Times New Roman" w:cs="Times New Roman"/>
          <w:sz w:val="24"/>
          <w:szCs w:val="24"/>
        </w:rPr>
        <w:t>methodology determination</w:t>
      </w:r>
      <w:r w:rsidR="00235A18">
        <w:rPr>
          <w:rFonts w:ascii="Times New Roman" w:hAnsi="Times New Roman" w:cs="Times New Roman"/>
          <w:sz w:val="24"/>
          <w:szCs w:val="24"/>
        </w:rPr>
        <w:t xml:space="preserve"> and </w:t>
      </w:r>
      <w:r w:rsidR="007C028A">
        <w:rPr>
          <w:rFonts w:ascii="Times New Roman" w:hAnsi="Times New Roman" w:cs="Times New Roman"/>
          <w:sz w:val="24"/>
          <w:szCs w:val="24"/>
        </w:rPr>
        <w:t xml:space="preserve">meets the eligibility requirements set out in the applicable </w:t>
      </w:r>
      <w:r w:rsidR="007C028A" w:rsidRPr="00FE6196">
        <w:rPr>
          <w:rFonts w:ascii="Times New Roman" w:hAnsi="Times New Roman" w:cs="Times New Roman"/>
          <w:sz w:val="24"/>
          <w:szCs w:val="24"/>
        </w:rPr>
        <w:t>methodology determination</w:t>
      </w:r>
      <w:r w:rsidRPr="00FE6196">
        <w:rPr>
          <w:rFonts w:ascii="Times New Roman" w:hAnsi="Times New Roman" w:cs="Times New Roman"/>
          <w:sz w:val="24"/>
          <w:szCs w:val="24"/>
        </w:rPr>
        <w:t>.</w:t>
      </w:r>
    </w:p>
    <w:p w14:paraId="137333D0" w14:textId="075488FA" w:rsidR="00852EC2" w:rsidRDefault="009F358C" w:rsidP="00A20587">
      <w:pPr>
        <w:spacing w:before="120" w:after="120" w:line="240" w:lineRule="auto"/>
        <w:rPr>
          <w:rFonts w:ascii="Times New Roman" w:hAnsi="Times New Roman" w:cs="Times New Roman"/>
          <w:color w:val="000000"/>
          <w:sz w:val="24"/>
          <w:szCs w:val="24"/>
        </w:rPr>
      </w:pPr>
      <w:r>
        <w:rPr>
          <w:rFonts w:ascii="Times New Roman" w:hAnsi="Times New Roman" w:cs="Times New Roman"/>
          <w:sz w:val="24"/>
          <w:szCs w:val="24"/>
        </w:rPr>
        <w:t>M</w:t>
      </w:r>
      <w:r w:rsidR="001C192A" w:rsidRPr="00FE6196">
        <w:rPr>
          <w:rFonts w:ascii="Times New Roman" w:hAnsi="Times New Roman" w:cs="Times New Roman"/>
          <w:sz w:val="24"/>
          <w:szCs w:val="24"/>
        </w:rPr>
        <w:t>ethodology determination</w:t>
      </w:r>
      <w:r w:rsidR="006025DB">
        <w:rPr>
          <w:rFonts w:ascii="Times New Roman" w:hAnsi="Times New Roman" w:cs="Times New Roman"/>
          <w:sz w:val="24"/>
          <w:szCs w:val="24"/>
        </w:rPr>
        <w:t>s</w:t>
      </w:r>
      <w:r w:rsidR="001C192A" w:rsidRPr="00FE6196">
        <w:rPr>
          <w:rFonts w:ascii="Times New Roman" w:hAnsi="Times New Roman" w:cs="Times New Roman"/>
          <w:sz w:val="24"/>
          <w:szCs w:val="24"/>
        </w:rPr>
        <w:t xml:space="preserve"> </w:t>
      </w:r>
      <w:r>
        <w:rPr>
          <w:rFonts w:ascii="Times New Roman" w:hAnsi="Times New Roman" w:cs="Times New Roman"/>
          <w:sz w:val="24"/>
          <w:szCs w:val="24"/>
        </w:rPr>
        <w:t>contain</w:t>
      </w:r>
      <w:r w:rsidR="007E0655">
        <w:rPr>
          <w:rFonts w:ascii="Times New Roman" w:hAnsi="Times New Roman" w:cs="Times New Roman"/>
          <w:sz w:val="24"/>
          <w:szCs w:val="24"/>
        </w:rPr>
        <w:t xml:space="preserve"> rules governing eligibility, </w:t>
      </w:r>
      <w:r w:rsidR="0060445B">
        <w:rPr>
          <w:rFonts w:ascii="Times New Roman" w:hAnsi="Times New Roman" w:cs="Times New Roman"/>
          <w:sz w:val="24"/>
          <w:szCs w:val="24"/>
        </w:rPr>
        <w:t>the stratification of project areas, the conduct of activities in the project area</w:t>
      </w:r>
      <w:r w:rsidR="00C35AB8">
        <w:rPr>
          <w:rFonts w:ascii="Times New Roman" w:hAnsi="Times New Roman" w:cs="Times New Roman"/>
          <w:sz w:val="24"/>
          <w:szCs w:val="24"/>
        </w:rPr>
        <w:t xml:space="preserve"> and credited areas</w:t>
      </w:r>
      <w:r w:rsidR="004516A0" w:rsidRPr="00FE6196">
        <w:rPr>
          <w:rFonts w:ascii="Times New Roman" w:hAnsi="Times New Roman" w:cs="Times New Roman"/>
          <w:color w:val="000000"/>
          <w:sz w:val="24"/>
          <w:szCs w:val="24"/>
        </w:rPr>
        <w:t xml:space="preserve">, </w:t>
      </w:r>
      <w:r w:rsidR="006B616D">
        <w:rPr>
          <w:rFonts w:ascii="Times New Roman" w:hAnsi="Times New Roman" w:cs="Times New Roman"/>
          <w:color w:val="000000"/>
          <w:sz w:val="24"/>
          <w:szCs w:val="24"/>
        </w:rPr>
        <w:t xml:space="preserve">the calculation of the net abatement amount that provides the basis for </w:t>
      </w:r>
      <w:r w:rsidR="00C35AB8">
        <w:rPr>
          <w:rFonts w:ascii="Times New Roman" w:hAnsi="Times New Roman" w:cs="Times New Roman"/>
          <w:color w:val="000000"/>
          <w:sz w:val="24"/>
          <w:szCs w:val="24"/>
        </w:rPr>
        <w:t xml:space="preserve">crediting, </w:t>
      </w:r>
      <w:r w:rsidR="000E1E94" w:rsidRPr="00FE6196">
        <w:rPr>
          <w:rFonts w:ascii="Times New Roman" w:hAnsi="Times New Roman" w:cs="Times New Roman"/>
          <w:color w:val="000000"/>
          <w:sz w:val="24"/>
          <w:szCs w:val="24"/>
        </w:rPr>
        <w:t>reporting</w:t>
      </w:r>
      <w:r w:rsidR="00BB50E0">
        <w:rPr>
          <w:rFonts w:ascii="Times New Roman" w:hAnsi="Times New Roman" w:cs="Times New Roman"/>
          <w:color w:val="000000"/>
          <w:sz w:val="24"/>
          <w:szCs w:val="24"/>
        </w:rPr>
        <w:t xml:space="preserve">, </w:t>
      </w:r>
      <w:r w:rsidR="00FE124D" w:rsidRPr="00FE6196">
        <w:rPr>
          <w:rFonts w:ascii="Times New Roman" w:hAnsi="Times New Roman" w:cs="Times New Roman"/>
          <w:color w:val="000000"/>
          <w:sz w:val="24"/>
          <w:szCs w:val="24"/>
        </w:rPr>
        <w:t>record-keeping</w:t>
      </w:r>
      <w:r w:rsidR="00BB50E0">
        <w:rPr>
          <w:rFonts w:ascii="Times New Roman" w:hAnsi="Times New Roman" w:cs="Times New Roman"/>
          <w:color w:val="000000"/>
          <w:sz w:val="24"/>
          <w:szCs w:val="24"/>
        </w:rPr>
        <w:t xml:space="preserve"> and </w:t>
      </w:r>
      <w:r w:rsidR="00BB50E0" w:rsidRPr="00FE6196">
        <w:rPr>
          <w:rFonts w:ascii="Times New Roman" w:hAnsi="Times New Roman" w:cs="Times New Roman"/>
          <w:color w:val="000000"/>
          <w:sz w:val="24"/>
          <w:szCs w:val="24"/>
        </w:rPr>
        <w:t>monitoring</w:t>
      </w:r>
      <w:r w:rsidR="001C192A" w:rsidRPr="00FE6196">
        <w:rPr>
          <w:rFonts w:ascii="Times New Roman" w:hAnsi="Times New Roman" w:cs="Times New Roman"/>
          <w:sz w:val="24"/>
          <w:szCs w:val="24"/>
        </w:rPr>
        <w:t xml:space="preserve">. </w:t>
      </w:r>
      <w:r w:rsidR="00BB50E0">
        <w:rPr>
          <w:rFonts w:ascii="Times New Roman" w:hAnsi="Times New Roman" w:cs="Times New Roman"/>
          <w:sz w:val="24"/>
          <w:szCs w:val="24"/>
        </w:rPr>
        <w:t xml:space="preserve">The primary purpose of </w:t>
      </w:r>
      <w:r w:rsidR="00BB50E0">
        <w:rPr>
          <w:rFonts w:ascii="Times New Roman" w:hAnsi="Times New Roman" w:cs="Times New Roman"/>
          <w:color w:val="000000"/>
          <w:sz w:val="24"/>
          <w:szCs w:val="24"/>
        </w:rPr>
        <w:t>m</w:t>
      </w:r>
      <w:r w:rsidR="004516A0" w:rsidRPr="00FE6196">
        <w:rPr>
          <w:rFonts w:ascii="Times New Roman" w:hAnsi="Times New Roman" w:cs="Times New Roman"/>
          <w:color w:val="000000"/>
          <w:sz w:val="24"/>
          <w:szCs w:val="24"/>
        </w:rPr>
        <w:t>ethodology</w:t>
      </w:r>
      <w:r w:rsidR="00177362" w:rsidRPr="00FE6196">
        <w:rPr>
          <w:rFonts w:ascii="Times New Roman" w:hAnsi="Times New Roman" w:cs="Times New Roman"/>
          <w:color w:val="000000"/>
          <w:sz w:val="24"/>
          <w:szCs w:val="24"/>
        </w:rPr>
        <w:t xml:space="preserve"> determinations </w:t>
      </w:r>
      <w:r w:rsidR="00BB50E0">
        <w:rPr>
          <w:rFonts w:ascii="Times New Roman" w:hAnsi="Times New Roman" w:cs="Times New Roman"/>
          <w:color w:val="000000"/>
          <w:sz w:val="24"/>
          <w:szCs w:val="24"/>
        </w:rPr>
        <w:t xml:space="preserve">is to </w:t>
      </w:r>
      <w:r w:rsidR="00866495">
        <w:rPr>
          <w:rFonts w:ascii="Times New Roman" w:hAnsi="Times New Roman" w:cs="Times New Roman"/>
          <w:color w:val="000000"/>
          <w:sz w:val="24"/>
          <w:szCs w:val="24"/>
        </w:rPr>
        <w:t xml:space="preserve">limit the </w:t>
      </w:r>
      <w:r w:rsidR="00823281">
        <w:rPr>
          <w:rFonts w:ascii="Times New Roman" w:hAnsi="Times New Roman" w:cs="Times New Roman"/>
          <w:color w:val="000000"/>
          <w:sz w:val="24"/>
          <w:szCs w:val="24"/>
        </w:rPr>
        <w:t xml:space="preserve">integrity </w:t>
      </w:r>
      <w:r w:rsidR="00866495">
        <w:rPr>
          <w:rFonts w:ascii="Times New Roman" w:hAnsi="Times New Roman" w:cs="Times New Roman"/>
          <w:color w:val="000000"/>
          <w:sz w:val="24"/>
          <w:szCs w:val="24"/>
        </w:rPr>
        <w:t>risk</w:t>
      </w:r>
      <w:r w:rsidR="00823281">
        <w:rPr>
          <w:rFonts w:ascii="Times New Roman" w:hAnsi="Times New Roman" w:cs="Times New Roman"/>
          <w:color w:val="000000"/>
          <w:sz w:val="24"/>
          <w:szCs w:val="24"/>
        </w:rPr>
        <w:t xml:space="preserve">s </w:t>
      </w:r>
      <w:r w:rsidR="00823281">
        <w:rPr>
          <w:rFonts w:ascii="Times New Roman" w:hAnsi="Times New Roman" w:cs="Times New Roman"/>
          <w:color w:val="000000"/>
          <w:sz w:val="24"/>
          <w:szCs w:val="24"/>
        </w:rPr>
        <w:lastRenderedPageBreak/>
        <w:t xml:space="preserve">associated with the issuance of </w:t>
      </w:r>
      <w:r w:rsidR="004D48AF">
        <w:rPr>
          <w:rFonts w:ascii="Times New Roman" w:hAnsi="Times New Roman" w:cs="Times New Roman"/>
          <w:color w:val="000000"/>
          <w:sz w:val="24"/>
          <w:szCs w:val="24"/>
        </w:rPr>
        <w:t>ACCUs</w:t>
      </w:r>
      <w:r w:rsidR="00823281">
        <w:rPr>
          <w:rFonts w:ascii="Times New Roman" w:hAnsi="Times New Roman" w:cs="Times New Roman"/>
          <w:color w:val="000000"/>
          <w:sz w:val="24"/>
          <w:szCs w:val="24"/>
        </w:rPr>
        <w:t>.</w:t>
      </w:r>
      <w:r w:rsidR="00866495">
        <w:rPr>
          <w:rFonts w:ascii="Times New Roman" w:hAnsi="Times New Roman" w:cs="Times New Roman"/>
          <w:color w:val="000000"/>
          <w:sz w:val="24"/>
          <w:szCs w:val="24"/>
        </w:rPr>
        <w:t xml:space="preserve"> </w:t>
      </w:r>
      <w:r w:rsidR="004D48AF" w:rsidRPr="004D48AF">
        <w:rPr>
          <w:rFonts w:ascii="Times New Roman" w:hAnsi="Times New Roman" w:cs="Times New Roman"/>
          <w:color w:val="000000"/>
          <w:sz w:val="24"/>
          <w:szCs w:val="24"/>
        </w:rPr>
        <w:t>Integrity in this context refers to the fact that</w:t>
      </w:r>
      <w:r w:rsidR="004D48AF">
        <w:rPr>
          <w:rFonts w:ascii="Times New Roman" w:hAnsi="Times New Roman" w:cs="Times New Roman"/>
          <w:color w:val="000000"/>
          <w:sz w:val="24"/>
          <w:szCs w:val="24"/>
        </w:rPr>
        <w:t>, for ACCUs to perform their purpose</w:t>
      </w:r>
      <w:r w:rsidR="005815CE">
        <w:rPr>
          <w:rFonts w:ascii="Times New Roman" w:hAnsi="Times New Roman" w:cs="Times New Roman"/>
          <w:color w:val="000000"/>
          <w:sz w:val="24"/>
          <w:szCs w:val="24"/>
        </w:rPr>
        <w:t>—</w:t>
      </w:r>
      <w:r w:rsidR="006A567C">
        <w:rPr>
          <w:rFonts w:ascii="Times New Roman" w:hAnsi="Times New Roman" w:cs="Times New Roman"/>
          <w:color w:val="000000"/>
          <w:sz w:val="24"/>
          <w:szCs w:val="24"/>
        </w:rPr>
        <w:t>helping Australia to meet its international climate change mitigation obligations</w:t>
      </w:r>
      <w:r w:rsidR="004D48AF">
        <w:rPr>
          <w:rFonts w:ascii="Times New Roman" w:hAnsi="Times New Roman" w:cs="Times New Roman"/>
          <w:color w:val="000000"/>
          <w:sz w:val="24"/>
          <w:szCs w:val="24"/>
        </w:rPr>
        <w:t xml:space="preserve"> </w:t>
      </w:r>
      <w:r w:rsidR="00A933A9">
        <w:rPr>
          <w:rFonts w:ascii="Times New Roman" w:hAnsi="Times New Roman" w:cs="Times New Roman"/>
          <w:color w:val="000000"/>
          <w:sz w:val="24"/>
          <w:szCs w:val="24"/>
        </w:rPr>
        <w:t>in a way that is consistent with protecting the natural environment and improves resilience to climate change</w:t>
      </w:r>
      <w:r w:rsidR="00E90334">
        <w:rPr>
          <w:rFonts w:ascii="Times New Roman" w:hAnsi="Times New Roman" w:cs="Times New Roman"/>
          <w:color w:val="000000"/>
          <w:sz w:val="24"/>
          <w:szCs w:val="24"/>
        </w:rPr>
        <w:t>—</w:t>
      </w:r>
      <w:r w:rsidR="004D48AF">
        <w:rPr>
          <w:rFonts w:ascii="Times New Roman" w:hAnsi="Times New Roman" w:cs="Times New Roman"/>
          <w:color w:val="000000"/>
          <w:sz w:val="24"/>
          <w:szCs w:val="24"/>
        </w:rPr>
        <w:t>they must</w:t>
      </w:r>
      <w:r w:rsidR="004D48AF" w:rsidRPr="004D48AF">
        <w:rPr>
          <w:rFonts w:ascii="Times New Roman" w:hAnsi="Times New Roman" w:cs="Times New Roman"/>
          <w:color w:val="000000"/>
          <w:sz w:val="24"/>
          <w:szCs w:val="24"/>
        </w:rPr>
        <w:t xml:space="preserve"> represent </w:t>
      </w:r>
      <w:r w:rsidR="006A48DB">
        <w:rPr>
          <w:rFonts w:ascii="Times New Roman" w:hAnsi="Times New Roman" w:cs="Times New Roman"/>
          <w:color w:val="000000"/>
          <w:sz w:val="24"/>
          <w:szCs w:val="24"/>
        </w:rPr>
        <w:t xml:space="preserve">abatement that </w:t>
      </w:r>
      <w:r w:rsidR="003F6866">
        <w:rPr>
          <w:rFonts w:ascii="Times New Roman" w:hAnsi="Times New Roman" w:cs="Times New Roman"/>
          <w:color w:val="000000"/>
          <w:sz w:val="24"/>
          <w:szCs w:val="24"/>
        </w:rPr>
        <w:t xml:space="preserve">is </w:t>
      </w:r>
      <w:r w:rsidR="00177362" w:rsidRPr="00FE6196">
        <w:rPr>
          <w:rFonts w:ascii="Times New Roman" w:hAnsi="Times New Roman" w:cs="Times New Roman"/>
          <w:color w:val="000000"/>
          <w:sz w:val="24"/>
          <w:szCs w:val="24"/>
        </w:rPr>
        <w:t>real</w:t>
      </w:r>
      <w:r w:rsidR="00863E75">
        <w:rPr>
          <w:rFonts w:ascii="Times New Roman" w:hAnsi="Times New Roman" w:cs="Times New Roman"/>
          <w:color w:val="000000"/>
          <w:sz w:val="24"/>
          <w:szCs w:val="24"/>
        </w:rPr>
        <w:t xml:space="preserve">, </w:t>
      </w:r>
      <w:r w:rsidR="00177362" w:rsidRPr="00FE6196">
        <w:rPr>
          <w:rFonts w:ascii="Times New Roman" w:hAnsi="Times New Roman" w:cs="Times New Roman"/>
          <w:color w:val="000000"/>
          <w:sz w:val="24"/>
          <w:szCs w:val="24"/>
        </w:rPr>
        <w:t xml:space="preserve">additional </w:t>
      </w:r>
      <w:r w:rsidR="004D48AF">
        <w:rPr>
          <w:rFonts w:ascii="Times New Roman" w:hAnsi="Times New Roman" w:cs="Times New Roman"/>
          <w:color w:val="000000"/>
          <w:sz w:val="24"/>
          <w:szCs w:val="24"/>
        </w:rPr>
        <w:t xml:space="preserve">and </w:t>
      </w:r>
      <w:r w:rsidR="00FD6B1D">
        <w:rPr>
          <w:rFonts w:ascii="Times New Roman" w:hAnsi="Times New Roman" w:cs="Times New Roman"/>
          <w:color w:val="000000"/>
          <w:sz w:val="24"/>
          <w:szCs w:val="24"/>
        </w:rPr>
        <w:t>permanent</w:t>
      </w:r>
      <w:r w:rsidR="00177362" w:rsidRPr="00FE6196">
        <w:rPr>
          <w:rFonts w:ascii="Times New Roman" w:hAnsi="Times New Roman" w:cs="Times New Roman"/>
          <w:color w:val="000000"/>
          <w:sz w:val="24"/>
          <w:szCs w:val="24"/>
        </w:rPr>
        <w:t>.</w:t>
      </w:r>
      <w:r w:rsidR="00852EC2">
        <w:rPr>
          <w:rFonts w:ascii="Times New Roman" w:hAnsi="Times New Roman" w:cs="Times New Roman"/>
          <w:color w:val="000000"/>
          <w:sz w:val="24"/>
          <w:szCs w:val="24"/>
        </w:rPr>
        <w:t xml:space="preserve"> There are </w:t>
      </w:r>
      <w:r w:rsidR="00253B45">
        <w:rPr>
          <w:rFonts w:ascii="Times New Roman" w:hAnsi="Times New Roman" w:cs="Times New Roman"/>
          <w:color w:val="000000"/>
          <w:sz w:val="24"/>
          <w:szCs w:val="24"/>
        </w:rPr>
        <w:t>five</w:t>
      </w:r>
      <w:r w:rsidR="00852EC2" w:rsidRPr="00852EC2">
        <w:rPr>
          <w:rFonts w:ascii="Times New Roman" w:hAnsi="Times New Roman" w:cs="Times New Roman"/>
          <w:color w:val="000000"/>
          <w:sz w:val="24"/>
          <w:szCs w:val="24"/>
        </w:rPr>
        <w:t xml:space="preserve"> main integrity risks associated with </w:t>
      </w:r>
      <w:r w:rsidR="00482E34">
        <w:rPr>
          <w:rFonts w:ascii="Times New Roman" w:hAnsi="Times New Roman" w:cs="Times New Roman"/>
          <w:color w:val="000000"/>
          <w:sz w:val="24"/>
          <w:szCs w:val="24"/>
        </w:rPr>
        <w:t xml:space="preserve">methodology determinations and the </w:t>
      </w:r>
      <w:r w:rsidR="00852EC2">
        <w:rPr>
          <w:rFonts w:ascii="Times New Roman" w:hAnsi="Times New Roman" w:cs="Times New Roman"/>
          <w:color w:val="000000"/>
          <w:sz w:val="24"/>
          <w:szCs w:val="24"/>
        </w:rPr>
        <w:t xml:space="preserve">issuance of </w:t>
      </w:r>
      <w:r w:rsidR="00253B45">
        <w:rPr>
          <w:rFonts w:ascii="Times New Roman" w:hAnsi="Times New Roman" w:cs="Times New Roman"/>
          <w:color w:val="000000"/>
          <w:sz w:val="24"/>
          <w:szCs w:val="24"/>
        </w:rPr>
        <w:t>ACCUs</w:t>
      </w:r>
      <w:r w:rsidR="00482E34">
        <w:rPr>
          <w:rFonts w:ascii="Times New Roman" w:hAnsi="Times New Roman" w:cs="Times New Roman"/>
          <w:color w:val="000000"/>
          <w:sz w:val="24"/>
          <w:szCs w:val="24"/>
        </w:rPr>
        <w:t>:</w:t>
      </w:r>
    </w:p>
    <w:p w14:paraId="1370BE38" w14:textId="41A5E5FA" w:rsidR="0046308F" w:rsidRPr="004A2890" w:rsidRDefault="0046308F" w:rsidP="009D5A62">
      <w:pPr>
        <w:pStyle w:val="ListParagraph"/>
        <w:numPr>
          <w:ilvl w:val="0"/>
          <w:numId w:val="12"/>
        </w:numPr>
        <w:spacing w:before="120" w:after="120" w:line="240" w:lineRule="auto"/>
        <w:contextualSpacing w:val="0"/>
        <w:rPr>
          <w:rFonts w:ascii="Times New Roman" w:hAnsi="Times New Roman" w:cs="Times New Roman"/>
          <w:color w:val="000000"/>
          <w:sz w:val="24"/>
          <w:szCs w:val="24"/>
        </w:rPr>
      </w:pPr>
      <w:r w:rsidRPr="004A2890">
        <w:rPr>
          <w:rFonts w:ascii="Times New Roman" w:hAnsi="Times New Roman" w:cs="Times New Roman"/>
          <w:color w:val="000000"/>
          <w:sz w:val="24"/>
          <w:szCs w:val="24"/>
        </w:rPr>
        <w:t>inaccurate measurement, where the method does not fully and accurately account for the emissions and removals that arise within the project boundary</w:t>
      </w:r>
      <w:r w:rsidR="006B5B94">
        <w:rPr>
          <w:rFonts w:ascii="Times New Roman" w:hAnsi="Times New Roman" w:cs="Times New Roman"/>
          <w:color w:val="000000"/>
          <w:sz w:val="24"/>
          <w:szCs w:val="24"/>
        </w:rPr>
        <w:t xml:space="preserve"> (i.e. </w:t>
      </w:r>
      <w:r w:rsidR="00694498">
        <w:rPr>
          <w:rFonts w:ascii="Times New Roman" w:hAnsi="Times New Roman" w:cs="Times New Roman"/>
          <w:color w:val="000000"/>
          <w:sz w:val="24"/>
          <w:szCs w:val="24"/>
        </w:rPr>
        <w:t>directly related to the project activities and within the control of the proponent)</w:t>
      </w:r>
      <w:r w:rsidRPr="004A2890">
        <w:rPr>
          <w:rFonts w:ascii="Times New Roman" w:hAnsi="Times New Roman" w:cs="Times New Roman"/>
          <w:color w:val="000000"/>
          <w:sz w:val="24"/>
          <w:szCs w:val="24"/>
        </w:rPr>
        <w:t xml:space="preserve">, resulting in the issuance of </w:t>
      </w:r>
      <w:r w:rsidR="00505EFA">
        <w:rPr>
          <w:rFonts w:ascii="Times New Roman" w:hAnsi="Times New Roman" w:cs="Times New Roman"/>
          <w:color w:val="000000"/>
          <w:sz w:val="24"/>
          <w:szCs w:val="24"/>
        </w:rPr>
        <w:t>ACCUs</w:t>
      </w:r>
      <w:r w:rsidRPr="004A2890">
        <w:rPr>
          <w:rFonts w:ascii="Times New Roman" w:hAnsi="Times New Roman" w:cs="Times New Roman"/>
          <w:color w:val="000000"/>
          <w:sz w:val="24"/>
          <w:szCs w:val="24"/>
        </w:rPr>
        <w:t xml:space="preserve"> for abatement that is not </w:t>
      </w:r>
      <w:proofErr w:type="gramStart"/>
      <w:r w:rsidRPr="004A2890">
        <w:rPr>
          <w:rFonts w:ascii="Times New Roman" w:hAnsi="Times New Roman" w:cs="Times New Roman"/>
          <w:color w:val="000000"/>
          <w:sz w:val="24"/>
          <w:szCs w:val="24"/>
        </w:rPr>
        <w:t>real;</w:t>
      </w:r>
      <w:proofErr w:type="gramEnd"/>
    </w:p>
    <w:p w14:paraId="673E38DE" w14:textId="4090F2A8" w:rsidR="0046308F" w:rsidRPr="004A2890" w:rsidRDefault="0046308F" w:rsidP="009D5A62">
      <w:pPr>
        <w:pStyle w:val="ListParagraph"/>
        <w:numPr>
          <w:ilvl w:val="0"/>
          <w:numId w:val="12"/>
        </w:numPr>
        <w:spacing w:before="120" w:after="120" w:line="240" w:lineRule="auto"/>
        <w:contextualSpacing w:val="0"/>
        <w:rPr>
          <w:rFonts w:ascii="Times New Roman" w:hAnsi="Times New Roman" w:cs="Times New Roman"/>
          <w:color w:val="000000"/>
          <w:sz w:val="24"/>
          <w:szCs w:val="24"/>
        </w:rPr>
      </w:pPr>
      <w:r w:rsidRPr="004A2890">
        <w:rPr>
          <w:rFonts w:ascii="Times New Roman" w:hAnsi="Times New Roman" w:cs="Times New Roman"/>
          <w:color w:val="000000"/>
          <w:sz w:val="24"/>
          <w:szCs w:val="24"/>
        </w:rPr>
        <w:t xml:space="preserve">leakage, where the method does not appropriately account for the fact that projects </w:t>
      </w:r>
      <w:r w:rsidR="002A2A19">
        <w:rPr>
          <w:rFonts w:ascii="Times New Roman" w:hAnsi="Times New Roman" w:cs="Times New Roman"/>
          <w:color w:val="000000"/>
          <w:sz w:val="24"/>
          <w:szCs w:val="24"/>
        </w:rPr>
        <w:t xml:space="preserve">may </w:t>
      </w:r>
      <w:r w:rsidRPr="004A2890">
        <w:rPr>
          <w:rFonts w:ascii="Times New Roman" w:hAnsi="Times New Roman" w:cs="Times New Roman"/>
          <w:color w:val="000000"/>
          <w:sz w:val="24"/>
          <w:szCs w:val="24"/>
        </w:rPr>
        <w:t xml:space="preserve">trigger increases in emissions or reductions in removals outside the project boundary that occur </w:t>
      </w:r>
      <w:proofErr w:type="gramStart"/>
      <w:r w:rsidRPr="004A2890">
        <w:rPr>
          <w:rFonts w:ascii="Times New Roman" w:hAnsi="Times New Roman" w:cs="Times New Roman"/>
          <w:color w:val="000000"/>
          <w:sz w:val="24"/>
          <w:szCs w:val="24"/>
        </w:rPr>
        <w:t>as a consequence of</w:t>
      </w:r>
      <w:proofErr w:type="gramEnd"/>
      <w:r w:rsidRPr="004A2890">
        <w:rPr>
          <w:rFonts w:ascii="Times New Roman" w:hAnsi="Times New Roman" w:cs="Times New Roman"/>
          <w:color w:val="000000"/>
          <w:sz w:val="24"/>
          <w:szCs w:val="24"/>
        </w:rPr>
        <w:t xml:space="preserve"> the project, resulting in the issuance of </w:t>
      </w:r>
      <w:r w:rsidR="00505EFA">
        <w:rPr>
          <w:rFonts w:ascii="Times New Roman" w:hAnsi="Times New Roman" w:cs="Times New Roman"/>
          <w:color w:val="000000"/>
          <w:sz w:val="24"/>
          <w:szCs w:val="24"/>
        </w:rPr>
        <w:t>ACCUs</w:t>
      </w:r>
      <w:r w:rsidRPr="004A2890">
        <w:rPr>
          <w:rFonts w:ascii="Times New Roman" w:hAnsi="Times New Roman" w:cs="Times New Roman"/>
          <w:color w:val="000000"/>
          <w:sz w:val="24"/>
          <w:szCs w:val="24"/>
        </w:rPr>
        <w:t xml:space="preserve"> for abatement that is not real.</w:t>
      </w:r>
    </w:p>
    <w:p w14:paraId="31CEE443" w14:textId="22A2E758" w:rsidR="00852EC2" w:rsidRPr="004A2890" w:rsidRDefault="004A2890" w:rsidP="009D5A62">
      <w:pPr>
        <w:pStyle w:val="ListParagraph"/>
        <w:numPr>
          <w:ilvl w:val="0"/>
          <w:numId w:val="12"/>
        </w:numPr>
        <w:spacing w:before="120"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w:t>
      </w:r>
      <w:r w:rsidR="00852EC2" w:rsidRPr="004A2890">
        <w:rPr>
          <w:rFonts w:ascii="Times New Roman" w:hAnsi="Times New Roman" w:cs="Times New Roman"/>
          <w:color w:val="000000"/>
          <w:sz w:val="24"/>
          <w:szCs w:val="24"/>
        </w:rPr>
        <w:t>bsence of additionality</w:t>
      </w:r>
      <w:r w:rsidR="00282977" w:rsidRPr="004A2890">
        <w:rPr>
          <w:rFonts w:ascii="Times New Roman" w:hAnsi="Times New Roman" w:cs="Times New Roman"/>
          <w:color w:val="000000"/>
          <w:sz w:val="24"/>
          <w:szCs w:val="24"/>
        </w:rPr>
        <w:t xml:space="preserve">, where </w:t>
      </w:r>
      <w:r w:rsidR="00852EC2" w:rsidRPr="004A2890">
        <w:rPr>
          <w:rFonts w:ascii="Times New Roman" w:hAnsi="Times New Roman" w:cs="Times New Roman"/>
          <w:color w:val="000000"/>
          <w:sz w:val="24"/>
          <w:szCs w:val="24"/>
        </w:rPr>
        <w:t>the method credit</w:t>
      </w:r>
      <w:r w:rsidR="005F1170" w:rsidRPr="004A2890">
        <w:rPr>
          <w:rFonts w:ascii="Times New Roman" w:hAnsi="Times New Roman" w:cs="Times New Roman"/>
          <w:color w:val="000000"/>
          <w:sz w:val="24"/>
          <w:szCs w:val="24"/>
        </w:rPr>
        <w:t>s</w:t>
      </w:r>
      <w:r w:rsidR="00852EC2" w:rsidRPr="004A2890">
        <w:rPr>
          <w:rFonts w:ascii="Times New Roman" w:hAnsi="Times New Roman" w:cs="Times New Roman"/>
          <w:color w:val="000000"/>
          <w:sz w:val="24"/>
          <w:szCs w:val="24"/>
        </w:rPr>
        <w:t xml:space="preserve"> reductions in emissions and/or increases in removals that would have occurred </w:t>
      </w:r>
      <w:r w:rsidR="00282977" w:rsidRPr="004A2890">
        <w:rPr>
          <w:rFonts w:ascii="Times New Roman" w:hAnsi="Times New Roman" w:cs="Times New Roman"/>
          <w:color w:val="000000"/>
          <w:sz w:val="24"/>
          <w:szCs w:val="24"/>
        </w:rPr>
        <w:t xml:space="preserve">anyway, </w:t>
      </w:r>
      <w:r w:rsidR="00852EC2" w:rsidRPr="004A2890">
        <w:rPr>
          <w:rFonts w:ascii="Times New Roman" w:hAnsi="Times New Roman" w:cs="Times New Roman"/>
          <w:color w:val="000000"/>
          <w:sz w:val="24"/>
          <w:szCs w:val="24"/>
        </w:rPr>
        <w:t xml:space="preserve">without the incentive provided by the </w:t>
      </w:r>
      <w:proofErr w:type="gramStart"/>
      <w:r w:rsidR="00852EC2" w:rsidRPr="004A2890">
        <w:rPr>
          <w:rFonts w:ascii="Times New Roman" w:hAnsi="Times New Roman" w:cs="Times New Roman"/>
          <w:color w:val="000000"/>
          <w:sz w:val="24"/>
          <w:szCs w:val="24"/>
        </w:rPr>
        <w:t>scheme</w:t>
      </w:r>
      <w:r w:rsidR="00282977" w:rsidRPr="004A2890">
        <w:rPr>
          <w:rFonts w:ascii="Times New Roman" w:hAnsi="Times New Roman" w:cs="Times New Roman"/>
          <w:color w:val="000000"/>
          <w:sz w:val="24"/>
          <w:szCs w:val="24"/>
        </w:rPr>
        <w:t>;</w:t>
      </w:r>
      <w:proofErr w:type="gramEnd"/>
      <w:r w:rsidR="00405CCF">
        <w:rPr>
          <w:rFonts w:ascii="Times New Roman" w:hAnsi="Times New Roman" w:cs="Times New Roman"/>
          <w:color w:val="000000"/>
          <w:sz w:val="24"/>
          <w:szCs w:val="24"/>
        </w:rPr>
        <w:t xml:space="preserve"> </w:t>
      </w:r>
    </w:p>
    <w:p w14:paraId="5826CBE1" w14:textId="3FEF1B85" w:rsidR="00282977" w:rsidRDefault="005F1170" w:rsidP="009D5A62">
      <w:pPr>
        <w:pStyle w:val="ListParagraph"/>
        <w:numPr>
          <w:ilvl w:val="0"/>
          <w:numId w:val="12"/>
        </w:numPr>
        <w:spacing w:before="120" w:after="120" w:line="240" w:lineRule="auto"/>
        <w:contextualSpacing w:val="0"/>
        <w:rPr>
          <w:rFonts w:ascii="Times New Roman" w:hAnsi="Times New Roman" w:cs="Times New Roman"/>
          <w:color w:val="000000"/>
          <w:sz w:val="24"/>
          <w:szCs w:val="24"/>
        </w:rPr>
      </w:pPr>
      <w:r w:rsidRPr="004A2890">
        <w:rPr>
          <w:rFonts w:ascii="Times New Roman" w:hAnsi="Times New Roman" w:cs="Times New Roman"/>
          <w:color w:val="000000"/>
          <w:sz w:val="24"/>
          <w:szCs w:val="24"/>
        </w:rPr>
        <w:t>n</w:t>
      </w:r>
      <w:r w:rsidR="00852EC2" w:rsidRPr="004A2890">
        <w:rPr>
          <w:rFonts w:ascii="Times New Roman" w:hAnsi="Times New Roman" w:cs="Times New Roman"/>
          <w:color w:val="000000"/>
          <w:sz w:val="24"/>
          <w:szCs w:val="24"/>
        </w:rPr>
        <w:t>on-permanence</w:t>
      </w:r>
      <w:r w:rsidR="00282977" w:rsidRPr="004A2890">
        <w:rPr>
          <w:rFonts w:ascii="Times New Roman" w:hAnsi="Times New Roman" w:cs="Times New Roman"/>
          <w:color w:val="000000"/>
          <w:sz w:val="24"/>
          <w:szCs w:val="24"/>
        </w:rPr>
        <w:t xml:space="preserve">, which refers to </w:t>
      </w:r>
      <w:r w:rsidR="00852EC2" w:rsidRPr="004A2890">
        <w:rPr>
          <w:rFonts w:ascii="Times New Roman" w:hAnsi="Times New Roman" w:cs="Times New Roman"/>
          <w:color w:val="000000"/>
          <w:sz w:val="24"/>
          <w:szCs w:val="24"/>
        </w:rPr>
        <w:t xml:space="preserve">the risk associated with sequestration projects that </w:t>
      </w:r>
      <w:r w:rsidR="00282977" w:rsidRPr="004A2890">
        <w:rPr>
          <w:rFonts w:ascii="Times New Roman" w:hAnsi="Times New Roman" w:cs="Times New Roman"/>
          <w:color w:val="000000"/>
          <w:sz w:val="24"/>
          <w:szCs w:val="24"/>
        </w:rPr>
        <w:t>credited sequestration is</w:t>
      </w:r>
      <w:r w:rsidR="00852EC2" w:rsidRPr="004A2890">
        <w:rPr>
          <w:rFonts w:ascii="Times New Roman" w:hAnsi="Times New Roman" w:cs="Times New Roman"/>
          <w:color w:val="000000"/>
          <w:sz w:val="24"/>
          <w:szCs w:val="24"/>
        </w:rPr>
        <w:t xml:space="preserve"> fully or partially released </w:t>
      </w:r>
      <w:r w:rsidR="00282977" w:rsidRPr="004A2890">
        <w:rPr>
          <w:rFonts w:ascii="Times New Roman" w:hAnsi="Times New Roman" w:cs="Times New Roman"/>
          <w:color w:val="000000"/>
          <w:sz w:val="24"/>
          <w:szCs w:val="24"/>
        </w:rPr>
        <w:t xml:space="preserve">back into the atmosphere </w:t>
      </w:r>
      <w:r w:rsidR="00852EC2" w:rsidRPr="004A2890">
        <w:rPr>
          <w:rFonts w:ascii="Times New Roman" w:hAnsi="Times New Roman" w:cs="Times New Roman"/>
          <w:color w:val="000000"/>
          <w:sz w:val="24"/>
          <w:szCs w:val="24"/>
        </w:rPr>
        <w:t>because of future events (anthropogenic or non-anthropogenic)</w:t>
      </w:r>
      <w:r w:rsidR="00253B45">
        <w:rPr>
          <w:rFonts w:ascii="Times New Roman" w:hAnsi="Times New Roman" w:cs="Times New Roman"/>
          <w:color w:val="000000"/>
          <w:sz w:val="24"/>
          <w:szCs w:val="24"/>
        </w:rPr>
        <w:t xml:space="preserve">; and </w:t>
      </w:r>
    </w:p>
    <w:p w14:paraId="2FBEB48B" w14:textId="78B9FDDE" w:rsidR="00253B45" w:rsidRPr="004A2890" w:rsidRDefault="00253B45" w:rsidP="009D5A62">
      <w:pPr>
        <w:pStyle w:val="ListParagraph"/>
        <w:numPr>
          <w:ilvl w:val="0"/>
          <w:numId w:val="12"/>
        </w:numPr>
        <w:spacing w:before="120"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crediting ineligible abatement, which refers to the risk </w:t>
      </w:r>
      <w:r w:rsidR="00ED0588">
        <w:rPr>
          <w:rFonts w:ascii="Times New Roman" w:hAnsi="Times New Roman" w:cs="Times New Roman"/>
          <w:color w:val="000000"/>
          <w:sz w:val="24"/>
          <w:szCs w:val="24"/>
        </w:rPr>
        <w:t xml:space="preserve">that methods could allow for </w:t>
      </w:r>
      <w:r w:rsidR="00505EFA">
        <w:rPr>
          <w:rFonts w:ascii="Times New Roman" w:hAnsi="Times New Roman" w:cs="Times New Roman"/>
          <w:color w:val="000000"/>
          <w:sz w:val="24"/>
          <w:szCs w:val="24"/>
        </w:rPr>
        <w:t xml:space="preserve">ACCUs to be issued for </w:t>
      </w:r>
      <w:r w:rsidR="00ED0588">
        <w:rPr>
          <w:rFonts w:ascii="Times New Roman" w:hAnsi="Times New Roman" w:cs="Times New Roman"/>
          <w:color w:val="000000"/>
          <w:sz w:val="24"/>
          <w:szCs w:val="24"/>
        </w:rPr>
        <w:t xml:space="preserve">abatement that cannot be used to meet Australia’s international climate change mitigation obligations. </w:t>
      </w:r>
    </w:p>
    <w:p w14:paraId="20A322A8" w14:textId="6C3BF66C" w:rsidR="00D947CD" w:rsidRDefault="00F961AB" w:rsidP="00A20587">
      <w:pPr>
        <w:shd w:val="clear" w:color="auto" w:fill="FFFFFF"/>
        <w:spacing w:before="120" w:after="120" w:line="240" w:lineRule="auto"/>
        <w:rPr>
          <w:rFonts w:ascii="Times New Roman" w:hAnsi="Times New Roman" w:cs="Times New Roman"/>
          <w:color w:val="000000"/>
          <w:sz w:val="24"/>
          <w:szCs w:val="24"/>
        </w:rPr>
      </w:pPr>
      <w:r w:rsidRPr="00FE6196">
        <w:rPr>
          <w:rFonts w:ascii="Times New Roman" w:hAnsi="Times New Roman" w:cs="Times New Roman"/>
          <w:color w:val="000000"/>
          <w:sz w:val="24"/>
          <w:szCs w:val="24"/>
        </w:rPr>
        <w:t xml:space="preserve">In deciding </w:t>
      </w:r>
      <w:r w:rsidR="00BD2769">
        <w:rPr>
          <w:rFonts w:ascii="Times New Roman" w:hAnsi="Times New Roman" w:cs="Times New Roman"/>
          <w:color w:val="000000"/>
          <w:sz w:val="24"/>
          <w:szCs w:val="24"/>
        </w:rPr>
        <w:t>whether to</w:t>
      </w:r>
      <w:r w:rsidRPr="00FE6196">
        <w:rPr>
          <w:rFonts w:ascii="Times New Roman" w:hAnsi="Times New Roman" w:cs="Times New Roman"/>
          <w:color w:val="000000"/>
          <w:sz w:val="24"/>
          <w:szCs w:val="24"/>
        </w:rPr>
        <w:t xml:space="preserve"> make a methodology determination, the Minister must</w:t>
      </w:r>
      <w:r w:rsidR="005363D2">
        <w:rPr>
          <w:rFonts w:ascii="Times New Roman" w:hAnsi="Times New Roman" w:cs="Times New Roman"/>
          <w:color w:val="000000"/>
          <w:sz w:val="24"/>
          <w:szCs w:val="24"/>
        </w:rPr>
        <w:t xml:space="preserve"> have regard to</w:t>
      </w:r>
      <w:r w:rsidR="00D947CD">
        <w:rPr>
          <w:rFonts w:ascii="Times New Roman" w:hAnsi="Times New Roman" w:cs="Times New Roman"/>
          <w:color w:val="000000"/>
          <w:sz w:val="24"/>
          <w:szCs w:val="24"/>
        </w:rPr>
        <w:t>:</w:t>
      </w:r>
      <w:r w:rsidRPr="00FE6196">
        <w:rPr>
          <w:rFonts w:ascii="Times New Roman" w:hAnsi="Times New Roman" w:cs="Times New Roman"/>
          <w:color w:val="000000"/>
          <w:sz w:val="24"/>
          <w:szCs w:val="24"/>
        </w:rPr>
        <w:t xml:space="preserve"> </w:t>
      </w:r>
    </w:p>
    <w:p w14:paraId="6B90D05D" w14:textId="3A9E26B6" w:rsidR="00D41FAA" w:rsidRPr="00BB72D0" w:rsidRDefault="00BB72D0" w:rsidP="00E43863">
      <w:pPr>
        <w:pStyle w:val="ListParagraph"/>
        <w:numPr>
          <w:ilvl w:val="0"/>
          <w:numId w:val="4"/>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w:t>
      </w:r>
      <w:r w:rsidR="00D41FAA" w:rsidRPr="00BB72D0">
        <w:rPr>
          <w:rFonts w:ascii="Times New Roman" w:hAnsi="Times New Roman" w:cs="Times New Roman"/>
          <w:color w:val="000000"/>
          <w:sz w:val="24"/>
          <w:szCs w:val="24"/>
        </w:rPr>
        <w:t xml:space="preserve">hether the determination complies with the </w:t>
      </w:r>
      <w:proofErr w:type="gramStart"/>
      <w:r w:rsidR="00D41FAA" w:rsidRPr="00BB72D0">
        <w:rPr>
          <w:rFonts w:ascii="Times New Roman" w:hAnsi="Times New Roman" w:cs="Times New Roman"/>
          <w:color w:val="000000"/>
          <w:sz w:val="24"/>
          <w:szCs w:val="24"/>
        </w:rPr>
        <w:t>offsets</w:t>
      </w:r>
      <w:proofErr w:type="gramEnd"/>
      <w:r w:rsidR="00D41FAA" w:rsidRPr="00BB72D0">
        <w:rPr>
          <w:rFonts w:ascii="Times New Roman" w:hAnsi="Times New Roman" w:cs="Times New Roman"/>
          <w:color w:val="000000"/>
          <w:sz w:val="24"/>
          <w:szCs w:val="24"/>
        </w:rPr>
        <w:t xml:space="preserve"> integrity standards in section 133 of the CFI </w:t>
      </w:r>
      <w:proofErr w:type="gramStart"/>
      <w:r w:rsidR="00D41FAA" w:rsidRPr="00BB72D0">
        <w:rPr>
          <w:rFonts w:ascii="Times New Roman" w:hAnsi="Times New Roman" w:cs="Times New Roman"/>
          <w:color w:val="000000"/>
          <w:sz w:val="24"/>
          <w:szCs w:val="24"/>
        </w:rPr>
        <w:t>Act;</w:t>
      </w:r>
      <w:proofErr w:type="gramEnd"/>
    </w:p>
    <w:p w14:paraId="67AF0DFE" w14:textId="3994FE59" w:rsidR="00D947CD" w:rsidRPr="00BB72D0" w:rsidRDefault="00F961AB" w:rsidP="00E43863">
      <w:pPr>
        <w:pStyle w:val="ListParagraph"/>
        <w:numPr>
          <w:ilvl w:val="0"/>
          <w:numId w:val="4"/>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BB72D0">
        <w:rPr>
          <w:rFonts w:ascii="Times New Roman" w:hAnsi="Times New Roman" w:cs="Times New Roman"/>
          <w:color w:val="000000"/>
          <w:sz w:val="24"/>
          <w:szCs w:val="24"/>
        </w:rPr>
        <w:t xml:space="preserve">advice </w:t>
      </w:r>
      <w:r w:rsidR="008A647A" w:rsidRPr="00BB72D0">
        <w:rPr>
          <w:rFonts w:ascii="Times New Roman" w:hAnsi="Times New Roman" w:cs="Times New Roman"/>
          <w:color w:val="000000"/>
          <w:sz w:val="24"/>
          <w:szCs w:val="24"/>
        </w:rPr>
        <w:t>from the</w:t>
      </w:r>
      <w:r w:rsidRPr="00BB72D0">
        <w:rPr>
          <w:rFonts w:ascii="Times New Roman" w:hAnsi="Times New Roman" w:cs="Times New Roman"/>
          <w:color w:val="000000"/>
          <w:sz w:val="24"/>
          <w:szCs w:val="24"/>
        </w:rPr>
        <w:t xml:space="preserve"> Emissions Reduction Assurance Committee (ERAC)</w:t>
      </w:r>
      <w:r w:rsidR="00D41FAA" w:rsidRPr="00BB72D0">
        <w:rPr>
          <w:rFonts w:ascii="Times New Roman" w:hAnsi="Times New Roman" w:cs="Times New Roman"/>
          <w:color w:val="000000"/>
          <w:sz w:val="24"/>
          <w:szCs w:val="24"/>
        </w:rPr>
        <w:t xml:space="preserve"> on the </w:t>
      </w:r>
      <w:proofErr w:type="gramStart"/>
      <w:r w:rsidR="00D41FAA" w:rsidRPr="00BB72D0">
        <w:rPr>
          <w:rFonts w:ascii="Times New Roman" w:hAnsi="Times New Roman" w:cs="Times New Roman"/>
          <w:color w:val="000000"/>
          <w:sz w:val="24"/>
          <w:szCs w:val="24"/>
        </w:rPr>
        <w:t>determination</w:t>
      </w:r>
      <w:r w:rsidR="00D947CD" w:rsidRPr="00BB72D0">
        <w:rPr>
          <w:rFonts w:ascii="Times New Roman" w:hAnsi="Times New Roman" w:cs="Times New Roman"/>
          <w:color w:val="000000"/>
          <w:sz w:val="24"/>
          <w:szCs w:val="24"/>
        </w:rPr>
        <w:t>;</w:t>
      </w:r>
      <w:proofErr w:type="gramEnd"/>
    </w:p>
    <w:p w14:paraId="2E38C577" w14:textId="77777777" w:rsidR="00A47DCD" w:rsidRDefault="00306E25" w:rsidP="00E43863">
      <w:pPr>
        <w:pStyle w:val="ListParagraph"/>
        <w:numPr>
          <w:ilvl w:val="0"/>
          <w:numId w:val="4"/>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BB72D0">
        <w:rPr>
          <w:rFonts w:ascii="Times New Roman" w:hAnsi="Times New Roman" w:cs="Times New Roman"/>
          <w:color w:val="000000"/>
          <w:sz w:val="24"/>
          <w:szCs w:val="24"/>
        </w:rPr>
        <w:t xml:space="preserve">whether </w:t>
      </w:r>
      <w:r w:rsidR="00BD2769" w:rsidRPr="00BB72D0">
        <w:rPr>
          <w:rFonts w:ascii="Times New Roman" w:hAnsi="Times New Roman" w:cs="Times New Roman"/>
          <w:color w:val="000000"/>
          <w:sz w:val="24"/>
          <w:szCs w:val="24"/>
        </w:rPr>
        <w:t xml:space="preserve">any adverse environmental, economic, or social impacts </w:t>
      </w:r>
      <w:r w:rsidR="008A647A" w:rsidRPr="00BB72D0">
        <w:rPr>
          <w:rFonts w:ascii="Times New Roman" w:hAnsi="Times New Roman" w:cs="Times New Roman"/>
          <w:color w:val="000000"/>
          <w:sz w:val="24"/>
          <w:szCs w:val="24"/>
        </w:rPr>
        <w:t xml:space="preserve">are </w:t>
      </w:r>
      <w:r w:rsidR="00BD2769" w:rsidRPr="00BB72D0">
        <w:rPr>
          <w:rFonts w:ascii="Times New Roman" w:hAnsi="Times New Roman" w:cs="Times New Roman"/>
          <w:color w:val="000000"/>
          <w:sz w:val="24"/>
          <w:szCs w:val="24"/>
        </w:rPr>
        <w:t xml:space="preserve">likely to arise </w:t>
      </w:r>
      <w:r w:rsidR="008A647A" w:rsidRPr="00BB72D0">
        <w:rPr>
          <w:rFonts w:ascii="Times New Roman" w:hAnsi="Times New Roman" w:cs="Times New Roman"/>
          <w:color w:val="000000"/>
          <w:sz w:val="24"/>
          <w:szCs w:val="24"/>
        </w:rPr>
        <w:t xml:space="preserve">from carrying out projects under the </w:t>
      </w:r>
      <w:r w:rsidR="00BD2769" w:rsidRPr="00BB72D0">
        <w:rPr>
          <w:rFonts w:ascii="Times New Roman" w:hAnsi="Times New Roman" w:cs="Times New Roman"/>
          <w:color w:val="000000"/>
          <w:sz w:val="24"/>
          <w:szCs w:val="24"/>
        </w:rPr>
        <w:t>determination</w:t>
      </w:r>
      <w:r w:rsidR="00A47DCD">
        <w:rPr>
          <w:rFonts w:ascii="Times New Roman" w:hAnsi="Times New Roman" w:cs="Times New Roman"/>
          <w:color w:val="000000"/>
          <w:sz w:val="24"/>
          <w:szCs w:val="24"/>
        </w:rPr>
        <w:t>; and</w:t>
      </w:r>
    </w:p>
    <w:p w14:paraId="3F0DAFE6" w14:textId="31268B98" w:rsidR="00D947CD" w:rsidRPr="00BB72D0" w:rsidRDefault="00A47DCD" w:rsidP="00E43863">
      <w:pPr>
        <w:pStyle w:val="ListParagraph"/>
        <w:numPr>
          <w:ilvl w:val="0"/>
          <w:numId w:val="4"/>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other matters (if any) as the Minister considers relevant</w:t>
      </w:r>
      <w:r w:rsidR="00BD2769" w:rsidRPr="00BB72D0">
        <w:rPr>
          <w:rFonts w:ascii="Times New Roman" w:hAnsi="Times New Roman" w:cs="Times New Roman"/>
          <w:color w:val="000000"/>
          <w:sz w:val="24"/>
          <w:szCs w:val="24"/>
        </w:rPr>
        <w:t>.</w:t>
      </w:r>
    </w:p>
    <w:p w14:paraId="2270B2DD" w14:textId="77777777" w:rsidR="00BB72D0" w:rsidRDefault="00BB72D0" w:rsidP="00A20587">
      <w:pPr>
        <w:shd w:val="clear" w:color="auto" w:fill="FFFFFF"/>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3D60A0" w:rsidRPr="00FE6196">
        <w:rPr>
          <w:rFonts w:ascii="Times New Roman" w:hAnsi="Times New Roman" w:cs="Times New Roman"/>
          <w:color w:val="000000"/>
          <w:sz w:val="24"/>
          <w:szCs w:val="24"/>
        </w:rPr>
        <w:t>ERAC is</w:t>
      </w:r>
      <w:r w:rsidR="00F961AB" w:rsidRPr="00FE6196">
        <w:rPr>
          <w:rFonts w:ascii="Times New Roman" w:hAnsi="Times New Roman" w:cs="Times New Roman"/>
          <w:color w:val="000000"/>
          <w:sz w:val="24"/>
          <w:szCs w:val="24"/>
        </w:rPr>
        <w:t xml:space="preserve"> an independent expert </w:t>
      </w:r>
      <w:r w:rsidR="001A210F">
        <w:rPr>
          <w:rFonts w:ascii="Times New Roman" w:hAnsi="Times New Roman" w:cs="Times New Roman"/>
          <w:color w:val="000000"/>
          <w:sz w:val="24"/>
          <w:szCs w:val="24"/>
        </w:rPr>
        <w:t xml:space="preserve">committee </w:t>
      </w:r>
      <w:r w:rsidR="00F961AB" w:rsidRPr="00FE6196">
        <w:rPr>
          <w:rFonts w:ascii="Times New Roman" w:hAnsi="Times New Roman" w:cs="Times New Roman"/>
          <w:color w:val="000000"/>
          <w:sz w:val="24"/>
          <w:szCs w:val="24"/>
        </w:rPr>
        <w:t xml:space="preserve">established to advise the Minister on methodology determinations. The Minister must not make or vary a methodology determination if the ERAC has advised that it does not comply with the </w:t>
      </w:r>
      <w:r>
        <w:rPr>
          <w:rFonts w:ascii="Times New Roman" w:hAnsi="Times New Roman" w:cs="Times New Roman"/>
          <w:color w:val="000000"/>
          <w:sz w:val="24"/>
          <w:szCs w:val="24"/>
        </w:rPr>
        <w:t xml:space="preserve">CFI Act’s </w:t>
      </w:r>
      <w:r w:rsidR="00F961AB" w:rsidRPr="00FE6196">
        <w:rPr>
          <w:rFonts w:ascii="Times New Roman" w:hAnsi="Times New Roman" w:cs="Times New Roman"/>
          <w:color w:val="000000"/>
          <w:sz w:val="24"/>
          <w:szCs w:val="24"/>
        </w:rPr>
        <w:t>offsets integrity standards.</w:t>
      </w:r>
      <w:r w:rsidR="00902A2F">
        <w:rPr>
          <w:rFonts w:ascii="Times New Roman" w:hAnsi="Times New Roman" w:cs="Times New Roman"/>
          <w:color w:val="000000"/>
          <w:sz w:val="24"/>
          <w:szCs w:val="24"/>
        </w:rPr>
        <w:t xml:space="preserve"> </w:t>
      </w:r>
    </w:p>
    <w:p w14:paraId="3114DBFE" w14:textId="0E243DCB" w:rsidR="00502F57" w:rsidRDefault="004F071C" w:rsidP="00A20587">
      <w:pPr>
        <w:shd w:val="clear" w:color="auto" w:fill="FFFFFF"/>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offsets integrity standards are intended to address the integrity risks associated with methodology determinations and the issuance of ACCUs. </w:t>
      </w:r>
      <w:r w:rsidR="00ED3CA3">
        <w:rPr>
          <w:rFonts w:ascii="Times New Roman" w:hAnsi="Times New Roman" w:cs="Times New Roman"/>
          <w:color w:val="000000"/>
          <w:sz w:val="24"/>
          <w:szCs w:val="24"/>
        </w:rPr>
        <w:t xml:space="preserve">They include </w:t>
      </w:r>
      <w:r w:rsidR="001C6451">
        <w:rPr>
          <w:rFonts w:ascii="Times New Roman" w:hAnsi="Times New Roman" w:cs="Times New Roman"/>
          <w:color w:val="000000"/>
          <w:sz w:val="24"/>
          <w:szCs w:val="24"/>
        </w:rPr>
        <w:t>requirements that</w:t>
      </w:r>
      <w:r w:rsidR="00502F57">
        <w:rPr>
          <w:rFonts w:ascii="Times New Roman" w:hAnsi="Times New Roman" w:cs="Times New Roman"/>
          <w:color w:val="000000"/>
          <w:sz w:val="24"/>
          <w:szCs w:val="24"/>
        </w:rPr>
        <w:t>:</w:t>
      </w:r>
      <w:r w:rsidR="00ED3CA3" w:rsidRPr="00ED3CA3">
        <w:rPr>
          <w:rFonts w:ascii="Times New Roman" w:hAnsi="Times New Roman" w:cs="Times New Roman"/>
          <w:color w:val="000000"/>
          <w:sz w:val="24"/>
          <w:szCs w:val="24"/>
        </w:rPr>
        <w:t xml:space="preserve"> </w:t>
      </w:r>
    </w:p>
    <w:p w14:paraId="6DB4B38B" w14:textId="4157878A" w:rsidR="00502F57" w:rsidRPr="008A4F49" w:rsidRDefault="00842086"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t xml:space="preserve">methodology determinations should </w:t>
      </w:r>
      <w:r w:rsidR="00ED3CA3" w:rsidRPr="008A4F49">
        <w:rPr>
          <w:rFonts w:ascii="Times New Roman" w:hAnsi="Times New Roman" w:cs="Times New Roman"/>
          <w:color w:val="000000"/>
          <w:sz w:val="24"/>
          <w:szCs w:val="24"/>
        </w:rPr>
        <w:t xml:space="preserve">result in carbon abatement that is unlikely to occur in the ordinary course of </w:t>
      </w:r>
      <w:proofErr w:type="gramStart"/>
      <w:r w:rsidR="00ED3CA3" w:rsidRPr="008A4F49">
        <w:rPr>
          <w:rFonts w:ascii="Times New Roman" w:hAnsi="Times New Roman" w:cs="Times New Roman"/>
          <w:color w:val="000000"/>
          <w:sz w:val="24"/>
          <w:szCs w:val="24"/>
        </w:rPr>
        <w:t>events</w:t>
      </w:r>
      <w:r w:rsidR="00502F57" w:rsidRPr="008A4F49">
        <w:rPr>
          <w:rFonts w:ascii="Times New Roman" w:hAnsi="Times New Roman" w:cs="Times New Roman"/>
          <w:color w:val="000000"/>
          <w:sz w:val="24"/>
          <w:szCs w:val="24"/>
        </w:rPr>
        <w:t>;</w:t>
      </w:r>
      <w:proofErr w:type="gramEnd"/>
      <w:r w:rsidR="00502F57" w:rsidRPr="008A4F49">
        <w:rPr>
          <w:rFonts w:ascii="Times New Roman" w:hAnsi="Times New Roman" w:cs="Times New Roman"/>
          <w:color w:val="000000"/>
          <w:sz w:val="24"/>
          <w:szCs w:val="24"/>
        </w:rPr>
        <w:t xml:space="preserve"> </w:t>
      </w:r>
    </w:p>
    <w:p w14:paraId="78DC570F" w14:textId="05EFA1EB" w:rsidR="00872DAB" w:rsidRDefault="007431C1"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t xml:space="preserve">methodology determinations </w:t>
      </w:r>
      <w:r>
        <w:rPr>
          <w:rFonts w:ascii="Times New Roman" w:hAnsi="Times New Roman" w:cs="Times New Roman"/>
          <w:color w:val="000000"/>
          <w:sz w:val="24"/>
          <w:szCs w:val="24"/>
        </w:rPr>
        <w:t>should ensure removals</w:t>
      </w:r>
      <w:r w:rsidR="00491AA7">
        <w:rPr>
          <w:rFonts w:ascii="Times New Roman" w:hAnsi="Times New Roman" w:cs="Times New Roman"/>
          <w:color w:val="000000"/>
          <w:sz w:val="24"/>
          <w:szCs w:val="24"/>
        </w:rPr>
        <w:t>, reductions and emissions</w:t>
      </w:r>
      <w:r w:rsidR="00A34BAD">
        <w:rPr>
          <w:rFonts w:ascii="Times New Roman" w:hAnsi="Times New Roman" w:cs="Times New Roman"/>
          <w:color w:val="000000"/>
          <w:sz w:val="24"/>
          <w:szCs w:val="24"/>
        </w:rPr>
        <w:t xml:space="preserve"> </w:t>
      </w:r>
      <w:r w:rsidR="00491AA7">
        <w:rPr>
          <w:rFonts w:ascii="Times New Roman" w:hAnsi="Times New Roman" w:cs="Times New Roman"/>
          <w:color w:val="000000"/>
          <w:sz w:val="24"/>
          <w:szCs w:val="24"/>
        </w:rPr>
        <w:t xml:space="preserve">are measurable and capable of being </w:t>
      </w:r>
      <w:proofErr w:type="gramStart"/>
      <w:r w:rsidR="00491AA7">
        <w:rPr>
          <w:rFonts w:ascii="Times New Roman" w:hAnsi="Times New Roman" w:cs="Times New Roman"/>
          <w:color w:val="000000"/>
          <w:sz w:val="24"/>
          <w:szCs w:val="24"/>
        </w:rPr>
        <w:t>verified;</w:t>
      </w:r>
      <w:proofErr w:type="gramEnd"/>
      <w:r>
        <w:rPr>
          <w:rFonts w:ascii="Times New Roman" w:hAnsi="Times New Roman" w:cs="Times New Roman"/>
          <w:color w:val="000000"/>
          <w:sz w:val="24"/>
          <w:szCs w:val="24"/>
        </w:rPr>
        <w:t xml:space="preserve"> </w:t>
      </w:r>
    </w:p>
    <w:p w14:paraId="681BC470" w14:textId="2631BE30" w:rsidR="00167C0D" w:rsidRPr="00167C0D" w:rsidRDefault="00167C0D"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t>methodology determinations should provide that carbon abatement used to ascertain the net abatement amount for projects must be ‘eligible carbon abatement</w:t>
      </w:r>
      <w:proofErr w:type="gramStart"/>
      <w:r w:rsidRPr="008A4F49">
        <w:rPr>
          <w:rFonts w:ascii="Times New Roman" w:hAnsi="Times New Roman" w:cs="Times New Roman"/>
          <w:color w:val="000000"/>
          <w:sz w:val="24"/>
          <w:szCs w:val="24"/>
        </w:rPr>
        <w:t>’;</w:t>
      </w:r>
      <w:proofErr w:type="gramEnd"/>
      <w:r w:rsidRPr="008A4F49">
        <w:rPr>
          <w:rFonts w:ascii="Times New Roman" w:hAnsi="Times New Roman" w:cs="Times New Roman"/>
          <w:color w:val="000000"/>
          <w:sz w:val="24"/>
          <w:szCs w:val="24"/>
        </w:rPr>
        <w:t xml:space="preserve"> </w:t>
      </w:r>
    </w:p>
    <w:p w14:paraId="72E44EE2" w14:textId="77777777" w:rsidR="005C2708" w:rsidRPr="008A4F49" w:rsidRDefault="005C2708"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lastRenderedPageBreak/>
        <w:t xml:space="preserve">methodology determinations should </w:t>
      </w:r>
      <w:proofErr w:type="gramStart"/>
      <w:r w:rsidRPr="008A4F49">
        <w:rPr>
          <w:rFonts w:ascii="Times New Roman" w:hAnsi="Times New Roman" w:cs="Times New Roman"/>
          <w:color w:val="000000"/>
          <w:sz w:val="24"/>
          <w:szCs w:val="24"/>
        </w:rPr>
        <w:t>be supported</w:t>
      </w:r>
      <w:proofErr w:type="gramEnd"/>
      <w:r w:rsidRPr="008A4F49">
        <w:rPr>
          <w:rFonts w:ascii="Times New Roman" w:hAnsi="Times New Roman" w:cs="Times New Roman"/>
          <w:color w:val="000000"/>
          <w:sz w:val="24"/>
          <w:szCs w:val="24"/>
        </w:rPr>
        <w:t xml:space="preserve"> by clear and convincing </w:t>
      </w:r>
      <w:proofErr w:type="gramStart"/>
      <w:r w:rsidRPr="008A4F49">
        <w:rPr>
          <w:rFonts w:ascii="Times New Roman" w:hAnsi="Times New Roman" w:cs="Times New Roman"/>
          <w:color w:val="000000"/>
          <w:sz w:val="24"/>
          <w:szCs w:val="24"/>
        </w:rPr>
        <w:t>evidence;</w:t>
      </w:r>
      <w:proofErr w:type="gramEnd"/>
      <w:r w:rsidRPr="008A4F49">
        <w:rPr>
          <w:rFonts w:ascii="Times New Roman" w:hAnsi="Times New Roman" w:cs="Times New Roman"/>
          <w:color w:val="000000"/>
          <w:sz w:val="24"/>
          <w:szCs w:val="24"/>
        </w:rPr>
        <w:t xml:space="preserve"> </w:t>
      </w:r>
    </w:p>
    <w:p w14:paraId="4B8C99EB" w14:textId="14BAC4DA" w:rsidR="00F040EB" w:rsidRDefault="00F040EB"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t xml:space="preserve">methodology determinations should </w:t>
      </w:r>
      <w:r>
        <w:rPr>
          <w:rFonts w:ascii="Times New Roman" w:hAnsi="Times New Roman" w:cs="Times New Roman"/>
          <w:color w:val="000000"/>
          <w:sz w:val="24"/>
          <w:szCs w:val="24"/>
        </w:rPr>
        <w:t xml:space="preserve">provide </w:t>
      </w:r>
      <w:r w:rsidR="001D7AB0">
        <w:rPr>
          <w:rFonts w:ascii="Times New Roman" w:hAnsi="Times New Roman" w:cs="Times New Roman"/>
          <w:color w:val="000000"/>
          <w:sz w:val="24"/>
          <w:szCs w:val="24"/>
        </w:rPr>
        <w:t xml:space="preserve">for the deduction of </w:t>
      </w:r>
      <w:r w:rsidR="008C2737">
        <w:rPr>
          <w:rFonts w:ascii="Times New Roman" w:hAnsi="Times New Roman" w:cs="Times New Roman"/>
          <w:color w:val="000000"/>
          <w:sz w:val="24"/>
          <w:szCs w:val="24"/>
        </w:rPr>
        <w:t xml:space="preserve">material </w:t>
      </w:r>
      <w:r w:rsidR="001D7AB0">
        <w:rPr>
          <w:rFonts w:ascii="Times New Roman" w:hAnsi="Times New Roman" w:cs="Times New Roman"/>
          <w:color w:val="000000"/>
          <w:sz w:val="24"/>
          <w:szCs w:val="24"/>
        </w:rPr>
        <w:t xml:space="preserve">emissions that occur as a direct consequence </w:t>
      </w:r>
      <w:r w:rsidR="00790313">
        <w:rPr>
          <w:rFonts w:ascii="Times New Roman" w:hAnsi="Times New Roman" w:cs="Times New Roman"/>
          <w:color w:val="000000"/>
          <w:sz w:val="24"/>
          <w:szCs w:val="24"/>
        </w:rPr>
        <w:t>of projects in the calculation of the net abatement amount</w:t>
      </w:r>
      <w:r w:rsidR="008C2737">
        <w:rPr>
          <w:rFonts w:ascii="Times New Roman" w:hAnsi="Times New Roman" w:cs="Times New Roman"/>
          <w:color w:val="000000"/>
          <w:sz w:val="24"/>
          <w:szCs w:val="24"/>
        </w:rPr>
        <w:t>;</w:t>
      </w:r>
      <w:r w:rsidR="00790313">
        <w:rPr>
          <w:rFonts w:ascii="Times New Roman" w:hAnsi="Times New Roman" w:cs="Times New Roman"/>
          <w:color w:val="000000"/>
          <w:sz w:val="24"/>
          <w:szCs w:val="24"/>
        </w:rPr>
        <w:t xml:space="preserve"> </w:t>
      </w:r>
      <w:r w:rsidR="005C2708">
        <w:rPr>
          <w:rFonts w:ascii="Times New Roman" w:hAnsi="Times New Roman" w:cs="Times New Roman"/>
          <w:color w:val="000000"/>
          <w:sz w:val="24"/>
          <w:szCs w:val="24"/>
        </w:rPr>
        <w:t>and</w:t>
      </w:r>
    </w:p>
    <w:p w14:paraId="6B65D94E" w14:textId="406CBAF3" w:rsidR="00EE775F" w:rsidRPr="008C2737" w:rsidRDefault="00CF7766" w:rsidP="00E43863">
      <w:pPr>
        <w:pStyle w:val="ListParagraph"/>
        <w:numPr>
          <w:ilvl w:val="0"/>
          <w:numId w:val="5"/>
        </w:numPr>
        <w:shd w:val="clear" w:color="auto" w:fill="FFFFFF"/>
        <w:spacing w:before="120" w:after="120" w:line="240" w:lineRule="auto"/>
        <w:ind w:left="714" w:hanging="357"/>
        <w:contextualSpacing w:val="0"/>
        <w:rPr>
          <w:rFonts w:ascii="Times New Roman" w:hAnsi="Times New Roman" w:cs="Times New Roman"/>
          <w:color w:val="000000"/>
          <w:sz w:val="24"/>
          <w:szCs w:val="24"/>
        </w:rPr>
      </w:pPr>
      <w:r w:rsidRPr="008A4F49">
        <w:rPr>
          <w:rFonts w:ascii="Times New Roman" w:hAnsi="Times New Roman" w:cs="Times New Roman"/>
          <w:color w:val="000000"/>
          <w:sz w:val="24"/>
          <w:szCs w:val="24"/>
        </w:rPr>
        <w:t>estimates, projections and assumptions in methodology determi</w:t>
      </w:r>
      <w:r w:rsidR="00502F57" w:rsidRPr="008A4F49">
        <w:rPr>
          <w:rFonts w:ascii="Times New Roman" w:hAnsi="Times New Roman" w:cs="Times New Roman"/>
          <w:color w:val="000000"/>
          <w:sz w:val="24"/>
          <w:szCs w:val="24"/>
        </w:rPr>
        <w:t>nations</w:t>
      </w:r>
      <w:r w:rsidRPr="008A4F49">
        <w:rPr>
          <w:rFonts w:ascii="Times New Roman" w:hAnsi="Times New Roman" w:cs="Times New Roman"/>
          <w:color w:val="000000"/>
          <w:sz w:val="24"/>
          <w:szCs w:val="24"/>
        </w:rPr>
        <w:t xml:space="preserve"> should be conservative</w:t>
      </w:r>
      <w:r w:rsidR="00DA2782">
        <w:rPr>
          <w:rFonts w:ascii="Times New Roman" w:hAnsi="Times New Roman" w:cs="Times New Roman"/>
          <w:color w:val="000000"/>
          <w:sz w:val="24"/>
          <w:szCs w:val="24"/>
        </w:rPr>
        <w:t xml:space="preserve"> (in the sense of reducing the risk of over-crediting)</w:t>
      </w:r>
      <w:r w:rsidR="00502F57" w:rsidRPr="008A4F49">
        <w:rPr>
          <w:rFonts w:ascii="Times New Roman" w:hAnsi="Times New Roman" w:cs="Times New Roman"/>
          <w:color w:val="000000"/>
          <w:sz w:val="24"/>
          <w:szCs w:val="24"/>
        </w:rPr>
        <w:t>.</w:t>
      </w:r>
    </w:p>
    <w:p w14:paraId="4CDA2DA2" w14:textId="2EB1572A" w:rsidR="007C6E35" w:rsidRDefault="00B34192" w:rsidP="00A20587">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Projects that are </w:t>
      </w:r>
      <w:r w:rsidR="006578DA">
        <w:rPr>
          <w:rFonts w:ascii="Times New Roman" w:hAnsi="Times New Roman" w:cs="Times New Roman"/>
          <w:color w:val="000000"/>
          <w:sz w:val="24"/>
          <w:szCs w:val="24"/>
        </w:rPr>
        <w:t>registered as eligible offsets projects</w:t>
      </w:r>
      <w:r>
        <w:rPr>
          <w:rFonts w:ascii="Times New Roman" w:hAnsi="Times New Roman" w:cs="Times New Roman"/>
          <w:color w:val="000000"/>
          <w:sz w:val="24"/>
          <w:szCs w:val="24"/>
        </w:rPr>
        <w:t xml:space="preserve"> </w:t>
      </w:r>
      <w:r w:rsidR="00BA13B8" w:rsidRPr="00FE6196">
        <w:rPr>
          <w:rFonts w:ascii="Times New Roman" w:hAnsi="Times New Roman" w:cs="Times New Roman"/>
          <w:color w:val="000000"/>
          <w:sz w:val="24"/>
          <w:szCs w:val="24"/>
        </w:rPr>
        <w:t>can generate ACCUs.</w:t>
      </w:r>
      <w:r w:rsidR="00FC78B6">
        <w:rPr>
          <w:rFonts w:ascii="Times New Roman" w:hAnsi="Times New Roman" w:cs="Times New Roman"/>
          <w:color w:val="000000"/>
          <w:sz w:val="24"/>
          <w:szCs w:val="24"/>
        </w:rPr>
        <w:t xml:space="preserve"> </w:t>
      </w:r>
      <w:r w:rsidR="00737579">
        <w:rPr>
          <w:rFonts w:ascii="Times New Roman" w:hAnsi="Times New Roman" w:cs="Times New Roman"/>
          <w:color w:val="000000"/>
          <w:sz w:val="24"/>
          <w:szCs w:val="24"/>
        </w:rPr>
        <w:t xml:space="preserve">ACCUs are </w:t>
      </w:r>
      <w:r w:rsidR="00737579" w:rsidRPr="00737579">
        <w:rPr>
          <w:rFonts w:ascii="Times New Roman" w:hAnsi="Times New Roman" w:cs="Times New Roman"/>
          <w:color w:val="000000"/>
          <w:sz w:val="24"/>
          <w:szCs w:val="24"/>
        </w:rPr>
        <w:t xml:space="preserve">personal property </w:t>
      </w:r>
      <w:r w:rsidR="00737579">
        <w:rPr>
          <w:rFonts w:ascii="Times New Roman" w:hAnsi="Times New Roman" w:cs="Times New Roman"/>
          <w:color w:val="000000"/>
          <w:sz w:val="24"/>
          <w:szCs w:val="24"/>
        </w:rPr>
        <w:t>and, subject to</w:t>
      </w:r>
      <w:r w:rsidR="00CD5B0E">
        <w:rPr>
          <w:rFonts w:ascii="Times New Roman" w:hAnsi="Times New Roman" w:cs="Times New Roman"/>
          <w:color w:val="000000"/>
          <w:sz w:val="24"/>
          <w:szCs w:val="24"/>
        </w:rPr>
        <w:t xml:space="preserve"> sections 152 and 153, are</w:t>
      </w:r>
      <w:r w:rsidR="00737579" w:rsidRPr="00737579">
        <w:rPr>
          <w:rFonts w:ascii="Times New Roman" w:hAnsi="Times New Roman" w:cs="Times New Roman"/>
          <w:color w:val="000000"/>
          <w:sz w:val="24"/>
          <w:szCs w:val="24"/>
        </w:rPr>
        <w:t xml:space="preserve"> transmissible by assignment, by will and by devolution by operation of law</w:t>
      </w:r>
      <w:r w:rsidR="007F498E">
        <w:rPr>
          <w:rFonts w:ascii="Times New Roman" w:hAnsi="Times New Roman" w:cs="Times New Roman"/>
          <w:color w:val="000000"/>
          <w:sz w:val="24"/>
          <w:szCs w:val="24"/>
        </w:rPr>
        <w:t xml:space="preserve">. </w:t>
      </w:r>
      <w:r w:rsidR="007916BF">
        <w:rPr>
          <w:rFonts w:ascii="Times New Roman" w:hAnsi="Times New Roman" w:cs="Times New Roman"/>
          <w:color w:val="000000"/>
          <w:sz w:val="24"/>
          <w:szCs w:val="24"/>
        </w:rPr>
        <w:t xml:space="preserve">Transactions involving ACCUs are </w:t>
      </w:r>
      <w:proofErr w:type="gramStart"/>
      <w:r w:rsidR="003E4135">
        <w:rPr>
          <w:rFonts w:ascii="Times New Roman" w:hAnsi="Times New Roman" w:cs="Times New Roman"/>
          <w:color w:val="000000"/>
          <w:sz w:val="24"/>
          <w:szCs w:val="24"/>
        </w:rPr>
        <w:t>e</w:t>
      </w:r>
      <w:r w:rsidR="007916BF">
        <w:rPr>
          <w:rFonts w:ascii="Times New Roman" w:hAnsi="Times New Roman" w:cs="Times New Roman"/>
          <w:color w:val="000000"/>
          <w:sz w:val="24"/>
          <w:szCs w:val="24"/>
        </w:rPr>
        <w:t>ffected</w:t>
      </w:r>
      <w:proofErr w:type="gramEnd"/>
      <w:r w:rsidR="007916BF">
        <w:rPr>
          <w:rFonts w:ascii="Times New Roman" w:hAnsi="Times New Roman" w:cs="Times New Roman"/>
          <w:color w:val="000000"/>
          <w:sz w:val="24"/>
          <w:szCs w:val="24"/>
        </w:rPr>
        <w:t xml:space="preserve"> through the </w:t>
      </w:r>
      <w:r w:rsidR="007916BF" w:rsidRPr="007916BF">
        <w:rPr>
          <w:rFonts w:ascii="Times New Roman" w:hAnsi="Times New Roman" w:cs="Times New Roman"/>
          <w:color w:val="000000"/>
          <w:sz w:val="24"/>
          <w:szCs w:val="24"/>
        </w:rPr>
        <w:t>Australian National Registry of Emissions Units</w:t>
      </w:r>
      <w:r w:rsidR="00390979">
        <w:rPr>
          <w:rFonts w:ascii="Times New Roman" w:hAnsi="Times New Roman" w:cs="Times New Roman"/>
          <w:color w:val="000000"/>
          <w:sz w:val="24"/>
          <w:szCs w:val="24"/>
        </w:rPr>
        <w:t xml:space="preserve">, in accordance with the </w:t>
      </w:r>
      <w:r w:rsidR="00C23576">
        <w:rPr>
          <w:rFonts w:ascii="Times New Roman" w:hAnsi="Times New Roman" w:cs="Times New Roman"/>
          <w:color w:val="000000"/>
          <w:sz w:val="24"/>
          <w:szCs w:val="24"/>
        </w:rPr>
        <w:t xml:space="preserve">provisions of the </w:t>
      </w:r>
      <w:r w:rsidR="00761532">
        <w:rPr>
          <w:rFonts w:ascii="Times New Roman" w:hAnsi="Times New Roman" w:cs="Times New Roman"/>
          <w:color w:val="000000"/>
          <w:sz w:val="24"/>
          <w:szCs w:val="24"/>
        </w:rPr>
        <w:t xml:space="preserve">CFI </w:t>
      </w:r>
      <w:r w:rsidR="00C23576">
        <w:rPr>
          <w:rFonts w:ascii="Times New Roman" w:hAnsi="Times New Roman" w:cs="Times New Roman"/>
          <w:color w:val="000000"/>
          <w:sz w:val="24"/>
          <w:szCs w:val="24"/>
        </w:rPr>
        <w:t xml:space="preserve">Act and </w:t>
      </w:r>
      <w:r w:rsidR="00761532" w:rsidRPr="00761532">
        <w:rPr>
          <w:rFonts w:ascii="Times New Roman" w:hAnsi="Times New Roman" w:cs="Times New Roman"/>
          <w:i/>
          <w:iCs/>
          <w:color w:val="000000"/>
          <w:sz w:val="24"/>
          <w:szCs w:val="24"/>
        </w:rPr>
        <w:t>Australian National Registry of Emissions Units Act 2011</w:t>
      </w:r>
      <w:r w:rsidR="009E6E15">
        <w:rPr>
          <w:rFonts w:ascii="Times New Roman" w:hAnsi="Times New Roman" w:cs="Times New Roman"/>
          <w:color w:val="000000"/>
          <w:sz w:val="24"/>
          <w:szCs w:val="24"/>
        </w:rPr>
        <w:t>.</w:t>
      </w:r>
    </w:p>
    <w:p w14:paraId="029DCA0D" w14:textId="249F1339" w:rsidR="001C192A" w:rsidRPr="00FE6196" w:rsidRDefault="004452FD" w:rsidP="00A20587">
      <w:pPr>
        <w:pStyle w:val="ESHeading"/>
        <w:spacing w:before="120"/>
        <w:rPr>
          <w:b w:val="0"/>
          <w:color w:val="auto"/>
        </w:rPr>
      </w:pPr>
      <w:bookmarkStart w:id="1" w:name="_Toc164439975"/>
      <w:r>
        <w:rPr>
          <w:color w:val="auto"/>
        </w:rPr>
        <w:t>Overview</w:t>
      </w:r>
      <w:r w:rsidR="001C192A" w:rsidRPr="00FE6196">
        <w:rPr>
          <w:color w:val="auto"/>
        </w:rPr>
        <w:t xml:space="preserve"> of the Determination</w:t>
      </w:r>
      <w:bookmarkEnd w:id="1"/>
    </w:p>
    <w:p w14:paraId="73B7267C" w14:textId="3530E343" w:rsidR="00B752E3" w:rsidRDefault="00CA1129"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Th</w:t>
      </w:r>
      <w:r w:rsidR="005978E7" w:rsidRPr="00FE6196">
        <w:rPr>
          <w:rFonts w:ascii="Times New Roman" w:hAnsi="Times New Roman" w:cs="Times New Roman"/>
          <w:sz w:val="24"/>
          <w:szCs w:val="24"/>
        </w:rPr>
        <w:t>e</w:t>
      </w:r>
      <w:r w:rsidR="001C192A" w:rsidRPr="00FE6196">
        <w:rPr>
          <w:rFonts w:ascii="Times New Roman" w:hAnsi="Times New Roman" w:cs="Times New Roman"/>
          <w:sz w:val="24"/>
          <w:szCs w:val="24"/>
        </w:rPr>
        <w:t xml:space="preserve"> Determination </w:t>
      </w:r>
      <w:r w:rsidR="00B752E3">
        <w:rPr>
          <w:rFonts w:ascii="Times New Roman" w:hAnsi="Times New Roman" w:cs="Times New Roman"/>
          <w:sz w:val="24"/>
          <w:szCs w:val="24"/>
        </w:rPr>
        <w:t>contains</w:t>
      </w:r>
      <w:r w:rsidR="001C192A" w:rsidRPr="00FE6196">
        <w:rPr>
          <w:rFonts w:ascii="Times New Roman" w:hAnsi="Times New Roman" w:cs="Times New Roman"/>
          <w:sz w:val="24"/>
          <w:szCs w:val="24"/>
        </w:rPr>
        <w:t xml:space="preserve"> rules for </w:t>
      </w:r>
      <w:r w:rsidR="00B752E3">
        <w:rPr>
          <w:rFonts w:ascii="Times New Roman" w:hAnsi="Times New Roman" w:cs="Times New Roman"/>
          <w:sz w:val="24"/>
          <w:szCs w:val="24"/>
        </w:rPr>
        <w:t>the registration and implementation of INFM projects</w:t>
      </w:r>
      <w:r w:rsidR="00A760BD">
        <w:rPr>
          <w:rFonts w:ascii="Times New Roman" w:hAnsi="Times New Roman" w:cs="Times New Roman"/>
          <w:sz w:val="24"/>
          <w:szCs w:val="24"/>
        </w:rPr>
        <w:t>, covering eligibility, stratification of project areas, the conduct of activities in the project area</w:t>
      </w:r>
      <w:r w:rsidR="00A760BD" w:rsidRPr="00FE6196">
        <w:rPr>
          <w:rFonts w:ascii="Times New Roman" w:hAnsi="Times New Roman" w:cs="Times New Roman"/>
          <w:color w:val="000000"/>
          <w:sz w:val="24"/>
          <w:szCs w:val="24"/>
        </w:rPr>
        <w:t xml:space="preserve">, </w:t>
      </w:r>
      <w:r w:rsidR="00A760BD">
        <w:rPr>
          <w:rFonts w:ascii="Times New Roman" w:hAnsi="Times New Roman" w:cs="Times New Roman"/>
          <w:color w:val="000000"/>
          <w:sz w:val="24"/>
          <w:szCs w:val="24"/>
        </w:rPr>
        <w:t xml:space="preserve">the calculation of the net abatement amount that provides the basis for crediting, </w:t>
      </w:r>
      <w:r w:rsidR="00A760BD" w:rsidRPr="00FE6196">
        <w:rPr>
          <w:rFonts w:ascii="Times New Roman" w:hAnsi="Times New Roman" w:cs="Times New Roman"/>
          <w:color w:val="000000"/>
          <w:sz w:val="24"/>
          <w:szCs w:val="24"/>
        </w:rPr>
        <w:t>reporting</w:t>
      </w:r>
      <w:r w:rsidR="00A760BD">
        <w:rPr>
          <w:rFonts w:ascii="Times New Roman" w:hAnsi="Times New Roman" w:cs="Times New Roman"/>
          <w:color w:val="000000"/>
          <w:sz w:val="24"/>
          <w:szCs w:val="24"/>
        </w:rPr>
        <w:t xml:space="preserve">, </w:t>
      </w:r>
      <w:r w:rsidR="00A760BD" w:rsidRPr="00FE6196">
        <w:rPr>
          <w:rFonts w:ascii="Times New Roman" w:hAnsi="Times New Roman" w:cs="Times New Roman"/>
          <w:color w:val="000000"/>
          <w:sz w:val="24"/>
          <w:szCs w:val="24"/>
        </w:rPr>
        <w:t>record-keeping</w:t>
      </w:r>
      <w:r w:rsidR="00A760BD">
        <w:rPr>
          <w:rFonts w:ascii="Times New Roman" w:hAnsi="Times New Roman" w:cs="Times New Roman"/>
          <w:color w:val="000000"/>
          <w:sz w:val="24"/>
          <w:szCs w:val="24"/>
        </w:rPr>
        <w:t xml:space="preserve"> and </w:t>
      </w:r>
      <w:r w:rsidR="00A760BD" w:rsidRPr="00FE6196">
        <w:rPr>
          <w:rFonts w:ascii="Times New Roman" w:hAnsi="Times New Roman" w:cs="Times New Roman"/>
          <w:color w:val="000000"/>
          <w:sz w:val="24"/>
          <w:szCs w:val="24"/>
        </w:rPr>
        <w:t>monitoring</w:t>
      </w:r>
      <w:r w:rsidR="001C192A" w:rsidRPr="00FE6196">
        <w:rPr>
          <w:rFonts w:ascii="Times New Roman" w:hAnsi="Times New Roman" w:cs="Times New Roman"/>
          <w:sz w:val="24"/>
          <w:szCs w:val="24"/>
        </w:rPr>
        <w:t>.</w:t>
      </w:r>
    </w:p>
    <w:p w14:paraId="33284F97" w14:textId="6A1CC8F0" w:rsidR="00DF1784" w:rsidRPr="00DF1784" w:rsidRDefault="00DF1784" w:rsidP="00A20587">
      <w:pPr>
        <w:spacing w:before="120" w:after="120" w:line="240" w:lineRule="auto"/>
        <w:rPr>
          <w:rFonts w:ascii="Times New Roman" w:hAnsi="Times New Roman" w:cs="Times New Roman"/>
          <w:i/>
          <w:iCs/>
          <w:sz w:val="24"/>
          <w:szCs w:val="24"/>
          <w:u w:val="single"/>
        </w:rPr>
      </w:pPr>
      <w:r w:rsidRPr="00DF1784">
        <w:rPr>
          <w:rFonts w:ascii="Times New Roman" w:hAnsi="Times New Roman" w:cs="Times New Roman"/>
          <w:i/>
          <w:iCs/>
          <w:sz w:val="24"/>
          <w:szCs w:val="24"/>
          <w:u w:val="single"/>
        </w:rPr>
        <w:t>Eligibility</w:t>
      </w:r>
    </w:p>
    <w:p w14:paraId="4EDFC8C0" w14:textId="18E76D71" w:rsidR="00AB4F8A" w:rsidRDefault="001C192A" w:rsidP="00A20587">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Th</w:t>
      </w:r>
      <w:r w:rsidR="005978E7" w:rsidRPr="00FE6196">
        <w:rPr>
          <w:rFonts w:ascii="Times New Roman" w:hAnsi="Times New Roman" w:cs="Times New Roman"/>
          <w:sz w:val="24"/>
          <w:szCs w:val="24"/>
        </w:rPr>
        <w:t>e</w:t>
      </w:r>
      <w:r w:rsidRPr="00FE6196">
        <w:rPr>
          <w:rFonts w:ascii="Times New Roman" w:hAnsi="Times New Roman" w:cs="Times New Roman"/>
          <w:sz w:val="24"/>
          <w:szCs w:val="24"/>
        </w:rPr>
        <w:t xml:space="preserve"> Determination applies to </w:t>
      </w:r>
      <w:r w:rsidR="00AD14E1">
        <w:rPr>
          <w:rFonts w:ascii="Times New Roman" w:hAnsi="Times New Roman" w:cs="Times New Roman"/>
          <w:sz w:val="24"/>
          <w:szCs w:val="24"/>
        </w:rPr>
        <w:t xml:space="preserve">offsets </w:t>
      </w:r>
      <w:r w:rsidRPr="00FE6196">
        <w:rPr>
          <w:rFonts w:ascii="Times New Roman" w:hAnsi="Times New Roman" w:cs="Times New Roman"/>
          <w:sz w:val="24"/>
          <w:szCs w:val="24"/>
        </w:rPr>
        <w:t>projects</w:t>
      </w:r>
      <w:r w:rsidR="00AB4F8A">
        <w:rPr>
          <w:rFonts w:ascii="Times New Roman" w:hAnsi="Times New Roman" w:cs="Times New Roman"/>
          <w:sz w:val="24"/>
          <w:szCs w:val="24"/>
        </w:rPr>
        <w:t xml:space="preserve"> that: </w:t>
      </w:r>
    </w:p>
    <w:p w14:paraId="7A255A18" w14:textId="0D58B9FF" w:rsidR="00AB4F8A" w:rsidRPr="00176874" w:rsidRDefault="00AB4F8A" w:rsidP="009D5A62">
      <w:pPr>
        <w:pStyle w:val="ListParagraph"/>
        <w:numPr>
          <w:ilvl w:val="0"/>
          <w:numId w:val="23"/>
        </w:numPr>
        <w:spacing w:before="120" w:after="120" w:line="240" w:lineRule="auto"/>
        <w:ind w:left="714" w:hanging="357"/>
        <w:contextualSpacing w:val="0"/>
        <w:rPr>
          <w:rFonts w:ascii="Times New Roman" w:hAnsi="Times New Roman" w:cs="Times New Roman"/>
          <w:sz w:val="24"/>
          <w:szCs w:val="24"/>
        </w:rPr>
      </w:pPr>
      <w:r w:rsidRPr="00176874">
        <w:rPr>
          <w:rFonts w:ascii="Times New Roman" w:hAnsi="Times New Roman" w:cs="Times New Roman"/>
          <w:sz w:val="24"/>
          <w:szCs w:val="24"/>
        </w:rPr>
        <w:t>involve a decision of the government of a State to stop or reduce timber harvesting in public native forests</w:t>
      </w:r>
      <w:r>
        <w:rPr>
          <w:rFonts w:ascii="Times New Roman" w:hAnsi="Times New Roman" w:cs="Times New Roman"/>
          <w:sz w:val="24"/>
          <w:szCs w:val="24"/>
        </w:rPr>
        <w:t>, which results in the removal of</w:t>
      </w:r>
      <w:r w:rsidRPr="00176874">
        <w:rPr>
          <w:rFonts w:ascii="Times New Roman" w:hAnsi="Times New Roman" w:cs="Times New Roman"/>
          <w:sz w:val="24"/>
          <w:szCs w:val="24"/>
        </w:rPr>
        <w:t xml:space="preserve"> carbon dioxide from the atmosphere by sequestering additional carbon in trees and debris and </w:t>
      </w:r>
      <w:r>
        <w:rPr>
          <w:rFonts w:ascii="Times New Roman" w:hAnsi="Times New Roman" w:cs="Times New Roman"/>
          <w:sz w:val="24"/>
          <w:szCs w:val="24"/>
        </w:rPr>
        <w:t xml:space="preserve">the </w:t>
      </w:r>
      <w:r w:rsidRPr="00176874">
        <w:rPr>
          <w:rFonts w:ascii="Times New Roman" w:hAnsi="Times New Roman" w:cs="Times New Roman"/>
          <w:sz w:val="24"/>
          <w:szCs w:val="24"/>
        </w:rPr>
        <w:t>avoid</w:t>
      </w:r>
      <w:r>
        <w:rPr>
          <w:rFonts w:ascii="Times New Roman" w:hAnsi="Times New Roman" w:cs="Times New Roman"/>
          <w:sz w:val="24"/>
          <w:szCs w:val="24"/>
        </w:rPr>
        <w:t>ance of the</w:t>
      </w:r>
      <w:r w:rsidRPr="00176874">
        <w:rPr>
          <w:rFonts w:ascii="Times New Roman" w:hAnsi="Times New Roman" w:cs="Times New Roman"/>
          <w:sz w:val="24"/>
          <w:szCs w:val="24"/>
        </w:rPr>
        <w:t xml:space="preserve"> greenhouse gas emissions attributable to timber harvesting; and </w:t>
      </w:r>
    </w:p>
    <w:p w14:paraId="7FD5BC27" w14:textId="345B3CD0" w:rsidR="00644394" w:rsidRPr="00AD14E1" w:rsidRDefault="00AB4F8A" w:rsidP="009D5A62">
      <w:pPr>
        <w:pStyle w:val="ListParagraph"/>
        <w:numPr>
          <w:ilvl w:val="0"/>
          <w:numId w:val="23"/>
        </w:numPr>
        <w:spacing w:before="120" w:after="120" w:line="240" w:lineRule="auto"/>
        <w:ind w:left="714" w:hanging="357"/>
        <w:contextualSpacing w:val="0"/>
        <w:rPr>
          <w:rFonts w:ascii="Times New Roman" w:hAnsi="Times New Roman" w:cs="Times New Roman"/>
          <w:sz w:val="24"/>
          <w:szCs w:val="24"/>
        </w:rPr>
      </w:pPr>
      <w:r w:rsidRPr="00176874">
        <w:rPr>
          <w:rFonts w:ascii="Times New Roman" w:hAnsi="Times New Roman" w:cs="Times New Roman"/>
          <w:sz w:val="24"/>
          <w:szCs w:val="24"/>
        </w:rPr>
        <w:t>can reasonably be expected to result in eligible carbon abatement.</w:t>
      </w:r>
    </w:p>
    <w:p w14:paraId="5DCED304" w14:textId="69DB59C0" w:rsidR="00D20537" w:rsidRDefault="00236CB2" w:rsidP="00A20587">
      <w:pPr>
        <w:spacing w:before="120" w:after="120" w:line="240" w:lineRule="auto"/>
        <w:rPr>
          <w:rFonts w:ascii="Times New Roman" w:hAnsi="Times New Roman" w:cs="Times New Roman"/>
          <w:sz w:val="24"/>
          <w:szCs w:val="24"/>
        </w:rPr>
      </w:pPr>
      <w:r w:rsidRPr="00236CB2">
        <w:rPr>
          <w:rFonts w:ascii="Times New Roman" w:hAnsi="Times New Roman" w:cs="Times New Roman"/>
          <w:sz w:val="24"/>
          <w:szCs w:val="24"/>
        </w:rPr>
        <w:t xml:space="preserve">An </w:t>
      </w:r>
      <w:r w:rsidR="00B07445">
        <w:rPr>
          <w:rFonts w:ascii="Times New Roman" w:hAnsi="Times New Roman" w:cs="Times New Roman"/>
          <w:sz w:val="24"/>
          <w:szCs w:val="24"/>
        </w:rPr>
        <w:t xml:space="preserve">INFM </w:t>
      </w:r>
      <w:r w:rsidRPr="00236CB2">
        <w:rPr>
          <w:rFonts w:ascii="Times New Roman" w:hAnsi="Times New Roman" w:cs="Times New Roman"/>
          <w:sz w:val="24"/>
          <w:szCs w:val="24"/>
        </w:rPr>
        <w:t xml:space="preserve">project to stop timber harvesting </w:t>
      </w:r>
      <w:r w:rsidR="00F45950">
        <w:rPr>
          <w:rFonts w:ascii="Times New Roman" w:hAnsi="Times New Roman" w:cs="Times New Roman"/>
          <w:sz w:val="24"/>
          <w:szCs w:val="24"/>
        </w:rPr>
        <w:t xml:space="preserve">must stop timber harvesting indefinitely </w:t>
      </w:r>
      <w:r w:rsidRPr="00236CB2">
        <w:rPr>
          <w:rFonts w:ascii="Times New Roman" w:hAnsi="Times New Roman" w:cs="Times New Roman"/>
          <w:sz w:val="24"/>
          <w:szCs w:val="24"/>
        </w:rPr>
        <w:t>across the whole of the project area or in one or more parts of the project area</w:t>
      </w:r>
      <w:r w:rsidR="0073662D">
        <w:rPr>
          <w:rFonts w:ascii="Times New Roman" w:hAnsi="Times New Roman" w:cs="Times New Roman"/>
          <w:sz w:val="24"/>
          <w:szCs w:val="24"/>
        </w:rPr>
        <w:t xml:space="preserve">. </w:t>
      </w:r>
      <w:r w:rsidR="00AF55DD">
        <w:rPr>
          <w:rFonts w:ascii="Times New Roman" w:hAnsi="Times New Roman" w:cs="Times New Roman"/>
          <w:sz w:val="24"/>
          <w:szCs w:val="24"/>
        </w:rPr>
        <w:t xml:space="preserve">Areas </w:t>
      </w:r>
      <w:r w:rsidR="00AF55DD" w:rsidRPr="00AF55DD">
        <w:rPr>
          <w:rFonts w:ascii="Times New Roman" w:hAnsi="Times New Roman" w:cs="Times New Roman"/>
          <w:sz w:val="24"/>
          <w:szCs w:val="24"/>
        </w:rPr>
        <w:t xml:space="preserve">in which timber harvesting </w:t>
      </w:r>
      <w:proofErr w:type="gramStart"/>
      <w:r w:rsidR="00AF55DD" w:rsidRPr="00AF55DD">
        <w:rPr>
          <w:rFonts w:ascii="Times New Roman" w:hAnsi="Times New Roman" w:cs="Times New Roman"/>
          <w:sz w:val="24"/>
          <w:szCs w:val="24"/>
        </w:rPr>
        <w:t>is stopped</w:t>
      </w:r>
      <w:proofErr w:type="gramEnd"/>
      <w:r w:rsidR="00AF55DD" w:rsidRPr="00AF55DD">
        <w:rPr>
          <w:rFonts w:ascii="Times New Roman" w:hAnsi="Times New Roman" w:cs="Times New Roman"/>
          <w:sz w:val="24"/>
          <w:szCs w:val="24"/>
        </w:rPr>
        <w:t xml:space="preserve"> as part of an </w:t>
      </w:r>
      <w:r w:rsidR="00B07445">
        <w:rPr>
          <w:rFonts w:ascii="Times New Roman" w:hAnsi="Times New Roman" w:cs="Times New Roman"/>
          <w:sz w:val="24"/>
          <w:szCs w:val="24"/>
        </w:rPr>
        <w:t>INFM</w:t>
      </w:r>
      <w:r w:rsidR="00AF55DD" w:rsidRPr="00AF55DD">
        <w:rPr>
          <w:rFonts w:ascii="Times New Roman" w:hAnsi="Times New Roman" w:cs="Times New Roman"/>
          <w:sz w:val="24"/>
          <w:szCs w:val="24"/>
        </w:rPr>
        <w:t xml:space="preserve"> project </w:t>
      </w:r>
      <w:r w:rsidR="00AF55DD">
        <w:rPr>
          <w:rFonts w:ascii="Times New Roman" w:hAnsi="Times New Roman" w:cs="Times New Roman"/>
          <w:sz w:val="24"/>
          <w:szCs w:val="24"/>
        </w:rPr>
        <w:t>are known as ‘</w:t>
      </w:r>
      <w:r w:rsidR="00AF55DD" w:rsidRPr="00AF55DD">
        <w:rPr>
          <w:rFonts w:ascii="Times New Roman" w:hAnsi="Times New Roman" w:cs="Times New Roman"/>
          <w:sz w:val="24"/>
          <w:szCs w:val="24"/>
        </w:rPr>
        <w:t xml:space="preserve">carbon protection </w:t>
      </w:r>
      <w:proofErr w:type="gramStart"/>
      <w:r w:rsidR="00AF55DD" w:rsidRPr="00AF55DD">
        <w:rPr>
          <w:rFonts w:ascii="Times New Roman" w:hAnsi="Times New Roman" w:cs="Times New Roman"/>
          <w:sz w:val="24"/>
          <w:szCs w:val="24"/>
        </w:rPr>
        <w:t>area</w:t>
      </w:r>
      <w:r w:rsidR="00AF55DD">
        <w:rPr>
          <w:rFonts w:ascii="Times New Roman" w:hAnsi="Times New Roman" w:cs="Times New Roman"/>
          <w:sz w:val="24"/>
          <w:szCs w:val="24"/>
        </w:rPr>
        <w:t>s’</w:t>
      </w:r>
      <w:proofErr w:type="gramEnd"/>
      <w:r w:rsidR="00AF55DD">
        <w:rPr>
          <w:rFonts w:ascii="Times New Roman" w:hAnsi="Times New Roman" w:cs="Times New Roman"/>
          <w:sz w:val="24"/>
          <w:szCs w:val="24"/>
        </w:rPr>
        <w:t>.</w:t>
      </w:r>
      <w:r w:rsidR="00252FAD">
        <w:rPr>
          <w:rFonts w:ascii="Times New Roman" w:hAnsi="Times New Roman" w:cs="Times New Roman"/>
          <w:sz w:val="24"/>
          <w:szCs w:val="24"/>
        </w:rPr>
        <w:t xml:space="preserve"> </w:t>
      </w:r>
    </w:p>
    <w:p w14:paraId="1AB53610" w14:textId="77777777" w:rsidR="00B5630F" w:rsidRDefault="00252FAD"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An INFM</w:t>
      </w:r>
      <w:r w:rsidR="00220BB5" w:rsidRPr="00220BB5">
        <w:rPr>
          <w:rFonts w:ascii="Times New Roman" w:hAnsi="Times New Roman" w:cs="Times New Roman"/>
          <w:sz w:val="24"/>
          <w:szCs w:val="24"/>
        </w:rPr>
        <w:t xml:space="preserve"> project </w:t>
      </w:r>
      <w:r>
        <w:rPr>
          <w:rFonts w:ascii="Times New Roman" w:hAnsi="Times New Roman" w:cs="Times New Roman"/>
          <w:sz w:val="24"/>
          <w:szCs w:val="24"/>
        </w:rPr>
        <w:t xml:space="preserve">that </w:t>
      </w:r>
      <w:r w:rsidR="00220BB5" w:rsidRPr="00220BB5">
        <w:rPr>
          <w:rFonts w:ascii="Times New Roman" w:hAnsi="Times New Roman" w:cs="Times New Roman"/>
          <w:sz w:val="24"/>
          <w:szCs w:val="24"/>
        </w:rPr>
        <w:t>reduce</w:t>
      </w:r>
      <w:r>
        <w:rPr>
          <w:rFonts w:ascii="Times New Roman" w:hAnsi="Times New Roman" w:cs="Times New Roman"/>
          <w:sz w:val="24"/>
          <w:szCs w:val="24"/>
        </w:rPr>
        <w:t>s</w:t>
      </w:r>
      <w:r w:rsidR="00220BB5" w:rsidRPr="00220BB5">
        <w:rPr>
          <w:rFonts w:ascii="Times New Roman" w:hAnsi="Times New Roman" w:cs="Times New Roman"/>
          <w:sz w:val="24"/>
          <w:szCs w:val="24"/>
        </w:rPr>
        <w:t xml:space="preserve"> timber harvesting </w:t>
      </w:r>
      <w:r w:rsidR="00220BB5">
        <w:rPr>
          <w:rFonts w:ascii="Times New Roman" w:hAnsi="Times New Roman" w:cs="Times New Roman"/>
          <w:sz w:val="24"/>
          <w:szCs w:val="24"/>
        </w:rPr>
        <w:t>must reduce</w:t>
      </w:r>
      <w:r w:rsidR="00220BB5" w:rsidRPr="00220BB5">
        <w:rPr>
          <w:rFonts w:ascii="Times New Roman" w:hAnsi="Times New Roman" w:cs="Times New Roman"/>
          <w:sz w:val="24"/>
          <w:szCs w:val="24"/>
        </w:rPr>
        <w:t xml:space="preserve"> the total amount of timber harvesting in the project area by </w:t>
      </w:r>
      <w:r w:rsidR="00403265" w:rsidRPr="00403265">
        <w:rPr>
          <w:rFonts w:ascii="Times New Roman" w:hAnsi="Times New Roman" w:cs="Times New Roman"/>
          <w:sz w:val="24"/>
          <w:szCs w:val="24"/>
        </w:rPr>
        <w:t>deferring harvesting and thereby extending the length of harvest rotations and reducing the volume of wood extracted from the project area over a given period</w:t>
      </w:r>
      <w:r w:rsidR="00B5630F">
        <w:rPr>
          <w:rFonts w:ascii="Times New Roman" w:hAnsi="Times New Roman" w:cs="Times New Roman"/>
          <w:sz w:val="24"/>
          <w:szCs w:val="24"/>
        </w:rPr>
        <w:t xml:space="preserve">. The reduction in timber harvesting can occur </w:t>
      </w:r>
      <w:r w:rsidR="00220BB5" w:rsidRPr="00220BB5">
        <w:rPr>
          <w:rFonts w:ascii="Times New Roman" w:hAnsi="Times New Roman" w:cs="Times New Roman"/>
          <w:sz w:val="24"/>
          <w:szCs w:val="24"/>
        </w:rPr>
        <w:t>across the whole of the project area or only in one or more parts of the project area.</w:t>
      </w:r>
      <w:r w:rsidR="00C66EC9">
        <w:rPr>
          <w:rFonts w:ascii="Times New Roman" w:hAnsi="Times New Roman" w:cs="Times New Roman"/>
          <w:sz w:val="24"/>
          <w:szCs w:val="24"/>
        </w:rPr>
        <w:t xml:space="preserve"> </w:t>
      </w:r>
    </w:p>
    <w:p w14:paraId="0D4E1615" w14:textId="285DF8AA" w:rsidR="00220BB5" w:rsidRDefault="00C66EC9"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INFM projects </w:t>
      </w:r>
      <w:r w:rsidR="00A37803">
        <w:rPr>
          <w:rFonts w:ascii="Times New Roman" w:hAnsi="Times New Roman" w:cs="Times New Roman"/>
          <w:sz w:val="24"/>
          <w:szCs w:val="24"/>
        </w:rPr>
        <w:t xml:space="preserve">can comprise </w:t>
      </w:r>
      <w:r w:rsidR="00220BB5" w:rsidRPr="00220BB5">
        <w:rPr>
          <w:rFonts w:ascii="Times New Roman" w:hAnsi="Times New Roman" w:cs="Times New Roman"/>
          <w:sz w:val="24"/>
          <w:szCs w:val="24"/>
        </w:rPr>
        <w:t>one or more carbon protection areas</w:t>
      </w:r>
      <w:r w:rsidR="00A02B54">
        <w:rPr>
          <w:rFonts w:ascii="Times New Roman" w:hAnsi="Times New Roman" w:cs="Times New Roman"/>
          <w:sz w:val="24"/>
          <w:szCs w:val="24"/>
        </w:rPr>
        <w:t xml:space="preserve"> where </w:t>
      </w:r>
      <w:r w:rsidR="00A02B54" w:rsidRPr="00220BB5">
        <w:rPr>
          <w:rFonts w:ascii="Times New Roman" w:hAnsi="Times New Roman" w:cs="Times New Roman"/>
          <w:sz w:val="24"/>
          <w:szCs w:val="24"/>
        </w:rPr>
        <w:t>timber harvesting i</w:t>
      </w:r>
      <w:r w:rsidR="00A02B54">
        <w:rPr>
          <w:rFonts w:ascii="Times New Roman" w:hAnsi="Times New Roman" w:cs="Times New Roman"/>
          <w:sz w:val="24"/>
          <w:szCs w:val="24"/>
        </w:rPr>
        <w:t>s stopped</w:t>
      </w:r>
      <w:r>
        <w:rPr>
          <w:rFonts w:ascii="Times New Roman" w:hAnsi="Times New Roman" w:cs="Times New Roman"/>
          <w:sz w:val="24"/>
          <w:szCs w:val="24"/>
        </w:rPr>
        <w:t>,</w:t>
      </w:r>
      <w:r w:rsidR="00220BB5" w:rsidRPr="00220BB5">
        <w:rPr>
          <w:rFonts w:ascii="Times New Roman" w:hAnsi="Times New Roman" w:cs="Times New Roman"/>
          <w:sz w:val="24"/>
          <w:szCs w:val="24"/>
        </w:rPr>
        <w:t xml:space="preserve"> and </w:t>
      </w:r>
      <w:r w:rsidR="003F6866">
        <w:rPr>
          <w:rFonts w:ascii="Times New Roman" w:hAnsi="Times New Roman" w:cs="Times New Roman"/>
          <w:sz w:val="24"/>
          <w:szCs w:val="24"/>
        </w:rPr>
        <w:t>a reduction in</w:t>
      </w:r>
      <w:r w:rsidR="00220BB5" w:rsidRPr="00220BB5">
        <w:rPr>
          <w:rFonts w:ascii="Times New Roman" w:hAnsi="Times New Roman" w:cs="Times New Roman"/>
          <w:sz w:val="24"/>
          <w:szCs w:val="24"/>
        </w:rPr>
        <w:t xml:space="preserve"> timber harvesting in other parts of the project area.</w:t>
      </w:r>
    </w:p>
    <w:p w14:paraId="7F1CFD67" w14:textId="5D1D6671" w:rsidR="00DD4DA6" w:rsidRDefault="0075275F"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To be registered under the Determination, </w:t>
      </w:r>
      <w:r w:rsidR="00A71B34">
        <w:rPr>
          <w:rFonts w:ascii="Times New Roman" w:hAnsi="Times New Roman" w:cs="Times New Roman"/>
          <w:sz w:val="24"/>
          <w:szCs w:val="24"/>
        </w:rPr>
        <w:t xml:space="preserve">the </w:t>
      </w:r>
      <w:r w:rsidRPr="0075275F">
        <w:rPr>
          <w:rFonts w:ascii="Times New Roman" w:hAnsi="Times New Roman" w:cs="Times New Roman"/>
          <w:sz w:val="24"/>
          <w:szCs w:val="24"/>
        </w:rPr>
        <w:t xml:space="preserve">project area for the </w:t>
      </w:r>
      <w:r w:rsidR="00A71B34">
        <w:rPr>
          <w:rFonts w:ascii="Times New Roman" w:hAnsi="Times New Roman" w:cs="Times New Roman"/>
          <w:sz w:val="24"/>
          <w:szCs w:val="24"/>
        </w:rPr>
        <w:t>project</w:t>
      </w:r>
      <w:r w:rsidRPr="0075275F">
        <w:rPr>
          <w:rFonts w:ascii="Times New Roman" w:hAnsi="Times New Roman" w:cs="Times New Roman"/>
          <w:sz w:val="24"/>
          <w:szCs w:val="24"/>
        </w:rPr>
        <w:t xml:space="preserve"> must consist only of public native forest</w:t>
      </w:r>
      <w:r w:rsidR="00A71B34">
        <w:rPr>
          <w:rFonts w:ascii="Times New Roman" w:hAnsi="Times New Roman" w:cs="Times New Roman"/>
          <w:sz w:val="24"/>
          <w:szCs w:val="24"/>
        </w:rPr>
        <w:t xml:space="preserve">s </w:t>
      </w:r>
      <w:r w:rsidRPr="0075275F">
        <w:rPr>
          <w:rFonts w:ascii="Times New Roman" w:hAnsi="Times New Roman" w:cs="Times New Roman"/>
          <w:sz w:val="24"/>
          <w:szCs w:val="24"/>
        </w:rPr>
        <w:t>that are designated for commercial forestry use at the time the project is declared as an eligible offsets project</w:t>
      </w:r>
      <w:r w:rsidR="00A71B34">
        <w:rPr>
          <w:rFonts w:ascii="Times New Roman" w:hAnsi="Times New Roman" w:cs="Times New Roman"/>
          <w:sz w:val="24"/>
          <w:szCs w:val="24"/>
        </w:rPr>
        <w:t xml:space="preserve">, </w:t>
      </w:r>
      <w:r w:rsidRPr="0075275F">
        <w:rPr>
          <w:rFonts w:ascii="Times New Roman" w:hAnsi="Times New Roman" w:cs="Times New Roman"/>
          <w:sz w:val="24"/>
          <w:szCs w:val="24"/>
        </w:rPr>
        <w:t>and that were designated for commercial forestry use for at least 10 years before the application was made under the Act for that declaration</w:t>
      </w:r>
      <w:r w:rsidR="00A71B34">
        <w:rPr>
          <w:rFonts w:ascii="Times New Roman" w:hAnsi="Times New Roman" w:cs="Times New Roman"/>
          <w:sz w:val="24"/>
          <w:szCs w:val="24"/>
        </w:rPr>
        <w:t xml:space="preserve">. </w:t>
      </w:r>
      <w:r w:rsidR="00BF6E11" w:rsidRPr="00BF6E11">
        <w:rPr>
          <w:rFonts w:ascii="Times New Roman" w:hAnsi="Times New Roman" w:cs="Times New Roman"/>
          <w:sz w:val="24"/>
          <w:szCs w:val="24"/>
        </w:rPr>
        <w:t>The project area must consist of all public native forests designated for commercial forestry use in at least one whole forestry region</w:t>
      </w:r>
      <w:r w:rsidR="00E05E5A">
        <w:rPr>
          <w:rFonts w:ascii="Times New Roman" w:hAnsi="Times New Roman" w:cs="Times New Roman"/>
          <w:sz w:val="24"/>
          <w:szCs w:val="24"/>
        </w:rPr>
        <w:t xml:space="preserve">. A ‘forestry region’ is </w:t>
      </w:r>
      <w:r w:rsidR="00506C11">
        <w:rPr>
          <w:rFonts w:ascii="Times New Roman" w:hAnsi="Times New Roman" w:cs="Times New Roman"/>
          <w:sz w:val="24"/>
          <w:szCs w:val="24"/>
        </w:rPr>
        <w:t xml:space="preserve">defined </w:t>
      </w:r>
      <w:r w:rsidR="00E05E5A">
        <w:rPr>
          <w:rFonts w:ascii="Times New Roman" w:hAnsi="Times New Roman" w:cs="Times New Roman"/>
          <w:sz w:val="24"/>
          <w:szCs w:val="24"/>
        </w:rPr>
        <w:t xml:space="preserve">under the Determination </w:t>
      </w:r>
      <w:r w:rsidR="00506C11">
        <w:rPr>
          <w:rFonts w:ascii="Times New Roman" w:hAnsi="Times New Roman" w:cs="Times New Roman"/>
          <w:sz w:val="24"/>
          <w:szCs w:val="24"/>
        </w:rPr>
        <w:t>as:</w:t>
      </w:r>
    </w:p>
    <w:p w14:paraId="71717CC9" w14:textId="6F678761" w:rsidR="00506C11" w:rsidRPr="00506C11" w:rsidRDefault="00506C11" w:rsidP="009D5A62">
      <w:pPr>
        <w:pStyle w:val="ListParagraph"/>
        <w:numPr>
          <w:ilvl w:val="0"/>
          <w:numId w:val="13"/>
        </w:numPr>
        <w:spacing w:before="120" w:after="120" w:line="240" w:lineRule="auto"/>
        <w:contextualSpacing w:val="0"/>
        <w:rPr>
          <w:rFonts w:ascii="Times New Roman" w:hAnsi="Times New Roman" w:cs="Times New Roman"/>
          <w:sz w:val="24"/>
          <w:szCs w:val="24"/>
        </w:rPr>
      </w:pPr>
      <w:r w:rsidRPr="00506C11">
        <w:rPr>
          <w:rFonts w:ascii="Times New Roman" w:hAnsi="Times New Roman" w:cs="Times New Roman"/>
          <w:sz w:val="24"/>
          <w:szCs w:val="24"/>
        </w:rPr>
        <w:t xml:space="preserve">a </w:t>
      </w:r>
      <w:r w:rsidR="009912D2" w:rsidRPr="009912D2">
        <w:rPr>
          <w:rFonts w:ascii="Times New Roman" w:hAnsi="Times New Roman" w:cs="Times New Roman"/>
          <w:sz w:val="24"/>
          <w:szCs w:val="24"/>
        </w:rPr>
        <w:t xml:space="preserve">region or regions covered by </w:t>
      </w:r>
      <w:r w:rsidR="009912D2">
        <w:rPr>
          <w:rFonts w:ascii="Times New Roman" w:hAnsi="Times New Roman" w:cs="Times New Roman"/>
          <w:sz w:val="24"/>
          <w:szCs w:val="24"/>
        </w:rPr>
        <w:t xml:space="preserve">a </w:t>
      </w:r>
      <w:r w:rsidRPr="00506C11">
        <w:rPr>
          <w:rFonts w:ascii="Times New Roman" w:hAnsi="Times New Roman" w:cs="Times New Roman"/>
          <w:sz w:val="24"/>
          <w:szCs w:val="24"/>
        </w:rPr>
        <w:t xml:space="preserve">regional forest agreement under the </w:t>
      </w:r>
      <w:r w:rsidRPr="00785D3E">
        <w:rPr>
          <w:rFonts w:ascii="Times New Roman" w:hAnsi="Times New Roman" w:cs="Times New Roman"/>
          <w:i/>
          <w:iCs/>
          <w:sz w:val="24"/>
          <w:szCs w:val="24"/>
        </w:rPr>
        <w:t xml:space="preserve">Regional Forest Agreements Act 2002 </w:t>
      </w:r>
      <w:r w:rsidRPr="00506C11">
        <w:rPr>
          <w:rFonts w:ascii="Times New Roman" w:hAnsi="Times New Roman" w:cs="Times New Roman"/>
          <w:sz w:val="24"/>
          <w:szCs w:val="24"/>
        </w:rPr>
        <w:t>applied on 1 July 2024; or</w:t>
      </w:r>
    </w:p>
    <w:p w14:paraId="0DE182AD" w14:textId="3FB23370" w:rsidR="00506C11" w:rsidRPr="00506C11" w:rsidRDefault="00506C11" w:rsidP="009D5A62">
      <w:pPr>
        <w:pStyle w:val="ListParagraph"/>
        <w:numPr>
          <w:ilvl w:val="0"/>
          <w:numId w:val="13"/>
        </w:numPr>
        <w:spacing w:before="120" w:after="120" w:line="240" w:lineRule="auto"/>
        <w:contextualSpacing w:val="0"/>
        <w:rPr>
          <w:rFonts w:ascii="Times New Roman" w:hAnsi="Times New Roman" w:cs="Times New Roman"/>
          <w:sz w:val="24"/>
          <w:szCs w:val="24"/>
        </w:rPr>
      </w:pPr>
      <w:r w:rsidRPr="00506C11">
        <w:rPr>
          <w:rFonts w:ascii="Times New Roman" w:hAnsi="Times New Roman" w:cs="Times New Roman"/>
          <w:sz w:val="24"/>
          <w:szCs w:val="24"/>
        </w:rPr>
        <w:t xml:space="preserve">in the case of public native forests that </w:t>
      </w:r>
      <w:proofErr w:type="gramStart"/>
      <w:r w:rsidRPr="00506C11">
        <w:rPr>
          <w:rFonts w:ascii="Times New Roman" w:hAnsi="Times New Roman" w:cs="Times New Roman"/>
          <w:sz w:val="24"/>
          <w:szCs w:val="24"/>
        </w:rPr>
        <w:t>are not covered</w:t>
      </w:r>
      <w:proofErr w:type="gramEnd"/>
      <w:r w:rsidRPr="00506C11">
        <w:rPr>
          <w:rFonts w:ascii="Times New Roman" w:hAnsi="Times New Roman" w:cs="Times New Roman"/>
          <w:sz w:val="24"/>
          <w:szCs w:val="24"/>
        </w:rPr>
        <w:t xml:space="preserve"> by any such regional forest agreement - an area of those forests that is not less than 1.5 million hectares and that </w:t>
      </w:r>
      <w:proofErr w:type="gramStart"/>
      <w:r w:rsidRPr="00506C11">
        <w:rPr>
          <w:rFonts w:ascii="Times New Roman" w:hAnsi="Times New Roman" w:cs="Times New Roman"/>
          <w:sz w:val="24"/>
          <w:szCs w:val="24"/>
        </w:rPr>
        <w:t xml:space="preserve">is </w:t>
      </w:r>
      <w:r w:rsidRPr="00506C11">
        <w:rPr>
          <w:rFonts w:ascii="Times New Roman" w:hAnsi="Times New Roman" w:cs="Times New Roman"/>
          <w:sz w:val="24"/>
          <w:szCs w:val="24"/>
        </w:rPr>
        <w:lastRenderedPageBreak/>
        <w:t>designated</w:t>
      </w:r>
      <w:proofErr w:type="gramEnd"/>
      <w:r w:rsidRPr="00506C11">
        <w:rPr>
          <w:rFonts w:ascii="Times New Roman" w:hAnsi="Times New Roman" w:cs="Times New Roman"/>
          <w:sz w:val="24"/>
          <w:szCs w:val="24"/>
        </w:rPr>
        <w:t xml:space="preserve"> by the government of the relevant State as </w:t>
      </w:r>
      <w:proofErr w:type="gramStart"/>
      <w:r w:rsidRPr="00506C11">
        <w:rPr>
          <w:rFonts w:ascii="Times New Roman" w:hAnsi="Times New Roman" w:cs="Times New Roman"/>
          <w:sz w:val="24"/>
          <w:szCs w:val="24"/>
        </w:rPr>
        <w:t>at</w:t>
      </w:r>
      <w:proofErr w:type="gramEnd"/>
      <w:r w:rsidRPr="00506C11">
        <w:rPr>
          <w:rFonts w:ascii="Times New Roman" w:hAnsi="Times New Roman" w:cs="Times New Roman"/>
          <w:sz w:val="24"/>
          <w:szCs w:val="24"/>
        </w:rPr>
        <w:t xml:space="preserve"> 1 July 2024 as an applicable area for the purposes of the management of those forests. </w:t>
      </w:r>
    </w:p>
    <w:p w14:paraId="275D87C6" w14:textId="42C7032B" w:rsidR="009912D2" w:rsidRDefault="006B59B3" w:rsidP="00A20587">
      <w:pPr>
        <w:spacing w:before="120" w:after="120" w:line="240" w:lineRule="auto"/>
        <w:rPr>
          <w:rFonts w:ascii="Times New Roman" w:hAnsi="Times New Roman" w:cs="Times New Roman"/>
          <w:sz w:val="24"/>
          <w:szCs w:val="24"/>
        </w:rPr>
      </w:pPr>
      <w:r w:rsidRPr="006B59B3">
        <w:rPr>
          <w:rFonts w:ascii="Times New Roman" w:hAnsi="Times New Roman" w:cs="Times New Roman"/>
          <w:sz w:val="24"/>
          <w:szCs w:val="24"/>
        </w:rPr>
        <w:t>The definition of forestry region requires that, where a regional forest agreement applies to two or more regions or sub-regions, the regions or sub-regions covered by the agreement must be treated as a single region for the purposes of th</w:t>
      </w:r>
      <w:r>
        <w:rPr>
          <w:rFonts w:ascii="Times New Roman" w:hAnsi="Times New Roman" w:cs="Times New Roman"/>
          <w:sz w:val="24"/>
          <w:szCs w:val="24"/>
        </w:rPr>
        <w:t>e</w:t>
      </w:r>
      <w:r w:rsidRPr="006B59B3">
        <w:rPr>
          <w:rFonts w:ascii="Times New Roman" w:hAnsi="Times New Roman" w:cs="Times New Roman"/>
          <w:sz w:val="24"/>
          <w:szCs w:val="24"/>
        </w:rPr>
        <w:t xml:space="preserve"> </w:t>
      </w:r>
      <w:r>
        <w:rPr>
          <w:rFonts w:ascii="Times New Roman" w:hAnsi="Times New Roman" w:cs="Times New Roman"/>
          <w:sz w:val="24"/>
          <w:szCs w:val="24"/>
        </w:rPr>
        <w:t>D</w:t>
      </w:r>
      <w:r w:rsidRPr="006B59B3">
        <w:rPr>
          <w:rFonts w:ascii="Times New Roman" w:hAnsi="Times New Roman" w:cs="Times New Roman"/>
          <w:sz w:val="24"/>
          <w:szCs w:val="24"/>
        </w:rPr>
        <w:t>etermination</w:t>
      </w:r>
      <w:r>
        <w:rPr>
          <w:rFonts w:ascii="Times New Roman" w:hAnsi="Times New Roman" w:cs="Times New Roman"/>
          <w:sz w:val="24"/>
          <w:szCs w:val="24"/>
        </w:rPr>
        <w:t xml:space="preserve">. </w:t>
      </w:r>
    </w:p>
    <w:p w14:paraId="1697F2B6" w14:textId="71C18022" w:rsidR="00E07B81" w:rsidRDefault="00E07B81" w:rsidP="00A20587">
      <w:pPr>
        <w:spacing w:before="120" w:after="120" w:line="240" w:lineRule="auto"/>
        <w:rPr>
          <w:rFonts w:ascii="Times New Roman" w:hAnsi="Times New Roman" w:cs="Times New Roman"/>
          <w:sz w:val="24"/>
          <w:szCs w:val="24"/>
        </w:rPr>
      </w:pPr>
      <w:r w:rsidRPr="00E07B81">
        <w:rPr>
          <w:rFonts w:ascii="Times New Roman" w:hAnsi="Times New Roman" w:cs="Times New Roman"/>
          <w:sz w:val="24"/>
          <w:szCs w:val="24"/>
        </w:rPr>
        <w:t xml:space="preserve">Requiring projects to </w:t>
      </w:r>
      <w:r>
        <w:rPr>
          <w:rFonts w:ascii="Times New Roman" w:hAnsi="Times New Roman" w:cs="Times New Roman"/>
          <w:sz w:val="24"/>
          <w:szCs w:val="24"/>
        </w:rPr>
        <w:t xml:space="preserve">encompass </w:t>
      </w:r>
      <w:r w:rsidR="0073471A">
        <w:rPr>
          <w:rFonts w:ascii="Times New Roman" w:hAnsi="Times New Roman" w:cs="Times New Roman"/>
          <w:sz w:val="24"/>
          <w:szCs w:val="24"/>
        </w:rPr>
        <w:t>at least one entire forestry region</w:t>
      </w:r>
      <w:r w:rsidRPr="00E07B81">
        <w:rPr>
          <w:rFonts w:ascii="Times New Roman" w:hAnsi="Times New Roman" w:cs="Times New Roman"/>
          <w:sz w:val="24"/>
          <w:szCs w:val="24"/>
        </w:rPr>
        <w:t xml:space="preserve"> reduces the risk that </w:t>
      </w:r>
      <w:r w:rsidR="0073471A">
        <w:rPr>
          <w:rFonts w:ascii="Times New Roman" w:hAnsi="Times New Roman" w:cs="Times New Roman"/>
          <w:sz w:val="24"/>
          <w:szCs w:val="24"/>
        </w:rPr>
        <w:t xml:space="preserve">a </w:t>
      </w:r>
      <w:r w:rsidRPr="00E07B81">
        <w:rPr>
          <w:rFonts w:ascii="Times New Roman" w:hAnsi="Times New Roman" w:cs="Times New Roman"/>
          <w:sz w:val="24"/>
          <w:szCs w:val="24"/>
        </w:rPr>
        <w:t xml:space="preserve">reduction in harvesting in one specific </w:t>
      </w:r>
      <w:r w:rsidR="0073471A">
        <w:rPr>
          <w:rFonts w:ascii="Times New Roman" w:hAnsi="Times New Roman" w:cs="Times New Roman"/>
          <w:sz w:val="24"/>
          <w:szCs w:val="24"/>
        </w:rPr>
        <w:t xml:space="preserve">forest </w:t>
      </w:r>
      <w:r w:rsidRPr="00E07B81">
        <w:rPr>
          <w:rFonts w:ascii="Times New Roman" w:hAnsi="Times New Roman" w:cs="Times New Roman"/>
          <w:sz w:val="24"/>
          <w:szCs w:val="24"/>
        </w:rPr>
        <w:t>area could be substituted with increased harvesting in another area</w:t>
      </w:r>
      <w:r w:rsidR="00363557">
        <w:rPr>
          <w:rFonts w:ascii="Times New Roman" w:hAnsi="Times New Roman" w:cs="Times New Roman"/>
          <w:sz w:val="24"/>
          <w:szCs w:val="24"/>
        </w:rPr>
        <w:t xml:space="preserve"> (i.e. leakage)</w:t>
      </w:r>
      <w:r w:rsidR="0073471A">
        <w:rPr>
          <w:rFonts w:ascii="Times New Roman" w:hAnsi="Times New Roman" w:cs="Times New Roman"/>
          <w:sz w:val="24"/>
          <w:szCs w:val="24"/>
        </w:rPr>
        <w:t>.</w:t>
      </w:r>
      <w:r w:rsidR="002901A6">
        <w:rPr>
          <w:rFonts w:ascii="Times New Roman" w:hAnsi="Times New Roman" w:cs="Times New Roman"/>
          <w:sz w:val="24"/>
          <w:szCs w:val="24"/>
        </w:rPr>
        <w:t xml:space="preserve"> </w:t>
      </w:r>
      <w:r w:rsidR="000A0431">
        <w:rPr>
          <w:rFonts w:ascii="Times New Roman" w:hAnsi="Times New Roman" w:cs="Times New Roman"/>
          <w:sz w:val="24"/>
          <w:szCs w:val="24"/>
        </w:rPr>
        <w:t>It also</w:t>
      </w:r>
      <w:r w:rsidR="000A0431" w:rsidRPr="000A0431">
        <w:rPr>
          <w:rFonts w:ascii="Times New Roman" w:hAnsi="Times New Roman" w:cs="Times New Roman"/>
          <w:sz w:val="24"/>
          <w:szCs w:val="24"/>
        </w:rPr>
        <w:t xml:space="preserve"> increases confidence that forests in the region would be harvested in line with the baseline harvest levels</w:t>
      </w:r>
      <w:r w:rsidR="000A0431">
        <w:rPr>
          <w:rFonts w:ascii="Times New Roman" w:hAnsi="Times New Roman" w:cs="Times New Roman"/>
          <w:sz w:val="24"/>
          <w:szCs w:val="24"/>
        </w:rPr>
        <w:t xml:space="preserve"> (i.e. additionality)</w:t>
      </w:r>
      <w:r w:rsidR="000A0431" w:rsidRPr="000A0431">
        <w:rPr>
          <w:rFonts w:ascii="Times New Roman" w:hAnsi="Times New Roman" w:cs="Times New Roman"/>
          <w:sz w:val="24"/>
          <w:szCs w:val="24"/>
        </w:rPr>
        <w:t>.</w:t>
      </w:r>
    </w:p>
    <w:p w14:paraId="5B40EEF1" w14:textId="46715E0E" w:rsidR="009E19F6" w:rsidRDefault="004950F1"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contains </w:t>
      </w:r>
      <w:r w:rsidR="00721EC7">
        <w:rPr>
          <w:rFonts w:ascii="Times New Roman" w:hAnsi="Times New Roman" w:cs="Times New Roman"/>
          <w:sz w:val="24"/>
          <w:szCs w:val="24"/>
        </w:rPr>
        <w:t xml:space="preserve">several </w:t>
      </w:r>
      <w:r>
        <w:rPr>
          <w:rFonts w:ascii="Times New Roman" w:hAnsi="Times New Roman" w:cs="Times New Roman"/>
          <w:sz w:val="24"/>
          <w:szCs w:val="24"/>
        </w:rPr>
        <w:t>other eligibility requirements that are designed to mi</w:t>
      </w:r>
      <w:r w:rsidR="009E19F6">
        <w:rPr>
          <w:rFonts w:ascii="Times New Roman" w:hAnsi="Times New Roman" w:cs="Times New Roman"/>
          <w:sz w:val="24"/>
          <w:szCs w:val="24"/>
        </w:rPr>
        <w:t>tigate integrity risks related to additionality and leakage. These include the following.</w:t>
      </w:r>
    </w:p>
    <w:p w14:paraId="1F5C61CF" w14:textId="4499A79B" w:rsidR="00BE2528" w:rsidRPr="00FA387E" w:rsidRDefault="007A5927" w:rsidP="00E43863">
      <w:pPr>
        <w:pStyle w:val="ListParagraph"/>
        <w:numPr>
          <w:ilvl w:val="0"/>
          <w:numId w:val="3"/>
        </w:numPr>
        <w:spacing w:before="120" w:after="120" w:line="240" w:lineRule="auto"/>
        <w:contextualSpacing w:val="0"/>
        <w:rPr>
          <w:rFonts w:ascii="Times New Roman" w:hAnsi="Times New Roman" w:cs="Times New Roman"/>
          <w:sz w:val="24"/>
          <w:szCs w:val="24"/>
        </w:rPr>
      </w:pPr>
      <w:r w:rsidRPr="006C3954">
        <w:rPr>
          <w:rFonts w:ascii="Times New Roman" w:hAnsi="Times New Roman" w:cs="Times New Roman"/>
          <w:sz w:val="24"/>
          <w:szCs w:val="24"/>
        </w:rPr>
        <w:t xml:space="preserve">An </w:t>
      </w:r>
      <w:r w:rsidR="00761D71" w:rsidRPr="006C3954">
        <w:rPr>
          <w:rFonts w:ascii="Times New Roman" w:hAnsi="Times New Roman" w:cs="Times New Roman"/>
          <w:sz w:val="24"/>
          <w:szCs w:val="24"/>
        </w:rPr>
        <w:t xml:space="preserve">area </w:t>
      </w:r>
      <w:r w:rsidR="00B463E8" w:rsidRPr="006C3954">
        <w:rPr>
          <w:rFonts w:ascii="Times New Roman" w:hAnsi="Times New Roman" w:cs="Times New Roman"/>
          <w:sz w:val="24"/>
          <w:szCs w:val="24"/>
        </w:rPr>
        <w:t xml:space="preserve">cannot be included in the project area of an INFM </w:t>
      </w:r>
      <w:r w:rsidR="00DD4DA6" w:rsidRPr="006C3954">
        <w:rPr>
          <w:rFonts w:ascii="Times New Roman" w:hAnsi="Times New Roman" w:cs="Times New Roman"/>
          <w:sz w:val="24"/>
          <w:szCs w:val="24"/>
        </w:rPr>
        <w:t>project</w:t>
      </w:r>
      <w:r w:rsidR="00B463E8" w:rsidRPr="006C3954">
        <w:rPr>
          <w:rFonts w:ascii="Times New Roman" w:hAnsi="Times New Roman" w:cs="Times New Roman"/>
          <w:sz w:val="24"/>
          <w:szCs w:val="24"/>
        </w:rPr>
        <w:t xml:space="preserve"> if</w:t>
      </w:r>
      <w:r w:rsidR="00761D71" w:rsidRPr="006C3954">
        <w:rPr>
          <w:rFonts w:ascii="Times New Roman" w:hAnsi="Times New Roman" w:cs="Times New Roman"/>
          <w:sz w:val="24"/>
          <w:szCs w:val="24"/>
        </w:rPr>
        <w:t xml:space="preserve">, at any time </w:t>
      </w:r>
      <w:r w:rsidR="00761D71" w:rsidRPr="00BE2528">
        <w:rPr>
          <w:rFonts w:ascii="Times New Roman" w:hAnsi="Times New Roman" w:cs="Times New Roman"/>
          <w:sz w:val="24"/>
          <w:szCs w:val="24"/>
        </w:rPr>
        <w:t xml:space="preserve">between 1 January 2000 and the date the project is </w:t>
      </w:r>
      <w:r w:rsidR="006578DA">
        <w:rPr>
          <w:rFonts w:ascii="Times New Roman" w:hAnsi="Times New Roman" w:cs="Times New Roman"/>
          <w:sz w:val="24"/>
          <w:szCs w:val="24"/>
        </w:rPr>
        <w:t>registered</w:t>
      </w:r>
      <w:r w:rsidR="00761D71" w:rsidRPr="00BE2528">
        <w:rPr>
          <w:rFonts w:ascii="Times New Roman" w:hAnsi="Times New Roman" w:cs="Times New Roman"/>
          <w:sz w:val="24"/>
          <w:szCs w:val="24"/>
        </w:rPr>
        <w:t xml:space="preserve"> as an eligible offsets project, a law of the Commonwealth or the relevant State stopped timber harvesting in the area (even if the law has since been repealed or amended to remove that prohibition) or the government of the relevant State </w:t>
      </w:r>
      <w:r w:rsidRPr="00BE2528">
        <w:rPr>
          <w:rFonts w:ascii="Times New Roman" w:hAnsi="Times New Roman" w:cs="Times New Roman"/>
          <w:sz w:val="24"/>
          <w:szCs w:val="24"/>
        </w:rPr>
        <w:t>made a decision to</w:t>
      </w:r>
      <w:r w:rsidR="00761D71" w:rsidRPr="00BE2528">
        <w:rPr>
          <w:rFonts w:ascii="Times New Roman" w:hAnsi="Times New Roman" w:cs="Times New Roman"/>
          <w:sz w:val="24"/>
          <w:szCs w:val="24"/>
        </w:rPr>
        <w:t xml:space="preserve"> stop timber harvesting in the area (even if the decision has since been changed to remove that prohibition or the decision was scheduled to take effect after the date this </w:t>
      </w:r>
      <w:r w:rsidR="00B16F23">
        <w:rPr>
          <w:rFonts w:ascii="Times New Roman" w:hAnsi="Times New Roman" w:cs="Times New Roman"/>
          <w:sz w:val="24"/>
          <w:szCs w:val="24"/>
        </w:rPr>
        <w:t>D</w:t>
      </w:r>
      <w:r w:rsidR="00761D71" w:rsidRPr="00BE2528">
        <w:rPr>
          <w:rFonts w:ascii="Times New Roman" w:hAnsi="Times New Roman" w:cs="Times New Roman"/>
          <w:sz w:val="24"/>
          <w:szCs w:val="24"/>
        </w:rPr>
        <w:t>etermination commences).</w:t>
      </w:r>
      <w:r w:rsidR="009A359E">
        <w:rPr>
          <w:rFonts w:ascii="Times New Roman" w:hAnsi="Times New Roman" w:cs="Times New Roman"/>
          <w:sz w:val="24"/>
          <w:szCs w:val="24"/>
        </w:rPr>
        <w:t xml:space="preserve"> </w:t>
      </w:r>
      <w:r w:rsidR="00FA387E">
        <w:rPr>
          <w:rFonts w:ascii="Times New Roman" w:hAnsi="Times New Roman" w:cs="Times New Roman"/>
          <w:sz w:val="24"/>
          <w:szCs w:val="24"/>
        </w:rPr>
        <w:t xml:space="preserve">This does not apply if </w:t>
      </w:r>
      <w:r w:rsidR="009A359E" w:rsidRPr="009A359E">
        <w:rPr>
          <w:rFonts w:ascii="Times New Roman" w:hAnsi="Times New Roman" w:cs="Times New Roman"/>
          <w:sz w:val="24"/>
          <w:szCs w:val="24"/>
        </w:rPr>
        <w:t>the stopping of timber harvesting in the area was an interim or temporary measure to enable an assessment of the suitability of all or any part of the area for inclusion in an eligible offsets project or conservation reserve</w:t>
      </w:r>
      <w:r w:rsidR="00FA387E">
        <w:rPr>
          <w:rFonts w:ascii="Times New Roman" w:hAnsi="Times New Roman" w:cs="Times New Roman"/>
          <w:sz w:val="24"/>
          <w:szCs w:val="24"/>
        </w:rPr>
        <w:t>,</w:t>
      </w:r>
      <w:r w:rsidR="009A359E" w:rsidRPr="009A359E">
        <w:rPr>
          <w:rFonts w:ascii="Times New Roman" w:hAnsi="Times New Roman" w:cs="Times New Roman"/>
          <w:sz w:val="24"/>
          <w:szCs w:val="24"/>
        </w:rPr>
        <w:t xml:space="preserve"> or </w:t>
      </w:r>
      <w:r w:rsidR="009A359E" w:rsidRPr="00FA387E">
        <w:rPr>
          <w:rFonts w:ascii="Times New Roman" w:hAnsi="Times New Roman" w:cs="Times New Roman"/>
          <w:sz w:val="24"/>
          <w:szCs w:val="24"/>
        </w:rPr>
        <w:t xml:space="preserve">the decision to stop timber harvesting in the area was made in connection with an offsets project and on condition that the project is </w:t>
      </w:r>
      <w:r w:rsidR="00172E71">
        <w:rPr>
          <w:rFonts w:ascii="Times New Roman" w:hAnsi="Times New Roman" w:cs="Times New Roman"/>
          <w:sz w:val="24"/>
          <w:szCs w:val="24"/>
        </w:rPr>
        <w:t>registered.</w:t>
      </w:r>
    </w:p>
    <w:p w14:paraId="7FBC36AF" w14:textId="33E0E366" w:rsidR="00FD309F" w:rsidRPr="00FD309F" w:rsidRDefault="00FD309F" w:rsidP="00E43863">
      <w:pPr>
        <w:pStyle w:val="ListParagraph"/>
        <w:numPr>
          <w:ilvl w:val="0"/>
          <w:numId w:val="3"/>
        </w:numPr>
        <w:spacing w:before="120" w:after="120" w:line="240" w:lineRule="auto"/>
        <w:ind w:left="714" w:hanging="357"/>
        <w:contextualSpacing w:val="0"/>
        <w:rPr>
          <w:rFonts w:ascii="Times New Roman" w:hAnsi="Times New Roman" w:cs="Times New Roman"/>
          <w:sz w:val="24"/>
          <w:szCs w:val="24"/>
        </w:rPr>
      </w:pPr>
      <w:r w:rsidRPr="006C3954">
        <w:rPr>
          <w:rFonts w:ascii="Times New Roman" w:hAnsi="Times New Roman" w:cs="Times New Roman"/>
          <w:sz w:val="24"/>
          <w:szCs w:val="24"/>
        </w:rPr>
        <w:t xml:space="preserve">The cessation or reduction of timber harvesting that constitutes the project must not be required under a law of the Commonwealth or the relevant State that is in force when the </w:t>
      </w:r>
      <w:r w:rsidR="006267F1">
        <w:rPr>
          <w:rFonts w:ascii="Times New Roman" w:hAnsi="Times New Roman" w:cs="Times New Roman"/>
          <w:sz w:val="24"/>
          <w:szCs w:val="24"/>
        </w:rPr>
        <w:t>registration decision</w:t>
      </w:r>
      <w:r w:rsidRPr="006C3954">
        <w:rPr>
          <w:rFonts w:ascii="Times New Roman" w:hAnsi="Times New Roman" w:cs="Times New Roman"/>
          <w:sz w:val="24"/>
          <w:szCs w:val="24"/>
        </w:rPr>
        <w:t xml:space="preserve"> is to be made or that was in force at any time between 1 January 2000 and the date that the </w:t>
      </w:r>
      <w:r w:rsidR="006267F1">
        <w:rPr>
          <w:rFonts w:ascii="Times New Roman" w:hAnsi="Times New Roman" w:cs="Times New Roman"/>
          <w:sz w:val="24"/>
          <w:szCs w:val="24"/>
        </w:rPr>
        <w:t>registration decision</w:t>
      </w:r>
      <w:r w:rsidRPr="006C3954">
        <w:rPr>
          <w:rFonts w:ascii="Times New Roman" w:hAnsi="Times New Roman" w:cs="Times New Roman"/>
          <w:sz w:val="24"/>
          <w:szCs w:val="24"/>
        </w:rPr>
        <w:t xml:space="preserve"> is to be made. </w:t>
      </w:r>
      <w:r w:rsidR="00FB0D4F">
        <w:rPr>
          <w:rFonts w:ascii="Times New Roman" w:hAnsi="Times New Roman" w:cs="Times New Roman"/>
          <w:sz w:val="24"/>
          <w:szCs w:val="24"/>
        </w:rPr>
        <w:t xml:space="preserve">This does not apply </w:t>
      </w:r>
      <w:r w:rsidR="00FB0D4F" w:rsidRPr="00FB0D4F">
        <w:rPr>
          <w:rFonts w:ascii="Times New Roman" w:hAnsi="Times New Roman" w:cs="Times New Roman"/>
          <w:sz w:val="24"/>
          <w:szCs w:val="24"/>
        </w:rPr>
        <w:t>if the law requiring the stopping or reduction of timber harvesting was an interim or temporary measure to enable an assessment of the suitability of all or any part of the area for inclusion in an eligible offsets project or conservation reserve and the law has since been repealed or amended to remove the requirement to stop or reduce timber harvesting</w:t>
      </w:r>
      <w:r w:rsidR="00CF5972">
        <w:rPr>
          <w:rFonts w:ascii="Times New Roman" w:hAnsi="Times New Roman" w:cs="Times New Roman"/>
          <w:sz w:val="24"/>
          <w:szCs w:val="24"/>
        </w:rPr>
        <w:t>.</w:t>
      </w:r>
    </w:p>
    <w:p w14:paraId="1E9F5ACB" w14:textId="2CC8B66C" w:rsidR="00BE2528" w:rsidRDefault="00BE2528" w:rsidP="00E43863">
      <w:pPr>
        <w:pStyle w:val="ListParagraph"/>
        <w:numPr>
          <w:ilvl w:val="0"/>
          <w:numId w:val="3"/>
        </w:numPr>
        <w:spacing w:before="120" w:after="120" w:line="240" w:lineRule="auto"/>
        <w:ind w:left="714" w:hanging="357"/>
        <w:contextualSpacing w:val="0"/>
        <w:rPr>
          <w:rFonts w:ascii="Times New Roman" w:hAnsi="Times New Roman" w:cs="Times New Roman"/>
          <w:sz w:val="24"/>
          <w:szCs w:val="24"/>
        </w:rPr>
      </w:pPr>
      <w:r w:rsidRPr="00BE2528">
        <w:rPr>
          <w:rFonts w:ascii="Times New Roman" w:hAnsi="Times New Roman" w:cs="Times New Roman"/>
          <w:sz w:val="24"/>
          <w:szCs w:val="24"/>
        </w:rPr>
        <w:t xml:space="preserve">The public native forests in the project area must have a sustainable yield that was published by a relevant State government agency </w:t>
      </w:r>
      <w:r w:rsidR="00F457B9">
        <w:rPr>
          <w:rFonts w:ascii="Times New Roman" w:hAnsi="Times New Roman" w:cs="Times New Roman"/>
          <w:sz w:val="24"/>
          <w:szCs w:val="24"/>
        </w:rPr>
        <w:t>between</w:t>
      </w:r>
      <w:r w:rsidR="00DA1181" w:rsidRPr="00DA1181">
        <w:rPr>
          <w:rFonts w:ascii="Times New Roman" w:hAnsi="Times New Roman" w:cs="Times New Roman"/>
          <w:sz w:val="24"/>
          <w:szCs w:val="24"/>
        </w:rPr>
        <w:t xml:space="preserve"> 1 July 2014 to 30 June 2024</w:t>
      </w:r>
      <w:r w:rsidRPr="00BE2528">
        <w:rPr>
          <w:rFonts w:ascii="Times New Roman" w:hAnsi="Times New Roman" w:cs="Times New Roman"/>
          <w:sz w:val="24"/>
          <w:szCs w:val="24"/>
        </w:rPr>
        <w:t>.</w:t>
      </w:r>
      <w:r w:rsidR="007A5CA7">
        <w:rPr>
          <w:rFonts w:ascii="Times New Roman" w:hAnsi="Times New Roman" w:cs="Times New Roman"/>
          <w:sz w:val="24"/>
          <w:szCs w:val="24"/>
        </w:rPr>
        <w:t xml:space="preserve"> </w:t>
      </w:r>
      <w:r w:rsidRPr="007A5CA7">
        <w:rPr>
          <w:rFonts w:ascii="Times New Roman" w:hAnsi="Times New Roman" w:cs="Times New Roman"/>
          <w:sz w:val="24"/>
          <w:szCs w:val="24"/>
        </w:rPr>
        <w:t xml:space="preserve">The sustainable yield must cover each financial year in the period of 15 years from the </w:t>
      </w:r>
      <w:r w:rsidR="005125B9">
        <w:rPr>
          <w:rFonts w:ascii="Times New Roman" w:hAnsi="Times New Roman" w:cs="Times New Roman"/>
          <w:sz w:val="24"/>
          <w:szCs w:val="24"/>
        </w:rPr>
        <w:t>date of project registration</w:t>
      </w:r>
      <w:r w:rsidR="000C00FF">
        <w:rPr>
          <w:rFonts w:ascii="Times New Roman" w:hAnsi="Times New Roman" w:cs="Times New Roman"/>
          <w:sz w:val="24"/>
          <w:szCs w:val="24"/>
        </w:rPr>
        <w:t>.</w:t>
      </w:r>
    </w:p>
    <w:p w14:paraId="2F5A5EF5" w14:textId="7882F7BC" w:rsidR="009C21B7" w:rsidRPr="007A5CA7" w:rsidRDefault="009143DE" w:rsidP="00E43863">
      <w:pPr>
        <w:pStyle w:val="ListParagraph"/>
        <w:numPr>
          <w:ilvl w:val="0"/>
          <w:numId w:val="3"/>
        </w:numPr>
        <w:spacing w:before="120" w:after="120" w:line="240" w:lineRule="auto"/>
        <w:ind w:left="714" w:hanging="357"/>
        <w:contextualSpacing w:val="0"/>
        <w:rPr>
          <w:rFonts w:ascii="Times New Roman" w:hAnsi="Times New Roman" w:cs="Times New Roman"/>
          <w:sz w:val="24"/>
          <w:szCs w:val="24"/>
        </w:rPr>
      </w:pPr>
      <w:r w:rsidRPr="009143DE">
        <w:rPr>
          <w:rFonts w:ascii="Times New Roman" w:hAnsi="Times New Roman" w:cs="Times New Roman"/>
          <w:sz w:val="24"/>
          <w:szCs w:val="24"/>
        </w:rPr>
        <w:t xml:space="preserve">The stopping </w:t>
      </w:r>
      <w:r>
        <w:rPr>
          <w:rFonts w:ascii="Times New Roman" w:hAnsi="Times New Roman" w:cs="Times New Roman"/>
          <w:sz w:val="24"/>
          <w:szCs w:val="24"/>
        </w:rPr>
        <w:t xml:space="preserve">of, </w:t>
      </w:r>
      <w:r w:rsidRPr="009143DE">
        <w:rPr>
          <w:rFonts w:ascii="Times New Roman" w:hAnsi="Times New Roman" w:cs="Times New Roman"/>
          <w:sz w:val="24"/>
          <w:szCs w:val="24"/>
        </w:rPr>
        <w:t xml:space="preserve">or reduction </w:t>
      </w:r>
      <w:r>
        <w:rPr>
          <w:rFonts w:ascii="Times New Roman" w:hAnsi="Times New Roman" w:cs="Times New Roman"/>
          <w:sz w:val="24"/>
          <w:szCs w:val="24"/>
        </w:rPr>
        <w:t>in,</w:t>
      </w:r>
      <w:r w:rsidRPr="009143DE">
        <w:rPr>
          <w:rFonts w:ascii="Times New Roman" w:hAnsi="Times New Roman" w:cs="Times New Roman"/>
          <w:sz w:val="24"/>
          <w:szCs w:val="24"/>
        </w:rPr>
        <w:t xml:space="preserve"> timber harvesting </w:t>
      </w:r>
      <w:r w:rsidR="00DE5585">
        <w:rPr>
          <w:rFonts w:ascii="Times New Roman" w:hAnsi="Times New Roman" w:cs="Times New Roman"/>
          <w:sz w:val="24"/>
          <w:szCs w:val="24"/>
        </w:rPr>
        <w:t xml:space="preserve">that constitute the project activities </w:t>
      </w:r>
      <w:r w:rsidRPr="009143DE">
        <w:rPr>
          <w:rFonts w:ascii="Times New Roman" w:hAnsi="Times New Roman" w:cs="Times New Roman"/>
          <w:sz w:val="24"/>
          <w:szCs w:val="24"/>
        </w:rPr>
        <w:t>must be likely to achieve a reduction in the volume of wood extracted from the project area</w:t>
      </w:r>
      <w:r w:rsidR="00520B54">
        <w:rPr>
          <w:rFonts w:ascii="Times New Roman" w:hAnsi="Times New Roman" w:cs="Times New Roman"/>
          <w:sz w:val="24"/>
          <w:szCs w:val="24"/>
        </w:rPr>
        <w:t>,</w:t>
      </w:r>
      <w:r w:rsidRPr="009143DE">
        <w:rPr>
          <w:rFonts w:ascii="Times New Roman" w:hAnsi="Times New Roman" w:cs="Times New Roman"/>
          <w:sz w:val="24"/>
          <w:szCs w:val="24"/>
        </w:rPr>
        <w:t xml:space="preserve"> during each </w:t>
      </w:r>
      <w:r w:rsidR="00F457B9">
        <w:rPr>
          <w:rFonts w:ascii="Times New Roman" w:hAnsi="Times New Roman" w:cs="Times New Roman"/>
          <w:sz w:val="24"/>
          <w:szCs w:val="24"/>
        </w:rPr>
        <w:t>12</w:t>
      </w:r>
      <w:r w:rsidR="00A03373">
        <w:rPr>
          <w:rFonts w:ascii="Times New Roman" w:hAnsi="Times New Roman" w:cs="Times New Roman"/>
          <w:sz w:val="24"/>
          <w:szCs w:val="24"/>
        </w:rPr>
        <w:t xml:space="preserve"> </w:t>
      </w:r>
      <w:r w:rsidRPr="009143DE">
        <w:rPr>
          <w:rFonts w:ascii="Times New Roman" w:hAnsi="Times New Roman" w:cs="Times New Roman"/>
          <w:sz w:val="24"/>
          <w:szCs w:val="24"/>
        </w:rPr>
        <w:t>month</w:t>
      </w:r>
      <w:r w:rsidR="00F457B9">
        <w:rPr>
          <w:rFonts w:ascii="Times New Roman" w:hAnsi="Times New Roman" w:cs="Times New Roman"/>
          <w:sz w:val="24"/>
          <w:szCs w:val="24"/>
        </w:rPr>
        <w:t>s</w:t>
      </w:r>
      <w:r w:rsidRPr="009143DE">
        <w:rPr>
          <w:rFonts w:ascii="Times New Roman" w:hAnsi="Times New Roman" w:cs="Times New Roman"/>
          <w:sz w:val="24"/>
          <w:szCs w:val="24"/>
        </w:rPr>
        <w:t xml:space="preserve"> of the crediting period, that meets the hurdle requirement </w:t>
      </w:r>
      <w:r w:rsidR="00B41A0B">
        <w:rPr>
          <w:rFonts w:ascii="Times New Roman" w:hAnsi="Times New Roman" w:cs="Times New Roman"/>
          <w:sz w:val="24"/>
          <w:szCs w:val="24"/>
        </w:rPr>
        <w:t>in</w:t>
      </w:r>
      <w:r w:rsidRPr="009143DE">
        <w:rPr>
          <w:rFonts w:ascii="Times New Roman" w:hAnsi="Times New Roman" w:cs="Times New Roman"/>
          <w:sz w:val="24"/>
          <w:szCs w:val="24"/>
        </w:rPr>
        <w:t xml:space="preserve"> </w:t>
      </w:r>
      <w:r w:rsidR="00D56F9B">
        <w:rPr>
          <w:rFonts w:ascii="Times New Roman" w:hAnsi="Times New Roman" w:cs="Times New Roman"/>
          <w:sz w:val="24"/>
          <w:szCs w:val="24"/>
        </w:rPr>
        <w:t>sub</w:t>
      </w:r>
      <w:r w:rsidRPr="009143DE">
        <w:rPr>
          <w:rFonts w:ascii="Times New Roman" w:hAnsi="Times New Roman" w:cs="Times New Roman"/>
          <w:sz w:val="24"/>
          <w:szCs w:val="24"/>
        </w:rPr>
        <w:t>section 4</w:t>
      </w:r>
      <w:r w:rsidR="0017176D">
        <w:rPr>
          <w:rFonts w:ascii="Times New Roman" w:hAnsi="Times New Roman" w:cs="Times New Roman"/>
          <w:sz w:val="24"/>
          <w:szCs w:val="24"/>
        </w:rPr>
        <w:t>5</w:t>
      </w:r>
      <w:r w:rsidR="005639C7">
        <w:rPr>
          <w:rFonts w:ascii="Times New Roman" w:hAnsi="Times New Roman" w:cs="Times New Roman"/>
          <w:sz w:val="24"/>
          <w:szCs w:val="24"/>
        </w:rPr>
        <w:t>(1)</w:t>
      </w:r>
      <w:r w:rsidR="00B41A0B">
        <w:rPr>
          <w:rFonts w:ascii="Times New Roman" w:hAnsi="Times New Roman" w:cs="Times New Roman"/>
          <w:sz w:val="24"/>
          <w:szCs w:val="24"/>
        </w:rPr>
        <w:t xml:space="preserve">. </w:t>
      </w:r>
      <w:r w:rsidR="00817036" w:rsidRPr="00254808">
        <w:rPr>
          <w:rFonts w:ascii="Times New Roman" w:hAnsi="Times New Roman" w:cs="Times New Roman"/>
          <w:sz w:val="24"/>
          <w:szCs w:val="24"/>
        </w:rPr>
        <w:t>The hur</w:t>
      </w:r>
      <w:r w:rsidR="003A0037">
        <w:rPr>
          <w:rFonts w:ascii="Times New Roman" w:hAnsi="Times New Roman" w:cs="Times New Roman"/>
          <w:sz w:val="24"/>
          <w:szCs w:val="24"/>
        </w:rPr>
        <w:t>d</w:t>
      </w:r>
      <w:r w:rsidR="00E053D4" w:rsidRPr="00254808">
        <w:rPr>
          <w:rFonts w:ascii="Times New Roman" w:hAnsi="Times New Roman" w:cs="Times New Roman"/>
          <w:sz w:val="24"/>
          <w:szCs w:val="24"/>
        </w:rPr>
        <w:t>le</w:t>
      </w:r>
      <w:r w:rsidR="00817036" w:rsidRPr="00254808">
        <w:rPr>
          <w:rFonts w:ascii="Times New Roman" w:hAnsi="Times New Roman" w:cs="Times New Roman"/>
          <w:sz w:val="24"/>
          <w:szCs w:val="24"/>
        </w:rPr>
        <w:t xml:space="preserve"> requirement in </w:t>
      </w:r>
      <w:r w:rsidR="00D56F9B">
        <w:rPr>
          <w:rFonts w:ascii="Times New Roman" w:hAnsi="Times New Roman" w:cs="Times New Roman"/>
          <w:sz w:val="24"/>
          <w:szCs w:val="24"/>
        </w:rPr>
        <w:t>sub</w:t>
      </w:r>
      <w:r w:rsidR="00817036" w:rsidRPr="00254808">
        <w:rPr>
          <w:rFonts w:ascii="Times New Roman" w:hAnsi="Times New Roman" w:cs="Times New Roman"/>
          <w:sz w:val="24"/>
          <w:szCs w:val="24"/>
        </w:rPr>
        <w:t>section 4</w:t>
      </w:r>
      <w:r w:rsidR="0017176D">
        <w:rPr>
          <w:rFonts w:ascii="Times New Roman" w:hAnsi="Times New Roman" w:cs="Times New Roman"/>
          <w:sz w:val="24"/>
          <w:szCs w:val="24"/>
        </w:rPr>
        <w:t>5</w:t>
      </w:r>
      <w:r w:rsidR="00817036" w:rsidRPr="00254808">
        <w:rPr>
          <w:rFonts w:ascii="Times New Roman" w:hAnsi="Times New Roman" w:cs="Times New Roman"/>
          <w:sz w:val="24"/>
          <w:szCs w:val="24"/>
        </w:rPr>
        <w:t xml:space="preserve">(1) </w:t>
      </w:r>
      <w:r w:rsidR="00474900" w:rsidRPr="00254808">
        <w:rPr>
          <w:rFonts w:ascii="Times New Roman" w:hAnsi="Times New Roman" w:cs="Times New Roman"/>
          <w:sz w:val="24"/>
          <w:szCs w:val="24"/>
        </w:rPr>
        <w:t>specifies that</w:t>
      </w:r>
      <w:r w:rsidR="00817036" w:rsidRPr="00254808">
        <w:rPr>
          <w:rFonts w:ascii="Times New Roman" w:hAnsi="Times New Roman" w:cs="Times New Roman"/>
          <w:sz w:val="24"/>
          <w:szCs w:val="24"/>
        </w:rPr>
        <w:t xml:space="preserve"> </w:t>
      </w:r>
      <w:r w:rsidR="00FC7AE4" w:rsidRPr="00254808">
        <w:rPr>
          <w:rFonts w:ascii="Times New Roman" w:hAnsi="Times New Roman" w:cs="Times New Roman"/>
          <w:sz w:val="24"/>
          <w:szCs w:val="24"/>
        </w:rPr>
        <w:t>the</w:t>
      </w:r>
      <w:r w:rsidR="00183DA8" w:rsidRPr="00254808">
        <w:rPr>
          <w:rFonts w:ascii="Times New Roman" w:hAnsi="Times New Roman" w:cs="Times New Roman"/>
          <w:sz w:val="24"/>
          <w:szCs w:val="24"/>
        </w:rPr>
        <w:t xml:space="preserve"> net abatement amount </w:t>
      </w:r>
      <w:r w:rsidR="00FC7AE4" w:rsidRPr="00254808">
        <w:rPr>
          <w:rFonts w:ascii="Times New Roman" w:hAnsi="Times New Roman" w:cs="Times New Roman"/>
          <w:sz w:val="24"/>
          <w:szCs w:val="24"/>
        </w:rPr>
        <w:t>for a</w:t>
      </w:r>
      <w:r w:rsidR="00183DA8" w:rsidRPr="00254808">
        <w:rPr>
          <w:rFonts w:ascii="Times New Roman" w:hAnsi="Times New Roman" w:cs="Times New Roman"/>
          <w:sz w:val="24"/>
          <w:szCs w:val="24"/>
        </w:rPr>
        <w:t xml:space="preserve"> reporting period </w:t>
      </w:r>
      <w:r w:rsidR="00FC7AE4" w:rsidRPr="00254808">
        <w:rPr>
          <w:rFonts w:ascii="Times New Roman" w:hAnsi="Times New Roman" w:cs="Times New Roman"/>
          <w:sz w:val="24"/>
          <w:szCs w:val="24"/>
        </w:rPr>
        <w:t xml:space="preserve">is zero </w:t>
      </w:r>
      <w:r w:rsidR="001F778D" w:rsidRPr="00254808">
        <w:rPr>
          <w:rFonts w:ascii="Times New Roman" w:hAnsi="Times New Roman" w:cs="Times New Roman"/>
          <w:sz w:val="24"/>
          <w:szCs w:val="24"/>
        </w:rPr>
        <w:t xml:space="preserve">(i.e. the project does not receive any ACCUs) </w:t>
      </w:r>
      <w:r w:rsidR="00183DA8" w:rsidRPr="00254808">
        <w:rPr>
          <w:rFonts w:ascii="Times New Roman" w:hAnsi="Times New Roman" w:cs="Times New Roman"/>
          <w:sz w:val="24"/>
          <w:szCs w:val="24"/>
        </w:rPr>
        <w:t xml:space="preserve">unless the volume of wood extracted from the project area during each </w:t>
      </w:r>
      <w:r w:rsidR="002D6ECA" w:rsidRPr="00254808">
        <w:rPr>
          <w:rFonts w:ascii="Times New Roman" w:hAnsi="Times New Roman" w:cs="Times New Roman"/>
          <w:sz w:val="24"/>
          <w:szCs w:val="24"/>
        </w:rPr>
        <w:t>12</w:t>
      </w:r>
      <w:r w:rsidR="00183DA8" w:rsidRPr="00254808">
        <w:rPr>
          <w:rFonts w:ascii="Times New Roman" w:hAnsi="Times New Roman" w:cs="Times New Roman"/>
          <w:sz w:val="24"/>
          <w:szCs w:val="24"/>
        </w:rPr>
        <w:t xml:space="preserve"> month</w:t>
      </w:r>
      <w:r w:rsidR="00C832D3" w:rsidRPr="00254808">
        <w:rPr>
          <w:rFonts w:ascii="Times New Roman" w:hAnsi="Times New Roman" w:cs="Times New Roman"/>
          <w:sz w:val="24"/>
          <w:szCs w:val="24"/>
        </w:rPr>
        <w:t xml:space="preserve"> </w:t>
      </w:r>
      <w:r w:rsidR="00AD2B9A" w:rsidRPr="00254808">
        <w:rPr>
          <w:rFonts w:ascii="Times New Roman" w:hAnsi="Times New Roman" w:cs="Times New Roman"/>
          <w:sz w:val="24"/>
          <w:szCs w:val="24"/>
        </w:rPr>
        <w:t xml:space="preserve">period </w:t>
      </w:r>
      <w:r w:rsidR="00BB72B4" w:rsidRPr="00254808">
        <w:rPr>
          <w:rFonts w:ascii="Times New Roman" w:hAnsi="Times New Roman" w:cs="Times New Roman"/>
          <w:sz w:val="24"/>
          <w:szCs w:val="24"/>
        </w:rPr>
        <w:t>(or part thereof</w:t>
      </w:r>
      <w:r w:rsidR="00254808" w:rsidRPr="00254808">
        <w:rPr>
          <w:rFonts w:ascii="Times New Roman" w:hAnsi="Times New Roman" w:cs="Times New Roman"/>
          <w:sz w:val="24"/>
          <w:szCs w:val="24"/>
        </w:rPr>
        <w:t xml:space="preserve"> </w:t>
      </w:r>
      <w:r w:rsidR="00254808" w:rsidRPr="00254808">
        <w:rPr>
          <w:rFonts w:ascii="Times New Roman" w:hAnsi="Times New Roman" w:cs="Times New Roman"/>
          <w:bCs/>
          <w:sz w:val="24"/>
          <w:szCs w:val="24"/>
        </w:rPr>
        <w:t>if the final part of the reporting period is less than 12 months</w:t>
      </w:r>
      <w:r w:rsidR="00BB72B4" w:rsidRPr="00254808">
        <w:rPr>
          <w:rFonts w:ascii="Times New Roman" w:hAnsi="Times New Roman" w:cs="Times New Roman"/>
          <w:sz w:val="24"/>
          <w:szCs w:val="24"/>
        </w:rPr>
        <w:t xml:space="preserve">) </w:t>
      </w:r>
      <w:r w:rsidR="00183DA8" w:rsidRPr="00254808">
        <w:rPr>
          <w:rFonts w:ascii="Times New Roman" w:hAnsi="Times New Roman" w:cs="Times New Roman"/>
          <w:sz w:val="24"/>
          <w:szCs w:val="24"/>
        </w:rPr>
        <w:t>of the reporting period is at least 20% less</w:t>
      </w:r>
      <w:r w:rsidR="00183DA8" w:rsidRPr="00183DA8">
        <w:rPr>
          <w:rFonts w:ascii="Times New Roman" w:hAnsi="Times New Roman" w:cs="Times New Roman"/>
          <w:sz w:val="24"/>
          <w:szCs w:val="24"/>
        </w:rPr>
        <w:t xml:space="preserve"> than the levels in the baseline scenario for that </w:t>
      </w:r>
      <w:r w:rsidR="00C832D3">
        <w:rPr>
          <w:rFonts w:ascii="Times New Roman" w:hAnsi="Times New Roman" w:cs="Times New Roman"/>
          <w:sz w:val="24"/>
          <w:szCs w:val="24"/>
        </w:rPr>
        <w:t>12</w:t>
      </w:r>
      <w:r w:rsidR="00183DA8" w:rsidRPr="00183DA8">
        <w:rPr>
          <w:rFonts w:ascii="Times New Roman" w:hAnsi="Times New Roman" w:cs="Times New Roman"/>
          <w:sz w:val="24"/>
          <w:szCs w:val="24"/>
        </w:rPr>
        <w:t xml:space="preserve"> month </w:t>
      </w:r>
      <w:r w:rsidR="00C832D3">
        <w:rPr>
          <w:rFonts w:ascii="Times New Roman" w:hAnsi="Times New Roman" w:cs="Times New Roman"/>
          <w:sz w:val="24"/>
          <w:szCs w:val="24"/>
        </w:rPr>
        <w:t>period</w:t>
      </w:r>
      <w:r w:rsidR="00183DA8">
        <w:rPr>
          <w:rFonts w:ascii="Times New Roman" w:hAnsi="Times New Roman" w:cs="Times New Roman"/>
          <w:sz w:val="24"/>
          <w:szCs w:val="24"/>
        </w:rPr>
        <w:t xml:space="preserve">. </w:t>
      </w:r>
      <w:r w:rsidR="006A2A3E">
        <w:rPr>
          <w:rFonts w:ascii="Times New Roman" w:hAnsi="Times New Roman" w:cs="Times New Roman"/>
          <w:sz w:val="24"/>
          <w:szCs w:val="24"/>
        </w:rPr>
        <w:t xml:space="preserve">The </w:t>
      </w:r>
      <w:r w:rsidR="00C14218">
        <w:rPr>
          <w:rFonts w:ascii="Times New Roman" w:hAnsi="Times New Roman" w:cs="Times New Roman"/>
          <w:sz w:val="24"/>
          <w:szCs w:val="24"/>
        </w:rPr>
        <w:t xml:space="preserve">periods </w:t>
      </w:r>
      <w:r w:rsidR="00BE7FEA">
        <w:rPr>
          <w:rFonts w:ascii="Times New Roman" w:hAnsi="Times New Roman" w:cs="Times New Roman"/>
          <w:sz w:val="24"/>
          <w:szCs w:val="24"/>
        </w:rPr>
        <w:t xml:space="preserve">that are used for these purposes </w:t>
      </w:r>
      <w:r w:rsidR="006A2A3E">
        <w:rPr>
          <w:rFonts w:ascii="Times New Roman" w:hAnsi="Times New Roman" w:cs="Times New Roman"/>
          <w:sz w:val="24"/>
          <w:szCs w:val="24"/>
        </w:rPr>
        <w:t xml:space="preserve">are sequential </w:t>
      </w:r>
      <w:r w:rsidR="00C14218">
        <w:rPr>
          <w:rFonts w:ascii="Times New Roman" w:hAnsi="Times New Roman" w:cs="Times New Roman"/>
          <w:sz w:val="24"/>
          <w:szCs w:val="24"/>
        </w:rPr>
        <w:t>and</w:t>
      </w:r>
      <w:r w:rsidR="006A2A3E">
        <w:rPr>
          <w:rFonts w:ascii="Times New Roman" w:hAnsi="Times New Roman" w:cs="Times New Roman"/>
          <w:sz w:val="24"/>
          <w:szCs w:val="24"/>
        </w:rPr>
        <w:t xml:space="preserve"> </w:t>
      </w:r>
      <w:r w:rsidR="006A2A3E" w:rsidRPr="006A2A3E">
        <w:rPr>
          <w:rFonts w:ascii="Times New Roman" w:hAnsi="Times New Roman" w:cs="Times New Roman"/>
          <w:sz w:val="24"/>
          <w:szCs w:val="24"/>
        </w:rPr>
        <w:t xml:space="preserve">start from the date of </w:t>
      </w:r>
      <w:r w:rsidR="00C14218">
        <w:rPr>
          <w:rFonts w:ascii="Times New Roman" w:hAnsi="Times New Roman" w:cs="Times New Roman"/>
          <w:sz w:val="24"/>
          <w:szCs w:val="24"/>
        </w:rPr>
        <w:t xml:space="preserve">project registration </w:t>
      </w:r>
      <w:r w:rsidR="009A5E5B">
        <w:rPr>
          <w:rFonts w:ascii="Times New Roman" w:hAnsi="Times New Roman" w:cs="Times New Roman"/>
          <w:sz w:val="24"/>
          <w:szCs w:val="24"/>
        </w:rPr>
        <w:t xml:space="preserve">or </w:t>
      </w:r>
      <w:r w:rsidR="00504B7D">
        <w:rPr>
          <w:rFonts w:ascii="Times New Roman" w:hAnsi="Times New Roman" w:cs="Times New Roman"/>
          <w:sz w:val="24"/>
          <w:szCs w:val="24"/>
        </w:rPr>
        <w:t>the commencement of the relevant reporting period</w:t>
      </w:r>
      <w:r w:rsidR="004A35AE">
        <w:rPr>
          <w:rFonts w:ascii="Times New Roman" w:hAnsi="Times New Roman" w:cs="Times New Roman"/>
          <w:sz w:val="24"/>
          <w:szCs w:val="24"/>
        </w:rPr>
        <w:t xml:space="preserve">. For example, if a project had a </w:t>
      </w:r>
      <w:r w:rsidR="00CF702B">
        <w:rPr>
          <w:rFonts w:ascii="Times New Roman" w:hAnsi="Times New Roman" w:cs="Times New Roman"/>
          <w:sz w:val="24"/>
          <w:szCs w:val="24"/>
        </w:rPr>
        <w:t xml:space="preserve">2½ year reporting period, the </w:t>
      </w:r>
      <w:r w:rsidR="00CF702B">
        <w:rPr>
          <w:rFonts w:ascii="Times New Roman" w:hAnsi="Times New Roman" w:cs="Times New Roman"/>
          <w:sz w:val="24"/>
          <w:szCs w:val="24"/>
        </w:rPr>
        <w:lastRenderedPageBreak/>
        <w:t xml:space="preserve">hurdle requirement would be evaluated for three periods: </w:t>
      </w:r>
      <w:r w:rsidR="009A5E5B">
        <w:rPr>
          <w:rFonts w:ascii="Times New Roman" w:hAnsi="Times New Roman" w:cs="Times New Roman"/>
          <w:sz w:val="24"/>
          <w:szCs w:val="24"/>
        </w:rPr>
        <w:t>month</w:t>
      </w:r>
      <w:r w:rsidR="00FA71ED">
        <w:rPr>
          <w:rFonts w:ascii="Times New Roman" w:hAnsi="Times New Roman" w:cs="Times New Roman"/>
          <w:sz w:val="24"/>
          <w:szCs w:val="24"/>
        </w:rPr>
        <w:t>s</w:t>
      </w:r>
      <w:r w:rsidR="009A5E5B">
        <w:rPr>
          <w:rFonts w:ascii="Times New Roman" w:hAnsi="Times New Roman" w:cs="Times New Roman"/>
          <w:sz w:val="24"/>
          <w:szCs w:val="24"/>
        </w:rPr>
        <w:t xml:space="preserve"> 1</w:t>
      </w:r>
      <w:r w:rsidR="00504B7D">
        <w:rPr>
          <w:rFonts w:ascii="Times New Roman" w:hAnsi="Times New Roman" w:cs="Times New Roman"/>
          <w:sz w:val="24"/>
          <w:szCs w:val="24"/>
        </w:rPr>
        <w:t xml:space="preserve"> to </w:t>
      </w:r>
      <w:r w:rsidR="009A5E5B">
        <w:rPr>
          <w:rFonts w:ascii="Times New Roman" w:hAnsi="Times New Roman" w:cs="Times New Roman"/>
          <w:sz w:val="24"/>
          <w:szCs w:val="24"/>
        </w:rPr>
        <w:t>12</w:t>
      </w:r>
      <w:r w:rsidR="009A5881">
        <w:rPr>
          <w:rFonts w:ascii="Times New Roman" w:hAnsi="Times New Roman" w:cs="Times New Roman"/>
          <w:sz w:val="24"/>
          <w:szCs w:val="24"/>
        </w:rPr>
        <w:t xml:space="preserve"> (period 1);</w:t>
      </w:r>
      <w:r w:rsidR="009A5E5B">
        <w:rPr>
          <w:rFonts w:ascii="Times New Roman" w:hAnsi="Times New Roman" w:cs="Times New Roman"/>
          <w:sz w:val="24"/>
          <w:szCs w:val="24"/>
        </w:rPr>
        <w:t xml:space="preserve"> </w:t>
      </w:r>
      <w:r w:rsidR="00504B7D">
        <w:rPr>
          <w:rFonts w:ascii="Times New Roman" w:hAnsi="Times New Roman" w:cs="Times New Roman"/>
          <w:sz w:val="24"/>
          <w:szCs w:val="24"/>
        </w:rPr>
        <w:t>month</w:t>
      </w:r>
      <w:r w:rsidR="00FA71ED">
        <w:rPr>
          <w:rFonts w:ascii="Times New Roman" w:hAnsi="Times New Roman" w:cs="Times New Roman"/>
          <w:sz w:val="24"/>
          <w:szCs w:val="24"/>
        </w:rPr>
        <w:t>s</w:t>
      </w:r>
      <w:r w:rsidR="00504B7D">
        <w:rPr>
          <w:rFonts w:ascii="Times New Roman" w:hAnsi="Times New Roman" w:cs="Times New Roman"/>
          <w:sz w:val="24"/>
          <w:szCs w:val="24"/>
        </w:rPr>
        <w:t xml:space="preserve"> </w:t>
      </w:r>
      <w:r w:rsidR="009A5E5B">
        <w:rPr>
          <w:rFonts w:ascii="Times New Roman" w:hAnsi="Times New Roman" w:cs="Times New Roman"/>
          <w:sz w:val="24"/>
          <w:szCs w:val="24"/>
        </w:rPr>
        <w:t>13</w:t>
      </w:r>
      <w:r w:rsidR="00504B7D">
        <w:rPr>
          <w:rFonts w:ascii="Times New Roman" w:hAnsi="Times New Roman" w:cs="Times New Roman"/>
          <w:sz w:val="24"/>
          <w:szCs w:val="24"/>
        </w:rPr>
        <w:t xml:space="preserve"> to </w:t>
      </w:r>
      <w:r w:rsidR="009A5E5B">
        <w:rPr>
          <w:rFonts w:ascii="Times New Roman" w:hAnsi="Times New Roman" w:cs="Times New Roman"/>
          <w:sz w:val="24"/>
          <w:szCs w:val="24"/>
        </w:rPr>
        <w:t>24</w:t>
      </w:r>
      <w:r w:rsidR="009A5881">
        <w:rPr>
          <w:rFonts w:ascii="Times New Roman" w:hAnsi="Times New Roman" w:cs="Times New Roman"/>
          <w:sz w:val="24"/>
          <w:szCs w:val="24"/>
        </w:rPr>
        <w:t xml:space="preserve"> (period 2); and months 25 to 30 (period 3)</w:t>
      </w:r>
      <w:r w:rsidR="006A2A3E">
        <w:rPr>
          <w:rFonts w:ascii="Times New Roman" w:hAnsi="Times New Roman" w:cs="Times New Roman"/>
          <w:sz w:val="24"/>
          <w:szCs w:val="24"/>
        </w:rPr>
        <w:t>.</w:t>
      </w:r>
    </w:p>
    <w:p w14:paraId="0C186E97" w14:textId="2338CC9B" w:rsidR="00063A2E" w:rsidRPr="00F204F6" w:rsidRDefault="00063A2E" w:rsidP="00A20587">
      <w:pPr>
        <w:spacing w:before="120" w:after="120" w:line="240" w:lineRule="auto"/>
        <w:rPr>
          <w:rFonts w:ascii="Times New Roman" w:hAnsi="Times New Roman" w:cs="Times New Roman"/>
          <w:sz w:val="24"/>
          <w:szCs w:val="24"/>
        </w:rPr>
      </w:pPr>
      <w:r w:rsidRPr="00F204F6">
        <w:rPr>
          <w:rFonts w:ascii="Times New Roman" w:hAnsi="Times New Roman" w:cs="Times New Roman"/>
          <w:sz w:val="24"/>
          <w:szCs w:val="24"/>
        </w:rPr>
        <w:t xml:space="preserve">Other eligibility requirements that apply to INFM projects include the following. </w:t>
      </w:r>
    </w:p>
    <w:p w14:paraId="6E9792F8" w14:textId="3ADDC668" w:rsidR="009D18EB" w:rsidRPr="00F204F6" w:rsidRDefault="005C5A17" w:rsidP="009D5A62">
      <w:pPr>
        <w:pStyle w:val="ListParagraph"/>
        <w:numPr>
          <w:ilvl w:val="0"/>
          <w:numId w:val="14"/>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 xml:space="preserve">The project proponent must be the government of the State in which the public native forests to which the project applies are located or an authority of the State designated by that government for the purposes of this </w:t>
      </w:r>
      <w:r w:rsidR="00B16F23">
        <w:rPr>
          <w:rFonts w:ascii="Times New Roman" w:hAnsi="Times New Roman" w:cs="Times New Roman"/>
          <w:sz w:val="24"/>
          <w:szCs w:val="24"/>
        </w:rPr>
        <w:t>D</w:t>
      </w:r>
      <w:r w:rsidRPr="00F204F6">
        <w:rPr>
          <w:rFonts w:ascii="Times New Roman" w:hAnsi="Times New Roman" w:cs="Times New Roman"/>
          <w:sz w:val="24"/>
          <w:szCs w:val="24"/>
        </w:rPr>
        <w:t xml:space="preserve">etermination. </w:t>
      </w:r>
    </w:p>
    <w:p w14:paraId="21DA077D" w14:textId="60E5D795" w:rsidR="00E355AD" w:rsidRPr="00F204F6" w:rsidRDefault="005C51AC" w:rsidP="009D5A62">
      <w:pPr>
        <w:pStyle w:val="ListParagraph"/>
        <w:numPr>
          <w:ilvl w:val="0"/>
          <w:numId w:val="14"/>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Applicants must request a 100-year permanence period</w:t>
      </w:r>
      <w:r w:rsidR="007B06A0" w:rsidRPr="00F204F6">
        <w:rPr>
          <w:rFonts w:ascii="Times New Roman" w:hAnsi="Times New Roman" w:cs="Times New Roman"/>
          <w:sz w:val="24"/>
          <w:szCs w:val="24"/>
        </w:rPr>
        <w:t>.</w:t>
      </w:r>
      <w:r w:rsidR="00F91C91">
        <w:rPr>
          <w:rFonts w:ascii="Times New Roman" w:hAnsi="Times New Roman" w:cs="Times New Roman"/>
          <w:sz w:val="24"/>
          <w:szCs w:val="24"/>
        </w:rPr>
        <w:t xml:space="preserve"> INFM projects are not permitted to have 25-year permanence periods. </w:t>
      </w:r>
    </w:p>
    <w:p w14:paraId="45F6581B" w14:textId="7D416332" w:rsidR="00E34549" w:rsidRPr="00F204F6" w:rsidRDefault="00E34549" w:rsidP="009D5A62">
      <w:pPr>
        <w:pStyle w:val="ListParagraph"/>
        <w:numPr>
          <w:ilvl w:val="0"/>
          <w:numId w:val="14"/>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 xml:space="preserve">A project application must be accompanied by a </w:t>
      </w:r>
      <w:r w:rsidR="0081275C" w:rsidRPr="0081275C">
        <w:rPr>
          <w:rFonts w:ascii="Times New Roman" w:hAnsi="Times New Roman" w:cs="Times New Roman"/>
          <w:sz w:val="24"/>
          <w:szCs w:val="24"/>
        </w:rPr>
        <w:t xml:space="preserve">geospatial map of the project area in a digital format </w:t>
      </w:r>
      <w:r w:rsidR="0081275C">
        <w:rPr>
          <w:rFonts w:ascii="Times New Roman" w:hAnsi="Times New Roman" w:cs="Times New Roman"/>
          <w:sz w:val="24"/>
          <w:szCs w:val="24"/>
        </w:rPr>
        <w:t xml:space="preserve">that </w:t>
      </w:r>
      <w:r w:rsidRPr="00F204F6">
        <w:rPr>
          <w:rFonts w:ascii="Times New Roman" w:hAnsi="Times New Roman" w:cs="Times New Roman"/>
          <w:sz w:val="24"/>
          <w:szCs w:val="24"/>
        </w:rPr>
        <w:t>show</w:t>
      </w:r>
      <w:r w:rsidR="0081275C">
        <w:rPr>
          <w:rFonts w:ascii="Times New Roman" w:hAnsi="Times New Roman" w:cs="Times New Roman"/>
          <w:sz w:val="24"/>
          <w:szCs w:val="24"/>
        </w:rPr>
        <w:t>s</w:t>
      </w:r>
      <w:r w:rsidRPr="00F204F6">
        <w:rPr>
          <w:rFonts w:ascii="Times New Roman" w:hAnsi="Times New Roman" w:cs="Times New Roman"/>
          <w:sz w:val="24"/>
          <w:szCs w:val="24"/>
        </w:rPr>
        <w:t xml:space="preserve"> the boundaries of the project area, the forestry region(s) in which the project area is located and any proposed carbon protection areas prepared in accordance with the INFM Mapping Guidelines.</w:t>
      </w:r>
    </w:p>
    <w:p w14:paraId="041BB2EE" w14:textId="5281DC3B" w:rsidR="00D55018" w:rsidRDefault="00DF23DF" w:rsidP="009D5A62">
      <w:pPr>
        <w:pStyle w:val="ListParagraph"/>
        <w:numPr>
          <w:ilvl w:val="0"/>
          <w:numId w:val="14"/>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 xml:space="preserve">Before a project is </w:t>
      </w:r>
      <w:r w:rsidR="006578DA">
        <w:rPr>
          <w:rFonts w:ascii="Times New Roman" w:hAnsi="Times New Roman" w:cs="Times New Roman"/>
          <w:sz w:val="24"/>
          <w:szCs w:val="24"/>
        </w:rPr>
        <w:t>registered</w:t>
      </w:r>
      <w:r w:rsidRPr="00F204F6">
        <w:rPr>
          <w:rFonts w:ascii="Times New Roman" w:hAnsi="Times New Roman" w:cs="Times New Roman"/>
          <w:sz w:val="24"/>
          <w:szCs w:val="24"/>
        </w:rPr>
        <w:t xml:space="preserve">, the project proponent must have entered into an </w:t>
      </w:r>
      <w:r w:rsidR="00D009BD">
        <w:rPr>
          <w:rFonts w:ascii="Times New Roman" w:hAnsi="Times New Roman" w:cs="Times New Roman"/>
          <w:sz w:val="24"/>
          <w:szCs w:val="24"/>
        </w:rPr>
        <w:t>agreement</w:t>
      </w:r>
      <w:r w:rsidRPr="00F204F6">
        <w:rPr>
          <w:rFonts w:ascii="Times New Roman" w:hAnsi="Times New Roman" w:cs="Times New Roman"/>
          <w:sz w:val="24"/>
          <w:szCs w:val="24"/>
        </w:rPr>
        <w:t xml:space="preserve"> with the Regulator to address the risk of a resumption of timber harvesting after the end of the </w:t>
      </w:r>
      <w:r w:rsidR="00EA1B24">
        <w:rPr>
          <w:rFonts w:ascii="Times New Roman" w:hAnsi="Times New Roman" w:cs="Times New Roman"/>
          <w:sz w:val="24"/>
          <w:szCs w:val="24"/>
        </w:rPr>
        <w:t xml:space="preserve">15-year </w:t>
      </w:r>
      <w:r w:rsidRPr="00F204F6">
        <w:rPr>
          <w:rFonts w:ascii="Times New Roman" w:hAnsi="Times New Roman" w:cs="Times New Roman"/>
          <w:sz w:val="24"/>
          <w:szCs w:val="24"/>
        </w:rPr>
        <w:t xml:space="preserve">crediting period for the project. </w:t>
      </w:r>
      <w:r w:rsidR="005210F2" w:rsidRPr="00F204F6">
        <w:rPr>
          <w:rFonts w:ascii="Times New Roman" w:hAnsi="Times New Roman" w:cs="Times New Roman"/>
          <w:sz w:val="24"/>
          <w:szCs w:val="24"/>
        </w:rPr>
        <w:t xml:space="preserve">The effect of the </w:t>
      </w:r>
      <w:r w:rsidR="002D53F7">
        <w:rPr>
          <w:rFonts w:ascii="Times New Roman" w:hAnsi="Times New Roman" w:cs="Times New Roman"/>
          <w:sz w:val="24"/>
          <w:szCs w:val="24"/>
        </w:rPr>
        <w:t>agreement</w:t>
      </w:r>
      <w:r w:rsidR="005210F2" w:rsidRPr="00F204F6">
        <w:rPr>
          <w:rFonts w:ascii="Times New Roman" w:hAnsi="Times New Roman" w:cs="Times New Roman"/>
          <w:sz w:val="24"/>
          <w:szCs w:val="24"/>
        </w:rPr>
        <w:t xml:space="preserve"> is to </w:t>
      </w:r>
      <w:r w:rsidR="005D0EF1" w:rsidRPr="00F204F6">
        <w:rPr>
          <w:rFonts w:ascii="Times New Roman" w:hAnsi="Times New Roman" w:cs="Times New Roman"/>
          <w:sz w:val="24"/>
          <w:szCs w:val="24"/>
        </w:rPr>
        <w:t xml:space="preserve">require the proponent to </w:t>
      </w:r>
      <w:r w:rsidR="005210F2" w:rsidRPr="00F204F6">
        <w:rPr>
          <w:rFonts w:ascii="Times New Roman" w:hAnsi="Times New Roman" w:cs="Times New Roman"/>
          <w:sz w:val="24"/>
          <w:szCs w:val="24"/>
        </w:rPr>
        <w:t>relinquish ACCUs</w:t>
      </w:r>
      <w:r w:rsidR="00E355AD" w:rsidRPr="00F204F6">
        <w:rPr>
          <w:rFonts w:ascii="Times New Roman" w:hAnsi="Times New Roman" w:cs="Times New Roman"/>
          <w:sz w:val="24"/>
          <w:szCs w:val="24"/>
        </w:rPr>
        <w:t xml:space="preserve"> </w:t>
      </w:r>
      <w:r w:rsidR="005210F2" w:rsidRPr="00F204F6">
        <w:rPr>
          <w:rFonts w:ascii="Times New Roman" w:hAnsi="Times New Roman" w:cs="Times New Roman"/>
          <w:sz w:val="24"/>
          <w:szCs w:val="24"/>
        </w:rPr>
        <w:t>if</w:t>
      </w:r>
      <w:r w:rsidR="00187F3B">
        <w:rPr>
          <w:rFonts w:ascii="Times New Roman" w:hAnsi="Times New Roman" w:cs="Times New Roman"/>
          <w:sz w:val="24"/>
          <w:szCs w:val="24"/>
        </w:rPr>
        <w:t xml:space="preserve">, in the period from the end of the crediting period </w:t>
      </w:r>
      <w:r w:rsidR="00D55018">
        <w:rPr>
          <w:rFonts w:ascii="Times New Roman" w:hAnsi="Times New Roman" w:cs="Times New Roman"/>
          <w:sz w:val="24"/>
          <w:szCs w:val="24"/>
        </w:rPr>
        <w:t>to the end of the permanence period:</w:t>
      </w:r>
      <w:r w:rsidR="005D0EF1" w:rsidRPr="00F204F6">
        <w:rPr>
          <w:rFonts w:ascii="Times New Roman" w:hAnsi="Times New Roman" w:cs="Times New Roman"/>
          <w:sz w:val="24"/>
          <w:szCs w:val="24"/>
        </w:rPr>
        <w:t xml:space="preserve"> </w:t>
      </w:r>
    </w:p>
    <w:p w14:paraId="67E30FAE" w14:textId="77777777" w:rsidR="00D55018" w:rsidRDefault="002562BF" w:rsidP="009D5A62">
      <w:pPr>
        <w:pStyle w:val="ListParagraph"/>
        <w:numPr>
          <w:ilvl w:val="1"/>
          <w:numId w:val="29"/>
        </w:numPr>
        <w:spacing w:before="120" w:after="120" w:line="240" w:lineRule="auto"/>
        <w:contextualSpacing w:val="0"/>
        <w:rPr>
          <w:rFonts w:ascii="Times New Roman" w:hAnsi="Times New Roman" w:cs="Times New Roman"/>
          <w:sz w:val="24"/>
          <w:szCs w:val="24"/>
        </w:rPr>
      </w:pPr>
      <w:r w:rsidRPr="002562BF">
        <w:rPr>
          <w:rFonts w:ascii="Times New Roman" w:hAnsi="Times New Roman" w:cs="Times New Roman"/>
          <w:sz w:val="24"/>
          <w:szCs w:val="24"/>
        </w:rPr>
        <w:t>timber harvesting resume</w:t>
      </w:r>
      <w:r>
        <w:rPr>
          <w:rFonts w:ascii="Times New Roman" w:hAnsi="Times New Roman" w:cs="Times New Roman"/>
          <w:sz w:val="24"/>
          <w:szCs w:val="24"/>
        </w:rPr>
        <w:t>s</w:t>
      </w:r>
      <w:r w:rsidRPr="002562BF">
        <w:rPr>
          <w:rFonts w:ascii="Times New Roman" w:hAnsi="Times New Roman" w:cs="Times New Roman"/>
          <w:sz w:val="24"/>
          <w:szCs w:val="24"/>
        </w:rPr>
        <w:t xml:space="preserve"> in any part of a carbon protection area</w:t>
      </w:r>
      <w:r w:rsidR="00D55018">
        <w:rPr>
          <w:rFonts w:ascii="Times New Roman" w:hAnsi="Times New Roman" w:cs="Times New Roman"/>
          <w:sz w:val="24"/>
          <w:szCs w:val="24"/>
        </w:rPr>
        <w:t xml:space="preserve">; or </w:t>
      </w:r>
    </w:p>
    <w:p w14:paraId="20283514" w14:textId="40D9A9F8" w:rsidR="00F204F6" w:rsidRPr="00F204F6" w:rsidRDefault="005210F2" w:rsidP="009D5A62">
      <w:pPr>
        <w:pStyle w:val="ListParagraph"/>
        <w:numPr>
          <w:ilvl w:val="1"/>
          <w:numId w:val="29"/>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the volume of wood extracted from the project area</w:t>
      </w:r>
      <w:r w:rsidR="00121F9A">
        <w:rPr>
          <w:rFonts w:ascii="Times New Roman" w:hAnsi="Times New Roman" w:cs="Times New Roman"/>
          <w:sz w:val="24"/>
          <w:szCs w:val="24"/>
        </w:rPr>
        <w:t xml:space="preserve">, </w:t>
      </w:r>
      <w:r w:rsidR="00E355AD" w:rsidRPr="00F204F6">
        <w:rPr>
          <w:rFonts w:ascii="Times New Roman" w:hAnsi="Times New Roman" w:cs="Times New Roman"/>
          <w:sz w:val="24"/>
          <w:szCs w:val="24"/>
        </w:rPr>
        <w:t>excluded sections of the proponent’s native forest estate</w:t>
      </w:r>
      <w:r w:rsidR="00EA1574">
        <w:rPr>
          <w:rFonts w:ascii="Times New Roman" w:hAnsi="Times New Roman" w:cs="Times New Roman"/>
          <w:sz w:val="24"/>
          <w:szCs w:val="24"/>
        </w:rPr>
        <w:t>,</w:t>
      </w:r>
      <w:r w:rsidR="00E355AD" w:rsidRPr="00F204F6">
        <w:rPr>
          <w:rFonts w:ascii="Times New Roman" w:hAnsi="Times New Roman" w:cs="Times New Roman"/>
          <w:sz w:val="24"/>
          <w:szCs w:val="24"/>
        </w:rPr>
        <w:t xml:space="preserve"> </w:t>
      </w:r>
      <w:r w:rsidR="00121F9A">
        <w:rPr>
          <w:rFonts w:ascii="Times New Roman" w:hAnsi="Times New Roman" w:cs="Times New Roman"/>
          <w:sz w:val="24"/>
          <w:szCs w:val="24"/>
        </w:rPr>
        <w:t xml:space="preserve">or the private native forest estate in the same jurisdiction </w:t>
      </w:r>
      <w:r w:rsidR="00E355AD" w:rsidRPr="00F204F6">
        <w:rPr>
          <w:rFonts w:ascii="Times New Roman" w:hAnsi="Times New Roman" w:cs="Times New Roman"/>
          <w:sz w:val="24"/>
          <w:szCs w:val="24"/>
        </w:rPr>
        <w:t>exceed prescribed</w:t>
      </w:r>
      <w:r w:rsidR="00D55018">
        <w:rPr>
          <w:rFonts w:ascii="Times New Roman" w:hAnsi="Times New Roman" w:cs="Times New Roman"/>
          <w:sz w:val="24"/>
          <w:szCs w:val="24"/>
        </w:rPr>
        <w:t xml:space="preserve"> </w:t>
      </w:r>
      <w:r w:rsidR="00560708">
        <w:rPr>
          <w:rFonts w:ascii="Times New Roman" w:hAnsi="Times New Roman" w:cs="Times New Roman"/>
          <w:sz w:val="24"/>
          <w:szCs w:val="24"/>
        </w:rPr>
        <w:t xml:space="preserve">baseline </w:t>
      </w:r>
      <w:r w:rsidR="00E355AD" w:rsidRPr="00F204F6">
        <w:rPr>
          <w:rFonts w:ascii="Times New Roman" w:hAnsi="Times New Roman" w:cs="Times New Roman"/>
          <w:sz w:val="24"/>
          <w:szCs w:val="24"/>
        </w:rPr>
        <w:t>levels.</w:t>
      </w:r>
    </w:p>
    <w:p w14:paraId="3F35E152" w14:textId="1AB9B83B" w:rsidR="006C43B8" w:rsidRPr="00F204F6" w:rsidRDefault="006C43B8" w:rsidP="009D5A62">
      <w:pPr>
        <w:pStyle w:val="ListParagraph"/>
        <w:numPr>
          <w:ilvl w:val="0"/>
          <w:numId w:val="14"/>
        </w:numPr>
        <w:spacing w:before="120" w:after="120" w:line="240" w:lineRule="auto"/>
        <w:contextualSpacing w:val="0"/>
        <w:rPr>
          <w:rFonts w:ascii="Times New Roman" w:hAnsi="Times New Roman" w:cs="Times New Roman"/>
          <w:sz w:val="24"/>
          <w:szCs w:val="24"/>
        </w:rPr>
      </w:pPr>
      <w:r w:rsidRPr="00F204F6">
        <w:rPr>
          <w:rFonts w:ascii="Times New Roman" w:hAnsi="Times New Roman" w:cs="Times New Roman"/>
          <w:sz w:val="24"/>
          <w:szCs w:val="24"/>
        </w:rPr>
        <w:t xml:space="preserve">A project application must be accompanied by </w:t>
      </w:r>
      <w:r w:rsidR="00ED2D99" w:rsidRPr="00F204F6">
        <w:rPr>
          <w:rFonts w:ascii="Times New Roman" w:hAnsi="Times New Roman" w:cs="Times New Roman"/>
          <w:sz w:val="24"/>
          <w:szCs w:val="24"/>
        </w:rPr>
        <w:t xml:space="preserve">a management plan containing </w:t>
      </w:r>
      <w:r w:rsidR="002274F6" w:rsidRPr="00F204F6">
        <w:rPr>
          <w:rFonts w:ascii="Times New Roman" w:hAnsi="Times New Roman" w:cs="Times New Roman"/>
          <w:sz w:val="24"/>
          <w:szCs w:val="24"/>
        </w:rPr>
        <w:t>details of the pro</w:t>
      </w:r>
      <w:r w:rsidR="00E34549" w:rsidRPr="00F204F6">
        <w:rPr>
          <w:rFonts w:ascii="Times New Roman" w:hAnsi="Times New Roman" w:cs="Times New Roman"/>
          <w:sz w:val="24"/>
          <w:szCs w:val="24"/>
        </w:rPr>
        <w:t>ject</w:t>
      </w:r>
      <w:r w:rsidR="00990E49">
        <w:rPr>
          <w:rFonts w:ascii="Times New Roman" w:hAnsi="Times New Roman" w:cs="Times New Roman"/>
          <w:sz w:val="24"/>
          <w:szCs w:val="24"/>
        </w:rPr>
        <w:t xml:space="preserve"> and</w:t>
      </w:r>
      <w:r w:rsidR="002274F6" w:rsidRPr="00F204F6">
        <w:rPr>
          <w:rFonts w:ascii="Times New Roman" w:hAnsi="Times New Roman" w:cs="Times New Roman"/>
          <w:sz w:val="24"/>
          <w:szCs w:val="24"/>
        </w:rPr>
        <w:t xml:space="preserve"> how th</w:t>
      </w:r>
      <w:r w:rsidR="00EE1F4F" w:rsidRPr="00F204F6">
        <w:rPr>
          <w:rFonts w:ascii="Times New Roman" w:hAnsi="Times New Roman" w:cs="Times New Roman"/>
          <w:sz w:val="24"/>
          <w:szCs w:val="24"/>
        </w:rPr>
        <w:t xml:space="preserve">e proposed </w:t>
      </w:r>
      <w:r w:rsidR="002274F6" w:rsidRPr="00F204F6">
        <w:rPr>
          <w:rFonts w:ascii="Times New Roman" w:hAnsi="Times New Roman" w:cs="Times New Roman"/>
          <w:sz w:val="24"/>
          <w:szCs w:val="24"/>
        </w:rPr>
        <w:t xml:space="preserve">reduction </w:t>
      </w:r>
      <w:r w:rsidR="00EE1F4F" w:rsidRPr="00F204F6">
        <w:rPr>
          <w:rFonts w:ascii="Times New Roman" w:hAnsi="Times New Roman" w:cs="Times New Roman"/>
          <w:sz w:val="24"/>
          <w:szCs w:val="24"/>
        </w:rPr>
        <w:t xml:space="preserve">in timber </w:t>
      </w:r>
      <w:r w:rsidR="00E81F51" w:rsidRPr="00F204F6">
        <w:rPr>
          <w:rFonts w:ascii="Times New Roman" w:hAnsi="Times New Roman" w:cs="Times New Roman"/>
          <w:sz w:val="24"/>
          <w:szCs w:val="24"/>
        </w:rPr>
        <w:t>production</w:t>
      </w:r>
      <w:r w:rsidR="002274F6" w:rsidRPr="00F204F6">
        <w:rPr>
          <w:rFonts w:ascii="Times New Roman" w:hAnsi="Times New Roman" w:cs="Times New Roman"/>
          <w:sz w:val="24"/>
          <w:szCs w:val="24"/>
        </w:rPr>
        <w:t xml:space="preserve"> will be achieved. </w:t>
      </w:r>
      <w:r w:rsidR="00E81F51" w:rsidRPr="00F204F6">
        <w:rPr>
          <w:rFonts w:ascii="Times New Roman" w:hAnsi="Times New Roman" w:cs="Times New Roman"/>
          <w:sz w:val="24"/>
          <w:szCs w:val="24"/>
        </w:rPr>
        <w:t xml:space="preserve">The </w:t>
      </w:r>
      <w:r w:rsidR="0086409A" w:rsidRPr="00F204F6">
        <w:rPr>
          <w:rFonts w:ascii="Times New Roman" w:hAnsi="Times New Roman" w:cs="Times New Roman"/>
          <w:sz w:val="24"/>
          <w:szCs w:val="24"/>
        </w:rPr>
        <w:t xml:space="preserve">public native forests in the project area </w:t>
      </w:r>
      <w:r w:rsidR="00E81F51" w:rsidRPr="00F204F6">
        <w:rPr>
          <w:rFonts w:ascii="Times New Roman" w:hAnsi="Times New Roman" w:cs="Times New Roman"/>
          <w:sz w:val="24"/>
          <w:szCs w:val="24"/>
        </w:rPr>
        <w:t>must be</w:t>
      </w:r>
      <w:r w:rsidR="0086409A" w:rsidRPr="00F204F6">
        <w:rPr>
          <w:rFonts w:ascii="Times New Roman" w:hAnsi="Times New Roman" w:cs="Times New Roman"/>
          <w:sz w:val="24"/>
          <w:szCs w:val="24"/>
        </w:rPr>
        <w:t xml:space="preserve"> managed in accordance with the management plan </w:t>
      </w:r>
      <w:r w:rsidR="00E81F51" w:rsidRPr="00F204F6">
        <w:rPr>
          <w:rFonts w:ascii="Times New Roman" w:hAnsi="Times New Roman" w:cs="Times New Roman"/>
          <w:sz w:val="24"/>
          <w:szCs w:val="24"/>
        </w:rPr>
        <w:t xml:space="preserve">over the term of the project. </w:t>
      </w:r>
      <w:r w:rsidR="00C24E94" w:rsidRPr="00F204F6">
        <w:rPr>
          <w:rFonts w:ascii="Times New Roman" w:hAnsi="Times New Roman" w:cs="Times New Roman"/>
          <w:sz w:val="24"/>
          <w:szCs w:val="24"/>
        </w:rPr>
        <w:t xml:space="preserve">The management plan </w:t>
      </w:r>
      <w:r w:rsidR="00E81F51" w:rsidRPr="00F204F6">
        <w:rPr>
          <w:rFonts w:ascii="Times New Roman" w:hAnsi="Times New Roman" w:cs="Times New Roman"/>
          <w:sz w:val="24"/>
          <w:szCs w:val="24"/>
        </w:rPr>
        <w:t xml:space="preserve">can be amended as necessary to </w:t>
      </w:r>
      <w:r w:rsidR="00132771" w:rsidRPr="00F204F6">
        <w:rPr>
          <w:rFonts w:ascii="Times New Roman" w:hAnsi="Times New Roman" w:cs="Times New Roman"/>
          <w:sz w:val="24"/>
          <w:szCs w:val="24"/>
        </w:rPr>
        <w:t>reflect changes in management practices</w:t>
      </w:r>
      <w:r w:rsidR="000D3AA1">
        <w:rPr>
          <w:rFonts w:ascii="Times New Roman" w:hAnsi="Times New Roman" w:cs="Times New Roman"/>
          <w:sz w:val="24"/>
          <w:szCs w:val="24"/>
        </w:rPr>
        <w:t>. H</w:t>
      </w:r>
      <w:r w:rsidR="00132771" w:rsidRPr="00F204F6">
        <w:rPr>
          <w:rFonts w:ascii="Times New Roman" w:hAnsi="Times New Roman" w:cs="Times New Roman"/>
          <w:sz w:val="24"/>
          <w:szCs w:val="24"/>
        </w:rPr>
        <w:t xml:space="preserve">owever, </w:t>
      </w:r>
      <w:r w:rsidR="004E6CAB">
        <w:rPr>
          <w:rFonts w:ascii="Times New Roman" w:hAnsi="Times New Roman" w:cs="Times New Roman"/>
          <w:sz w:val="24"/>
          <w:szCs w:val="24"/>
        </w:rPr>
        <w:t xml:space="preserve">an </w:t>
      </w:r>
      <w:r w:rsidR="002B7C8D" w:rsidRPr="00F204F6">
        <w:rPr>
          <w:rFonts w:ascii="Times New Roman" w:hAnsi="Times New Roman" w:cs="Times New Roman"/>
          <w:sz w:val="24"/>
          <w:szCs w:val="24"/>
        </w:rPr>
        <w:t>amend</w:t>
      </w:r>
      <w:r w:rsidR="004E6CAB">
        <w:rPr>
          <w:rFonts w:ascii="Times New Roman" w:hAnsi="Times New Roman" w:cs="Times New Roman"/>
          <w:sz w:val="24"/>
          <w:szCs w:val="24"/>
        </w:rPr>
        <w:t>ed management plan</w:t>
      </w:r>
      <w:r w:rsidR="002B7C8D" w:rsidRPr="00F204F6">
        <w:rPr>
          <w:rFonts w:ascii="Times New Roman" w:hAnsi="Times New Roman" w:cs="Times New Roman"/>
          <w:sz w:val="24"/>
          <w:szCs w:val="24"/>
        </w:rPr>
        <w:t xml:space="preserve"> cannot </w:t>
      </w:r>
      <w:r w:rsidR="00BA35D2" w:rsidRPr="00F204F6">
        <w:rPr>
          <w:rFonts w:ascii="Times New Roman" w:hAnsi="Times New Roman" w:cs="Times New Roman"/>
          <w:sz w:val="24"/>
          <w:szCs w:val="24"/>
        </w:rPr>
        <w:t xml:space="preserve">increase timber production during the crediting period or </w:t>
      </w:r>
      <w:r w:rsidR="002B7C8D" w:rsidRPr="00F204F6">
        <w:rPr>
          <w:rFonts w:ascii="Times New Roman" w:hAnsi="Times New Roman" w:cs="Times New Roman"/>
          <w:sz w:val="24"/>
          <w:szCs w:val="24"/>
        </w:rPr>
        <w:t>change the boundaries of carbon protection area</w:t>
      </w:r>
      <w:r w:rsidR="00BA35D2" w:rsidRPr="00F204F6">
        <w:rPr>
          <w:rFonts w:ascii="Times New Roman" w:hAnsi="Times New Roman" w:cs="Times New Roman"/>
          <w:sz w:val="24"/>
          <w:szCs w:val="24"/>
        </w:rPr>
        <w:t>s</w:t>
      </w:r>
      <w:r w:rsidR="00E34549" w:rsidRPr="00F204F6">
        <w:rPr>
          <w:rFonts w:ascii="Times New Roman" w:hAnsi="Times New Roman" w:cs="Times New Roman"/>
          <w:sz w:val="24"/>
          <w:szCs w:val="24"/>
        </w:rPr>
        <w:t>, other than to</w:t>
      </w:r>
      <w:r w:rsidR="00F204F6" w:rsidRPr="00F204F6">
        <w:rPr>
          <w:rFonts w:ascii="Times New Roman" w:hAnsi="Times New Roman" w:cs="Times New Roman"/>
          <w:sz w:val="24"/>
          <w:szCs w:val="24"/>
        </w:rPr>
        <w:t xml:space="preserve"> include additional land in the area.</w:t>
      </w:r>
    </w:p>
    <w:p w14:paraId="381B6551" w14:textId="1D23FC41" w:rsidR="00DF1784" w:rsidRPr="00DF1784" w:rsidRDefault="00DF1784" w:rsidP="00A20587">
      <w:pPr>
        <w:spacing w:before="120" w:after="120" w:line="240" w:lineRule="auto"/>
        <w:rPr>
          <w:rFonts w:ascii="Times New Roman" w:hAnsi="Times New Roman" w:cs="Times New Roman"/>
          <w:i/>
          <w:iCs/>
          <w:sz w:val="24"/>
          <w:szCs w:val="24"/>
          <w:u w:val="single"/>
        </w:rPr>
      </w:pPr>
      <w:r w:rsidRPr="00DF1784">
        <w:rPr>
          <w:rFonts w:ascii="Times New Roman" w:hAnsi="Times New Roman" w:cs="Times New Roman"/>
          <w:i/>
          <w:iCs/>
          <w:sz w:val="24"/>
          <w:szCs w:val="24"/>
          <w:u w:val="single"/>
        </w:rPr>
        <w:t>Stratification of project areas</w:t>
      </w:r>
      <w:r w:rsidR="00D77FE2">
        <w:rPr>
          <w:rFonts w:ascii="Times New Roman" w:hAnsi="Times New Roman" w:cs="Times New Roman"/>
          <w:i/>
          <w:iCs/>
          <w:sz w:val="24"/>
          <w:szCs w:val="24"/>
          <w:u w:val="single"/>
        </w:rPr>
        <w:t xml:space="preserve"> and other required spatial information</w:t>
      </w:r>
    </w:p>
    <w:p w14:paraId="56EAEB1F" w14:textId="36AF1476" w:rsidR="00CB4385" w:rsidRPr="006555D7" w:rsidRDefault="00DF1784"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t>The project must consist only of public native forests that are designated for commercial forestry</w:t>
      </w:r>
      <w:r w:rsidR="00875EF5" w:rsidRPr="006555D7">
        <w:rPr>
          <w:rFonts w:ascii="Times New Roman" w:hAnsi="Times New Roman" w:cs="Times New Roman"/>
          <w:sz w:val="24"/>
          <w:szCs w:val="24"/>
        </w:rPr>
        <w:t xml:space="preserve">, both at the time </w:t>
      </w:r>
      <w:r w:rsidR="006D0522">
        <w:rPr>
          <w:rFonts w:ascii="Times New Roman" w:hAnsi="Times New Roman" w:cs="Times New Roman"/>
          <w:sz w:val="24"/>
          <w:szCs w:val="24"/>
        </w:rPr>
        <w:t>the</w:t>
      </w:r>
      <w:r w:rsidR="00875EF5" w:rsidRPr="006555D7">
        <w:rPr>
          <w:rFonts w:ascii="Times New Roman" w:hAnsi="Times New Roman" w:cs="Times New Roman"/>
          <w:sz w:val="24"/>
          <w:szCs w:val="24"/>
        </w:rPr>
        <w:t xml:space="preserve"> project </w:t>
      </w:r>
      <w:r w:rsidR="006D0522">
        <w:rPr>
          <w:rFonts w:ascii="Times New Roman" w:hAnsi="Times New Roman" w:cs="Times New Roman"/>
          <w:sz w:val="24"/>
          <w:szCs w:val="24"/>
        </w:rPr>
        <w:t xml:space="preserve">is registered </w:t>
      </w:r>
      <w:r w:rsidR="00875EF5" w:rsidRPr="006555D7">
        <w:rPr>
          <w:rFonts w:ascii="Times New Roman" w:hAnsi="Times New Roman" w:cs="Times New Roman"/>
          <w:sz w:val="24"/>
          <w:szCs w:val="24"/>
        </w:rPr>
        <w:t xml:space="preserve">and </w:t>
      </w:r>
      <w:r w:rsidRPr="006555D7">
        <w:rPr>
          <w:rFonts w:ascii="Times New Roman" w:hAnsi="Times New Roman" w:cs="Times New Roman"/>
          <w:sz w:val="24"/>
          <w:szCs w:val="24"/>
        </w:rPr>
        <w:t xml:space="preserve">for at least </w:t>
      </w:r>
      <w:r w:rsidR="00875EF5" w:rsidRPr="006555D7">
        <w:rPr>
          <w:rFonts w:ascii="Times New Roman" w:hAnsi="Times New Roman" w:cs="Times New Roman"/>
          <w:sz w:val="24"/>
          <w:szCs w:val="24"/>
        </w:rPr>
        <w:t xml:space="preserve">the </w:t>
      </w:r>
      <w:r w:rsidRPr="006555D7">
        <w:rPr>
          <w:rFonts w:ascii="Times New Roman" w:hAnsi="Times New Roman" w:cs="Times New Roman"/>
          <w:sz w:val="24"/>
          <w:szCs w:val="24"/>
        </w:rPr>
        <w:t xml:space="preserve">10 years </w:t>
      </w:r>
      <w:r w:rsidR="00875EF5" w:rsidRPr="006555D7">
        <w:rPr>
          <w:rFonts w:ascii="Times New Roman" w:hAnsi="Times New Roman" w:cs="Times New Roman"/>
          <w:sz w:val="24"/>
          <w:szCs w:val="24"/>
        </w:rPr>
        <w:t>prior to the application for registration</w:t>
      </w:r>
      <w:r w:rsidRPr="006555D7">
        <w:rPr>
          <w:rFonts w:ascii="Times New Roman" w:hAnsi="Times New Roman" w:cs="Times New Roman"/>
          <w:sz w:val="24"/>
          <w:szCs w:val="24"/>
        </w:rPr>
        <w:t xml:space="preserve">. </w:t>
      </w:r>
      <w:r w:rsidR="0011620F">
        <w:rPr>
          <w:rFonts w:ascii="Times New Roman" w:hAnsi="Times New Roman" w:cs="Times New Roman"/>
          <w:sz w:val="24"/>
          <w:szCs w:val="24"/>
        </w:rPr>
        <w:t>‘</w:t>
      </w:r>
      <w:r w:rsidR="000E0649" w:rsidRPr="006555D7">
        <w:rPr>
          <w:rFonts w:ascii="Times New Roman" w:hAnsi="Times New Roman" w:cs="Times New Roman"/>
          <w:sz w:val="24"/>
          <w:szCs w:val="24"/>
        </w:rPr>
        <w:t>Public native forests</w:t>
      </w:r>
      <w:r w:rsidR="0011620F">
        <w:rPr>
          <w:rFonts w:ascii="Times New Roman" w:hAnsi="Times New Roman" w:cs="Times New Roman"/>
          <w:sz w:val="24"/>
          <w:szCs w:val="24"/>
        </w:rPr>
        <w:t>’</w:t>
      </w:r>
      <w:r w:rsidR="000E0649" w:rsidRPr="006555D7">
        <w:rPr>
          <w:rFonts w:ascii="Times New Roman" w:hAnsi="Times New Roman" w:cs="Times New Roman"/>
          <w:sz w:val="24"/>
          <w:szCs w:val="24"/>
        </w:rPr>
        <w:t xml:space="preserve"> are </w:t>
      </w:r>
      <w:r w:rsidR="00CB4385" w:rsidRPr="006555D7">
        <w:rPr>
          <w:rFonts w:ascii="Times New Roman" w:hAnsi="Times New Roman" w:cs="Times New Roman"/>
          <w:sz w:val="24"/>
          <w:szCs w:val="24"/>
        </w:rPr>
        <w:t xml:space="preserve">defined for these purposes as </w:t>
      </w:r>
      <w:r w:rsidR="000E0649" w:rsidRPr="006555D7">
        <w:rPr>
          <w:rFonts w:ascii="Times New Roman" w:hAnsi="Times New Roman" w:cs="Times New Roman"/>
          <w:sz w:val="24"/>
          <w:szCs w:val="24"/>
        </w:rPr>
        <w:t xml:space="preserve">native forests </w:t>
      </w:r>
      <w:r w:rsidR="00E01E65">
        <w:rPr>
          <w:rFonts w:ascii="Times New Roman" w:hAnsi="Times New Roman" w:cs="Times New Roman"/>
          <w:sz w:val="24"/>
          <w:szCs w:val="24"/>
        </w:rPr>
        <w:t xml:space="preserve">in Australia </w:t>
      </w:r>
      <w:r w:rsidR="000E0649" w:rsidRPr="006555D7">
        <w:rPr>
          <w:rFonts w:ascii="Times New Roman" w:hAnsi="Times New Roman" w:cs="Times New Roman"/>
          <w:sz w:val="24"/>
          <w:szCs w:val="24"/>
        </w:rPr>
        <w:t>on Crown land.</w:t>
      </w:r>
    </w:p>
    <w:p w14:paraId="080290BF" w14:textId="77777777" w:rsidR="00617418" w:rsidRPr="006555D7" w:rsidRDefault="004E10BC"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t xml:space="preserve">Native forests are defined as </w:t>
      </w:r>
      <w:r w:rsidR="00CB4385" w:rsidRPr="006555D7">
        <w:rPr>
          <w:rFonts w:ascii="Times New Roman" w:hAnsi="Times New Roman" w:cs="Times New Roman"/>
          <w:sz w:val="24"/>
          <w:szCs w:val="24"/>
        </w:rPr>
        <w:t xml:space="preserve">an area of </w:t>
      </w:r>
      <w:r w:rsidR="006F4A98" w:rsidRPr="006555D7">
        <w:rPr>
          <w:rFonts w:ascii="Times New Roman" w:hAnsi="Times New Roman" w:cs="Times New Roman"/>
          <w:sz w:val="24"/>
          <w:szCs w:val="24"/>
        </w:rPr>
        <w:t>land</w:t>
      </w:r>
      <w:r w:rsidR="00CB4385" w:rsidRPr="006555D7">
        <w:rPr>
          <w:rFonts w:ascii="Times New Roman" w:hAnsi="Times New Roman" w:cs="Times New Roman"/>
          <w:sz w:val="24"/>
          <w:szCs w:val="24"/>
        </w:rPr>
        <w:t>, defined at 0.2-hectare scale</w:t>
      </w:r>
      <w:r w:rsidR="00457E76" w:rsidRPr="006555D7">
        <w:rPr>
          <w:rFonts w:ascii="Times New Roman" w:hAnsi="Times New Roman" w:cs="Times New Roman"/>
          <w:sz w:val="24"/>
          <w:szCs w:val="24"/>
        </w:rPr>
        <w:t>,</w:t>
      </w:r>
      <w:r w:rsidRPr="006555D7">
        <w:rPr>
          <w:rFonts w:ascii="Times New Roman" w:hAnsi="Times New Roman" w:cs="Times New Roman"/>
          <w:sz w:val="24"/>
          <w:szCs w:val="24"/>
        </w:rPr>
        <w:t xml:space="preserve"> contain</w:t>
      </w:r>
      <w:r w:rsidR="00C1560D" w:rsidRPr="006555D7">
        <w:rPr>
          <w:rFonts w:ascii="Times New Roman" w:hAnsi="Times New Roman" w:cs="Times New Roman"/>
          <w:sz w:val="24"/>
          <w:szCs w:val="24"/>
        </w:rPr>
        <w:t>ing</w:t>
      </w:r>
      <w:r w:rsidRPr="006555D7">
        <w:rPr>
          <w:rFonts w:ascii="Times New Roman" w:hAnsi="Times New Roman" w:cs="Times New Roman"/>
          <w:sz w:val="24"/>
          <w:szCs w:val="24"/>
        </w:rPr>
        <w:t xml:space="preserve"> trees </w:t>
      </w:r>
      <w:r w:rsidR="00617418" w:rsidRPr="006555D7">
        <w:rPr>
          <w:rFonts w:ascii="Times New Roman" w:hAnsi="Times New Roman" w:cs="Times New Roman"/>
          <w:sz w:val="24"/>
          <w:szCs w:val="24"/>
        </w:rPr>
        <w:t xml:space="preserve">that are within their natural range and </w:t>
      </w:r>
      <w:r w:rsidR="0077148E" w:rsidRPr="006555D7">
        <w:rPr>
          <w:rFonts w:ascii="Times New Roman" w:hAnsi="Times New Roman" w:cs="Times New Roman"/>
          <w:sz w:val="24"/>
          <w:szCs w:val="24"/>
        </w:rPr>
        <w:t>that</w:t>
      </w:r>
      <w:r w:rsidR="00617418" w:rsidRPr="006555D7">
        <w:rPr>
          <w:rFonts w:ascii="Times New Roman" w:hAnsi="Times New Roman" w:cs="Times New Roman"/>
          <w:sz w:val="24"/>
          <w:szCs w:val="24"/>
        </w:rPr>
        <w:t>:</w:t>
      </w:r>
      <w:r w:rsidR="0077148E" w:rsidRPr="006555D7">
        <w:rPr>
          <w:rFonts w:ascii="Times New Roman" w:hAnsi="Times New Roman" w:cs="Times New Roman"/>
          <w:sz w:val="24"/>
          <w:szCs w:val="24"/>
        </w:rPr>
        <w:t xml:space="preserve"> </w:t>
      </w:r>
    </w:p>
    <w:p w14:paraId="3F448818" w14:textId="77777777" w:rsidR="0021170E" w:rsidRPr="006555D7" w:rsidRDefault="00067563" w:rsidP="00E43863">
      <w:pPr>
        <w:pStyle w:val="ListParagraph"/>
        <w:numPr>
          <w:ilvl w:val="0"/>
          <w:numId w:val="6"/>
        </w:numPr>
        <w:spacing w:before="120" w:after="120" w:line="240" w:lineRule="auto"/>
        <w:contextualSpacing w:val="0"/>
        <w:rPr>
          <w:rFonts w:ascii="Times New Roman" w:hAnsi="Times New Roman" w:cs="Times New Roman"/>
          <w:sz w:val="24"/>
          <w:szCs w:val="24"/>
        </w:rPr>
      </w:pPr>
      <w:r w:rsidRPr="006555D7">
        <w:rPr>
          <w:rFonts w:ascii="Times New Roman" w:hAnsi="Times New Roman" w:cs="Times New Roman"/>
          <w:sz w:val="24"/>
          <w:szCs w:val="24"/>
        </w:rPr>
        <w:t>have reached, or have the potential to reach, ≥2 metres in height</w:t>
      </w:r>
      <w:r w:rsidR="00617418" w:rsidRPr="006555D7">
        <w:rPr>
          <w:rFonts w:ascii="Times New Roman" w:hAnsi="Times New Roman" w:cs="Times New Roman"/>
          <w:sz w:val="24"/>
          <w:szCs w:val="24"/>
        </w:rPr>
        <w:t>;</w:t>
      </w:r>
      <w:r w:rsidRPr="006555D7">
        <w:rPr>
          <w:rFonts w:ascii="Times New Roman" w:hAnsi="Times New Roman" w:cs="Times New Roman"/>
          <w:sz w:val="24"/>
          <w:szCs w:val="24"/>
        </w:rPr>
        <w:t xml:space="preserve"> </w:t>
      </w:r>
      <w:r w:rsidR="00617418" w:rsidRPr="006555D7">
        <w:rPr>
          <w:rFonts w:ascii="Times New Roman" w:hAnsi="Times New Roman" w:cs="Times New Roman"/>
          <w:sz w:val="24"/>
          <w:szCs w:val="24"/>
        </w:rPr>
        <w:t xml:space="preserve">and </w:t>
      </w:r>
    </w:p>
    <w:p w14:paraId="38406A78" w14:textId="7AA24BD8" w:rsidR="00617418" w:rsidRPr="006555D7" w:rsidRDefault="004E10BC" w:rsidP="00E43863">
      <w:pPr>
        <w:pStyle w:val="ListParagraph"/>
        <w:numPr>
          <w:ilvl w:val="0"/>
          <w:numId w:val="6"/>
        </w:numPr>
        <w:spacing w:before="120" w:after="120" w:line="240" w:lineRule="auto"/>
        <w:contextualSpacing w:val="0"/>
        <w:rPr>
          <w:rFonts w:ascii="Times New Roman" w:hAnsi="Times New Roman" w:cs="Times New Roman"/>
          <w:sz w:val="24"/>
          <w:szCs w:val="24"/>
        </w:rPr>
      </w:pPr>
      <w:r w:rsidRPr="006555D7">
        <w:rPr>
          <w:rFonts w:ascii="Times New Roman" w:hAnsi="Times New Roman" w:cs="Times New Roman"/>
          <w:sz w:val="24"/>
          <w:szCs w:val="24"/>
        </w:rPr>
        <w:t xml:space="preserve">have attained, or have the potential to attain, a crown cover of at least 20% of </w:t>
      </w:r>
      <w:r w:rsidR="006F4A98" w:rsidRPr="006555D7">
        <w:rPr>
          <w:rFonts w:ascii="Times New Roman" w:hAnsi="Times New Roman" w:cs="Times New Roman"/>
          <w:sz w:val="24"/>
          <w:szCs w:val="24"/>
        </w:rPr>
        <w:t>the area</w:t>
      </w:r>
      <w:r w:rsidR="0021170E" w:rsidRPr="006555D7">
        <w:rPr>
          <w:rFonts w:ascii="Times New Roman" w:hAnsi="Times New Roman" w:cs="Times New Roman"/>
          <w:sz w:val="24"/>
          <w:szCs w:val="24"/>
        </w:rPr>
        <w:t xml:space="preserve">. </w:t>
      </w:r>
    </w:p>
    <w:p w14:paraId="32333953" w14:textId="417A41BB" w:rsidR="00BE2568" w:rsidRPr="006555D7" w:rsidRDefault="0021170E"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t xml:space="preserve">The definition of native forests excludes land that forms part of a </w:t>
      </w:r>
      <w:r w:rsidR="004E10BC" w:rsidRPr="006555D7">
        <w:rPr>
          <w:rFonts w:ascii="Times New Roman" w:hAnsi="Times New Roman" w:cs="Times New Roman"/>
          <w:sz w:val="24"/>
          <w:szCs w:val="24"/>
        </w:rPr>
        <w:t>plantation.</w:t>
      </w:r>
    </w:p>
    <w:p w14:paraId="6D3172EB" w14:textId="5D002F99" w:rsidR="004F16D6" w:rsidRPr="006555D7" w:rsidRDefault="00DF1784"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t>The project area must consist of all public native forests designated for commercial forestry use in at least one whole forestry region</w:t>
      </w:r>
      <w:r w:rsidR="004F16D6" w:rsidRPr="006555D7">
        <w:rPr>
          <w:rFonts w:ascii="Times New Roman" w:hAnsi="Times New Roman" w:cs="Times New Roman"/>
          <w:sz w:val="24"/>
          <w:szCs w:val="24"/>
        </w:rPr>
        <w:t xml:space="preserve">. </w:t>
      </w:r>
      <w:r w:rsidR="00675D52" w:rsidRPr="006555D7">
        <w:rPr>
          <w:rFonts w:ascii="Times New Roman" w:hAnsi="Times New Roman" w:cs="Times New Roman"/>
          <w:sz w:val="24"/>
          <w:szCs w:val="24"/>
        </w:rPr>
        <w:t>Commercial forestry is defined for these purposes as ‘the use of a public native forest for the purposes of obtaining wood for sale’.</w:t>
      </w:r>
    </w:p>
    <w:p w14:paraId="470F0371" w14:textId="64D1DFBA" w:rsidR="00DF1784" w:rsidRPr="006555D7" w:rsidRDefault="00985FEE"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lastRenderedPageBreak/>
        <w:t xml:space="preserve">An application for the registration of a project must be accompanied by a </w:t>
      </w:r>
      <w:r w:rsidR="001F768C">
        <w:rPr>
          <w:rFonts w:ascii="Times New Roman" w:hAnsi="Times New Roman" w:cs="Times New Roman"/>
          <w:sz w:val="24"/>
          <w:szCs w:val="24"/>
        </w:rPr>
        <w:t xml:space="preserve">digital </w:t>
      </w:r>
      <w:r w:rsidRPr="006555D7">
        <w:rPr>
          <w:rFonts w:ascii="Times New Roman" w:hAnsi="Times New Roman" w:cs="Times New Roman"/>
          <w:sz w:val="24"/>
          <w:szCs w:val="24"/>
        </w:rPr>
        <w:t>project map showing the boundaries of the project area, the forestry region(s) in which the project area is located</w:t>
      </w:r>
      <w:r w:rsidR="00C400DA">
        <w:rPr>
          <w:rFonts w:ascii="Times New Roman" w:hAnsi="Times New Roman" w:cs="Times New Roman"/>
          <w:sz w:val="24"/>
          <w:szCs w:val="24"/>
        </w:rPr>
        <w:t xml:space="preserve">, </w:t>
      </w:r>
      <w:r w:rsidRPr="006555D7">
        <w:rPr>
          <w:rFonts w:ascii="Times New Roman" w:hAnsi="Times New Roman" w:cs="Times New Roman"/>
          <w:sz w:val="24"/>
          <w:szCs w:val="24"/>
        </w:rPr>
        <w:t>any proposed carbon protection areas</w:t>
      </w:r>
      <w:r w:rsidR="00C400DA">
        <w:rPr>
          <w:rFonts w:ascii="Times New Roman" w:hAnsi="Times New Roman" w:cs="Times New Roman"/>
          <w:sz w:val="24"/>
          <w:szCs w:val="24"/>
        </w:rPr>
        <w:t xml:space="preserve">, the distribution of </w:t>
      </w:r>
      <w:r w:rsidR="00C400DA" w:rsidRPr="00B61C82">
        <w:rPr>
          <w:rFonts w:ascii="Times New Roman" w:hAnsi="Times New Roman" w:cs="Times New Roman"/>
          <w:sz w:val="24"/>
          <w:szCs w:val="24"/>
        </w:rPr>
        <w:t>each major vegetation group</w:t>
      </w:r>
      <w:r w:rsidR="00C400DA">
        <w:rPr>
          <w:rFonts w:ascii="Times New Roman" w:hAnsi="Times New Roman" w:cs="Times New Roman"/>
          <w:sz w:val="24"/>
          <w:szCs w:val="24"/>
        </w:rPr>
        <w:t xml:space="preserve"> across the project area and the age class of the forests </w:t>
      </w:r>
      <w:r w:rsidR="00466A1F">
        <w:rPr>
          <w:rFonts w:ascii="Times New Roman" w:hAnsi="Times New Roman" w:cs="Times New Roman"/>
          <w:sz w:val="24"/>
          <w:szCs w:val="24"/>
        </w:rPr>
        <w:t>in the project area (</w:t>
      </w:r>
      <w:r w:rsidR="002E486F">
        <w:rPr>
          <w:rFonts w:ascii="Times New Roman" w:hAnsi="Times New Roman" w:cs="Times New Roman"/>
          <w:sz w:val="24"/>
          <w:szCs w:val="24"/>
        </w:rPr>
        <w:t>within</w:t>
      </w:r>
      <w:r w:rsidR="00466A1F">
        <w:rPr>
          <w:rFonts w:ascii="Times New Roman" w:hAnsi="Times New Roman" w:cs="Times New Roman"/>
          <w:sz w:val="24"/>
          <w:szCs w:val="24"/>
        </w:rPr>
        <w:t xml:space="preserve"> major vegetation group</w:t>
      </w:r>
      <w:r w:rsidR="002E486F">
        <w:rPr>
          <w:rFonts w:ascii="Times New Roman" w:hAnsi="Times New Roman" w:cs="Times New Roman"/>
          <w:sz w:val="24"/>
          <w:szCs w:val="24"/>
        </w:rPr>
        <w:t>s</w:t>
      </w:r>
      <w:r w:rsidR="00466A1F">
        <w:rPr>
          <w:rFonts w:ascii="Times New Roman" w:hAnsi="Times New Roman" w:cs="Times New Roman"/>
          <w:sz w:val="24"/>
          <w:szCs w:val="24"/>
        </w:rPr>
        <w:t>)</w:t>
      </w:r>
      <w:r w:rsidR="00DF1784" w:rsidRPr="006555D7">
        <w:rPr>
          <w:rFonts w:ascii="Times New Roman" w:hAnsi="Times New Roman" w:cs="Times New Roman"/>
          <w:sz w:val="24"/>
          <w:szCs w:val="24"/>
        </w:rPr>
        <w:t>.</w:t>
      </w:r>
      <w:r w:rsidR="00A621F8" w:rsidRPr="006555D7">
        <w:rPr>
          <w:rFonts w:ascii="Times New Roman" w:hAnsi="Times New Roman" w:cs="Times New Roman"/>
          <w:sz w:val="24"/>
          <w:szCs w:val="24"/>
        </w:rPr>
        <w:t xml:space="preserve"> The project map must be prepared in accordance with the INFM Mapping Guidelines</w:t>
      </w:r>
      <w:r w:rsidR="00E93200" w:rsidRPr="006555D7">
        <w:rPr>
          <w:rFonts w:ascii="Times New Roman" w:hAnsi="Times New Roman" w:cs="Times New Roman"/>
          <w:sz w:val="24"/>
          <w:szCs w:val="24"/>
        </w:rPr>
        <w:t>.</w:t>
      </w:r>
    </w:p>
    <w:p w14:paraId="78AC4F46" w14:textId="5EAF6776" w:rsidR="00D77FE2" w:rsidRPr="006555D7" w:rsidRDefault="009A2D83" w:rsidP="00A20587">
      <w:pPr>
        <w:spacing w:before="120" w:after="120" w:line="240" w:lineRule="auto"/>
        <w:rPr>
          <w:rFonts w:ascii="Times New Roman" w:hAnsi="Times New Roman" w:cs="Times New Roman"/>
          <w:sz w:val="24"/>
          <w:szCs w:val="24"/>
        </w:rPr>
      </w:pPr>
      <w:r w:rsidRPr="006555D7">
        <w:rPr>
          <w:rFonts w:ascii="Times New Roman" w:hAnsi="Times New Roman" w:cs="Times New Roman"/>
          <w:sz w:val="24"/>
          <w:szCs w:val="24"/>
        </w:rPr>
        <w:t xml:space="preserve">In addition to the project map, </w:t>
      </w:r>
      <w:r w:rsidR="0020101D">
        <w:rPr>
          <w:rFonts w:ascii="Times New Roman" w:hAnsi="Times New Roman" w:cs="Times New Roman"/>
          <w:sz w:val="24"/>
          <w:szCs w:val="24"/>
        </w:rPr>
        <w:t xml:space="preserve">an </w:t>
      </w:r>
      <w:r w:rsidR="00AF401D" w:rsidRPr="006555D7">
        <w:rPr>
          <w:rFonts w:ascii="Times New Roman" w:hAnsi="Times New Roman" w:cs="Times New Roman"/>
          <w:sz w:val="24"/>
          <w:szCs w:val="24"/>
        </w:rPr>
        <w:t xml:space="preserve">application for the registration </w:t>
      </w:r>
      <w:r w:rsidR="003B1B83">
        <w:rPr>
          <w:rFonts w:ascii="Times New Roman" w:hAnsi="Times New Roman" w:cs="Times New Roman"/>
          <w:sz w:val="24"/>
          <w:szCs w:val="24"/>
        </w:rPr>
        <w:t xml:space="preserve">of an INFM project </w:t>
      </w:r>
      <w:r w:rsidR="00AF401D" w:rsidRPr="006555D7">
        <w:rPr>
          <w:rFonts w:ascii="Times New Roman" w:hAnsi="Times New Roman" w:cs="Times New Roman"/>
          <w:sz w:val="24"/>
          <w:szCs w:val="24"/>
        </w:rPr>
        <w:t xml:space="preserve">must </w:t>
      </w:r>
      <w:r w:rsidR="003B40BE" w:rsidRPr="006555D7">
        <w:rPr>
          <w:rFonts w:ascii="Times New Roman" w:hAnsi="Times New Roman" w:cs="Times New Roman"/>
          <w:sz w:val="24"/>
          <w:szCs w:val="24"/>
        </w:rPr>
        <w:t xml:space="preserve">also include a </w:t>
      </w:r>
      <w:r w:rsidR="00AF401D" w:rsidRPr="006555D7">
        <w:rPr>
          <w:rFonts w:ascii="Times New Roman" w:hAnsi="Times New Roman" w:cs="Times New Roman"/>
          <w:sz w:val="24"/>
          <w:szCs w:val="24"/>
        </w:rPr>
        <w:t>management plan</w:t>
      </w:r>
      <w:r w:rsidR="003B40BE" w:rsidRPr="006555D7">
        <w:rPr>
          <w:rFonts w:ascii="Times New Roman" w:hAnsi="Times New Roman" w:cs="Times New Roman"/>
          <w:sz w:val="24"/>
          <w:szCs w:val="24"/>
        </w:rPr>
        <w:t xml:space="preserve">. The management plan must contain </w:t>
      </w:r>
      <w:r w:rsidR="00D77FE2" w:rsidRPr="006555D7">
        <w:rPr>
          <w:rFonts w:ascii="Times New Roman" w:hAnsi="Times New Roman" w:cs="Times New Roman"/>
          <w:sz w:val="24"/>
          <w:szCs w:val="24"/>
        </w:rPr>
        <w:t xml:space="preserve">a range of </w:t>
      </w:r>
      <w:r w:rsidR="00AF401D" w:rsidRPr="006555D7">
        <w:rPr>
          <w:rFonts w:ascii="Times New Roman" w:hAnsi="Times New Roman" w:cs="Times New Roman"/>
          <w:sz w:val="24"/>
          <w:szCs w:val="24"/>
        </w:rPr>
        <w:t>information</w:t>
      </w:r>
      <w:r w:rsidR="00D77FE2" w:rsidRPr="006555D7">
        <w:rPr>
          <w:rFonts w:ascii="Times New Roman" w:hAnsi="Times New Roman" w:cs="Times New Roman"/>
          <w:sz w:val="24"/>
          <w:szCs w:val="24"/>
        </w:rPr>
        <w:t>, including:</w:t>
      </w:r>
    </w:p>
    <w:p w14:paraId="2E975AEF" w14:textId="53E23D83" w:rsidR="006555D7" w:rsidRDefault="00AF401D" w:rsidP="00E43863">
      <w:pPr>
        <w:pStyle w:val="ListParagraph"/>
        <w:numPr>
          <w:ilvl w:val="0"/>
          <w:numId w:val="7"/>
        </w:numPr>
        <w:spacing w:before="120" w:after="120" w:line="240" w:lineRule="auto"/>
        <w:ind w:left="714" w:hanging="357"/>
        <w:contextualSpacing w:val="0"/>
        <w:rPr>
          <w:rFonts w:ascii="Times New Roman" w:hAnsi="Times New Roman" w:cs="Times New Roman"/>
          <w:sz w:val="24"/>
          <w:szCs w:val="24"/>
        </w:rPr>
      </w:pPr>
      <w:r w:rsidRPr="006555D7">
        <w:rPr>
          <w:rFonts w:ascii="Times New Roman" w:hAnsi="Times New Roman" w:cs="Times New Roman"/>
          <w:sz w:val="24"/>
          <w:szCs w:val="24"/>
        </w:rPr>
        <w:t xml:space="preserve">the project map; </w:t>
      </w:r>
      <w:r w:rsidR="006555D7" w:rsidRPr="006555D7">
        <w:rPr>
          <w:rFonts w:ascii="Times New Roman" w:hAnsi="Times New Roman" w:cs="Times New Roman"/>
          <w:sz w:val="24"/>
          <w:szCs w:val="24"/>
        </w:rPr>
        <w:t>and</w:t>
      </w:r>
    </w:p>
    <w:p w14:paraId="48288145" w14:textId="77777777" w:rsidR="006E4CA5" w:rsidRDefault="00CC7723" w:rsidP="00E43863">
      <w:pPr>
        <w:pStyle w:val="ListParagraph"/>
        <w:numPr>
          <w:ilvl w:val="0"/>
          <w:numId w:val="7"/>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8F2776" w:rsidRPr="008F2776">
        <w:rPr>
          <w:rFonts w:ascii="Times New Roman" w:hAnsi="Times New Roman" w:cs="Times New Roman"/>
          <w:sz w:val="24"/>
          <w:szCs w:val="24"/>
        </w:rPr>
        <w:t xml:space="preserve">harvest level in the baseline scenario for the project </w:t>
      </w:r>
      <w:proofErr w:type="gramStart"/>
      <w:r w:rsidR="008F2776" w:rsidRPr="008F2776">
        <w:rPr>
          <w:rFonts w:ascii="Times New Roman" w:hAnsi="Times New Roman" w:cs="Times New Roman"/>
          <w:sz w:val="24"/>
          <w:szCs w:val="24"/>
        </w:rPr>
        <w:t>area</w:t>
      </w:r>
      <w:r w:rsidR="008F2776">
        <w:rPr>
          <w:rFonts w:ascii="Times New Roman" w:hAnsi="Times New Roman" w:cs="Times New Roman"/>
          <w:sz w:val="24"/>
          <w:szCs w:val="24"/>
        </w:rPr>
        <w:t>;</w:t>
      </w:r>
      <w:proofErr w:type="gramEnd"/>
    </w:p>
    <w:p w14:paraId="73ED620F" w14:textId="0B3DE50D" w:rsidR="009E3DBD" w:rsidRDefault="006E4CA5" w:rsidP="00E43863">
      <w:pPr>
        <w:pStyle w:val="ListParagraph"/>
        <w:numPr>
          <w:ilvl w:val="0"/>
          <w:numId w:val="7"/>
        </w:numPr>
        <w:spacing w:before="120" w:after="120" w:line="240" w:lineRule="auto"/>
        <w:contextualSpacing w:val="0"/>
        <w:rPr>
          <w:rFonts w:ascii="Times New Roman" w:hAnsi="Times New Roman" w:cs="Times New Roman"/>
          <w:sz w:val="24"/>
          <w:szCs w:val="24"/>
        </w:rPr>
      </w:pPr>
      <w:r w:rsidRPr="006E4CA5">
        <w:rPr>
          <w:rFonts w:ascii="Times New Roman" w:hAnsi="Times New Roman" w:cs="Times New Roman"/>
          <w:sz w:val="24"/>
          <w:szCs w:val="24"/>
        </w:rPr>
        <w:t xml:space="preserve">direct leakage baseline harvest level </w:t>
      </w:r>
      <w:r w:rsidR="00824DF7">
        <w:rPr>
          <w:rFonts w:ascii="Times New Roman" w:hAnsi="Times New Roman" w:cs="Times New Roman"/>
          <w:sz w:val="24"/>
          <w:szCs w:val="24"/>
        </w:rPr>
        <w:t xml:space="preserve">(which applies to the excluded sections of the proponent’s public native forest estate) </w:t>
      </w:r>
      <w:r w:rsidRPr="006E4CA5">
        <w:rPr>
          <w:rFonts w:ascii="Times New Roman" w:hAnsi="Times New Roman" w:cs="Times New Roman"/>
          <w:sz w:val="24"/>
          <w:szCs w:val="24"/>
        </w:rPr>
        <w:t xml:space="preserve">and the private native forests leakage baseline harvest level </w:t>
      </w:r>
      <w:r w:rsidR="00BA4D64">
        <w:rPr>
          <w:rFonts w:ascii="Times New Roman" w:hAnsi="Times New Roman" w:cs="Times New Roman"/>
          <w:sz w:val="24"/>
          <w:szCs w:val="24"/>
        </w:rPr>
        <w:t xml:space="preserve">(which applies to the private native forest estate in the relevant state) </w:t>
      </w:r>
      <w:r w:rsidRPr="006E4CA5">
        <w:rPr>
          <w:rFonts w:ascii="Times New Roman" w:hAnsi="Times New Roman" w:cs="Times New Roman"/>
          <w:sz w:val="24"/>
          <w:szCs w:val="24"/>
        </w:rPr>
        <w:t xml:space="preserve">for the </w:t>
      </w:r>
      <w:proofErr w:type="gramStart"/>
      <w:r w:rsidRPr="006E4CA5">
        <w:rPr>
          <w:rFonts w:ascii="Times New Roman" w:hAnsi="Times New Roman" w:cs="Times New Roman"/>
          <w:sz w:val="24"/>
          <w:szCs w:val="24"/>
        </w:rPr>
        <w:t>project</w:t>
      </w:r>
      <w:r w:rsidR="00824DF7">
        <w:rPr>
          <w:rFonts w:ascii="Times New Roman" w:hAnsi="Times New Roman" w:cs="Times New Roman"/>
          <w:sz w:val="24"/>
          <w:szCs w:val="24"/>
        </w:rPr>
        <w:t>;</w:t>
      </w:r>
      <w:proofErr w:type="gramEnd"/>
      <w:r w:rsidR="00824DF7">
        <w:rPr>
          <w:rFonts w:ascii="Times New Roman" w:hAnsi="Times New Roman" w:cs="Times New Roman"/>
          <w:sz w:val="24"/>
          <w:szCs w:val="24"/>
        </w:rPr>
        <w:t xml:space="preserve"> </w:t>
      </w:r>
      <w:r w:rsidR="008F2776">
        <w:rPr>
          <w:rFonts w:ascii="Times New Roman" w:hAnsi="Times New Roman" w:cs="Times New Roman"/>
          <w:sz w:val="24"/>
          <w:szCs w:val="24"/>
        </w:rPr>
        <w:t xml:space="preserve"> </w:t>
      </w:r>
    </w:p>
    <w:p w14:paraId="2D9989C4" w14:textId="0E658B43" w:rsidR="008F2776" w:rsidRDefault="00CC7723" w:rsidP="00E43863">
      <w:pPr>
        <w:pStyle w:val="ListParagraph"/>
        <w:numPr>
          <w:ilvl w:val="0"/>
          <w:numId w:val="7"/>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CC7723">
        <w:rPr>
          <w:rFonts w:ascii="Times New Roman" w:hAnsi="Times New Roman" w:cs="Times New Roman"/>
          <w:sz w:val="24"/>
          <w:szCs w:val="24"/>
        </w:rPr>
        <w:t xml:space="preserve">volume of wood proposed to be extracted from the project area during each </w:t>
      </w:r>
      <w:r w:rsidR="006652EF" w:rsidRPr="00CC7723">
        <w:rPr>
          <w:rFonts w:ascii="Times New Roman" w:hAnsi="Times New Roman" w:cs="Times New Roman"/>
          <w:sz w:val="24"/>
          <w:szCs w:val="24"/>
        </w:rPr>
        <w:t>12-month</w:t>
      </w:r>
      <w:r>
        <w:rPr>
          <w:rFonts w:ascii="Times New Roman" w:hAnsi="Times New Roman" w:cs="Times New Roman"/>
          <w:sz w:val="24"/>
          <w:szCs w:val="24"/>
        </w:rPr>
        <w:t xml:space="preserve"> period</w:t>
      </w:r>
      <w:r w:rsidRPr="00CC7723">
        <w:rPr>
          <w:rFonts w:ascii="Times New Roman" w:hAnsi="Times New Roman" w:cs="Times New Roman"/>
          <w:sz w:val="24"/>
          <w:szCs w:val="24"/>
        </w:rPr>
        <w:t xml:space="preserve"> of the crediting period</w:t>
      </w:r>
      <w:r w:rsidR="00830C11">
        <w:rPr>
          <w:rFonts w:ascii="Times New Roman" w:hAnsi="Times New Roman" w:cs="Times New Roman"/>
          <w:sz w:val="24"/>
          <w:szCs w:val="24"/>
        </w:rPr>
        <w:t xml:space="preserve">; and </w:t>
      </w:r>
    </w:p>
    <w:p w14:paraId="70E71065" w14:textId="1C71D1E9" w:rsidR="00010EA9" w:rsidRDefault="00010EA9" w:rsidP="00E43863">
      <w:pPr>
        <w:pStyle w:val="ListParagraph"/>
        <w:numPr>
          <w:ilvl w:val="0"/>
          <w:numId w:val="7"/>
        </w:numPr>
        <w:spacing w:before="120" w:after="120" w:line="240" w:lineRule="auto"/>
        <w:contextualSpacing w:val="0"/>
        <w:rPr>
          <w:rFonts w:ascii="Times New Roman" w:hAnsi="Times New Roman" w:cs="Times New Roman"/>
          <w:sz w:val="24"/>
          <w:szCs w:val="24"/>
        </w:rPr>
      </w:pPr>
      <w:r w:rsidRPr="00010EA9">
        <w:rPr>
          <w:rFonts w:ascii="Times New Roman" w:hAnsi="Times New Roman" w:cs="Times New Roman"/>
          <w:sz w:val="24"/>
          <w:szCs w:val="24"/>
        </w:rPr>
        <w:t>details on how th</w:t>
      </w:r>
      <w:r>
        <w:rPr>
          <w:rFonts w:ascii="Times New Roman" w:hAnsi="Times New Roman" w:cs="Times New Roman"/>
          <w:sz w:val="24"/>
          <w:szCs w:val="24"/>
        </w:rPr>
        <w:t>e proposed</w:t>
      </w:r>
      <w:r w:rsidRPr="00010EA9">
        <w:rPr>
          <w:rFonts w:ascii="Times New Roman" w:hAnsi="Times New Roman" w:cs="Times New Roman"/>
          <w:sz w:val="24"/>
          <w:szCs w:val="24"/>
        </w:rPr>
        <w:t xml:space="preserve"> reduction in the volume of wood to be extracted will be achieve</w:t>
      </w:r>
      <w:r w:rsidR="00560708">
        <w:rPr>
          <w:rFonts w:ascii="Times New Roman" w:hAnsi="Times New Roman" w:cs="Times New Roman"/>
          <w:sz w:val="24"/>
          <w:szCs w:val="24"/>
        </w:rPr>
        <w:t>d</w:t>
      </w:r>
      <w:r w:rsidR="00697B56">
        <w:rPr>
          <w:rFonts w:ascii="Times New Roman" w:hAnsi="Times New Roman" w:cs="Times New Roman"/>
          <w:sz w:val="24"/>
          <w:szCs w:val="24"/>
        </w:rPr>
        <w:t xml:space="preserve">. </w:t>
      </w:r>
    </w:p>
    <w:p w14:paraId="0F5E158E" w14:textId="46FD6610" w:rsidR="00E56370" w:rsidRPr="00E56370" w:rsidRDefault="00E56370"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current version of the </w:t>
      </w:r>
      <w:r w:rsidRPr="00E56370">
        <w:rPr>
          <w:rFonts w:ascii="Times New Roman" w:hAnsi="Times New Roman" w:cs="Times New Roman"/>
          <w:sz w:val="24"/>
          <w:szCs w:val="24"/>
        </w:rPr>
        <w:t xml:space="preserve">management plan </w:t>
      </w:r>
      <w:r>
        <w:rPr>
          <w:rFonts w:ascii="Times New Roman" w:hAnsi="Times New Roman" w:cs="Times New Roman"/>
          <w:sz w:val="24"/>
          <w:szCs w:val="24"/>
        </w:rPr>
        <w:t xml:space="preserve">must be </w:t>
      </w:r>
      <w:r w:rsidR="00F71C1F">
        <w:rPr>
          <w:rFonts w:ascii="Times New Roman" w:hAnsi="Times New Roman" w:cs="Times New Roman"/>
          <w:sz w:val="24"/>
          <w:szCs w:val="24"/>
        </w:rPr>
        <w:t xml:space="preserve">published on the </w:t>
      </w:r>
      <w:r w:rsidR="00F71C1F" w:rsidRPr="00F71C1F">
        <w:rPr>
          <w:rFonts w:ascii="Times New Roman" w:hAnsi="Times New Roman" w:cs="Times New Roman"/>
          <w:sz w:val="24"/>
          <w:szCs w:val="24"/>
        </w:rPr>
        <w:t>proponent’s website</w:t>
      </w:r>
      <w:r w:rsidR="00EB6B6D">
        <w:rPr>
          <w:rFonts w:ascii="Times New Roman" w:hAnsi="Times New Roman" w:cs="Times New Roman"/>
          <w:sz w:val="24"/>
          <w:szCs w:val="24"/>
        </w:rPr>
        <w:t>.</w:t>
      </w:r>
    </w:p>
    <w:p w14:paraId="7C4F6F67" w14:textId="7B7B7DB0" w:rsidR="00DF1784" w:rsidRPr="00E93200" w:rsidRDefault="00337A52" w:rsidP="00A20587">
      <w:pPr>
        <w:spacing w:before="120" w:after="120" w:line="240" w:lineRule="auto"/>
        <w:rPr>
          <w:rFonts w:ascii="Times New Roman" w:hAnsi="Times New Roman" w:cs="Times New Roman"/>
          <w:i/>
          <w:iCs/>
          <w:sz w:val="24"/>
          <w:szCs w:val="24"/>
          <w:u w:val="single"/>
        </w:rPr>
      </w:pPr>
      <w:r w:rsidRPr="00E93200">
        <w:rPr>
          <w:rFonts w:ascii="Times New Roman" w:hAnsi="Times New Roman" w:cs="Times New Roman"/>
          <w:i/>
          <w:iCs/>
          <w:sz w:val="24"/>
          <w:szCs w:val="24"/>
          <w:u w:val="single"/>
        </w:rPr>
        <w:t xml:space="preserve">Rules governing the conduct of </w:t>
      </w:r>
      <w:r w:rsidR="00E93200" w:rsidRPr="00E93200">
        <w:rPr>
          <w:rFonts w:ascii="Times New Roman" w:hAnsi="Times New Roman" w:cs="Times New Roman"/>
          <w:i/>
          <w:iCs/>
          <w:sz w:val="24"/>
          <w:szCs w:val="24"/>
          <w:u w:val="single"/>
        </w:rPr>
        <w:t>management</w:t>
      </w:r>
      <w:r w:rsidRPr="00E93200">
        <w:rPr>
          <w:rFonts w:ascii="Times New Roman" w:hAnsi="Times New Roman" w:cs="Times New Roman"/>
          <w:i/>
          <w:iCs/>
          <w:sz w:val="24"/>
          <w:szCs w:val="24"/>
          <w:u w:val="single"/>
        </w:rPr>
        <w:t xml:space="preserve"> activities</w:t>
      </w:r>
      <w:r w:rsidR="00E93200" w:rsidRPr="00E93200">
        <w:rPr>
          <w:rFonts w:ascii="Times New Roman" w:hAnsi="Times New Roman" w:cs="Times New Roman"/>
          <w:i/>
          <w:iCs/>
          <w:sz w:val="24"/>
          <w:szCs w:val="24"/>
          <w:u w:val="single"/>
        </w:rPr>
        <w:t xml:space="preserve"> in the project area</w:t>
      </w:r>
    </w:p>
    <w:p w14:paraId="0D2AA9A4" w14:textId="30978350" w:rsidR="0040123D" w:rsidRDefault="00650AFC"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management plan </w:t>
      </w:r>
      <w:r w:rsidR="00E33ECE">
        <w:rPr>
          <w:rFonts w:ascii="Times New Roman" w:hAnsi="Times New Roman" w:cs="Times New Roman"/>
          <w:sz w:val="24"/>
          <w:szCs w:val="24"/>
        </w:rPr>
        <w:t xml:space="preserve">must specify how the proposed </w:t>
      </w:r>
      <w:r w:rsidR="00644811" w:rsidRPr="00644811">
        <w:rPr>
          <w:rFonts w:ascii="Times New Roman" w:hAnsi="Times New Roman" w:cs="Times New Roman"/>
          <w:sz w:val="24"/>
          <w:szCs w:val="24"/>
        </w:rPr>
        <w:t xml:space="preserve">reduction in </w:t>
      </w:r>
      <w:r w:rsidR="00E33ECE">
        <w:rPr>
          <w:rFonts w:ascii="Times New Roman" w:hAnsi="Times New Roman" w:cs="Times New Roman"/>
          <w:sz w:val="24"/>
          <w:szCs w:val="24"/>
        </w:rPr>
        <w:t>timber production</w:t>
      </w:r>
      <w:r w:rsidR="00644811" w:rsidRPr="00644811">
        <w:rPr>
          <w:rFonts w:ascii="Times New Roman" w:hAnsi="Times New Roman" w:cs="Times New Roman"/>
          <w:sz w:val="24"/>
          <w:szCs w:val="24"/>
        </w:rPr>
        <w:t xml:space="preserve"> will be achieved</w:t>
      </w:r>
      <w:r w:rsidR="00E33ECE">
        <w:rPr>
          <w:rFonts w:ascii="Times New Roman" w:hAnsi="Times New Roman" w:cs="Times New Roman"/>
          <w:sz w:val="24"/>
          <w:szCs w:val="24"/>
        </w:rPr>
        <w:t xml:space="preserve"> and, as a condition of project registration, the proponent must </w:t>
      </w:r>
      <w:r w:rsidR="00794345">
        <w:rPr>
          <w:rFonts w:ascii="Times New Roman" w:hAnsi="Times New Roman" w:cs="Times New Roman"/>
          <w:sz w:val="24"/>
          <w:szCs w:val="24"/>
        </w:rPr>
        <w:t>ensure the project area is managed in accordance with the management plan.</w:t>
      </w:r>
    </w:p>
    <w:p w14:paraId="59F71A87" w14:textId="061D8F1B" w:rsidR="00002CD4" w:rsidRDefault="00002CD4" w:rsidP="00A20587">
      <w:pPr>
        <w:spacing w:before="120" w:after="120" w:line="240" w:lineRule="auto"/>
        <w:rPr>
          <w:rFonts w:ascii="Times New Roman" w:hAnsi="Times New Roman" w:cs="Times New Roman"/>
          <w:sz w:val="24"/>
          <w:szCs w:val="24"/>
        </w:rPr>
      </w:pPr>
      <w:r w:rsidRPr="006B51E5">
        <w:rPr>
          <w:rFonts w:ascii="Times New Roman" w:hAnsi="Times New Roman" w:cs="Times New Roman"/>
          <w:sz w:val="24"/>
          <w:szCs w:val="24"/>
        </w:rPr>
        <w:t xml:space="preserve">Subject to the provisions of the management plan </w:t>
      </w:r>
      <w:r w:rsidR="00560708">
        <w:rPr>
          <w:rFonts w:ascii="Times New Roman" w:hAnsi="Times New Roman" w:cs="Times New Roman"/>
          <w:sz w:val="24"/>
          <w:szCs w:val="24"/>
        </w:rPr>
        <w:t xml:space="preserve">(including the requirement to stop harvesting in carbon protection areas and/or reduce harvesting across the project area) </w:t>
      </w:r>
      <w:r w:rsidRPr="006B51E5">
        <w:rPr>
          <w:rFonts w:ascii="Times New Roman" w:hAnsi="Times New Roman" w:cs="Times New Roman"/>
          <w:sz w:val="24"/>
          <w:szCs w:val="24"/>
        </w:rPr>
        <w:t xml:space="preserve">and the applicable permanence obligations, the Determination allows </w:t>
      </w:r>
      <w:r w:rsidR="00A42EC1" w:rsidRPr="006B51E5">
        <w:rPr>
          <w:rFonts w:ascii="Times New Roman" w:hAnsi="Times New Roman" w:cs="Times New Roman"/>
          <w:sz w:val="24"/>
          <w:szCs w:val="24"/>
        </w:rPr>
        <w:t xml:space="preserve">for ongoing </w:t>
      </w:r>
      <w:r w:rsidRPr="006B51E5">
        <w:rPr>
          <w:rFonts w:ascii="Times New Roman" w:hAnsi="Times New Roman" w:cs="Times New Roman"/>
          <w:sz w:val="24"/>
          <w:szCs w:val="24"/>
        </w:rPr>
        <w:t xml:space="preserve">forestry management activities </w:t>
      </w:r>
      <w:r w:rsidR="00A42EC1" w:rsidRPr="006B51E5">
        <w:rPr>
          <w:rFonts w:ascii="Times New Roman" w:hAnsi="Times New Roman" w:cs="Times New Roman"/>
          <w:sz w:val="24"/>
          <w:szCs w:val="24"/>
        </w:rPr>
        <w:t>in the public native forests in the project area</w:t>
      </w:r>
      <w:r w:rsidR="00283BA7" w:rsidRPr="006B51E5">
        <w:rPr>
          <w:rFonts w:ascii="Times New Roman" w:hAnsi="Times New Roman" w:cs="Times New Roman"/>
          <w:sz w:val="24"/>
          <w:szCs w:val="24"/>
        </w:rPr>
        <w:t xml:space="preserve">, including harvesting </w:t>
      </w:r>
      <w:r w:rsidR="006B51E5" w:rsidRPr="006B51E5">
        <w:rPr>
          <w:rFonts w:ascii="Times New Roman" w:hAnsi="Times New Roman" w:cs="Times New Roman"/>
          <w:sz w:val="24"/>
          <w:szCs w:val="24"/>
        </w:rPr>
        <w:t>and, where necessary, clearing (e.g. for emergency management purposes).</w:t>
      </w:r>
    </w:p>
    <w:p w14:paraId="03E418A3" w14:textId="6ED2E08D" w:rsidR="004926FF" w:rsidRPr="006B51E5" w:rsidRDefault="004926FF" w:rsidP="00A2058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potential for credited abatement to be affected by </w:t>
      </w:r>
      <w:r w:rsidR="00C4254A">
        <w:rPr>
          <w:rFonts w:ascii="Times New Roman" w:hAnsi="Times New Roman" w:cs="Times New Roman"/>
          <w:sz w:val="24"/>
          <w:szCs w:val="24"/>
        </w:rPr>
        <w:t>forest management activities is addressed through the process</w:t>
      </w:r>
      <w:r w:rsidR="00D97E86">
        <w:rPr>
          <w:rFonts w:ascii="Times New Roman" w:hAnsi="Times New Roman" w:cs="Times New Roman"/>
          <w:sz w:val="24"/>
          <w:szCs w:val="24"/>
        </w:rPr>
        <w:t>es</w:t>
      </w:r>
      <w:r w:rsidR="00C4254A">
        <w:rPr>
          <w:rFonts w:ascii="Times New Roman" w:hAnsi="Times New Roman" w:cs="Times New Roman"/>
          <w:sz w:val="24"/>
          <w:szCs w:val="24"/>
        </w:rPr>
        <w:t xml:space="preserve"> governing the calculation of the net abatement amount a</w:t>
      </w:r>
      <w:r w:rsidR="00BD6583">
        <w:rPr>
          <w:rFonts w:ascii="Times New Roman" w:hAnsi="Times New Roman" w:cs="Times New Roman"/>
          <w:sz w:val="24"/>
          <w:szCs w:val="24"/>
        </w:rPr>
        <w:t>nd</w:t>
      </w:r>
      <w:r w:rsidR="00C4254A">
        <w:rPr>
          <w:rFonts w:ascii="Times New Roman" w:hAnsi="Times New Roman" w:cs="Times New Roman"/>
          <w:sz w:val="24"/>
          <w:szCs w:val="24"/>
        </w:rPr>
        <w:t xml:space="preserve"> the </w:t>
      </w:r>
      <w:r w:rsidR="00601292">
        <w:rPr>
          <w:rFonts w:ascii="Times New Roman" w:hAnsi="Times New Roman" w:cs="Times New Roman"/>
          <w:sz w:val="24"/>
          <w:szCs w:val="24"/>
        </w:rPr>
        <w:t xml:space="preserve">permanence obligations. </w:t>
      </w:r>
      <w:r w:rsidR="00BD6583">
        <w:rPr>
          <w:rFonts w:ascii="Times New Roman" w:hAnsi="Times New Roman" w:cs="Times New Roman"/>
          <w:sz w:val="24"/>
          <w:szCs w:val="24"/>
        </w:rPr>
        <w:t>Broadly, h</w:t>
      </w:r>
      <w:r w:rsidR="00081D78">
        <w:rPr>
          <w:rFonts w:ascii="Times New Roman" w:hAnsi="Times New Roman" w:cs="Times New Roman"/>
          <w:sz w:val="24"/>
          <w:szCs w:val="24"/>
        </w:rPr>
        <w:t xml:space="preserve">arvesting </w:t>
      </w:r>
      <w:r w:rsidR="00431A24">
        <w:rPr>
          <w:rFonts w:ascii="Times New Roman" w:hAnsi="Times New Roman" w:cs="Times New Roman"/>
          <w:sz w:val="24"/>
          <w:szCs w:val="24"/>
        </w:rPr>
        <w:t>(</w:t>
      </w:r>
      <w:r w:rsidR="00851F9E">
        <w:rPr>
          <w:rFonts w:ascii="Times New Roman" w:hAnsi="Times New Roman" w:cs="Times New Roman"/>
          <w:sz w:val="24"/>
          <w:szCs w:val="24"/>
        </w:rPr>
        <w:t>or clearing</w:t>
      </w:r>
      <w:r w:rsidR="00431A24">
        <w:rPr>
          <w:rFonts w:ascii="Times New Roman" w:hAnsi="Times New Roman" w:cs="Times New Roman"/>
          <w:sz w:val="24"/>
          <w:szCs w:val="24"/>
        </w:rPr>
        <w:t>)</w:t>
      </w:r>
      <w:r w:rsidR="00851F9E">
        <w:rPr>
          <w:rFonts w:ascii="Times New Roman" w:hAnsi="Times New Roman" w:cs="Times New Roman"/>
          <w:sz w:val="24"/>
          <w:szCs w:val="24"/>
        </w:rPr>
        <w:t xml:space="preserve"> </w:t>
      </w:r>
      <w:r w:rsidR="00081D78">
        <w:rPr>
          <w:rFonts w:ascii="Times New Roman" w:hAnsi="Times New Roman" w:cs="Times New Roman"/>
          <w:sz w:val="24"/>
          <w:szCs w:val="24"/>
        </w:rPr>
        <w:t xml:space="preserve">in the project area reduces the </w:t>
      </w:r>
      <w:r w:rsidR="00851F9E">
        <w:rPr>
          <w:rFonts w:ascii="Times New Roman" w:hAnsi="Times New Roman" w:cs="Times New Roman"/>
          <w:sz w:val="24"/>
          <w:szCs w:val="24"/>
        </w:rPr>
        <w:t xml:space="preserve">credited abatement generated by the project. </w:t>
      </w:r>
      <w:r w:rsidR="009A5EF2">
        <w:rPr>
          <w:rFonts w:ascii="Times New Roman" w:hAnsi="Times New Roman" w:cs="Times New Roman"/>
          <w:sz w:val="24"/>
          <w:szCs w:val="24"/>
        </w:rPr>
        <w:t xml:space="preserve">The permanence obligations in the CFI Act </w:t>
      </w:r>
      <w:r w:rsidR="00BD6583">
        <w:rPr>
          <w:rFonts w:ascii="Times New Roman" w:hAnsi="Times New Roman" w:cs="Times New Roman"/>
          <w:sz w:val="24"/>
          <w:szCs w:val="24"/>
        </w:rPr>
        <w:t xml:space="preserve">require </w:t>
      </w:r>
      <w:r w:rsidR="009A5EF2">
        <w:rPr>
          <w:rFonts w:ascii="Times New Roman" w:hAnsi="Times New Roman" w:cs="Times New Roman"/>
          <w:sz w:val="24"/>
          <w:szCs w:val="24"/>
        </w:rPr>
        <w:t>proponents t</w:t>
      </w:r>
      <w:r w:rsidR="00BD6583">
        <w:rPr>
          <w:rFonts w:ascii="Times New Roman" w:hAnsi="Times New Roman" w:cs="Times New Roman"/>
          <w:sz w:val="24"/>
          <w:szCs w:val="24"/>
        </w:rPr>
        <w:t>o maintain credited carbon stocks</w:t>
      </w:r>
      <w:r w:rsidR="00C367B6">
        <w:rPr>
          <w:rFonts w:ascii="Times New Roman" w:hAnsi="Times New Roman" w:cs="Times New Roman"/>
          <w:sz w:val="24"/>
          <w:szCs w:val="24"/>
        </w:rPr>
        <w:t xml:space="preserve"> and, in the event of a significant reversal, to take steps to restore the </w:t>
      </w:r>
      <w:r w:rsidR="008238EA">
        <w:rPr>
          <w:rFonts w:ascii="Times New Roman" w:hAnsi="Times New Roman" w:cs="Times New Roman"/>
          <w:sz w:val="24"/>
          <w:szCs w:val="24"/>
        </w:rPr>
        <w:t>credited sequestration</w:t>
      </w:r>
      <w:r w:rsidR="00BD6583">
        <w:rPr>
          <w:rFonts w:ascii="Times New Roman" w:hAnsi="Times New Roman" w:cs="Times New Roman"/>
          <w:sz w:val="24"/>
          <w:szCs w:val="24"/>
        </w:rPr>
        <w:t xml:space="preserve">. </w:t>
      </w:r>
      <w:r w:rsidR="0076262F">
        <w:rPr>
          <w:rFonts w:ascii="Times New Roman" w:hAnsi="Times New Roman" w:cs="Times New Roman"/>
          <w:sz w:val="24"/>
          <w:szCs w:val="24"/>
        </w:rPr>
        <w:t>The</w:t>
      </w:r>
      <w:r w:rsidR="00BD6583">
        <w:rPr>
          <w:rFonts w:ascii="Times New Roman" w:hAnsi="Times New Roman" w:cs="Times New Roman"/>
          <w:sz w:val="24"/>
          <w:szCs w:val="24"/>
        </w:rPr>
        <w:t xml:space="preserve"> </w:t>
      </w:r>
      <w:r w:rsidR="00203B89">
        <w:rPr>
          <w:rFonts w:ascii="Times New Roman" w:hAnsi="Times New Roman" w:cs="Times New Roman"/>
          <w:sz w:val="24"/>
          <w:szCs w:val="24"/>
        </w:rPr>
        <w:t xml:space="preserve">Determination includes </w:t>
      </w:r>
      <w:r w:rsidR="0076262F">
        <w:rPr>
          <w:rFonts w:ascii="Times New Roman" w:hAnsi="Times New Roman" w:cs="Times New Roman"/>
          <w:sz w:val="24"/>
          <w:szCs w:val="24"/>
        </w:rPr>
        <w:t>additional</w:t>
      </w:r>
      <w:r w:rsidR="00203B89">
        <w:rPr>
          <w:rFonts w:ascii="Times New Roman" w:hAnsi="Times New Roman" w:cs="Times New Roman"/>
          <w:sz w:val="24"/>
          <w:szCs w:val="24"/>
        </w:rPr>
        <w:t xml:space="preserve"> permanence </w:t>
      </w:r>
      <w:r w:rsidR="008238EA">
        <w:rPr>
          <w:rFonts w:ascii="Times New Roman" w:hAnsi="Times New Roman" w:cs="Times New Roman"/>
          <w:sz w:val="24"/>
          <w:szCs w:val="24"/>
        </w:rPr>
        <w:t>provisions</w:t>
      </w:r>
      <w:r w:rsidR="00203B89">
        <w:rPr>
          <w:rFonts w:ascii="Times New Roman" w:hAnsi="Times New Roman" w:cs="Times New Roman"/>
          <w:sz w:val="24"/>
          <w:szCs w:val="24"/>
        </w:rPr>
        <w:t xml:space="preserve"> that require the proponent </w:t>
      </w:r>
      <w:r w:rsidR="00203B89" w:rsidRPr="00F204F6">
        <w:rPr>
          <w:rFonts w:ascii="Times New Roman" w:hAnsi="Times New Roman" w:cs="Times New Roman"/>
          <w:sz w:val="24"/>
          <w:szCs w:val="24"/>
        </w:rPr>
        <w:t xml:space="preserve">to relinquish ACCUs </w:t>
      </w:r>
      <w:r w:rsidR="0076262F">
        <w:rPr>
          <w:rFonts w:ascii="Times New Roman" w:hAnsi="Times New Roman" w:cs="Times New Roman"/>
          <w:sz w:val="24"/>
          <w:szCs w:val="24"/>
        </w:rPr>
        <w:t xml:space="preserve">if, </w:t>
      </w:r>
      <w:r w:rsidR="00203B89" w:rsidRPr="00F204F6">
        <w:rPr>
          <w:rFonts w:ascii="Times New Roman" w:hAnsi="Times New Roman" w:cs="Times New Roman"/>
          <w:sz w:val="24"/>
          <w:szCs w:val="24"/>
        </w:rPr>
        <w:t xml:space="preserve">after the end of the </w:t>
      </w:r>
      <w:r w:rsidR="002F7488">
        <w:rPr>
          <w:rFonts w:ascii="Times New Roman" w:hAnsi="Times New Roman" w:cs="Times New Roman"/>
          <w:sz w:val="24"/>
          <w:szCs w:val="24"/>
        </w:rPr>
        <w:t xml:space="preserve">15-year </w:t>
      </w:r>
      <w:r w:rsidR="00203B89" w:rsidRPr="00F204F6">
        <w:rPr>
          <w:rFonts w:ascii="Times New Roman" w:hAnsi="Times New Roman" w:cs="Times New Roman"/>
          <w:sz w:val="24"/>
          <w:szCs w:val="24"/>
        </w:rPr>
        <w:t xml:space="preserve">crediting period but before the end of the </w:t>
      </w:r>
      <w:r w:rsidR="002F7488">
        <w:rPr>
          <w:rFonts w:ascii="Times New Roman" w:hAnsi="Times New Roman" w:cs="Times New Roman"/>
          <w:sz w:val="24"/>
          <w:szCs w:val="24"/>
        </w:rPr>
        <w:t xml:space="preserve">100-year </w:t>
      </w:r>
      <w:r w:rsidR="00203B89" w:rsidRPr="00F204F6">
        <w:rPr>
          <w:rFonts w:ascii="Times New Roman" w:hAnsi="Times New Roman" w:cs="Times New Roman"/>
          <w:sz w:val="24"/>
          <w:szCs w:val="24"/>
        </w:rPr>
        <w:t>permanence period</w:t>
      </w:r>
      <w:r w:rsidR="0076262F">
        <w:rPr>
          <w:rFonts w:ascii="Times New Roman" w:hAnsi="Times New Roman" w:cs="Times New Roman"/>
          <w:sz w:val="24"/>
          <w:szCs w:val="24"/>
        </w:rPr>
        <w:t>,</w:t>
      </w:r>
      <w:r w:rsidR="002F7488">
        <w:rPr>
          <w:rFonts w:ascii="Times New Roman" w:hAnsi="Times New Roman" w:cs="Times New Roman"/>
          <w:sz w:val="24"/>
          <w:szCs w:val="24"/>
        </w:rPr>
        <w:t xml:space="preserve"> </w:t>
      </w:r>
      <w:r w:rsidR="00203B89" w:rsidRPr="00F204F6">
        <w:rPr>
          <w:rFonts w:ascii="Times New Roman" w:hAnsi="Times New Roman" w:cs="Times New Roman"/>
          <w:sz w:val="24"/>
          <w:szCs w:val="24"/>
        </w:rPr>
        <w:t>the volume of wood extracted from the project area</w:t>
      </w:r>
      <w:r w:rsidR="00431A24">
        <w:rPr>
          <w:rFonts w:ascii="Times New Roman" w:hAnsi="Times New Roman" w:cs="Times New Roman"/>
          <w:sz w:val="24"/>
          <w:szCs w:val="24"/>
        </w:rPr>
        <w:t xml:space="preserve">, </w:t>
      </w:r>
      <w:r w:rsidR="00203B89" w:rsidRPr="00F204F6">
        <w:rPr>
          <w:rFonts w:ascii="Times New Roman" w:hAnsi="Times New Roman" w:cs="Times New Roman"/>
          <w:sz w:val="24"/>
          <w:szCs w:val="24"/>
        </w:rPr>
        <w:t xml:space="preserve">excluded sections of the proponent’s native forest estate </w:t>
      </w:r>
      <w:r w:rsidR="009469F2">
        <w:rPr>
          <w:rFonts w:ascii="Times New Roman" w:hAnsi="Times New Roman" w:cs="Times New Roman"/>
          <w:sz w:val="24"/>
          <w:szCs w:val="24"/>
        </w:rPr>
        <w:t xml:space="preserve">or </w:t>
      </w:r>
      <w:r w:rsidR="00FD2801">
        <w:rPr>
          <w:rFonts w:ascii="Times New Roman" w:hAnsi="Times New Roman" w:cs="Times New Roman"/>
          <w:sz w:val="24"/>
          <w:szCs w:val="24"/>
        </w:rPr>
        <w:t xml:space="preserve">the </w:t>
      </w:r>
      <w:r w:rsidR="00FD2801" w:rsidRPr="00FD2801">
        <w:rPr>
          <w:rFonts w:ascii="Times New Roman" w:hAnsi="Times New Roman" w:cs="Times New Roman"/>
          <w:sz w:val="24"/>
          <w:szCs w:val="24"/>
        </w:rPr>
        <w:t xml:space="preserve">private native forest estate in the same jurisdiction </w:t>
      </w:r>
      <w:r w:rsidR="00203B89" w:rsidRPr="00F204F6">
        <w:rPr>
          <w:rFonts w:ascii="Times New Roman" w:hAnsi="Times New Roman" w:cs="Times New Roman"/>
          <w:sz w:val="24"/>
          <w:szCs w:val="24"/>
        </w:rPr>
        <w:t>exceed prescribed levels.</w:t>
      </w:r>
    </w:p>
    <w:p w14:paraId="19524ACB" w14:textId="158450DE" w:rsidR="00B752F4" w:rsidRPr="00B752F4" w:rsidRDefault="00B752F4" w:rsidP="00A20587">
      <w:pPr>
        <w:spacing w:before="120" w:after="120" w:line="240" w:lineRule="auto"/>
        <w:rPr>
          <w:rFonts w:ascii="Times New Roman" w:hAnsi="Times New Roman" w:cs="Times New Roman"/>
          <w:i/>
          <w:iCs/>
          <w:color w:val="000000"/>
          <w:sz w:val="24"/>
          <w:szCs w:val="24"/>
          <w:u w:val="single"/>
        </w:rPr>
      </w:pPr>
      <w:r w:rsidRPr="00B752F4">
        <w:rPr>
          <w:rFonts w:ascii="Times New Roman" w:hAnsi="Times New Roman" w:cs="Times New Roman"/>
          <w:i/>
          <w:iCs/>
          <w:color w:val="000000"/>
          <w:sz w:val="24"/>
          <w:szCs w:val="24"/>
          <w:u w:val="single"/>
        </w:rPr>
        <w:t>Calculation of the net abatement amount</w:t>
      </w:r>
    </w:p>
    <w:p w14:paraId="22976218" w14:textId="07D5AA6A" w:rsidR="0022006C" w:rsidRDefault="00954533" w:rsidP="00A20587">
      <w:pPr>
        <w:pStyle w:val="subsection"/>
        <w:spacing w:before="120" w:after="120"/>
        <w:ind w:left="0" w:firstLine="0"/>
        <w:rPr>
          <w:sz w:val="24"/>
          <w:szCs w:val="24"/>
        </w:rPr>
      </w:pPr>
      <w:r>
        <w:rPr>
          <w:sz w:val="24"/>
          <w:szCs w:val="24"/>
        </w:rPr>
        <w:t xml:space="preserve">Under the CFI Act, sequestration projects must </w:t>
      </w:r>
      <w:r w:rsidR="006A1120">
        <w:rPr>
          <w:sz w:val="24"/>
          <w:szCs w:val="24"/>
        </w:rPr>
        <w:t xml:space="preserve">submit offset </w:t>
      </w:r>
      <w:r>
        <w:rPr>
          <w:sz w:val="24"/>
          <w:szCs w:val="24"/>
        </w:rPr>
        <w:t>report</w:t>
      </w:r>
      <w:r w:rsidR="00216869">
        <w:rPr>
          <w:sz w:val="24"/>
          <w:szCs w:val="24"/>
        </w:rPr>
        <w:t>s for reporting periods of between 6 months and 5 years</w:t>
      </w:r>
      <w:r w:rsidR="000352E7">
        <w:rPr>
          <w:sz w:val="24"/>
          <w:szCs w:val="24"/>
        </w:rPr>
        <w:t xml:space="preserve"> (ss 13</w:t>
      </w:r>
      <w:r w:rsidR="005C6F36">
        <w:rPr>
          <w:sz w:val="24"/>
          <w:szCs w:val="24"/>
        </w:rPr>
        <w:t xml:space="preserve">, </w:t>
      </w:r>
      <w:r w:rsidR="00F66111">
        <w:rPr>
          <w:sz w:val="24"/>
          <w:szCs w:val="24"/>
        </w:rPr>
        <w:t>76)</w:t>
      </w:r>
      <w:r w:rsidR="00216869">
        <w:rPr>
          <w:sz w:val="24"/>
          <w:szCs w:val="24"/>
        </w:rPr>
        <w:t xml:space="preserve">. </w:t>
      </w:r>
      <w:r w:rsidR="00A41B73">
        <w:rPr>
          <w:sz w:val="24"/>
          <w:szCs w:val="24"/>
        </w:rPr>
        <w:t xml:space="preserve">Under the </w:t>
      </w:r>
      <w:r w:rsidR="005C339E">
        <w:rPr>
          <w:sz w:val="24"/>
          <w:szCs w:val="24"/>
        </w:rPr>
        <w:t>D</w:t>
      </w:r>
      <w:r w:rsidR="00A41B73">
        <w:rPr>
          <w:sz w:val="24"/>
          <w:szCs w:val="24"/>
        </w:rPr>
        <w:t>etermination, t</w:t>
      </w:r>
      <w:r w:rsidR="00CB57CE" w:rsidRPr="00CB57CE">
        <w:rPr>
          <w:sz w:val="24"/>
          <w:szCs w:val="24"/>
        </w:rPr>
        <w:t xml:space="preserve">he net abatement amount for a reporting period is </w:t>
      </w:r>
      <w:r w:rsidR="00CB57CE" w:rsidRPr="007E0765">
        <w:rPr>
          <w:sz w:val="24"/>
          <w:szCs w:val="24"/>
        </w:rPr>
        <w:t xml:space="preserve">calculated </w:t>
      </w:r>
      <w:r w:rsidR="008F1232">
        <w:rPr>
          <w:sz w:val="24"/>
          <w:szCs w:val="24"/>
        </w:rPr>
        <w:t>in accordance with the formula:</w:t>
      </w:r>
    </w:p>
    <w:p w14:paraId="033230A3" w14:textId="77777777" w:rsidR="00A93AFC" w:rsidRDefault="00A93AFC" w:rsidP="00081899">
      <w:pPr>
        <w:pStyle w:val="subsection"/>
        <w:spacing w:before="120" w:after="120"/>
        <w:ind w:left="1854"/>
        <w:rPr>
          <w:iCs/>
          <w:sz w:val="24"/>
          <w:szCs w:val="24"/>
        </w:rPr>
      </w:pPr>
      <w:proofErr w:type="spellStart"/>
      <w:r w:rsidRPr="00480524">
        <w:rPr>
          <w:iCs/>
          <w:sz w:val="24"/>
          <w:szCs w:val="24"/>
        </w:rPr>
        <w:lastRenderedPageBreak/>
        <w:t>NA</w:t>
      </w:r>
      <w:r w:rsidRPr="00B603D9">
        <w:rPr>
          <w:iCs/>
          <w:sz w:val="24"/>
          <w:szCs w:val="24"/>
          <w:vertAlign w:val="subscript"/>
        </w:rPr>
        <w:t>i</w:t>
      </w:r>
      <w:proofErr w:type="spellEnd"/>
      <w:r>
        <w:rPr>
          <w:iCs/>
          <w:sz w:val="24"/>
          <w:szCs w:val="24"/>
        </w:rPr>
        <w:t xml:space="preserve"> = </w:t>
      </w:r>
      <w:r w:rsidRPr="00B37B08">
        <w:rPr>
          <w:iCs/>
          <w:sz w:val="24"/>
          <w:szCs w:val="24"/>
        </w:rPr>
        <w:t>(</w:t>
      </w:r>
      <w:proofErr w:type="spellStart"/>
      <w:r>
        <w:rPr>
          <w:iCs/>
          <w:sz w:val="24"/>
          <w:szCs w:val="24"/>
        </w:rPr>
        <w:t>Δ</w:t>
      </w:r>
      <w:proofErr w:type="gramStart"/>
      <w:r w:rsidRPr="00B37B08">
        <w:rPr>
          <w:iCs/>
          <w:sz w:val="24"/>
          <w:szCs w:val="24"/>
        </w:rPr>
        <w:t>CS</w:t>
      </w:r>
      <w:r w:rsidRPr="00480524">
        <w:rPr>
          <w:iCs/>
          <w:sz w:val="24"/>
          <w:szCs w:val="24"/>
          <w:vertAlign w:val="subscript"/>
        </w:rPr>
        <w:t>p</w:t>
      </w:r>
      <w:r>
        <w:rPr>
          <w:iCs/>
          <w:sz w:val="24"/>
          <w:szCs w:val="24"/>
          <w:vertAlign w:val="subscript"/>
        </w:rPr>
        <w:t>,</w:t>
      </w:r>
      <w:r w:rsidRPr="00B37B08">
        <w:rPr>
          <w:iCs/>
          <w:sz w:val="24"/>
          <w:szCs w:val="24"/>
          <w:vertAlign w:val="subscript"/>
        </w:rPr>
        <w:t>i</w:t>
      </w:r>
      <w:proofErr w:type="spellEnd"/>
      <w:proofErr w:type="gramEnd"/>
      <w:r w:rsidRPr="00B37B08">
        <w:rPr>
          <w:iCs/>
          <w:sz w:val="24"/>
          <w:szCs w:val="24"/>
        </w:rPr>
        <w:t xml:space="preserve"> </w:t>
      </w:r>
      <w:r>
        <w:rPr>
          <w:iCs/>
          <w:sz w:val="24"/>
          <w:szCs w:val="24"/>
        </w:rPr>
        <w:t xml:space="preserve">– </w:t>
      </w:r>
      <w:proofErr w:type="spellStart"/>
      <w:r>
        <w:rPr>
          <w:iCs/>
          <w:sz w:val="24"/>
          <w:szCs w:val="24"/>
        </w:rPr>
        <w:t>Δ</w:t>
      </w:r>
      <w:proofErr w:type="gramStart"/>
      <w:r w:rsidRPr="00B37B08">
        <w:rPr>
          <w:iCs/>
          <w:sz w:val="24"/>
          <w:szCs w:val="24"/>
        </w:rPr>
        <w:t>CS</w:t>
      </w:r>
      <w:r w:rsidRPr="00480524">
        <w:rPr>
          <w:iCs/>
          <w:sz w:val="24"/>
          <w:szCs w:val="24"/>
          <w:vertAlign w:val="subscript"/>
        </w:rPr>
        <w:t>b</w:t>
      </w:r>
      <w:r>
        <w:rPr>
          <w:iCs/>
          <w:sz w:val="24"/>
          <w:szCs w:val="24"/>
          <w:vertAlign w:val="subscript"/>
        </w:rPr>
        <w:t>,</w:t>
      </w:r>
      <w:r w:rsidRPr="00B37B08">
        <w:rPr>
          <w:iCs/>
          <w:sz w:val="24"/>
          <w:szCs w:val="24"/>
          <w:vertAlign w:val="subscript"/>
        </w:rPr>
        <w:t>i</w:t>
      </w:r>
      <w:proofErr w:type="spellEnd"/>
      <w:proofErr w:type="gramEnd"/>
      <w:r w:rsidRPr="00B37B08">
        <w:rPr>
          <w:iCs/>
          <w:sz w:val="24"/>
          <w:szCs w:val="24"/>
        </w:rPr>
        <w:t>)</w:t>
      </w:r>
      <w:r>
        <w:rPr>
          <w:iCs/>
          <w:sz w:val="24"/>
          <w:szCs w:val="24"/>
        </w:rPr>
        <w:t xml:space="preserve"> + </w:t>
      </w:r>
      <w:r w:rsidRPr="00B37B08">
        <w:rPr>
          <w:iCs/>
          <w:sz w:val="24"/>
          <w:szCs w:val="24"/>
        </w:rPr>
        <w:t>(</w:t>
      </w:r>
      <w:proofErr w:type="spellStart"/>
      <w:proofErr w:type="gramStart"/>
      <w:r>
        <w:rPr>
          <w:iCs/>
          <w:sz w:val="24"/>
          <w:szCs w:val="24"/>
        </w:rPr>
        <w:t>E</w:t>
      </w:r>
      <w:r w:rsidRPr="00B37B08">
        <w:rPr>
          <w:iCs/>
          <w:sz w:val="24"/>
          <w:szCs w:val="24"/>
        </w:rPr>
        <w:t>S</w:t>
      </w:r>
      <w:r w:rsidRPr="00480524">
        <w:rPr>
          <w:iCs/>
          <w:sz w:val="24"/>
          <w:szCs w:val="24"/>
          <w:vertAlign w:val="subscript"/>
        </w:rPr>
        <w:t>b</w:t>
      </w:r>
      <w:r>
        <w:rPr>
          <w:iCs/>
          <w:sz w:val="24"/>
          <w:szCs w:val="24"/>
          <w:vertAlign w:val="subscript"/>
        </w:rPr>
        <w:t>,</w:t>
      </w:r>
      <w:r w:rsidRPr="00B37B08">
        <w:rPr>
          <w:iCs/>
          <w:sz w:val="24"/>
          <w:szCs w:val="24"/>
          <w:vertAlign w:val="subscript"/>
        </w:rPr>
        <w:t>i</w:t>
      </w:r>
      <w:proofErr w:type="spellEnd"/>
      <w:proofErr w:type="gramEnd"/>
      <w:r w:rsidRPr="00B37B08">
        <w:rPr>
          <w:iCs/>
          <w:sz w:val="24"/>
          <w:szCs w:val="24"/>
        </w:rPr>
        <w:t xml:space="preserve"> </w:t>
      </w:r>
      <w:r>
        <w:rPr>
          <w:iCs/>
          <w:sz w:val="24"/>
          <w:szCs w:val="24"/>
        </w:rPr>
        <w:t xml:space="preserve">– </w:t>
      </w:r>
      <w:proofErr w:type="spellStart"/>
      <w:proofErr w:type="gramStart"/>
      <w:r w:rsidRPr="001E1764">
        <w:rPr>
          <w:bCs/>
          <w:szCs w:val="24"/>
        </w:rPr>
        <w:t>ES</w:t>
      </w:r>
      <w:r w:rsidRPr="001E1764">
        <w:rPr>
          <w:bCs/>
          <w:szCs w:val="24"/>
          <w:vertAlign w:val="subscript"/>
        </w:rPr>
        <w:t>p</w:t>
      </w:r>
      <w:r>
        <w:rPr>
          <w:bCs/>
          <w:szCs w:val="24"/>
          <w:vertAlign w:val="subscript"/>
        </w:rPr>
        <w:t>,</w:t>
      </w:r>
      <w:r w:rsidRPr="001E1764">
        <w:rPr>
          <w:bCs/>
          <w:szCs w:val="24"/>
          <w:vertAlign w:val="subscript"/>
        </w:rPr>
        <w:t>i</w:t>
      </w:r>
      <w:proofErr w:type="spellEnd"/>
      <w:proofErr w:type="gramEnd"/>
      <w:r w:rsidRPr="00B37B08">
        <w:rPr>
          <w:iCs/>
          <w:sz w:val="24"/>
          <w:szCs w:val="24"/>
        </w:rPr>
        <w:t>)</w:t>
      </w:r>
      <w:r>
        <w:rPr>
          <w:iCs/>
          <w:sz w:val="24"/>
          <w:szCs w:val="24"/>
        </w:rPr>
        <w:t xml:space="preserve"> – </w:t>
      </w:r>
      <w:proofErr w:type="spellStart"/>
      <w:r>
        <w:rPr>
          <w:iCs/>
          <w:sz w:val="24"/>
          <w:szCs w:val="24"/>
        </w:rPr>
        <w:t>LD</w:t>
      </w:r>
      <w:r w:rsidRPr="008D7D11">
        <w:rPr>
          <w:iCs/>
          <w:sz w:val="24"/>
          <w:szCs w:val="24"/>
          <w:vertAlign w:val="subscript"/>
        </w:rPr>
        <w:t>i</w:t>
      </w:r>
      <w:proofErr w:type="spellEnd"/>
      <w:r>
        <w:rPr>
          <w:iCs/>
          <w:sz w:val="24"/>
          <w:szCs w:val="24"/>
        </w:rPr>
        <w:t xml:space="preserve"> + </w:t>
      </w:r>
      <w:proofErr w:type="spellStart"/>
      <w:r>
        <w:rPr>
          <w:iCs/>
          <w:sz w:val="24"/>
          <w:szCs w:val="24"/>
        </w:rPr>
        <w:t>ANAA</w:t>
      </w:r>
      <w:r w:rsidRPr="00D07202">
        <w:rPr>
          <w:iCs/>
          <w:sz w:val="24"/>
          <w:szCs w:val="24"/>
          <w:vertAlign w:val="subscript"/>
        </w:rPr>
        <w:t>i</w:t>
      </w:r>
      <w:proofErr w:type="spellEnd"/>
      <w:r>
        <w:rPr>
          <w:iCs/>
          <w:sz w:val="24"/>
          <w:szCs w:val="24"/>
        </w:rPr>
        <w:t xml:space="preserve"> </w:t>
      </w:r>
    </w:p>
    <w:p w14:paraId="6DD0142B" w14:textId="34C84CAC" w:rsidR="008F1232" w:rsidRPr="009B0643" w:rsidRDefault="008F1232" w:rsidP="009B0643">
      <w:pPr>
        <w:pStyle w:val="subsection"/>
        <w:spacing w:before="120" w:after="120"/>
        <w:rPr>
          <w:sz w:val="24"/>
          <w:szCs w:val="24"/>
        </w:rPr>
      </w:pPr>
      <w:r w:rsidRPr="009B0643">
        <w:rPr>
          <w:sz w:val="24"/>
          <w:szCs w:val="24"/>
        </w:rPr>
        <w:t xml:space="preserve">Where: </w:t>
      </w:r>
    </w:p>
    <w:p w14:paraId="0874E415" w14:textId="77777777"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r w:rsidRPr="005E7353">
        <w:rPr>
          <w:rFonts w:ascii="Times New Roman" w:hAnsi="Times New Roman" w:cs="Times New Roman"/>
          <w:bCs/>
          <w:sz w:val="24"/>
          <w:szCs w:val="24"/>
        </w:rPr>
        <w:t>NA</w:t>
      </w:r>
      <w:r w:rsidRPr="005E7353">
        <w:rPr>
          <w:rFonts w:ascii="Times New Roman" w:hAnsi="Times New Roman" w:cs="Times New Roman"/>
          <w:bCs/>
          <w:sz w:val="24"/>
          <w:szCs w:val="24"/>
          <w:vertAlign w:val="subscript"/>
        </w:rPr>
        <w:t>i</w:t>
      </w:r>
      <w:proofErr w:type="spellEnd"/>
      <w:r w:rsidRPr="005E7353">
        <w:rPr>
          <w:rFonts w:ascii="Times New Roman" w:hAnsi="Times New Roman" w:cs="Times New Roman"/>
          <w:bCs/>
          <w:sz w:val="24"/>
          <w:szCs w:val="24"/>
        </w:rPr>
        <w:t xml:space="preserve"> is the net abatement amount for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 xml:space="preserve">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-e).</w:t>
      </w:r>
    </w:p>
    <w:p w14:paraId="075EAE3B" w14:textId="0660CEF2"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r w:rsidRPr="005E7353">
        <w:rPr>
          <w:rFonts w:ascii="Times New Roman" w:hAnsi="Times New Roman" w:cs="Times New Roman"/>
          <w:bCs/>
          <w:sz w:val="24"/>
          <w:szCs w:val="24"/>
        </w:rPr>
        <w:t>Δ</w:t>
      </w:r>
      <w:proofErr w:type="gramStart"/>
      <w:r w:rsidRPr="005E7353">
        <w:rPr>
          <w:rFonts w:ascii="Times New Roman" w:hAnsi="Times New Roman" w:cs="Times New Roman"/>
          <w:bCs/>
          <w:sz w:val="24"/>
          <w:szCs w:val="24"/>
        </w:rPr>
        <w:t>CS</w:t>
      </w:r>
      <w:r w:rsidRPr="005E7353">
        <w:rPr>
          <w:rFonts w:ascii="Times New Roman" w:hAnsi="Times New Roman" w:cs="Times New Roman"/>
          <w:bCs/>
          <w:sz w:val="24"/>
          <w:szCs w:val="24"/>
          <w:vertAlign w:val="subscript"/>
        </w:rPr>
        <w:t>p,i</w:t>
      </w:r>
      <w:proofErr w:type="spellEnd"/>
      <w:proofErr w:type="gramEnd"/>
      <w:r w:rsidRPr="005E7353">
        <w:rPr>
          <w:rFonts w:ascii="Times New Roman" w:hAnsi="Times New Roman" w:cs="Times New Roman"/>
          <w:bCs/>
          <w:sz w:val="24"/>
          <w:szCs w:val="24"/>
        </w:rPr>
        <w:t xml:space="preserve"> is the carbon stock change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 xml:space="preserve">-e) in included carbon pools in the project scenario over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w:t>
      </w:r>
    </w:p>
    <w:p w14:paraId="564ED48A" w14:textId="6B90738B"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r w:rsidRPr="005E7353">
        <w:rPr>
          <w:rFonts w:ascii="Times New Roman" w:hAnsi="Times New Roman" w:cs="Times New Roman"/>
          <w:bCs/>
          <w:sz w:val="24"/>
          <w:szCs w:val="24"/>
        </w:rPr>
        <w:t>Δ</w:t>
      </w:r>
      <w:proofErr w:type="gramStart"/>
      <w:r w:rsidRPr="005E7353">
        <w:rPr>
          <w:rFonts w:ascii="Times New Roman" w:hAnsi="Times New Roman" w:cs="Times New Roman"/>
          <w:bCs/>
          <w:sz w:val="24"/>
          <w:szCs w:val="24"/>
        </w:rPr>
        <w:t>CS</w:t>
      </w:r>
      <w:r w:rsidRPr="005E7353">
        <w:rPr>
          <w:rFonts w:ascii="Times New Roman" w:hAnsi="Times New Roman" w:cs="Times New Roman"/>
          <w:bCs/>
          <w:sz w:val="24"/>
          <w:szCs w:val="24"/>
          <w:vertAlign w:val="subscript"/>
        </w:rPr>
        <w:t>b,i</w:t>
      </w:r>
      <w:proofErr w:type="spellEnd"/>
      <w:proofErr w:type="gramEnd"/>
      <w:r w:rsidRPr="005E7353">
        <w:rPr>
          <w:rFonts w:ascii="Times New Roman" w:hAnsi="Times New Roman" w:cs="Times New Roman"/>
          <w:bCs/>
          <w:sz w:val="24"/>
          <w:szCs w:val="24"/>
        </w:rPr>
        <w:t xml:space="preserve"> is the carbon stock change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 xml:space="preserve">-e) in included carbon pools in the baseline scenario over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w:t>
      </w:r>
    </w:p>
    <w:p w14:paraId="293C9A6F" w14:textId="5ED3FAE2"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proofErr w:type="gramStart"/>
      <w:r w:rsidRPr="005E7353">
        <w:rPr>
          <w:rFonts w:ascii="Times New Roman" w:hAnsi="Times New Roman" w:cs="Times New Roman"/>
          <w:bCs/>
          <w:sz w:val="24"/>
          <w:szCs w:val="24"/>
        </w:rPr>
        <w:t>ES</w:t>
      </w:r>
      <w:r w:rsidRPr="005E7353">
        <w:rPr>
          <w:rFonts w:ascii="Times New Roman" w:hAnsi="Times New Roman" w:cs="Times New Roman"/>
          <w:bCs/>
          <w:sz w:val="24"/>
          <w:szCs w:val="24"/>
          <w:vertAlign w:val="subscript"/>
        </w:rPr>
        <w:t>p,i</w:t>
      </w:r>
      <w:proofErr w:type="spellEnd"/>
      <w:proofErr w:type="gramEnd"/>
      <w:r w:rsidRPr="005E7353">
        <w:rPr>
          <w:rFonts w:ascii="Times New Roman" w:hAnsi="Times New Roman" w:cs="Times New Roman"/>
          <w:bCs/>
          <w:sz w:val="24"/>
          <w:szCs w:val="24"/>
        </w:rPr>
        <w:t xml:space="preserve"> is the emissions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 xml:space="preserve">-e) from included sources in the project scenario over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w:t>
      </w:r>
    </w:p>
    <w:p w14:paraId="14FD682C" w14:textId="676B30A8"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proofErr w:type="gramStart"/>
      <w:r w:rsidRPr="005E7353">
        <w:rPr>
          <w:rFonts w:ascii="Times New Roman" w:hAnsi="Times New Roman" w:cs="Times New Roman"/>
          <w:bCs/>
          <w:sz w:val="24"/>
          <w:szCs w:val="24"/>
        </w:rPr>
        <w:t>ES</w:t>
      </w:r>
      <w:r w:rsidRPr="005E7353">
        <w:rPr>
          <w:rFonts w:ascii="Times New Roman" w:hAnsi="Times New Roman" w:cs="Times New Roman"/>
          <w:bCs/>
          <w:sz w:val="24"/>
          <w:szCs w:val="24"/>
          <w:vertAlign w:val="subscript"/>
        </w:rPr>
        <w:t>b,i</w:t>
      </w:r>
      <w:proofErr w:type="spellEnd"/>
      <w:proofErr w:type="gramEnd"/>
      <w:r w:rsidRPr="005E7353">
        <w:rPr>
          <w:rFonts w:ascii="Times New Roman" w:hAnsi="Times New Roman" w:cs="Times New Roman"/>
          <w:bCs/>
          <w:sz w:val="24"/>
          <w:szCs w:val="24"/>
        </w:rPr>
        <w:t xml:space="preserve"> is the emissions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 xml:space="preserve">-e) from included sources in the baseline scenario over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 xml:space="preserve">. </w:t>
      </w:r>
    </w:p>
    <w:p w14:paraId="58921D46" w14:textId="16368808"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r w:rsidRPr="005E7353">
        <w:rPr>
          <w:rFonts w:ascii="Times New Roman" w:hAnsi="Times New Roman" w:cs="Times New Roman"/>
          <w:bCs/>
          <w:sz w:val="24"/>
          <w:szCs w:val="24"/>
        </w:rPr>
        <w:t>LD</w:t>
      </w:r>
      <w:r w:rsidRPr="005E7353">
        <w:rPr>
          <w:rFonts w:ascii="Times New Roman" w:hAnsi="Times New Roman" w:cs="Times New Roman"/>
          <w:bCs/>
          <w:sz w:val="24"/>
          <w:szCs w:val="24"/>
          <w:vertAlign w:val="subscript"/>
        </w:rPr>
        <w:t>i</w:t>
      </w:r>
      <w:proofErr w:type="spellEnd"/>
      <w:r w:rsidRPr="005E7353">
        <w:rPr>
          <w:rFonts w:ascii="Times New Roman" w:hAnsi="Times New Roman" w:cs="Times New Roman"/>
          <w:bCs/>
          <w:sz w:val="24"/>
          <w:szCs w:val="24"/>
        </w:rPr>
        <w:t xml:space="preserve"> is the leakage deduction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 xml:space="preserve">-e) for reporting period </w:t>
      </w:r>
      <w:proofErr w:type="spellStart"/>
      <w:r w:rsidRPr="005E7353">
        <w:rPr>
          <w:rFonts w:ascii="Times New Roman" w:hAnsi="Times New Roman" w:cs="Times New Roman"/>
          <w:bCs/>
          <w:sz w:val="24"/>
          <w:szCs w:val="24"/>
        </w:rPr>
        <w:t>i</w:t>
      </w:r>
      <w:proofErr w:type="spellEnd"/>
      <w:r w:rsidRPr="005E7353">
        <w:rPr>
          <w:rFonts w:ascii="Times New Roman" w:hAnsi="Times New Roman" w:cs="Times New Roman"/>
          <w:bCs/>
          <w:sz w:val="24"/>
          <w:szCs w:val="24"/>
        </w:rPr>
        <w:t xml:space="preserve">. </w:t>
      </w:r>
    </w:p>
    <w:p w14:paraId="7879F698" w14:textId="2CB83DED" w:rsidR="005E7353" w:rsidRPr="005E7353" w:rsidRDefault="005E7353" w:rsidP="005E7353">
      <w:pPr>
        <w:spacing w:before="120" w:after="120" w:line="276" w:lineRule="auto"/>
        <w:ind w:left="720"/>
        <w:rPr>
          <w:rFonts w:ascii="Times New Roman" w:hAnsi="Times New Roman" w:cs="Times New Roman"/>
          <w:bCs/>
          <w:sz w:val="24"/>
          <w:szCs w:val="24"/>
        </w:rPr>
      </w:pPr>
      <w:proofErr w:type="spellStart"/>
      <w:r w:rsidRPr="005E7353">
        <w:rPr>
          <w:rFonts w:ascii="Times New Roman" w:hAnsi="Times New Roman" w:cs="Times New Roman"/>
          <w:bCs/>
          <w:sz w:val="24"/>
          <w:szCs w:val="24"/>
        </w:rPr>
        <w:t>ANAA</w:t>
      </w:r>
      <w:r w:rsidRPr="005E7353">
        <w:rPr>
          <w:rFonts w:ascii="Times New Roman" w:hAnsi="Times New Roman" w:cs="Times New Roman"/>
          <w:bCs/>
          <w:sz w:val="24"/>
          <w:szCs w:val="24"/>
          <w:vertAlign w:val="subscript"/>
        </w:rPr>
        <w:t>i</w:t>
      </w:r>
      <w:proofErr w:type="spellEnd"/>
      <w:r w:rsidRPr="005E7353">
        <w:rPr>
          <w:rFonts w:ascii="Times New Roman" w:hAnsi="Times New Roman" w:cs="Times New Roman"/>
          <w:bCs/>
          <w:sz w:val="24"/>
          <w:szCs w:val="24"/>
        </w:rPr>
        <w:t xml:space="preserve"> is the aggregate negative abatement amount (in tonnes CO</w:t>
      </w:r>
      <w:r w:rsidRPr="005E7353">
        <w:rPr>
          <w:rFonts w:ascii="Times New Roman" w:hAnsi="Times New Roman" w:cs="Times New Roman"/>
          <w:bCs/>
          <w:sz w:val="24"/>
          <w:szCs w:val="24"/>
          <w:vertAlign w:val="subscript"/>
        </w:rPr>
        <w:t>2</w:t>
      </w:r>
      <w:r w:rsidRPr="005E7353">
        <w:rPr>
          <w:rFonts w:ascii="Times New Roman" w:hAnsi="Times New Roman" w:cs="Times New Roman"/>
          <w:bCs/>
          <w:sz w:val="24"/>
          <w:szCs w:val="24"/>
        </w:rPr>
        <w:t>-e) in the aggregate negative abatement account at the end of the reporting period (if any).</w:t>
      </w:r>
    </w:p>
    <w:p w14:paraId="4F47AE49" w14:textId="5A49E33C" w:rsidR="002A3EFE" w:rsidRPr="00E32FF8" w:rsidRDefault="00CF5759" w:rsidP="00A20587">
      <w:pPr>
        <w:pStyle w:val="subsection"/>
        <w:spacing w:before="120" w:after="120"/>
        <w:ind w:left="0" w:firstLine="0"/>
        <w:rPr>
          <w:sz w:val="24"/>
          <w:szCs w:val="24"/>
        </w:rPr>
      </w:pPr>
      <w:r w:rsidRPr="00E32FF8">
        <w:rPr>
          <w:sz w:val="24"/>
          <w:szCs w:val="24"/>
        </w:rPr>
        <w:t xml:space="preserve">The carbon pools, emissions sources and greenhouse gases used </w:t>
      </w:r>
      <w:r w:rsidR="00F00BFA">
        <w:rPr>
          <w:sz w:val="24"/>
          <w:szCs w:val="24"/>
        </w:rPr>
        <w:t>to</w:t>
      </w:r>
      <w:r w:rsidRPr="00E32FF8">
        <w:rPr>
          <w:sz w:val="24"/>
          <w:szCs w:val="24"/>
        </w:rPr>
        <w:t xml:space="preserve"> calculat</w:t>
      </w:r>
      <w:r w:rsidR="00F00BFA">
        <w:rPr>
          <w:sz w:val="24"/>
          <w:szCs w:val="24"/>
        </w:rPr>
        <w:t>e</w:t>
      </w:r>
      <w:r w:rsidRPr="00E32FF8">
        <w:rPr>
          <w:sz w:val="24"/>
          <w:szCs w:val="24"/>
        </w:rPr>
        <w:t xml:space="preserve"> the net abatement amount are summarised in Table 1.</w:t>
      </w:r>
      <w:r w:rsidR="005E26F7" w:rsidRPr="00E32FF8">
        <w:rPr>
          <w:sz w:val="24"/>
          <w:szCs w:val="24"/>
        </w:rPr>
        <w:t xml:space="preserve"> To reduce complexity and promote conservatism, </w:t>
      </w:r>
      <w:r w:rsidR="002A3EFE" w:rsidRPr="00E32FF8">
        <w:rPr>
          <w:sz w:val="24"/>
          <w:szCs w:val="24"/>
        </w:rPr>
        <w:t>the</w:t>
      </w:r>
      <w:r w:rsidR="005E26F7" w:rsidRPr="00E32FF8">
        <w:rPr>
          <w:sz w:val="24"/>
          <w:szCs w:val="24"/>
        </w:rPr>
        <w:t xml:space="preserve"> following carbon pools and emissions sources are excluded </w:t>
      </w:r>
      <w:r w:rsidR="002A3EFE" w:rsidRPr="00E32FF8">
        <w:rPr>
          <w:sz w:val="24"/>
          <w:szCs w:val="24"/>
        </w:rPr>
        <w:t>from the</w:t>
      </w:r>
      <w:r w:rsidR="005E26F7" w:rsidRPr="00E32FF8">
        <w:rPr>
          <w:sz w:val="24"/>
          <w:szCs w:val="24"/>
        </w:rPr>
        <w:t xml:space="preserve"> </w:t>
      </w:r>
      <w:r w:rsidR="002A3EFE" w:rsidRPr="00E32FF8">
        <w:rPr>
          <w:sz w:val="24"/>
          <w:szCs w:val="24"/>
        </w:rPr>
        <w:t>abatement calculations</w:t>
      </w:r>
      <w:r w:rsidR="005E26F7" w:rsidRPr="00E32FF8">
        <w:rPr>
          <w:sz w:val="24"/>
          <w:szCs w:val="24"/>
        </w:rPr>
        <w:t>:</w:t>
      </w:r>
      <w:r w:rsidR="002A3EFE" w:rsidRPr="00E32FF8">
        <w:rPr>
          <w:sz w:val="24"/>
          <w:szCs w:val="24"/>
        </w:rPr>
        <w:t xml:space="preserve"> </w:t>
      </w:r>
    </w:p>
    <w:p w14:paraId="3304FCEF" w14:textId="77777777" w:rsidR="002A3EFE" w:rsidRPr="00E32FF8" w:rsidRDefault="005E26F7" w:rsidP="0060524D">
      <w:pPr>
        <w:pStyle w:val="subsection"/>
        <w:numPr>
          <w:ilvl w:val="0"/>
          <w:numId w:val="9"/>
        </w:numPr>
        <w:spacing w:before="120" w:after="120"/>
        <w:rPr>
          <w:sz w:val="24"/>
          <w:szCs w:val="24"/>
        </w:rPr>
      </w:pPr>
      <w:r w:rsidRPr="00E32FF8">
        <w:rPr>
          <w:sz w:val="24"/>
          <w:szCs w:val="24"/>
        </w:rPr>
        <w:t xml:space="preserve">soil organic </w:t>
      </w:r>
      <w:proofErr w:type="gramStart"/>
      <w:r w:rsidRPr="00E32FF8">
        <w:rPr>
          <w:sz w:val="24"/>
          <w:szCs w:val="24"/>
        </w:rPr>
        <w:t>carbon;</w:t>
      </w:r>
      <w:proofErr w:type="gramEnd"/>
    </w:p>
    <w:p w14:paraId="42F28E36" w14:textId="14F1D592" w:rsidR="002A3EFE" w:rsidRPr="00E32FF8" w:rsidRDefault="002A3EFE" w:rsidP="0060524D">
      <w:pPr>
        <w:pStyle w:val="subsection"/>
        <w:numPr>
          <w:ilvl w:val="0"/>
          <w:numId w:val="9"/>
        </w:numPr>
        <w:spacing w:before="120" w:after="120"/>
        <w:rPr>
          <w:sz w:val="24"/>
          <w:szCs w:val="24"/>
        </w:rPr>
      </w:pPr>
      <w:r w:rsidRPr="00E32FF8">
        <w:rPr>
          <w:sz w:val="24"/>
          <w:szCs w:val="24"/>
        </w:rPr>
        <w:t>methane (</w:t>
      </w:r>
      <w:r w:rsidR="005E26F7" w:rsidRPr="00E32FF8">
        <w:rPr>
          <w:sz w:val="24"/>
          <w:szCs w:val="24"/>
        </w:rPr>
        <w:t>CH</w:t>
      </w:r>
      <w:r w:rsidR="005E26F7" w:rsidRPr="00E32FF8">
        <w:rPr>
          <w:sz w:val="24"/>
          <w:szCs w:val="24"/>
          <w:vertAlign w:val="subscript"/>
        </w:rPr>
        <w:t>4</w:t>
      </w:r>
      <w:r w:rsidRPr="00E32FF8">
        <w:rPr>
          <w:sz w:val="24"/>
          <w:szCs w:val="24"/>
        </w:rPr>
        <w:t xml:space="preserve">) </w:t>
      </w:r>
      <w:r w:rsidR="005E26F7" w:rsidRPr="00E32FF8">
        <w:rPr>
          <w:sz w:val="24"/>
          <w:szCs w:val="24"/>
        </w:rPr>
        <w:t xml:space="preserve">and </w:t>
      </w:r>
      <w:r w:rsidRPr="00E32FF8">
        <w:rPr>
          <w:sz w:val="24"/>
          <w:szCs w:val="24"/>
        </w:rPr>
        <w:t>nitr</w:t>
      </w:r>
      <w:r w:rsidR="005A6CCE">
        <w:rPr>
          <w:sz w:val="24"/>
          <w:szCs w:val="24"/>
        </w:rPr>
        <w:t>ous</w:t>
      </w:r>
      <w:r w:rsidRPr="00E32FF8">
        <w:rPr>
          <w:sz w:val="24"/>
          <w:szCs w:val="24"/>
        </w:rPr>
        <w:t xml:space="preserve"> oxide (</w:t>
      </w:r>
      <w:r w:rsidR="005E26F7" w:rsidRPr="00E32FF8">
        <w:rPr>
          <w:sz w:val="24"/>
          <w:szCs w:val="24"/>
        </w:rPr>
        <w:t>N</w:t>
      </w:r>
      <w:r w:rsidR="005E26F7" w:rsidRPr="00E32FF8">
        <w:rPr>
          <w:sz w:val="24"/>
          <w:szCs w:val="24"/>
          <w:vertAlign w:val="subscript"/>
        </w:rPr>
        <w:t>2</w:t>
      </w:r>
      <w:r w:rsidR="005E26F7" w:rsidRPr="00E32FF8">
        <w:rPr>
          <w:sz w:val="24"/>
          <w:szCs w:val="24"/>
        </w:rPr>
        <w:t>O</w:t>
      </w:r>
      <w:r w:rsidRPr="00E32FF8">
        <w:rPr>
          <w:sz w:val="24"/>
          <w:szCs w:val="24"/>
        </w:rPr>
        <w:t>)</w:t>
      </w:r>
      <w:r w:rsidR="005E26F7" w:rsidRPr="00E32FF8">
        <w:rPr>
          <w:sz w:val="24"/>
          <w:szCs w:val="24"/>
        </w:rPr>
        <w:t xml:space="preserve"> emissions from wildfires or non-harvest related prescribed </w:t>
      </w:r>
      <w:proofErr w:type="gramStart"/>
      <w:r w:rsidR="005E26F7" w:rsidRPr="00E32FF8">
        <w:rPr>
          <w:sz w:val="24"/>
          <w:szCs w:val="24"/>
        </w:rPr>
        <w:t>burns;</w:t>
      </w:r>
      <w:proofErr w:type="gramEnd"/>
    </w:p>
    <w:p w14:paraId="59838931" w14:textId="77777777" w:rsidR="002A3EFE" w:rsidRPr="00E32FF8" w:rsidRDefault="005E26F7" w:rsidP="0060524D">
      <w:pPr>
        <w:pStyle w:val="subsection"/>
        <w:numPr>
          <w:ilvl w:val="0"/>
          <w:numId w:val="9"/>
        </w:numPr>
        <w:spacing w:before="120" w:after="120"/>
        <w:rPr>
          <w:sz w:val="24"/>
          <w:szCs w:val="24"/>
        </w:rPr>
      </w:pPr>
      <w:r w:rsidRPr="00E32FF8">
        <w:rPr>
          <w:sz w:val="24"/>
          <w:szCs w:val="24"/>
        </w:rPr>
        <w:t>emissions from the combustion of fossil fuels in connection with forest management, other than timber harvesting or haulage operations;</w:t>
      </w:r>
      <w:r w:rsidR="002A3EFE" w:rsidRPr="00E32FF8">
        <w:rPr>
          <w:sz w:val="24"/>
          <w:szCs w:val="24"/>
        </w:rPr>
        <w:t xml:space="preserve"> and </w:t>
      </w:r>
    </w:p>
    <w:p w14:paraId="4E9F696E" w14:textId="5FA53A3F" w:rsidR="00CF5759" w:rsidRPr="00E32FF8" w:rsidRDefault="005E26F7" w:rsidP="0060524D">
      <w:pPr>
        <w:pStyle w:val="subsection"/>
        <w:numPr>
          <w:ilvl w:val="0"/>
          <w:numId w:val="9"/>
        </w:numPr>
        <w:spacing w:before="120" w:after="120"/>
        <w:rPr>
          <w:sz w:val="24"/>
          <w:szCs w:val="24"/>
        </w:rPr>
      </w:pPr>
      <w:r w:rsidRPr="00E32FF8">
        <w:rPr>
          <w:sz w:val="24"/>
          <w:szCs w:val="24"/>
        </w:rPr>
        <w:t>emissions from the combustion of fossil fuels in connection with the processing of harvested logs, the production of woodchips or the manufacture of solid wood products.</w:t>
      </w:r>
    </w:p>
    <w:p w14:paraId="1CD20B22" w14:textId="77777777" w:rsidR="008A4230" w:rsidRDefault="008A4230">
      <w:pPr>
        <w:rPr>
          <w:rFonts w:ascii="Times New Roman" w:eastAsia="Times New Roman" w:hAnsi="Times New Roman" w:cs="Times New Roman"/>
          <w:b/>
          <w:bCs/>
          <w:kern w:val="0"/>
          <w:sz w:val="24"/>
          <w:szCs w:val="24"/>
          <w:lang w:eastAsia="en-AU"/>
          <w14:ligatures w14:val="none"/>
        </w:rPr>
      </w:pPr>
      <w:r>
        <w:rPr>
          <w:b/>
          <w:bCs/>
          <w:sz w:val="24"/>
          <w:szCs w:val="24"/>
        </w:rPr>
        <w:br w:type="page"/>
      </w:r>
    </w:p>
    <w:p w14:paraId="394A83A9" w14:textId="4F3419E3" w:rsidR="00786ED7" w:rsidRPr="009512FB" w:rsidRDefault="009512FB" w:rsidP="00A20587">
      <w:pPr>
        <w:pStyle w:val="subsection"/>
        <w:spacing w:before="120" w:after="120"/>
        <w:ind w:left="0" w:firstLine="0"/>
        <w:rPr>
          <w:b/>
          <w:bCs/>
          <w:sz w:val="24"/>
          <w:szCs w:val="24"/>
        </w:rPr>
      </w:pPr>
      <w:r w:rsidRPr="009512FB">
        <w:rPr>
          <w:b/>
          <w:bCs/>
          <w:sz w:val="24"/>
          <w:szCs w:val="24"/>
        </w:rPr>
        <w:lastRenderedPageBreak/>
        <w:t>Table 1. Included carbon pools, emission sources and greenhouse gases</w:t>
      </w:r>
    </w:p>
    <w:tbl>
      <w:tblPr>
        <w:tblW w:w="9077" w:type="dxa"/>
        <w:tblInd w:w="-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24"/>
        <w:gridCol w:w="2693"/>
        <w:gridCol w:w="3260"/>
      </w:tblGrid>
      <w:tr w:rsidR="00786ED7" w:rsidRPr="006E68C8" w14:paraId="2FA312A5" w14:textId="77777777" w:rsidTr="009512FB">
        <w:tc>
          <w:tcPr>
            <w:tcW w:w="3124" w:type="dxa"/>
            <w:tcBorders>
              <w:top w:val="single" w:sz="4" w:space="0" w:color="auto"/>
              <w:left w:val="single" w:sz="4" w:space="0" w:color="auto"/>
              <w:bottom w:val="single" w:sz="12" w:space="0" w:color="auto"/>
              <w:right w:val="single" w:sz="4" w:space="0" w:color="auto"/>
            </w:tcBorders>
          </w:tcPr>
          <w:p w14:paraId="4E904223" w14:textId="77777777" w:rsidR="00786ED7" w:rsidRPr="00A73BB4" w:rsidRDefault="00786ED7" w:rsidP="005577F8">
            <w:pPr>
              <w:pStyle w:val="Tabletext"/>
              <w:rPr>
                <w:b/>
              </w:rPr>
            </w:pPr>
            <w:r w:rsidRPr="00A73BB4">
              <w:rPr>
                <w:b/>
              </w:rPr>
              <w:t>Carbon pool or emission source</w:t>
            </w:r>
          </w:p>
        </w:tc>
        <w:tc>
          <w:tcPr>
            <w:tcW w:w="2693" w:type="dxa"/>
            <w:tcBorders>
              <w:top w:val="single" w:sz="4" w:space="0" w:color="auto"/>
              <w:bottom w:val="single" w:sz="12" w:space="0" w:color="auto"/>
              <w:right w:val="single" w:sz="4" w:space="0" w:color="auto"/>
            </w:tcBorders>
          </w:tcPr>
          <w:p w14:paraId="0F460B84" w14:textId="77777777" w:rsidR="00786ED7" w:rsidRPr="006E68C8" w:rsidRDefault="00786ED7" w:rsidP="005577F8">
            <w:pPr>
              <w:pStyle w:val="TableHeading"/>
            </w:pPr>
            <w:r>
              <w:t>Type</w:t>
            </w:r>
          </w:p>
        </w:tc>
        <w:tc>
          <w:tcPr>
            <w:tcW w:w="3260" w:type="dxa"/>
            <w:tcBorders>
              <w:top w:val="single" w:sz="4" w:space="0" w:color="auto"/>
              <w:bottom w:val="single" w:sz="12" w:space="0" w:color="auto"/>
              <w:right w:val="single" w:sz="4" w:space="0" w:color="auto"/>
            </w:tcBorders>
          </w:tcPr>
          <w:p w14:paraId="0D346F6B" w14:textId="77777777" w:rsidR="00786ED7" w:rsidRPr="006E68C8" w:rsidRDefault="00786ED7" w:rsidP="005577F8">
            <w:pPr>
              <w:pStyle w:val="TableHeading"/>
            </w:pPr>
            <w:r w:rsidRPr="006E68C8">
              <w:t>Greenhouse gas</w:t>
            </w:r>
          </w:p>
        </w:tc>
      </w:tr>
      <w:tr w:rsidR="00786ED7" w:rsidRPr="006E68C8" w14:paraId="32E5A998" w14:textId="77777777" w:rsidTr="009512FB">
        <w:tc>
          <w:tcPr>
            <w:tcW w:w="3124" w:type="dxa"/>
            <w:vMerge w:val="restart"/>
            <w:tcBorders>
              <w:top w:val="single" w:sz="12" w:space="0" w:color="auto"/>
              <w:left w:val="single" w:sz="4" w:space="0" w:color="auto"/>
              <w:right w:val="single" w:sz="4" w:space="0" w:color="auto"/>
            </w:tcBorders>
          </w:tcPr>
          <w:p w14:paraId="1E0F1551" w14:textId="77777777" w:rsidR="00786ED7" w:rsidRPr="006E68C8" w:rsidRDefault="00786ED7" w:rsidP="005577F8">
            <w:pPr>
              <w:pStyle w:val="TableHeading"/>
            </w:pPr>
            <w:r w:rsidRPr="006E68C8">
              <w:t>Carbon pool</w:t>
            </w:r>
          </w:p>
        </w:tc>
        <w:tc>
          <w:tcPr>
            <w:tcW w:w="2693" w:type="dxa"/>
            <w:tcBorders>
              <w:top w:val="single" w:sz="12" w:space="0" w:color="auto"/>
              <w:bottom w:val="single" w:sz="4" w:space="0" w:color="auto"/>
              <w:right w:val="single" w:sz="4" w:space="0" w:color="auto"/>
            </w:tcBorders>
          </w:tcPr>
          <w:p w14:paraId="43B181F1" w14:textId="77777777" w:rsidR="00786ED7" w:rsidRPr="006E68C8" w:rsidRDefault="00786ED7" w:rsidP="005577F8">
            <w:pPr>
              <w:pStyle w:val="Tabletext"/>
              <w:rPr>
                <w:rFonts w:eastAsia="Calibri"/>
              </w:rPr>
            </w:pPr>
            <w:r w:rsidRPr="006E68C8">
              <w:rPr>
                <w:rFonts w:eastAsia="Calibri"/>
              </w:rPr>
              <w:t>Live above</w:t>
            </w:r>
            <w:r>
              <w:rPr>
                <w:rFonts w:eastAsia="Calibri"/>
              </w:rPr>
              <w:t>-</w:t>
            </w:r>
            <w:r w:rsidRPr="006E68C8">
              <w:rPr>
                <w:rFonts w:eastAsia="Calibri"/>
              </w:rPr>
              <w:t>ground biomass</w:t>
            </w:r>
            <w:r>
              <w:rPr>
                <w:rFonts w:eastAsia="Calibri"/>
              </w:rPr>
              <w:t xml:space="preserve"> in the forest</w:t>
            </w:r>
          </w:p>
        </w:tc>
        <w:tc>
          <w:tcPr>
            <w:tcW w:w="3260" w:type="dxa"/>
            <w:tcBorders>
              <w:top w:val="single" w:sz="12" w:space="0" w:color="auto"/>
              <w:bottom w:val="single" w:sz="4" w:space="0" w:color="auto"/>
              <w:right w:val="single" w:sz="4" w:space="0" w:color="auto"/>
            </w:tcBorders>
          </w:tcPr>
          <w:p w14:paraId="0BD2D943" w14:textId="77777777" w:rsidR="00786ED7" w:rsidRPr="006E68C8"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 xml:space="preserve">) </w:t>
            </w:r>
          </w:p>
        </w:tc>
      </w:tr>
      <w:tr w:rsidR="00786ED7" w:rsidRPr="006E68C8" w14:paraId="45730280" w14:textId="77777777" w:rsidTr="009512FB">
        <w:tc>
          <w:tcPr>
            <w:tcW w:w="3124" w:type="dxa"/>
            <w:vMerge/>
            <w:tcBorders>
              <w:left w:val="single" w:sz="4" w:space="0" w:color="auto"/>
              <w:right w:val="single" w:sz="4" w:space="0" w:color="auto"/>
            </w:tcBorders>
          </w:tcPr>
          <w:p w14:paraId="2FA80649" w14:textId="77777777" w:rsidR="00786ED7" w:rsidRPr="006E68C8" w:rsidRDefault="00786ED7" w:rsidP="005577F8">
            <w:pPr>
              <w:pStyle w:val="TableHeading"/>
            </w:pPr>
          </w:p>
        </w:tc>
        <w:tc>
          <w:tcPr>
            <w:tcW w:w="2693" w:type="dxa"/>
            <w:tcBorders>
              <w:top w:val="single" w:sz="4" w:space="0" w:color="auto"/>
              <w:bottom w:val="single" w:sz="4" w:space="0" w:color="auto"/>
              <w:right w:val="single" w:sz="4" w:space="0" w:color="auto"/>
            </w:tcBorders>
          </w:tcPr>
          <w:p w14:paraId="5C05DEBB" w14:textId="77777777" w:rsidR="00786ED7" w:rsidRPr="006E68C8" w:rsidRDefault="00786ED7" w:rsidP="005577F8">
            <w:pPr>
              <w:pStyle w:val="Tabletext"/>
              <w:rPr>
                <w:rFonts w:eastAsia="Calibri"/>
              </w:rPr>
            </w:pPr>
            <w:r w:rsidRPr="006E68C8">
              <w:rPr>
                <w:rFonts w:eastAsia="Calibri"/>
              </w:rPr>
              <w:t>Live below</w:t>
            </w:r>
            <w:r>
              <w:rPr>
                <w:rFonts w:eastAsia="Calibri"/>
              </w:rPr>
              <w:t>-</w:t>
            </w:r>
            <w:r w:rsidRPr="006E68C8">
              <w:rPr>
                <w:rFonts w:eastAsia="Calibri"/>
              </w:rPr>
              <w:t>ground biomass</w:t>
            </w:r>
            <w:r>
              <w:rPr>
                <w:rFonts w:eastAsia="Calibri"/>
              </w:rPr>
              <w:t xml:space="preserve"> in the forest</w:t>
            </w:r>
          </w:p>
        </w:tc>
        <w:tc>
          <w:tcPr>
            <w:tcW w:w="3260" w:type="dxa"/>
            <w:tcBorders>
              <w:top w:val="single" w:sz="4" w:space="0" w:color="auto"/>
              <w:bottom w:val="single" w:sz="4" w:space="0" w:color="auto"/>
              <w:right w:val="single" w:sz="4" w:space="0" w:color="auto"/>
            </w:tcBorders>
          </w:tcPr>
          <w:p w14:paraId="683E9F52" w14:textId="77777777" w:rsidR="00786ED7" w:rsidRPr="006E68C8"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786ED7" w:rsidRPr="006E68C8" w14:paraId="6C465467" w14:textId="77777777" w:rsidTr="009512FB">
        <w:tc>
          <w:tcPr>
            <w:tcW w:w="3124" w:type="dxa"/>
            <w:vMerge/>
            <w:tcBorders>
              <w:left w:val="single" w:sz="4" w:space="0" w:color="auto"/>
              <w:right w:val="single" w:sz="4" w:space="0" w:color="auto"/>
            </w:tcBorders>
          </w:tcPr>
          <w:p w14:paraId="6833D00C" w14:textId="77777777" w:rsidR="00786ED7" w:rsidRPr="006E68C8" w:rsidRDefault="00786ED7" w:rsidP="005577F8">
            <w:pPr>
              <w:pStyle w:val="TableHeading"/>
            </w:pPr>
          </w:p>
        </w:tc>
        <w:tc>
          <w:tcPr>
            <w:tcW w:w="2693" w:type="dxa"/>
            <w:tcBorders>
              <w:top w:val="single" w:sz="4" w:space="0" w:color="auto"/>
              <w:bottom w:val="single" w:sz="4" w:space="0" w:color="auto"/>
              <w:right w:val="single" w:sz="4" w:space="0" w:color="auto"/>
            </w:tcBorders>
          </w:tcPr>
          <w:p w14:paraId="26C15D9D" w14:textId="77777777" w:rsidR="00786ED7" w:rsidRPr="006E68C8" w:rsidRDefault="00786ED7" w:rsidP="005577F8">
            <w:pPr>
              <w:pStyle w:val="Tabletext"/>
              <w:rPr>
                <w:rFonts w:eastAsia="Calibri"/>
              </w:rPr>
            </w:pPr>
            <w:r>
              <w:rPr>
                <w:rFonts w:eastAsia="Calibri"/>
              </w:rPr>
              <w:t>Above-ground or below-ground forest debris</w:t>
            </w:r>
          </w:p>
        </w:tc>
        <w:tc>
          <w:tcPr>
            <w:tcW w:w="3260" w:type="dxa"/>
            <w:tcBorders>
              <w:top w:val="single" w:sz="4" w:space="0" w:color="auto"/>
              <w:bottom w:val="single" w:sz="4" w:space="0" w:color="auto"/>
              <w:right w:val="single" w:sz="4" w:space="0" w:color="auto"/>
            </w:tcBorders>
          </w:tcPr>
          <w:p w14:paraId="6331102C" w14:textId="77777777" w:rsidR="00786ED7" w:rsidRPr="006E68C8"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786ED7" w:rsidRPr="006E68C8" w14:paraId="7E696840" w14:textId="77777777" w:rsidTr="009512FB">
        <w:tc>
          <w:tcPr>
            <w:tcW w:w="3124" w:type="dxa"/>
            <w:vMerge/>
            <w:tcBorders>
              <w:left w:val="single" w:sz="4" w:space="0" w:color="auto"/>
              <w:right w:val="single" w:sz="4" w:space="0" w:color="auto"/>
            </w:tcBorders>
          </w:tcPr>
          <w:p w14:paraId="6120ED40" w14:textId="77777777" w:rsidR="00786ED7" w:rsidRPr="006E68C8" w:rsidRDefault="00786ED7" w:rsidP="005577F8">
            <w:pPr>
              <w:pStyle w:val="TableHeading"/>
            </w:pPr>
          </w:p>
        </w:tc>
        <w:tc>
          <w:tcPr>
            <w:tcW w:w="2693" w:type="dxa"/>
            <w:tcBorders>
              <w:top w:val="single" w:sz="4" w:space="0" w:color="auto"/>
              <w:bottom w:val="single" w:sz="4" w:space="0" w:color="auto"/>
              <w:right w:val="single" w:sz="4" w:space="0" w:color="auto"/>
            </w:tcBorders>
          </w:tcPr>
          <w:p w14:paraId="473A9793" w14:textId="77777777" w:rsidR="00786ED7" w:rsidRPr="006E68C8" w:rsidRDefault="00786ED7" w:rsidP="005577F8">
            <w:pPr>
              <w:pStyle w:val="Tabletext"/>
              <w:rPr>
                <w:rFonts w:eastAsia="Calibri"/>
              </w:rPr>
            </w:pPr>
            <w:r>
              <w:rPr>
                <w:rFonts w:eastAsia="Calibri"/>
              </w:rPr>
              <w:t xml:space="preserve">Harvested wood products in service </w:t>
            </w:r>
          </w:p>
        </w:tc>
        <w:tc>
          <w:tcPr>
            <w:tcW w:w="3260" w:type="dxa"/>
            <w:tcBorders>
              <w:top w:val="single" w:sz="4" w:space="0" w:color="auto"/>
              <w:bottom w:val="single" w:sz="4" w:space="0" w:color="auto"/>
              <w:right w:val="single" w:sz="4" w:space="0" w:color="auto"/>
            </w:tcBorders>
          </w:tcPr>
          <w:p w14:paraId="2DD5CEC0" w14:textId="77777777" w:rsidR="00786ED7" w:rsidRPr="006E68C8"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786ED7" w:rsidRPr="006E68C8" w14:paraId="4D475071" w14:textId="77777777" w:rsidTr="009512FB">
        <w:trPr>
          <w:trHeight w:val="317"/>
        </w:trPr>
        <w:tc>
          <w:tcPr>
            <w:tcW w:w="3124" w:type="dxa"/>
            <w:vMerge/>
            <w:tcBorders>
              <w:left w:val="single" w:sz="4" w:space="0" w:color="auto"/>
              <w:right w:val="single" w:sz="4" w:space="0" w:color="auto"/>
            </w:tcBorders>
          </w:tcPr>
          <w:p w14:paraId="2CD14A8C" w14:textId="77777777" w:rsidR="00786ED7" w:rsidRPr="006E68C8" w:rsidRDefault="00786ED7" w:rsidP="005577F8">
            <w:pPr>
              <w:pStyle w:val="TableHeading"/>
            </w:pPr>
          </w:p>
        </w:tc>
        <w:tc>
          <w:tcPr>
            <w:tcW w:w="2693" w:type="dxa"/>
            <w:tcBorders>
              <w:top w:val="single" w:sz="4" w:space="0" w:color="auto"/>
              <w:bottom w:val="single" w:sz="4" w:space="0" w:color="auto"/>
              <w:right w:val="single" w:sz="4" w:space="0" w:color="auto"/>
            </w:tcBorders>
          </w:tcPr>
          <w:p w14:paraId="7425BAE4" w14:textId="77777777" w:rsidR="00786ED7" w:rsidRPr="006E68C8" w:rsidRDefault="00786ED7" w:rsidP="005577F8">
            <w:pPr>
              <w:pStyle w:val="Tabletext"/>
              <w:rPr>
                <w:rFonts w:eastAsia="Calibri"/>
              </w:rPr>
            </w:pPr>
            <w:r>
              <w:rPr>
                <w:rFonts w:eastAsia="Calibri"/>
              </w:rPr>
              <w:t>Harvested wood products in landfill</w:t>
            </w:r>
          </w:p>
        </w:tc>
        <w:tc>
          <w:tcPr>
            <w:tcW w:w="3260" w:type="dxa"/>
            <w:tcBorders>
              <w:top w:val="single" w:sz="4" w:space="0" w:color="auto"/>
              <w:left w:val="single" w:sz="4" w:space="0" w:color="auto"/>
              <w:bottom w:val="single" w:sz="4" w:space="0" w:color="auto"/>
              <w:right w:val="single" w:sz="4" w:space="0" w:color="auto"/>
            </w:tcBorders>
          </w:tcPr>
          <w:p w14:paraId="667FBB74" w14:textId="77777777" w:rsidR="00786ED7" w:rsidRPr="006E68C8"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tc>
      </w:tr>
      <w:tr w:rsidR="00786ED7" w:rsidRPr="006E68C8" w14:paraId="0523C09A" w14:textId="77777777" w:rsidTr="009512FB">
        <w:tc>
          <w:tcPr>
            <w:tcW w:w="3124" w:type="dxa"/>
            <w:vMerge w:val="restart"/>
            <w:tcBorders>
              <w:top w:val="single" w:sz="12" w:space="0" w:color="auto"/>
              <w:left w:val="single" w:sz="4" w:space="0" w:color="auto"/>
              <w:right w:val="single" w:sz="4" w:space="0" w:color="auto"/>
            </w:tcBorders>
          </w:tcPr>
          <w:p w14:paraId="43E5F031" w14:textId="77777777" w:rsidR="00786ED7" w:rsidRPr="006E68C8" w:rsidRDefault="00786ED7" w:rsidP="005577F8">
            <w:pPr>
              <w:pStyle w:val="TableHeading"/>
            </w:pPr>
            <w:r>
              <w:t>Emission source</w:t>
            </w:r>
          </w:p>
        </w:tc>
        <w:tc>
          <w:tcPr>
            <w:tcW w:w="2693" w:type="dxa"/>
            <w:tcBorders>
              <w:top w:val="single" w:sz="12" w:space="0" w:color="auto"/>
              <w:bottom w:val="single" w:sz="4" w:space="0" w:color="auto"/>
              <w:right w:val="single" w:sz="4" w:space="0" w:color="auto"/>
            </w:tcBorders>
          </w:tcPr>
          <w:p w14:paraId="673C6C47" w14:textId="77777777" w:rsidR="00786ED7" w:rsidRPr="006E68C8" w:rsidRDefault="00786ED7" w:rsidP="005577F8">
            <w:pPr>
              <w:pStyle w:val="Tabletext"/>
              <w:rPr>
                <w:rFonts w:eastAsia="Calibri"/>
              </w:rPr>
            </w:pPr>
            <w:r>
              <w:rPr>
                <w:rFonts w:eastAsia="Calibri"/>
              </w:rPr>
              <w:t xml:space="preserve">Biomass burning from </w:t>
            </w:r>
            <w:proofErr w:type="spellStart"/>
            <w:r>
              <w:rPr>
                <w:rFonts w:eastAsia="Calibri"/>
              </w:rPr>
              <w:t>post harvest</w:t>
            </w:r>
            <w:proofErr w:type="spellEnd"/>
            <w:r>
              <w:rPr>
                <w:rFonts w:eastAsia="Calibri"/>
              </w:rPr>
              <w:t xml:space="preserve"> (slash) burns</w:t>
            </w:r>
          </w:p>
        </w:tc>
        <w:tc>
          <w:tcPr>
            <w:tcW w:w="3260" w:type="dxa"/>
            <w:tcBorders>
              <w:top w:val="single" w:sz="12" w:space="0" w:color="auto"/>
              <w:bottom w:val="single" w:sz="4" w:space="0" w:color="auto"/>
              <w:right w:val="single" w:sz="4" w:space="0" w:color="auto"/>
            </w:tcBorders>
          </w:tcPr>
          <w:p w14:paraId="1412CFE4" w14:textId="77777777" w:rsidR="00786ED7" w:rsidRPr="006E68C8" w:rsidRDefault="00786ED7" w:rsidP="005577F8">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30BE071D" w14:textId="77777777" w:rsidR="00786ED7" w:rsidRPr="006E68C8" w:rsidRDefault="00786ED7" w:rsidP="005577F8">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r w:rsidR="00786ED7" w:rsidRPr="006E68C8" w14:paraId="33D41706" w14:textId="77777777" w:rsidTr="009512FB">
        <w:tc>
          <w:tcPr>
            <w:tcW w:w="3124" w:type="dxa"/>
            <w:vMerge/>
            <w:tcBorders>
              <w:left w:val="single" w:sz="4" w:space="0" w:color="auto"/>
              <w:bottom w:val="single" w:sz="4" w:space="0" w:color="auto"/>
              <w:right w:val="single" w:sz="4" w:space="0" w:color="auto"/>
            </w:tcBorders>
          </w:tcPr>
          <w:p w14:paraId="47A077FC" w14:textId="77777777" w:rsidR="00786ED7" w:rsidRPr="006E68C8" w:rsidRDefault="00786ED7" w:rsidP="005577F8">
            <w:pPr>
              <w:pStyle w:val="Tabletext"/>
            </w:pPr>
          </w:p>
        </w:tc>
        <w:tc>
          <w:tcPr>
            <w:tcW w:w="2693" w:type="dxa"/>
            <w:tcBorders>
              <w:top w:val="single" w:sz="4" w:space="0" w:color="auto"/>
              <w:bottom w:val="single" w:sz="4" w:space="0" w:color="auto"/>
              <w:right w:val="single" w:sz="4" w:space="0" w:color="auto"/>
            </w:tcBorders>
          </w:tcPr>
          <w:p w14:paraId="7227E68B" w14:textId="77777777" w:rsidR="00786ED7" w:rsidRPr="006E68C8" w:rsidRDefault="00786ED7" w:rsidP="005577F8">
            <w:pPr>
              <w:pStyle w:val="Tabletext"/>
              <w:rPr>
                <w:rFonts w:eastAsia="Calibri"/>
              </w:rPr>
            </w:pPr>
            <w:r>
              <w:rPr>
                <w:rFonts w:eastAsia="Calibri"/>
              </w:rPr>
              <w:t>Combustion of fossil fuels in connection with timber harvesting and haulage operations</w:t>
            </w:r>
          </w:p>
        </w:tc>
        <w:tc>
          <w:tcPr>
            <w:tcW w:w="3260" w:type="dxa"/>
            <w:tcBorders>
              <w:top w:val="single" w:sz="4" w:space="0" w:color="auto"/>
              <w:bottom w:val="single" w:sz="4" w:space="0" w:color="auto"/>
              <w:right w:val="single" w:sz="4" w:space="0" w:color="auto"/>
            </w:tcBorders>
          </w:tcPr>
          <w:p w14:paraId="7FC46731" w14:textId="77777777" w:rsidR="00786ED7" w:rsidRDefault="00786ED7" w:rsidP="005577F8">
            <w:pPr>
              <w:pStyle w:val="Tabletext"/>
              <w:rPr>
                <w:rFonts w:eastAsia="Calibri"/>
              </w:rPr>
            </w:pPr>
            <w:r w:rsidRPr="006E68C8">
              <w:rPr>
                <w:rFonts w:eastAsia="Calibri"/>
              </w:rPr>
              <w:t>Carbon dioxide (CO</w:t>
            </w:r>
            <w:r w:rsidRPr="006E68C8">
              <w:rPr>
                <w:rFonts w:eastAsia="Calibri"/>
                <w:vertAlign w:val="subscript"/>
              </w:rPr>
              <w:t>2</w:t>
            </w:r>
            <w:r w:rsidRPr="006E68C8">
              <w:rPr>
                <w:rFonts w:eastAsia="Calibri"/>
              </w:rPr>
              <w:t>)</w:t>
            </w:r>
          </w:p>
          <w:p w14:paraId="2CB7B704" w14:textId="77777777" w:rsidR="00786ED7" w:rsidRPr="006E68C8" w:rsidRDefault="00786ED7" w:rsidP="005577F8">
            <w:pPr>
              <w:pStyle w:val="Tabletext"/>
              <w:rPr>
                <w:rFonts w:eastAsia="Calibri"/>
              </w:rPr>
            </w:pPr>
            <w:r w:rsidRPr="006E68C8">
              <w:rPr>
                <w:rFonts w:eastAsia="Calibri"/>
              </w:rPr>
              <w:t>Methane (CH</w:t>
            </w:r>
            <w:r w:rsidRPr="006E68C8">
              <w:rPr>
                <w:rFonts w:eastAsia="Calibri"/>
                <w:vertAlign w:val="subscript"/>
              </w:rPr>
              <w:t>4</w:t>
            </w:r>
            <w:r w:rsidRPr="006E68C8">
              <w:rPr>
                <w:rFonts w:eastAsia="Calibri"/>
              </w:rPr>
              <w:t>)</w:t>
            </w:r>
          </w:p>
          <w:p w14:paraId="1EF4E3CE" w14:textId="77777777" w:rsidR="00786ED7" w:rsidRPr="006E68C8" w:rsidRDefault="00786ED7" w:rsidP="005577F8">
            <w:pPr>
              <w:pStyle w:val="Tabletext"/>
              <w:rPr>
                <w:rFonts w:eastAsia="Calibri"/>
              </w:rPr>
            </w:pPr>
            <w:r w:rsidRPr="006E68C8">
              <w:rPr>
                <w:rFonts w:eastAsia="Calibri"/>
              </w:rPr>
              <w:t>Nitrous oxide (N</w:t>
            </w:r>
            <w:r w:rsidRPr="006E68C8">
              <w:rPr>
                <w:rFonts w:eastAsia="Calibri"/>
                <w:vertAlign w:val="subscript"/>
              </w:rPr>
              <w:t>2</w:t>
            </w:r>
            <w:r w:rsidRPr="006E68C8">
              <w:rPr>
                <w:rFonts w:eastAsia="Calibri"/>
              </w:rPr>
              <w:t>O)</w:t>
            </w:r>
          </w:p>
        </w:tc>
      </w:tr>
    </w:tbl>
    <w:p w14:paraId="2E63DF6B" w14:textId="43F66BFE" w:rsidR="0050083B" w:rsidRPr="00E32FF8" w:rsidRDefault="0050083B" w:rsidP="008A4230">
      <w:pPr>
        <w:pStyle w:val="subsection"/>
        <w:spacing w:before="120" w:after="120"/>
        <w:ind w:left="0" w:firstLine="0"/>
        <w:rPr>
          <w:sz w:val="24"/>
          <w:szCs w:val="24"/>
        </w:rPr>
      </w:pPr>
      <w:r w:rsidRPr="00E32FF8">
        <w:rPr>
          <w:sz w:val="24"/>
          <w:szCs w:val="24"/>
        </w:rPr>
        <w:t>Carbon stock changes in the forest carbon pools (live above- and below-ground biomass and debris), and CH</w:t>
      </w:r>
      <w:r w:rsidRPr="00E32FF8">
        <w:rPr>
          <w:sz w:val="24"/>
          <w:szCs w:val="24"/>
          <w:vertAlign w:val="subscript"/>
        </w:rPr>
        <w:t>4</w:t>
      </w:r>
      <w:r w:rsidRPr="00E32FF8">
        <w:rPr>
          <w:sz w:val="24"/>
          <w:szCs w:val="24"/>
        </w:rPr>
        <w:t xml:space="preserve"> and N</w:t>
      </w:r>
      <w:r w:rsidRPr="00E32FF8">
        <w:rPr>
          <w:sz w:val="24"/>
          <w:szCs w:val="24"/>
          <w:vertAlign w:val="subscript"/>
        </w:rPr>
        <w:t>2</w:t>
      </w:r>
      <w:r w:rsidRPr="00E32FF8">
        <w:rPr>
          <w:sz w:val="24"/>
          <w:szCs w:val="24"/>
        </w:rPr>
        <w:t xml:space="preserve">O emissions associated with post-harvest (slash) burns, are calculated using </w:t>
      </w:r>
      <w:r w:rsidR="00A068ED" w:rsidRPr="00E32FF8">
        <w:rPr>
          <w:sz w:val="24"/>
          <w:szCs w:val="24"/>
        </w:rPr>
        <w:t>the Full Carbon Ac</w:t>
      </w:r>
      <w:r w:rsidR="00E21756">
        <w:rPr>
          <w:sz w:val="24"/>
          <w:szCs w:val="24"/>
        </w:rPr>
        <w:t>c</w:t>
      </w:r>
      <w:r w:rsidR="00A068ED" w:rsidRPr="00E32FF8">
        <w:rPr>
          <w:sz w:val="24"/>
          <w:szCs w:val="24"/>
        </w:rPr>
        <w:t>ounting Model (</w:t>
      </w:r>
      <w:proofErr w:type="spellStart"/>
      <w:r w:rsidRPr="00E32FF8">
        <w:rPr>
          <w:sz w:val="24"/>
          <w:szCs w:val="24"/>
        </w:rPr>
        <w:t>FullCAM</w:t>
      </w:r>
      <w:proofErr w:type="spellEnd"/>
      <w:r w:rsidR="00A068ED" w:rsidRPr="00E32FF8">
        <w:rPr>
          <w:sz w:val="24"/>
          <w:szCs w:val="24"/>
        </w:rPr>
        <w:t xml:space="preserve">). </w:t>
      </w:r>
      <w:proofErr w:type="spellStart"/>
      <w:r w:rsidR="002E2AC7" w:rsidRPr="00E32FF8">
        <w:rPr>
          <w:sz w:val="24"/>
          <w:szCs w:val="24"/>
        </w:rPr>
        <w:t>FullCAM</w:t>
      </w:r>
      <w:proofErr w:type="spellEnd"/>
      <w:r w:rsidR="002E2AC7" w:rsidRPr="00E32FF8">
        <w:rPr>
          <w:sz w:val="24"/>
          <w:szCs w:val="24"/>
        </w:rPr>
        <w:t xml:space="preserve"> is used to model forest carbon stocks associated with land use and management for Australia’s National Inventory Report, ensuring alignment between the Determination and what is </w:t>
      </w:r>
      <w:r w:rsidR="008B13D5">
        <w:rPr>
          <w:sz w:val="24"/>
          <w:szCs w:val="24"/>
        </w:rPr>
        <w:t xml:space="preserve">likely to be </w:t>
      </w:r>
      <w:r w:rsidR="002E2AC7" w:rsidRPr="00E32FF8">
        <w:rPr>
          <w:sz w:val="24"/>
          <w:szCs w:val="24"/>
        </w:rPr>
        <w:t xml:space="preserve">recorded in </w:t>
      </w:r>
      <w:r w:rsidR="00DE62E6" w:rsidRPr="00E32FF8">
        <w:rPr>
          <w:sz w:val="24"/>
          <w:szCs w:val="24"/>
        </w:rPr>
        <w:t>Australia’s greenhouse gas accounts.</w:t>
      </w:r>
    </w:p>
    <w:p w14:paraId="6B3BB38F" w14:textId="4641DA5F" w:rsidR="00D76766" w:rsidRPr="002316A2" w:rsidRDefault="007073AD" w:rsidP="00A20587">
      <w:pPr>
        <w:pStyle w:val="subsection"/>
        <w:spacing w:before="120" w:after="120"/>
        <w:ind w:left="0" w:firstLine="0"/>
        <w:rPr>
          <w:sz w:val="24"/>
          <w:szCs w:val="24"/>
        </w:rPr>
      </w:pPr>
      <w:r>
        <w:rPr>
          <w:sz w:val="24"/>
          <w:szCs w:val="24"/>
        </w:rPr>
        <w:t xml:space="preserve">The issuance of ACCUs to INFM projects is subject to a ‘hurdle requirement’. The hurdle requirement </w:t>
      </w:r>
      <w:r w:rsidR="00FE6B9D">
        <w:rPr>
          <w:sz w:val="24"/>
          <w:szCs w:val="24"/>
        </w:rPr>
        <w:t xml:space="preserve">specifies that, </w:t>
      </w:r>
      <w:proofErr w:type="gramStart"/>
      <w:r w:rsidR="00FE6B9D">
        <w:rPr>
          <w:sz w:val="24"/>
          <w:szCs w:val="24"/>
        </w:rPr>
        <w:t xml:space="preserve">with the </w:t>
      </w:r>
      <w:r w:rsidR="00D76766" w:rsidRPr="00D76766">
        <w:rPr>
          <w:sz w:val="24"/>
          <w:szCs w:val="24"/>
        </w:rPr>
        <w:t>exception of</w:t>
      </w:r>
      <w:proofErr w:type="gramEnd"/>
      <w:r w:rsidR="00D76766" w:rsidRPr="00D76766">
        <w:rPr>
          <w:sz w:val="24"/>
          <w:szCs w:val="24"/>
        </w:rPr>
        <w:t xml:space="preserve"> instances where the </w:t>
      </w:r>
      <w:r w:rsidR="00541915" w:rsidRPr="00D76766">
        <w:rPr>
          <w:sz w:val="24"/>
          <w:szCs w:val="24"/>
        </w:rPr>
        <w:t>net abatement amount is</w:t>
      </w:r>
      <w:r w:rsidR="00D76766" w:rsidRPr="00D76766">
        <w:rPr>
          <w:sz w:val="24"/>
          <w:szCs w:val="24"/>
        </w:rPr>
        <w:t xml:space="preserve"> </w:t>
      </w:r>
      <w:r w:rsidR="00D76766" w:rsidRPr="002316A2">
        <w:rPr>
          <w:sz w:val="24"/>
          <w:szCs w:val="24"/>
        </w:rPr>
        <w:t>negative, the net abatement amount is</w:t>
      </w:r>
      <w:r w:rsidR="00541915" w:rsidRPr="002316A2">
        <w:rPr>
          <w:sz w:val="24"/>
          <w:szCs w:val="24"/>
        </w:rPr>
        <w:t xml:space="preserve"> zero if</w:t>
      </w:r>
      <w:r w:rsidR="00D76766" w:rsidRPr="002316A2">
        <w:rPr>
          <w:sz w:val="24"/>
          <w:szCs w:val="24"/>
        </w:rPr>
        <w:t xml:space="preserve">: </w:t>
      </w:r>
    </w:p>
    <w:p w14:paraId="1EC50A3D" w14:textId="62135DC4" w:rsidR="00D76766" w:rsidRPr="002316A2" w:rsidRDefault="002316A2" w:rsidP="0060524D">
      <w:pPr>
        <w:pStyle w:val="ListParagraph"/>
        <w:numPr>
          <w:ilvl w:val="0"/>
          <w:numId w:val="8"/>
        </w:numPr>
        <w:spacing w:before="120" w:after="120" w:line="240" w:lineRule="auto"/>
        <w:contextualSpacing w:val="0"/>
        <w:rPr>
          <w:rFonts w:ascii="Times New Roman" w:hAnsi="Times New Roman" w:cs="Times New Roman"/>
          <w:sz w:val="24"/>
          <w:szCs w:val="24"/>
        </w:rPr>
      </w:pPr>
      <w:r w:rsidRPr="002316A2">
        <w:rPr>
          <w:rFonts w:ascii="Times New Roman" w:hAnsi="Times New Roman" w:cs="Times New Roman"/>
          <w:sz w:val="24"/>
          <w:szCs w:val="24"/>
        </w:rPr>
        <w:t>the volume of wood extracted from the project area during each 12 months (</w:t>
      </w:r>
      <w:r w:rsidR="002152D9" w:rsidRPr="00254808">
        <w:rPr>
          <w:rFonts w:ascii="Times New Roman" w:hAnsi="Times New Roman" w:cs="Times New Roman"/>
          <w:sz w:val="24"/>
          <w:szCs w:val="24"/>
        </w:rPr>
        <w:t xml:space="preserve">or part thereof </w:t>
      </w:r>
      <w:r w:rsidR="002152D9" w:rsidRPr="00254808">
        <w:rPr>
          <w:rFonts w:ascii="Times New Roman" w:hAnsi="Times New Roman" w:cs="Times New Roman"/>
          <w:bCs/>
          <w:sz w:val="24"/>
          <w:szCs w:val="24"/>
        </w:rPr>
        <w:t>if the final part of the reporting period is less than 12 months</w:t>
      </w:r>
      <w:r w:rsidRPr="002316A2">
        <w:rPr>
          <w:rFonts w:ascii="Times New Roman" w:hAnsi="Times New Roman" w:cs="Times New Roman"/>
          <w:sz w:val="24"/>
          <w:szCs w:val="24"/>
        </w:rPr>
        <w:t xml:space="preserve">) of the reporting period is not at least 20% less than the levels in the baseline scenario for the </w:t>
      </w:r>
      <w:r w:rsidR="00531C3E">
        <w:rPr>
          <w:rFonts w:ascii="Times New Roman" w:hAnsi="Times New Roman" w:cs="Times New Roman"/>
          <w:sz w:val="24"/>
          <w:szCs w:val="24"/>
        </w:rPr>
        <w:t>same</w:t>
      </w:r>
      <w:r w:rsidRPr="002316A2">
        <w:rPr>
          <w:rFonts w:ascii="Times New Roman" w:hAnsi="Times New Roman" w:cs="Times New Roman"/>
          <w:sz w:val="24"/>
          <w:szCs w:val="24"/>
        </w:rPr>
        <w:t xml:space="preserve"> </w:t>
      </w:r>
      <w:r w:rsidR="004865DA">
        <w:rPr>
          <w:rFonts w:ascii="Times New Roman" w:hAnsi="Times New Roman" w:cs="Times New Roman"/>
          <w:sz w:val="24"/>
          <w:szCs w:val="24"/>
        </w:rPr>
        <w:t xml:space="preserve">12-month </w:t>
      </w:r>
      <w:r w:rsidRPr="002316A2">
        <w:rPr>
          <w:rFonts w:ascii="Times New Roman" w:hAnsi="Times New Roman" w:cs="Times New Roman"/>
          <w:sz w:val="24"/>
          <w:szCs w:val="24"/>
        </w:rPr>
        <w:t>period</w:t>
      </w:r>
      <w:r w:rsidR="004865DA">
        <w:rPr>
          <w:rFonts w:ascii="Times New Roman" w:hAnsi="Times New Roman" w:cs="Times New Roman"/>
          <w:sz w:val="24"/>
          <w:szCs w:val="24"/>
        </w:rPr>
        <w:t xml:space="preserve"> (or part thereof)</w:t>
      </w:r>
      <w:r w:rsidR="00D76766" w:rsidRPr="002316A2">
        <w:rPr>
          <w:rFonts w:ascii="Times New Roman" w:hAnsi="Times New Roman" w:cs="Times New Roman"/>
          <w:sz w:val="24"/>
          <w:szCs w:val="24"/>
        </w:rPr>
        <w:t>; or</w:t>
      </w:r>
    </w:p>
    <w:p w14:paraId="66C6A32E" w14:textId="52910319" w:rsidR="00D76766" w:rsidRPr="00D76766" w:rsidRDefault="00D76766" w:rsidP="0060524D">
      <w:pPr>
        <w:pStyle w:val="ListParagraph"/>
        <w:numPr>
          <w:ilvl w:val="0"/>
          <w:numId w:val="8"/>
        </w:numPr>
        <w:spacing w:before="120" w:after="120" w:line="240" w:lineRule="auto"/>
        <w:contextualSpacing w:val="0"/>
        <w:rPr>
          <w:rFonts w:ascii="Times New Roman" w:hAnsi="Times New Roman" w:cs="Times New Roman"/>
          <w:sz w:val="24"/>
          <w:szCs w:val="24"/>
        </w:rPr>
      </w:pPr>
      <w:r w:rsidRPr="00D76766">
        <w:rPr>
          <w:rFonts w:ascii="Times New Roman" w:hAnsi="Times New Roman" w:cs="Times New Roman"/>
          <w:sz w:val="24"/>
          <w:szCs w:val="24"/>
        </w:rPr>
        <w:t xml:space="preserve">the volume of wood extracted from the project area from the date of </w:t>
      </w:r>
      <w:r w:rsidR="00C320FE">
        <w:rPr>
          <w:rFonts w:ascii="Times New Roman" w:hAnsi="Times New Roman" w:cs="Times New Roman"/>
          <w:sz w:val="24"/>
          <w:szCs w:val="24"/>
        </w:rPr>
        <w:t>registration</w:t>
      </w:r>
      <w:r w:rsidRPr="00D76766">
        <w:rPr>
          <w:rFonts w:ascii="Times New Roman" w:hAnsi="Times New Roman" w:cs="Times New Roman"/>
          <w:sz w:val="24"/>
          <w:szCs w:val="24"/>
        </w:rPr>
        <w:t xml:space="preserve"> until the end of the reporting period is not at least 20% less than the levels in the baseline scenario over that period.</w:t>
      </w:r>
    </w:p>
    <w:p w14:paraId="73BDC252" w14:textId="74E70CC6" w:rsidR="00D76766" w:rsidRDefault="0043137B" w:rsidP="00DB00CB">
      <w:pPr>
        <w:pStyle w:val="subsection"/>
        <w:spacing w:before="120" w:after="120"/>
        <w:ind w:left="0" w:firstLine="0"/>
        <w:rPr>
          <w:sz w:val="24"/>
          <w:szCs w:val="24"/>
        </w:rPr>
      </w:pPr>
      <w:r>
        <w:rPr>
          <w:sz w:val="24"/>
          <w:szCs w:val="24"/>
        </w:rPr>
        <w:t xml:space="preserve">Subject to the hurdle requirement, the net abatement amount is calculated in accordance with the following steps. </w:t>
      </w:r>
    </w:p>
    <w:p w14:paraId="36AD4D33" w14:textId="77777777" w:rsidR="008A3FC7" w:rsidRPr="008840A6" w:rsidRDefault="008A3FC7" w:rsidP="008A3FC7">
      <w:pPr>
        <w:pStyle w:val="paragraph"/>
        <w:spacing w:before="120" w:after="120"/>
        <w:ind w:left="1134" w:firstLine="0"/>
        <w:rPr>
          <w:b/>
          <w:bCs/>
          <w:sz w:val="24"/>
          <w:szCs w:val="24"/>
        </w:rPr>
      </w:pPr>
      <w:r w:rsidRPr="008840A6">
        <w:rPr>
          <w:b/>
          <w:bCs/>
          <w:sz w:val="24"/>
          <w:szCs w:val="24"/>
        </w:rPr>
        <w:t xml:space="preserve">Step 1: </w:t>
      </w:r>
      <w:r w:rsidRPr="008840A6">
        <w:rPr>
          <w:sz w:val="24"/>
          <w:szCs w:val="24"/>
        </w:rPr>
        <w:t xml:space="preserve">Representative </w:t>
      </w:r>
      <w:proofErr w:type="spellStart"/>
      <w:r w:rsidRPr="008840A6">
        <w:rPr>
          <w:sz w:val="24"/>
          <w:szCs w:val="24"/>
        </w:rPr>
        <w:t>FullCAM</w:t>
      </w:r>
      <w:proofErr w:type="spellEnd"/>
      <w:r w:rsidRPr="008840A6">
        <w:rPr>
          <w:sz w:val="24"/>
          <w:szCs w:val="24"/>
        </w:rPr>
        <w:t xml:space="preserve"> model plots must be developed based on the timber harvesting and related forest clearing to facilitate timber harvesting (</w:t>
      </w:r>
      <w:proofErr w:type="spellStart"/>
      <w:r w:rsidRPr="008840A6">
        <w:rPr>
          <w:sz w:val="24"/>
          <w:szCs w:val="24"/>
        </w:rPr>
        <w:t>eg</w:t>
      </w:r>
      <w:proofErr w:type="spellEnd"/>
      <w:r w:rsidRPr="008840A6">
        <w:rPr>
          <w:sz w:val="24"/>
          <w:szCs w:val="24"/>
        </w:rPr>
        <w:t xml:space="preserve"> for access roads, snig tracks and log landings) that occurred in the 5-year period prior to the end of the financial year prior to the making of the application for the declaration of the project as an eligible offsets project (the prior period). The model plots must be used to develop a prior period </w:t>
      </w:r>
      <w:proofErr w:type="spellStart"/>
      <w:r w:rsidRPr="008840A6">
        <w:rPr>
          <w:sz w:val="24"/>
          <w:szCs w:val="24"/>
        </w:rPr>
        <w:t>FullCAM</w:t>
      </w:r>
      <w:proofErr w:type="spellEnd"/>
      <w:r w:rsidRPr="008840A6">
        <w:rPr>
          <w:sz w:val="24"/>
          <w:szCs w:val="24"/>
        </w:rPr>
        <w:t xml:space="preserve"> forest estate model that provides estimates of the total net harvested area (in hectares) in, and logs produced (in cubic metres (m</w:t>
      </w:r>
      <w:r w:rsidRPr="008840A6">
        <w:rPr>
          <w:sz w:val="24"/>
          <w:szCs w:val="24"/>
          <w:vertAlign w:val="superscript"/>
        </w:rPr>
        <w:t>3</w:t>
      </w:r>
      <w:r w:rsidRPr="008840A6">
        <w:rPr>
          <w:sz w:val="24"/>
          <w:szCs w:val="24"/>
        </w:rPr>
        <w:t>) of logs produced) from, the project area that are within ±5% of the actual values for the prior period.</w:t>
      </w:r>
    </w:p>
    <w:p w14:paraId="31777412" w14:textId="77777777" w:rsidR="008A3FC7" w:rsidRPr="008840A6" w:rsidRDefault="008A3FC7" w:rsidP="008A3FC7">
      <w:pPr>
        <w:pStyle w:val="paragraph"/>
        <w:spacing w:before="120" w:after="120"/>
        <w:ind w:left="1134" w:firstLine="0"/>
        <w:rPr>
          <w:sz w:val="24"/>
          <w:szCs w:val="24"/>
        </w:rPr>
      </w:pPr>
      <w:r w:rsidRPr="008840A6">
        <w:rPr>
          <w:b/>
          <w:bCs/>
          <w:sz w:val="24"/>
          <w:szCs w:val="24"/>
        </w:rPr>
        <w:t>Step 2:</w:t>
      </w:r>
      <w:r w:rsidRPr="008840A6">
        <w:rPr>
          <w:sz w:val="24"/>
          <w:szCs w:val="24"/>
        </w:rPr>
        <w:t xml:space="preserve"> The baseline harvest level, </w:t>
      </w:r>
      <w:r w:rsidRPr="008840A6">
        <w:rPr>
          <w:bCs/>
          <w:sz w:val="24"/>
          <w:szCs w:val="24"/>
        </w:rPr>
        <w:t>in cubic metres (m</w:t>
      </w:r>
      <w:r w:rsidRPr="008840A6">
        <w:rPr>
          <w:bCs/>
          <w:sz w:val="24"/>
          <w:szCs w:val="24"/>
          <w:vertAlign w:val="superscript"/>
        </w:rPr>
        <w:t>3</w:t>
      </w:r>
      <w:r w:rsidRPr="008840A6">
        <w:rPr>
          <w:bCs/>
          <w:sz w:val="24"/>
          <w:szCs w:val="24"/>
        </w:rPr>
        <w:t>) of wood harvested,</w:t>
      </w:r>
      <w:r w:rsidRPr="008840A6">
        <w:rPr>
          <w:sz w:val="24"/>
          <w:szCs w:val="24"/>
        </w:rPr>
        <w:t xml:space="preserve"> must then be calculated. The baseline harvest level, </w:t>
      </w:r>
      <w:r w:rsidRPr="008840A6">
        <w:rPr>
          <w:bCs/>
          <w:sz w:val="24"/>
          <w:szCs w:val="24"/>
        </w:rPr>
        <w:t>in volume of wood harvested,</w:t>
      </w:r>
      <w:r w:rsidRPr="008840A6">
        <w:rPr>
          <w:sz w:val="24"/>
          <w:szCs w:val="24"/>
        </w:rPr>
        <w:t xml:space="preserve"> must </w:t>
      </w:r>
      <w:r w:rsidRPr="008840A6">
        <w:rPr>
          <w:sz w:val="24"/>
          <w:szCs w:val="24"/>
        </w:rPr>
        <w:lastRenderedPageBreak/>
        <w:t xml:space="preserve">be converted to a net area subject to harvesting in the baseline scenario (in hectares) using the prior period </w:t>
      </w:r>
      <w:proofErr w:type="spellStart"/>
      <w:r w:rsidRPr="008840A6">
        <w:rPr>
          <w:sz w:val="24"/>
          <w:szCs w:val="24"/>
        </w:rPr>
        <w:t>FullCAM</w:t>
      </w:r>
      <w:proofErr w:type="spellEnd"/>
      <w:r w:rsidRPr="008840A6">
        <w:rPr>
          <w:sz w:val="24"/>
          <w:szCs w:val="24"/>
        </w:rPr>
        <w:t xml:space="preserve"> forest estate model from Step 1. The baseline harvest level and the net harvested area in the baseline scenario are used to model carbon stock changes and emissions in the baseline scenario and are intended to reflect a conservative estimate of the level of harvesting in the project area in the baseline scenario in the absence of the declaration of the project as an eligible offsets project. The area cleared to facilitate timber harvesting in the baseline scenario must also be calculated using the ratio between the cleared area and logs produced (in cubic metres, m</w:t>
      </w:r>
      <w:r w:rsidRPr="008840A6">
        <w:rPr>
          <w:sz w:val="24"/>
          <w:szCs w:val="24"/>
          <w:vertAlign w:val="superscript"/>
        </w:rPr>
        <w:t>3</w:t>
      </w:r>
      <w:r w:rsidRPr="008840A6">
        <w:rPr>
          <w:sz w:val="24"/>
          <w:szCs w:val="24"/>
        </w:rPr>
        <w:t>) in the prior period and the baseline harvest level (in cubic metres, m</w:t>
      </w:r>
      <w:r w:rsidRPr="008840A6">
        <w:rPr>
          <w:sz w:val="24"/>
          <w:szCs w:val="24"/>
          <w:vertAlign w:val="superscript"/>
        </w:rPr>
        <w:t>3</w:t>
      </w:r>
      <w:r w:rsidRPr="008840A6">
        <w:rPr>
          <w:sz w:val="24"/>
          <w:szCs w:val="24"/>
        </w:rPr>
        <w:t>).</w:t>
      </w:r>
    </w:p>
    <w:p w14:paraId="4EACA883" w14:textId="77777777" w:rsidR="008A3FC7" w:rsidRPr="008840A6" w:rsidRDefault="008A3FC7" w:rsidP="008A3FC7">
      <w:pPr>
        <w:pStyle w:val="paragraph"/>
        <w:spacing w:before="120" w:after="120"/>
        <w:ind w:left="1134" w:firstLine="0"/>
        <w:rPr>
          <w:sz w:val="24"/>
          <w:szCs w:val="24"/>
        </w:rPr>
      </w:pPr>
      <w:r w:rsidRPr="008840A6">
        <w:rPr>
          <w:b/>
          <w:bCs/>
          <w:sz w:val="24"/>
          <w:szCs w:val="24"/>
        </w:rPr>
        <w:t>Step 3:</w:t>
      </w:r>
      <w:r w:rsidRPr="008840A6">
        <w:rPr>
          <w:sz w:val="24"/>
          <w:szCs w:val="24"/>
        </w:rPr>
        <w:t xml:space="preserve"> Carbon stock changes in the forest carbon pools (live above and below ground biomass and debris), and CH</w:t>
      </w:r>
      <w:r w:rsidRPr="008840A6">
        <w:rPr>
          <w:sz w:val="24"/>
          <w:szCs w:val="24"/>
          <w:vertAlign w:val="subscript"/>
        </w:rPr>
        <w:t>4</w:t>
      </w:r>
      <w:r w:rsidRPr="008840A6">
        <w:rPr>
          <w:sz w:val="24"/>
          <w:szCs w:val="24"/>
        </w:rPr>
        <w:t xml:space="preserve"> and N</w:t>
      </w:r>
      <w:r w:rsidRPr="008840A6">
        <w:rPr>
          <w:sz w:val="24"/>
          <w:szCs w:val="24"/>
          <w:vertAlign w:val="subscript"/>
        </w:rPr>
        <w:t>2</w:t>
      </w:r>
      <w:r w:rsidRPr="008840A6">
        <w:rPr>
          <w:sz w:val="24"/>
          <w:szCs w:val="24"/>
        </w:rPr>
        <w:t xml:space="preserve">O emissions associated with post-harvest (slash) burns, in the project and baseline scenarios are calculated using </w:t>
      </w:r>
      <w:proofErr w:type="spellStart"/>
      <w:r w:rsidRPr="008840A6">
        <w:rPr>
          <w:sz w:val="24"/>
          <w:szCs w:val="24"/>
        </w:rPr>
        <w:t>FullCAM</w:t>
      </w:r>
      <w:proofErr w:type="spellEnd"/>
      <w:r w:rsidRPr="008840A6">
        <w:rPr>
          <w:sz w:val="24"/>
          <w:szCs w:val="24"/>
        </w:rPr>
        <w:t xml:space="preserve"> in accordance with the </w:t>
      </w:r>
      <w:proofErr w:type="spellStart"/>
      <w:r w:rsidRPr="008840A6">
        <w:rPr>
          <w:sz w:val="24"/>
          <w:szCs w:val="24"/>
        </w:rPr>
        <w:t>FullCAM</w:t>
      </w:r>
      <w:proofErr w:type="spellEnd"/>
      <w:r w:rsidRPr="008840A6">
        <w:rPr>
          <w:sz w:val="24"/>
          <w:szCs w:val="24"/>
        </w:rPr>
        <w:t xml:space="preserve"> Guidelines. The modelling must be undertaken using the representative model plots derived in accordance with Step 1, supplemented with additional model plots as necessary that reflect forest clearing events that are not directly related to timber harvesting. Generally, the same representative model plots are required to be used in the baseline and project scenarios, with harvest events (including post-harvest (slash) burns) and forest clearing events undertaken to facilitate harvesting included (in the baseline scenario) and excluded (in the project scenario) as relevant to reflect the nature of the project activities. The main exception to this relates to forest clearing events that are not directly related to timber production, which are modelled in the project scenario but excluded from the baseline scenario.</w:t>
      </w:r>
    </w:p>
    <w:p w14:paraId="50C9787D" w14:textId="77777777" w:rsidR="008A3FC7" w:rsidRPr="008840A6" w:rsidRDefault="008A3FC7" w:rsidP="008A3FC7">
      <w:pPr>
        <w:pStyle w:val="paragraph"/>
        <w:spacing w:before="120" w:after="120"/>
        <w:ind w:left="1134" w:firstLine="0"/>
        <w:rPr>
          <w:sz w:val="24"/>
          <w:szCs w:val="24"/>
        </w:rPr>
      </w:pPr>
      <w:r w:rsidRPr="008840A6">
        <w:rPr>
          <w:b/>
          <w:bCs/>
          <w:sz w:val="24"/>
          <w:szCs w:val="24"/>
        </w:rPr>
        <w:t>Step 4:</w:t>
      </w:r>
      <w:r w:rsidRPr="008840A6">
        <w:rPr>
          <w:sz w:val="24"/>
          <w:szCs w:val="24"/>
        </w:rPr>
        <w:t xml:space="preserve"> Carbon stock changes in the harvested wood products carbon pool are then calculated. In the baseline scenario, the log inputs to the harvested wood products model are those generated by the baseline </w:t>
      </w:r>
      <w:proofErr w:type="spellStart"/>
      <w:r w:rsidRPr="008840A6">
        <w:rPr>
          <w:sz w:val="24"/>
          <w:szCs w:val="24"/>
        </w:rPr>
        <w:t>FullCAM</w:t>
      </w:r>
      <w:proofErr w:type="spellEnd"/>
      <w:r w:rsidRPr="008840A6">
        <w:rPr>
          <w:sz w:val="24"/>
          <w:szCs w:val="24"/>
        </w:rPr>
        <w:t xml:space="preserve"> forest estate model that is used to model carbon stock changes in the forest carbon pools. In the project scenario, the log inputs must be the actual logs harvested over the reporting period. To promote conservatism and avoid crediting ineligible abatement, </w:t>
      </w:r>
      <w:proofErr w:type="spellStart"/>
      <w:r w:rsidRPr="008840A6">
        <w:rPr>
          <w:sz w:val="24"/>
          <w:szCs w:val="24"/>
        </w:rPr>
        <w:t>pulplogs</w:t>
      </w:r>
      <w:proofErr w:type="spellEnd"/>
      <w:r w:rsidRPr="008840A6">
        <w:rPr>
          <w:sz w:val="24"/>
          <w:szCs w:val="24"/>
        </w:rPr>
        <w:t xml:space="preserve"> are assumed to be instantly oxidised following harvest in the project scenario, while they are modelled through their lifecycle in the baseline scenario. Other residue logs (e.g. firewood) are assumed to be instantly oxidised following harvest in both the project and baseline scenarios.</w:t>
      </w:r>
    </w:p>
    <w:p w14:paraId="5C203783" w14:textId="77777777" w:rsidR="008A3FC7" w:rsidRPr="008840A6" w:rsidRDefault="008A3FC7" w:rsidP="008A3FC7">
      <w:pPr>
        <w:pStyle w:val="paragraph"/>
        <w:spacing w:before="120" w:after="120"/>
        <w:ind w:left="1134" w:firstLine="0"/>
        <w:rPr>
          <w:sz w:val="24"/>
          <w:szCs w:val="24"/>
        </w:rPr>
      </w:pPr>
      <w:r w:rsidRPr="008840A6">
        <w:rPr>
          <w:b/>
          <w:bCs/>
          <w:sz w:val="24"/>
          <w:szCs w:val="24"/>
        </w:rPr>
        <w:t>Step 5:</w:t>
      </w:r>
      <w:r w:rsidRPr="008840A6">
        <w:rPr>
          <w:sz w:val="24"/>
          <w:szCs w:val="24"/>
        </w:rPr>
        <w:t xml:space="preserve"> In the project scenario, CO</w:t>
      </w:r>
      <w:r w:rsidRPr="008840A6">
        <w:rPr>
          <w:sz w:val="24"/>
          <w:szCs w:val="24"/>
          <w:vertAlign w:val="subscript"/>
        </w:rPr>
        <w:t>2</w:t>
      </w:r>
      <w:r w:rsidRPr="008840A6">
        <w:rPr>
          <w:sz w:val="24"/>
          <w:szCs w:val="24"/>
        </w:rPr>
        <w:t>, CH</w:t>
      </w:r>
      <w:r w:rsidRPr="008840A6">
        <w:rPr>
          <w:sz w:val="24"/>
          <w:szCs w:val="24"/>
          <w:vertAlign w:val="subscript"/>
        </w:rPr>
        <w:t>4</w:t>
      </w:r>
      <w:r w:rsidRPr="008840A6">
        <w:rPr>
          <w:sz w:val="24"/>
          <w:szCs w:val="24"/>
        </w:rPr>
        <w:t xml:space="preserve"> and N</w:t>
      </w:r>
      <w:r w:rsidRPr="008840A6">
        <w:rPr>
          <w:sz w:val="24"/>
          <w:szCs w:val="24"/>
          <w:vertAlign w:val="subscript"/>
        </w:rPr>
        <w:t>2</w:t>
      </w:r>
      <w:r w:rsidRPr="008840A6">
        <w:rPr>
          <w:sz w:val="24"/>
          <w:szCs w:val="24"/>
        </w:rPr>
        <w:t>O emissions from fossil fuel combustion are then calculated. In the baseline scenario, CO</w:t>
      </w:r>
      <w:r w:rsidRPr="008840A6">
        <w:rPr>
          <w:sz w:val="24"/>
          <w:szCs w:val="24"/>
          <w:vertAlign w:val="subscript"/>
        </w:rPr>
        <w:t>2</w:t>
      </w:r>
      <w:r w:rsidRPr="008840A6">
        <w:rPr>
          <w:sz w:val="24"/>
          <w:szCs w:val="24"/>
        </w:rPr>
        <w:t>, CH</w:t>
      </w:r>
      <w:r w:rsidRPr="008840A6">
        <w:rPr>
          <w:sz w:val="24"/>
          <w:szCs w:val="24"/>
          <w:vertAlign w:val="subscript"/>
        </w:rPr>
        <w:t>4</w:t>
      </w:r>
      <w:r w:rsidRPr="008840A6">
        <w:rPr>
          <w:sz w:val="24"/>
          <w:szCs w:val="24"/>
        </w:rPr>
        <w:t xml:space="preserve"> and N</w:t>
      </w:r>
      <w:r w:rsidRPr="008840A6">
        <w:rPr>
          <w:sz w:val="24"/>
          <w:szCs w:val="24"/>
          <w:vertAlign w:val="subscript"/>
        </w:rPr>
        <w:t>2</w:t>
      </w:r>
      <w:r w:rsidRPr="008840A6">
        <w:rPr>
          <w:sz w:val="24"/>
          <w:szCs w:val="24"/>
        </w:rPr>
        <w:t>O emissions from fossil fuel combustion are modelled using emission factors (emissions per m</w:t>
      </w:r>
      <w:r w:rsidRPr="008840A6">
        <w:rPr>
          <w:sz w:val="24"/>
          <w:szCs w:val="24"/>
          <w:vertAlign w:val="superscript"/>
        </w:rPr>
        <w:t>3</w:t>
      </w:r>
      <w:r w:rsidRPr="008840A6">
        <w:rPr>
          <w:sz w:val="24"/>
          <w:szCs w:val="24"/>
        </w:rPr>
        <w:t xml:space="preserve"> of logs harvested) derived from the project scenario.</w:t>
      </w:r>
    </w:p>
    <w:p w14:paraId="5AFE9034" w14:textId="77777777" w:rsidR="008A3FC7" w:rsidRPr="008840A6" w:rsidRDefault="008A3FC7" w:rsidP="008A3FC7">
      <w:pPr>
        <w:pStyle w:val="paragraph"/>
        <w:spacing w:before="120" w:after="120"/>
        <w:ind w:left="1134" w:firstLine="0"/>
        <w:rPr>
          <w:sz w:val="24"/>
          <w:szCs w:val="24"/>
        </w:rPr>
      </w:pPr>
      <w:r w:rsidRPr="008840A6">
        <w:rPr>
          <w:b/>
          <w:bCs/>
          <w:sz w:val="24"/>
          <w:szCs w:val="24"/>
        </w:rPr>
        <w:t>Step 6:</w:t>
      </w:r>
      <w:r w:rsidRPr="008840A6">
        <w:rPr>
          <w:sz w:val="24"/>
          <w:szCs w:val="24"/>
        </w:rPr>
        <w:t xml:space="preserve"> The leakage deduction for the reporting period </w:t>
      </w:r>
      <w:proofErr w:type="gramStart"/>
      <w:r w:rsidRPr="008840A6">
        <w:rPr>
          <w:sz w:val="24"/>
          <w:szCs w:val="24"/>
        </w:rPr>
        <w:t>is calculated</w:t>
      </w:r>
      <w:proofErr w:type="gramEnd"/>
      <w:r w:rsidRPr="008840A6">
        <w:rPr>
          <w:sz w:val="24"/>
          <w:szCs w:val="24"/>
        </w:rPr>
        <w:t xml:space="preserve"> as the direct leakage deduction for the reporting period, plus the private native </w:t>
      </w:r>
      <w:proofErr w:type="gramStart"/>
      <w:r w:rsidRPr="008840A6">
        <w:rPr>
          <w:sz w:val="24"/>
          <w:szCs w:val="24"/>
        </w:rPr>
        <w:t>forests</w:t>
      </w:r>
      <w:proofErr w:type="gramEnd"/>
      <w:r w:rsidRPr="008840A6">
        <w:rPr>
          <w:sz w:val="24"/>
          <w:szCs w:val="24"/>
        </w:rPr>
        <w:t xml:space="preserve"> leakage deduction for the reporting period, plus the indirect leakage deduction for the reporting period. </w:t>
      </w:r>
    </w:p>
    <w:p w14:paraId="72EEFF24" w14:textId="2046B133" w:rsidR="008A3FC7" w:rsidRDefault="008A3FC7" w:rsidP="008A3FC7">
      <w:pPr>
        <w:pStyle w:val="paragraph"/>
        <w:spacing w:before="120" w:after="120"/>
        <w:ind w:left="1134" w:firstLine="0"/>
        <w:rPr>
          <w:sz w:val="24"/>
          <w:szCs w:val="24"/>
        </w:rPr>
      </w:pPr>
      <w:r w:rsidRPr="008840A6">
        <w:rPr>
          <w:b/>
          <w:bCs/>
          <w:sz w:val="24"/>
          <w:szCs w:val="24"/>
        </w:rPr>
        <w:t>Step 7:</w:t>
      </w:r>
      <w:r w:rsidRPr="008840A6">
        <w:rPr>
          <w:sz w:val="24"/>
          <w:szCs w:val="24"/>
        </w:rPr>
        <w:t xml:space="preserve"> If the net abatement amount for a reporting period is negative, there are no carbon credits for the reporting </w:t>
      </w:r>
      <w:proofErr w:type="gramStart"/>
      <w:r w:rsidRPr="008840A6">
        <w:rPr>
          <w:sz w:val="24"/>
          <w:szCs w:val="24"/>
        </w:rPr>
        <w:t>period</w:t>
      </w:r>
      <w:proofErr w:type="gramEnd"/>
      <w:r w:rsidRPr="008840A6">
        <w:rPr>
          <w:sz w:val="24"/>
          <w:szCs w:val="24"/>
        </w:rPr>
        <w:t xml:space="preserve"> and the negative abatement amount </w:t>
      </w:r>
      <w:proofErr w:type="gramStart"/>
      <w:r w:rsidRPr="008840A6">
        <w:rPr>
          <w:sz w:val="24"/>
          <w:szCs w:val="24"/>
        </w:rPr>
        <w:t>is added</w:t>
      </w:r>
      <w:proofErr w:type="gramEnd"/>
      <w:r w:rsidRPr="008840A6">
        <w:rPr>
          <w:sz w:val="24"/>
          <w:szCs w:val="24"/>
        </w:rPr>
        <w:t xml:space="preserve"> to the aggregate negative abatement account and then applied to the next project to report under this determination in the State in which the project is located.</w:t>
      </w:r>
    </w:p>
    <w:p w14:paraId="12E1CD29" w14:textId="77777777" w:rsidR="00C148F5" w:rsidRPr="008840A6" w:rsidRDefault="00C148F5" w:rsidP="008A3FC7">
      <w:pPr>
        <w:pStyle w:val="paragraph"/>
        <w:spacing w:before="120" w:after="120"/>
        <w:ind w:left="1134" w:firstLine="0"/>
        <w:rPr>
          <w:sz w:val="24"/>
          <w:szCs w:val="24"/>
        </w:rPr>
      </w:pPr>
    </w:p>
    <w:p w14:paraId="7C9BE082" w14:textId="2D73F1F2" w:rsidR="00B752F4" w:rsidRPr="004A0C9A" w:rsidRDefault="004A0C9A" w:rsidP="00DB00CB">
      <w:pPr>
        <w:spacing w:before="120" w:after="120" w:line="240" w:lineRule="auto"/>
        <w:rPr>
          <w:rFonts w:ascii="Times New Roman" w:hAnsi="Times New Roman" w:cs="Times New Roman"/>
          <w:i/>
          <w:iCs/>
          <w:sz w:val="24"/>
          <w:szCs w:val="24"/>
          <w:u w:val="single"/>
        </w:rPr>
      </w:pPr>
      <w:r w:rsidRPr="004A0C9A">
        <w:rPr>
          <w:rFonts w:ascii="Times New Roman" w:hAnsi="Times New Roman" w:cs="Times New Roman"/>
          <w:i/>
          <w:iCs/>
          <w:color w:val="000000"/>
          <w:sz w:val="24"/>
          <w:szCs w:val="24"/>
          <w:u w:val="single"/>
        </w:rPr>
        <w:lastRenderedPageBreak/>
        <w:t>R</w:t>
      </w:r>
      <w:r w:rsidR="00B752F4" w:rsidRPr="004A0C9A">
        <w:rPr>
          <w:rFonts w:ascii="Times New Roman" w:hAnsi="Times New Roman" w:cs="Times New Roman"/>
          <w:i/>
          <w:iCs/>
          <w:color w:val="000000"/>
          <w:sz w:val="24"/>
          <w:szCs w:val="24"/>
          <w:u w:val="single"/>
        </w:rPr>
        <w:t>eporting</w:t>
      </w:r>
    </w:p>
    <w:p w14:paraId="3E81AD05" w14:textId="77DE74E9" w:rsidR="00ED6A24" w:rsidRPr="002F5C86" w:rsidRDefault="00526334" w:rsidP="00DB00CB">
      <w:pPr>
        <w:spacing w:before="120" w:after="120" w:line="240" w:lineRule="auto"/>
        <w:rPr>
          <w:rFonts w:ascii="Times New Roman" w:hAnsi="Times New Roman" w:cs="Times New Roman"/>
          <w:sz w:val="24"/>
          <w:szCs w:val="24"/>
        </w:rPr>
      </w:pPr>
      <w:r w:rsidRPr="002F5C86">
        <w:rPr>
          <w:rFonts w:ascii="Times New Roman" w:hAnsi="Times New Roman" w:cs="Times New Roman"/>
          <w:sz w:val="24"/>
          <w:szCs w:val="24"/>
        </w:rPr>
        <w:t xml:space="preserve">Under the CFI Act, to receive ACCUs, </w:t>
      </w:r>
      <w:r w:rsidR="00F50E37">
        <w:rPr>
          <w:rFonts w:ascii="Times New Roman" w:hAnsi="Times New Roman" w:cs="Times New Roman"/>
          <w:sz w:val="24"/>
          <w:szCs w:val="24"/>
        </w:rPr>
        <w:t xml:space="preserve">the project </w:t>
      </w:r>
      <w:r w:rsidRPr="002F5C86">
        <w:rPr>
          <w:rFonts w:ascii="Times New Roman" w:hAnsi="Times New Roman" w:cs="Times New Roman"/>
          <w:sz w:val="24"/>
          <w:szCs w:val="24"/>
        </w:rPr>
        <w:t>proponent must submit an offsets report about the project for the relevant reporting period</w:t>
      </w:r>
      <w:r w:rsidR="008D3BEE" w:rsidRPr="002F5C86">
        <w:rPr>
          <w:rFonts w:ascii="Times New Roman" w:hAnsi="Times New Roman" w:cs="Times New Roman"/>
          <w:sz w:val="24"/>
          <w:szCs w:val="24"/>
        </w:rPr>
        <w:t xml:space="preserve"> (s 13)</w:t>
      </w:r>
      <w:r w:rsidRPr="002F5C86">
        <w:rPr>
          <w:rFonts w:ascii="Times New Roman" w:hAnsi="Times New Roman" w:cs="Times New Roman"/>
          <w:sz w:val="24"/>
          <w:szCs w:val="24"/>
        </w:rPr>
        <w:t xml:space="preserve">. </w:t>
      </w:r>
      <w:r w:rsidR="000F0586" w:rsidRPr="002F5C86">
        <w:rPr>
          <w:rFonts w:ascii="Times New Roman" w:hAnsi="Times New Roman" w:cs="Times New Roman"/>
          <w:sz w:val="24"/>
          <w:szCs w:val="24"/>
        </w:rPr>
        <w:t xml:space="preserve">Offsets reports must be provided in the manner and form, and contain the information, prescribed in </w:t>
      </w:r>
      <w:r w:rsidR="00FB6D49" w:rsidRPr="002F5C86">
        <w:rPr>
          <w:rFonts w:ascii="Times New Roman" w:hAnsi="Times New Roman" w:cs="Times New Roman"/>
          <w:sz w:val="24"/>
          <w:szCs w:val="24"/>
        </w:rPr>
        <w:t>the legislative rules (</w:t>
      </w:r>
      <w:r w:rsidR="00D9788C" w:rsidRPr="002F5C86">
        <w:rPr>
          <w:rFonts w:ascii="Times New Roman" w:hAnsi="Times New Roman" w:cs="Times New Roman"/>
          <w:i/>
          <w:iCs/>
          <w:sz w:val="24"/>
          <w:szCs w:val="24"/>
        </w:rPr>
        <w:t>Carbon Credits (Carbon Farming Initiative) Rule 2015</w:t>
      </w:r>
      <w:r w:rsidR="00D9788C" w:rsidRPr="002F5C86">
        <w:rPr>
          <w:rFonts w:ascii="Times New Roman" w:hAnsi="Times New Roman" w:cs="Times New Roman"/>
          <w:sz w:val="24"/>
          <w:szCs w:val="24"/>
        </w:rPr>
        <w:t xml:space="preserve">) (s </w:t>
      </w:r>
      <w:r w:rsidR="000231A8" w:rsidRPr="002F5C86">
        <w:rPr>
          <w:rFonts w:ascii="Times New Roman" w:hAnsi="Times New Roman" w:cs="Times New Roman"/>
          <w:sz w:val="24"/>
          <w:szCs w:val="24"/>
        </w:rPr>
        <w:t>76).</w:t>
      </w:r>
    </w:p>
    <w:p w14:paraId="687998D8" w14:textId="0237C307" w:rsidR="00CB6F57" w:rsidRPr="002F5C86" w:rsidRDefault="00C234B3"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Subs</w:t>
      </w:r>
      <w:r w:rsidR="00BA69C0" w:rsidRPr="002F5C86">
        <w:rPr>
          <w:rFonts w:ascii="Times New Roman" w:hAnsi="Times New Roman" w:cs="Times New Roman"/>
          <w:sz w:val="24"/>
          <w:szCs w:val="24"/>
        </w:rPr>
        <w:t xml:space="preserve">ection </w:t>
      </w:r>
      <w:r w:rsidR="00A80F2F" w:rsidRPr="002F5C86">
        <w:rPr>
          <w:rFonts w:ascii="Times New Roman" w:hAnsi="Times New Roman" w:cs="Times New Roman"/>
          <w:sz w:val="24"/>
          <w:szCs w:val="24"/>
        </w:rPr>
        <w:t xml:space="preserve">106(3)(a) </w:t>
      </w:r>
      <w:r w:rsidR="00ED0E98" w:rsidRPr="002F5C86">
        <w:rPr>
          <w:rFonts w:ascii="Times New Roman" w:hAnsi="Times New Roman" w:cs="Times New Roman"/>
          <w:sz w:val="24"/>
          <w:szCs w:val="24"/>
        </w:rPr>
        <w:t xml:space="preserve">of the CFI Act allows methodology determinations to </w:t>
      </w:r>
      <w:r w:rsidR="008C3F1D" w:rsidRPr="002F5C86">
        <w:rPr>
          <w:rFonts w:ascii="Times New Roman" w:hAnsi="Times New Roman" w:cs="Times New Roman"/>
          <w:sz w:val="24"/>
          <w:szCs w:val="24"/>
        </w:rPr>
        <w:t>include</w:t>
      </w:r>
      <w:r w:rsidR="00ED0E98" w:rsidRPr="002F5C86">
        <w:rPr>
          <w:rFonts w:ascii="Times New Roman" w:hAnsi="Times New Roman" w:cs="Times New Roman"/>
          <w:sz w:val="24"/>
          <w:szCs w:val="24"/>
        </w:rPr>
        <w:t xml:space="preserve"> additional requirements </w:t>
      </w:r>
      <w:r w:rsidR="008C3F1D" w:rsidRPr="002F5C86">
        <w:rPr>
          <w:rFonts w:ascii="Times New Roman" w:hAnsi="Times New Roman" w:cs="Times New Roman"/>
          <w:sz w:val="24"/>
          <w:szCs w:val="24"/>
        </w:rPr>
        <w:t xml:space="preserve">for offsets reports to include specified information </w:t>
      </w:r>
      <w:r w:rsidR="00F65837" w:rsidRPr="002F5C86">
        <w:rPr>
          <w:rFonts w:ascii="Times New Roman" w:hAnsi="Times New Roman" w:cs="Times New Roman"/>
          <w:sz w:val="24"/>
          <w:szCs w:val="24"/>
        </w:rPr>
        <w:t xml:space="preserve">relating to projects. </w:t>
      </w:r>
      <w:r w:rsidR="00ED6A24" w:rsidRPr="002F5C86">
        <w:rPr>
          <w:rFonts w:ascii="Times New Roman" w:hAnsi="Times New Roman" w:cs="Times New Roman"/>
          <w:sz w:val="24"/>
          <w:szCs w:val="24"/>
        </w:rPr>
        <w:t xml:space="preserve">The Determination </w:t>
      </w:r>
      <w:r w:rsidR="000B532B" w:rsidRPr="002F5C86">
        <w:rPr>
          <w:rFonts w:ascii="Times New Roman" w:hAnsi="Times New Roman" w:cs="Times New Roman"/>
          <w:sz w:val="24"/>
          <w:szCs w:val="24"/>
        </w:rPr>
        <w:t>includes additional information requirements for these purposes, including</w:t>
      </w:r>
      <w:r w:rsidR="00CB6F57" w:rsidRPr="002F5C86">
        <w:rPr>
          <w:rFonts w:ascii="Times New Roman" w:hAnsi="Times New Roman" w:cs="Times New Roman"/>
          <w:sz w:val="24"/>
          <w:szCs w:val="24"/>
        </w:rPr>
        <w:t xml:space="preserve"> a requirement that offsets reports contain</w:t>
      </w:r>
      <w:r w:rsidR="000B532B" w:rsidRPr="002F5C86">
        <w:rPr>
          <w:rFonts w:ascii="Times New Roman" w:hAnsi="Times New Roman" w:cs="Times New Roman"/>
          <w:sz w:val="24"/>
          <w:szCs w:val="24"/>
        </w:rPr>
        <w:t>:</w:t>
      </w:r>
    </w:p>
    <w:p w14:paraId="6E5BFA73" w14:textId="41FAB86E" w:rsidR="00CB6F57" w:rsidRPr="002F5C86" w:rsidRDefault="000B532B" w:rsidP="0060524D">
      <w:pPr>
        <w:pStyle w:val="ListParagraph"/>
        <w:numPr>
          <w:ilvl w:val="0"/>
          <w:numId w:val="10"/>
        </w:numPr>
        <w:spacing w:before="120" w:after="120" w:line="240" w:lineRule="auto"/>
        <w:ind w:left="714" w:hanging="357"/>
        <w:contextualSpacing w:val="0"/>
        <w:rPr>
          <w:rFonts w:ascii="Times New Roman" w:hAnsi="Times New Roman" w:cs="Times New Roman"/>
          <w:sz w:val="24"/>
          <w:szCs w:val="24"/>
        </w:rPr>
      </w:pPr>
      <w:r w:rsidRPr="002F5C86">
        <w:rPr>
          <w:rFonts w:ascii="Times New Roman" w:hAnsi="Times New Roman" w:cs="Times New Roman"/>
          <w:sz w:val="24"/>
          <w:szCs w:val="24"/>
        </w:rPr>
        <w:t xml:space="preserve">a copy of the project map for the </w:t>
      </w:r>
      <w:proofErr w:type="gramStart"/>
      <w:r w:rsidRPr="002F5C86">
        <w:rPr>
          <w:rFonts w:ascii="Times New Roman" w:hAnsi="Times New Roman" w:cs="Times New Roman"/>
          <w:sz w:val="24"/>
          <w:szCs w:val="24"/>
        </w:rPr>
        <w:t>project;</w:t>
      </w:r>
      <w:proofErr w:type="gramEnd"/>
      <w:r w:rsidRPr="002F5C86">
        <w:rPr>
          <w:rFonts w:ascii="Times New Roman" w:hAnsi="Times New Roman" w:cs="Times New Roman"/>
          <w:sz w:val="24"/>
          <w:szCs w:val="24"/>
        </w:rPr>
        <w:t xml:space="preserve"> </w:t>
      </w:r>
    </w:p>
    <w:p w14:paraId="6737A74B" w14:textId="77777777" w:rsidR="00CB6F57" w:rsidRPr="002F5C86" w:rsidRDefault="000B532B" w:rsidP="0060524D">
      <w:pPr>
        <w:pStyle w:val="ListParagraph"/>
        <w:numPr>
          <w:ilvl w:val="0"/>
          <w:numId w:val="10"/>
        </w:numPr>
        <w:spacing w:before="120" w:after="120" w:line="240" w:lineRule="auto"/>
        <w:ind w:left="714" w:hanging="357"/>
        <w:contextualSpacing w:val="0"/>
        <w:rPr>
          <w:rFonts w:ascii="Times New Roman" w:hAnsi="Times New Roman" w:cs="Times New Roman"/>
          <w:sz w:val="24"/>
          <w:szCs w:val="24"/>
        </w:rPr>
      </w:pPr>
      <w:r w:rsidRPr="002F5C86">
        <w:rPr>
          <w:rFonts w:ascii="Times New Roman" w:hAnsi="Times New Roman" w:cs="Times New Roman"/>
          <w:sz w:val="24"/>
          <w:szCs w:val="24"/>
        </w:rPr>
        <w:t xml:space="preserve">the current management </w:t>
      </w:r>
      <w:proofErr w:type="gramStart"/>
      <w:r w:rsidRPr="002F5C86">
        <w:rPr>
          <w:rFonts w:ascii="Times New Roman" w:hAnsi="Times New Roman" w:cs="Times New Roman"/>
          <w:sz w:val="24"/>
          <w:szCs w:val="24"/>
        </w:rPr>
        <w:t>plan</w:t>
      </w:r>
      <w:r w:rsidR="00CB6F57" w:rsidRPr="002F5C86">
        <w:rPr>
          <w:rFonts w:ascii="Times New Roman" w:hAnsi="Times New Roman" w:cs="Times New Roman"/>
          <w:sz w:val="24"/>
          <w:szCs w:val="24"/>
        </w:rPr>
        <w:t>;</w:t>
      </w:r>
      <w:proofErr w:type="gramEnd"/>
    </w:p>
    <w:p w14:paraId="18EEEAD8" w14:textId="1D45A8C6" w:rsidR="00CB6F57" w:rsidRPr="002F5C86" w:rsidRDefault="000B532B" w:rsidP="0060524D">
      <w:pPr>
        <w:pStyle w:val="ListParagraph"/>
        <w:numPr>
          <w:ilvl w:val="0"/>
          <w:numId w:val="10"/>
        </w:numPr>
        <w:spacing w:before="120" w:after="120" w:line="240" w:lineRule="auto"/>
        <w:ind w:left="714" w:hanging="357"/>
        <w:contextualSpacing w:val="0"/>
        <w:rPr>
          <w:rFonts w:ascii="Times New Roman" w:hAnsi="Times New Roman" w:cs="Times New Roman"/>
          <w:sz w:val="24"/>
          <w:szCs w:val="24"/>
        </w:rPr>
      </w:pPr>
      <w:r w:rsidRPr="002F5C86">
        <w:rPr>
          <w:rFonts w:ascii="Times New Roman" w:hAnsi="Times New Roman" w:cs="Times New Roman"/>
          <w:sz w:val="24"/>
          <w:szCs w:val="24"/>
        </w:rPr>
        <w:t>any other forest management plans that are required to be prepared in relation to timber harvesting and other forest management actions in the project area; and</w:t>
      </w:r>
    </w:p>
    <w:p w14:paraId="0EC5D584" w14:textId="52590487" w:rsidR="000B532B" w:rsidRPr="002F5C86" w:rsidRDefault="000B532B" w:rsidP="0060524D">
      <w:pPr>
        <w:pStyle w:val="ListParagraph"/>
        <w:numPr>
          <w:ilvl w:val="0"/>
          <w:numId w:val="10"/>
        </w:numPr>
        <w:spacing w:before="120" w:after="120" w:line="240" w:lineRule="auto"/>
        <w:ind w:left="714" w:hanging="357"/>
        <w:contextualSpacing w:val="0"/>
        <w:rPr>
          <w:rFonts w:ascii="Times New Roman" w:hAnsi="Times New Roman" w:cs="Times New Roman"/>
          <w:sz w:val="24"/>
          <w:szCs w:val="24"/>
        </w:rPr>
      </w:pPr>
      <w:r w:rsidRPr="002F5C86">
        <w:rPr>
          <w:rFonts w:ascii="Times New Roman" w:hAnsi="Times New Roman" w:cs="Times New Roman"/>
          <w:sz w:val="24"/>
          <w:szCs w:val="24"/>
        </w:rPr>
        <w:t xml:space="preserve">details of the measures taken to promote the effective management of </w:t>
      </w:r>
      <w:r w:rsidR="00CB6F57" w:rsidRPr="002F5C86">
        <w:rPr>
          <w:rFonts w:ascii="Times New Roman" w:hAnsi="Times New Roman" w:cs="Times New Roman"/>
          <w:sz w:val="24"/>
          <w:szCs w:val="24"/>
        </w:rPr>
        <w:t xml:space="preserve">carbon protection areas, </w:t>
      </w:r>
      <w:r w:rsidRPr="002F5C86">
        <w:rPr>
          <w:rFonts w:ascii="Times New Roman" w:hAnsi="Times New Roman" w:cs="Times New Roman"/>
          <w:sz w:val="24"/>
          <w:szCs w:val="24"/>
        </w:rPr>
        <w:t>including in relation to the conservation of biodiversity and to the engagement of Aboriginal people in forest management actions in that area</w:t>
      </w:r>
      <w:r w:rsidR="00635FA3" w:rsidRPr="002F5C86">
        <w:rPr>
          <w:rFonts w:ascii="Times New Roman" w:hAnsi="Times New Roman" w:cs="Times New Roman"/>
          <w:sz w:val="24"/>
          <w:szCs w:val="24"/>
        </w:rPr>
        <w:t>.</w:t>
      </w:r>
    </w:p>
    <w:p w14:paraId="0CA9F47C" w14:textId="5AAD316E" w:rsidR="00635FA3" w:rsidRPr="002F5C86" w:rsidRDefault="00081039" w:rsidP="00DB00CB">
      <w:pPr>
        <w:spacing w:before="120" w:after="120" w:line="240" w:lineRule="auto"/>
        <w:rPr>
          <w:rFonts w:ascii="Times New Roman" w:eastAsia="Times New Roman" w:hAnsi="Times New Roman" w:cs="Times New Roman"/>
          <w:i/>
          <w:iCs/>
          <w:kern w:val="0"/>
          <w:sz w:val="24"/>
          <w:szCs w:val="24"/>
          <w:u w:val="single"/>
          <w:lang w:eastAsia="en-AU"/>
          <w14:ligatures w14:val="none"/>
        </w:rPr>
      </w:pPr>
      <w:r w:rsidRPr="002F5C86">
        <w:rPr>
          <w:rFonts w:ascii="Times New Roman" w:eastAsia="Times New Roman" w:hAnsi="Times New Roman" w:cs="Times New Roman"/>
          <w:i/>
          <w:iCs/>
          <w:kern w:val="0"/>
          <w:sz w:val="24"/>
          <w:szCs w:val="24"/>
          <w:u w:val="single"/>
          <w:lang w:eastAsia="en-AU"/>
          <w14:ligatures w14:val="none"/>
        </w:rPr>
        <w:t>Record</w:t>
      </w:r>
      <w:r w:rsidR="00646149" w:rsidRPr="002F5C86">
        <w:rPr>
          <w:rFonts w:ascii="Times New Roman" w:eastAsia="Times New Roman" w:hAnsi="Times New Roman" w:cs="Times New Roman"/>
          <w:i/>
          <w:iCs/>
          <w:kern w:val="0"/>
          <w:sz w:val="24"/>
          <w:szCs w:val="24"/>
          <w:u w:val="single"/>
          <w:lang w:eastAsia="en-AU"/>
          <w14:ligatures w14:val="none"/>
        </w:rPr>
        <w:t>-</w:t>
      </w:r>
      <w:r w:rsidRPr="002F5C86">
        <w:rPr>
          <w:rFonts w:ascii="Times New Roman" w:eastAsia="Times New Roman" w:hAnsi="Times New Roman" w:cs="Times New Roman"/>
          <w:i/>
          <w:iCs/>
          <w:kern w:val="0"/>
          <w:sz w:val="24"/>
          <w:szCs w:val="24"/>
          <w:u w:val="single"/>
          <w:lang w:eastAsia="en-AU"/>
          <w14:ligatures w14:val="none"/>
        </w:rPr>
        <w:t>keeping</w:t>
      </w:r>
    </w:p>
    <w:p w14:paraId="15E92A3E" w14:textId="38CFEFBB" w:rsidR="00081039" w:rsidRPr="005B1D80" w:rsidRDefault="00646149" w:rsidP="00DB00CB">
      <w:pPr>
        <w:spacing w:before="120" w:after="120" w:line="240" w:lineRule="auto"/>
        <w:rPr>
          <w:rFonts w:ascii="Times New Roman" w:eastAsia="Times New Roman" w:hAnsi="Times New Roman" w:cs="Times New Roman"/>
          <w:kern w:val="0"/>
          <w:sz w:val="24"/>
          <w:szCs w:val="24"/>
          <w:lang w:eastAsia="en-AU"/>
          <w14:ligatures w14:val="none"/>
        </w:rPr>
      </w:pPr>
      <w:r w:rsidRPr="005B1D80">
        <w:rPr>
          <w:rFonts w:ascii="Times New Roman" w:eastAsia="Times New Roman" w:hAnsi="Times New Roman" w:cs="Times New Roman"/>
          <w:kern w:val="0"/>
          <w:sz w:val="24"/>
          <w:szCs w:val="24"/>
          <w:lang w:eastAsia="en-AU"/>
          <w14:ligatures w14:val="none"/>
        </w:rPr>
        <w:t xml:space="preserve">Part 17 of the CFI Act allows </w:t>
      </w:r>
      <w:r w:rsidR="00D506D6" w:rsidRPr="005B1D80">
        <w:rPr>
          <w:rFonts w:ascii="Times New Roman" w:eastAsia="Times New Roman" w:hAnsi="Times New Roman" w:cs="Times New Roman"/>
          <w:kern w:val="0"/>
          <w:sz w:val="24"/>
          <w:szCs w:val="24"/>
          <w:lang w:eastAsia="en-AU"/>
          <w14:ligatures w14:val="none"/>
        </w:rPr>
        <w:t xml:space="preserve">regulations or the legislative rules to be made that require proponents to make and keep specific information. </w:t>
      </w:r>
      <w:r w:rsidR="00DB1B42" w:rsidRPr="005B1D80">
        <w:rPr>
          <w:rFonts w:ascii="Times New Roman" w:eastAsia="Times New Roman" w:hAnsi="Times New Roman" w:cs="Times New Roman"/>
          <w:kern w:val="0"/>
          <w:sz w:val="24"/>
          <w:szCs w:val="24"/>
          <w:lang w:eastAsia="en-AU"/>
          <w14:ligatures w14:val="none"/>
        </w:rPr>
        <w:t xml:space="preserve">As at </w:t>
      </w:r>
      <w:r w:rsidR="002F5C86" w:rsidRPr="005B1D80">
        <w:rPr>
          <w:rFonts w:ascii="Times New Roman" w:eastAsia="Times New Roman" w:hAnsi="Times New Roman" w:cs="Times New Roman"/>
          <w:kern w:val="0"/>
          <w:sz w:val="24"/>
          <w:szCs w:val="24"/>
          <w:lang w:eastAsia="en-AU"/>
          <w14:ligatures w14:val="none"/>
        </w:rPr>
        <w:t xml:space="preserve">May 2025, specific record-keeping requirements were contained in Part 17 of the </w:t>
      </w:r>
      <w:r w:rsidR="002F5C86" w:rsidRPr="005B1D80">
        <w:rPr>
          <w:rFonts w:ascii="Times New Roman" w:hAnsi="Times New Roman" w:cs="Times New Roman"/>
          <w:i/>
          <w:iCs/>
          <w:sz w:val="24"/>
          <w:szCs w:val="24"/>
        </w:rPr>
        <w:t>Carbon Credits (Carbon Farming Initiative) Rule 2015</w:t>
      </w:r>
      <w:r w:rsidR="002F5C86" w:rsidRPr="005B1D80">
        <w:rPr>
          <w:rFonts w:ascii="Times New Roman" w:eastAsia="Times New Roman" w:hAnsi="Times New Roman" w:cs="Times New Roman"/>
          <w:kern w:val="0"/>
          <w:sz w:val="24"/>
          <w:szCs w:val="24"/>
          <w:lang w:eastAsia="en-AU"/>
          <w14:ligatures w14:val="none"/>
        </w:rPr>
        <w:t xml:space="preserve">. </w:t>
      </w:r>
    </w:p>
    <w:p w14:paraId="56E98641" w14:textId="5290313A" w:rsidR="00BD45D0" w:rsidRPr="005B1D80" w:rsidRDefault="002679EF" w:rsidP="00DB00CB">
      <w:pPr>
        <w:spacing w:before="120" w:after="120" w:line="240" w:lineRule="auto"/>
        <w:rPr>
          <w:rFonts w:ascii="Times New Roman" w:hAnsi="Times New Roman" w:cs="Times New Roman"/>
          <w:sz w:val="24"/>
          <w:szCs w:val="24"/>
        </w:rPr>
      </w:pPr>
      <w:r>
        <w:rPr>
          <w:rFonts w:ascii="Times New Roman" w:eastAsia="Times New Roman" w:hAnsi="Times New Roman" w:cs="Times New Roman"/>
          <w:kern w:val="0"/>
          <w:sz w:val="24"/>
          <w:szCs w:val="24"/>
          <w:lang w:eastAsia="en-AU"/>
          <w14:ligatures w14:val="none"/>
        </w:rPr>
        <w:t>Subs</w:t>
      </w:r>
      <w:r w:rsidR="003560CC" w:rsidRPr="005B1D80">
        <w:rPr>
          <w:rFonts w:ascii="Times New Roman" w:eastAsia="Times New Roman" w:hAnsi="Times New Roman" w:cs="Times New Roman"/>
          <w:kern w:val="0"/>
          <w:sz w:val="24"/>
          <w:szCs w:val="24"/>
          <w:lang w:eastAsia="en-AU"/>
          <w14:ligatures w14:val="none"/>
        </w:rPr>
        <w:t>ection 106(3)</w:t>
      </w:r>
      <w:r w:rsidR="008D0090" w:rsidRPr="005B1D80">
        <w:rPr>
          <w:rFonts w:ascii="Times New Roman" w:eastAsia="Times New Roman" w:hAnsi="Times New Roman" w:cs="Times New Roman"/>
          <w:kern w:val="0"/>
          <w:sz w:val="24"/>
          <w:szCs w:val="24"/>
          <w:lang w:eastAsia="en-AU"/>
          <w14:ligatures w14:val="none"/>
        </w:rPr>
        <w:t xml:space="preserve">(c) </w:t>
      </w:r>
      <w:r w:rsidR="008D0090" w:rsidRPr="005B1D80">
        <w:rPr>
          <w:rFonts w:ascii="Times New Roman" w:hAnsi="Times New Roman" w:cs="Times New Roman"/>
          <w:sz w:val="24"/>
          <w:szCs w:val="24"/>
        </w:rPr>
        <w:t>of the CFI Act allows methodology determinations to include additional requirements related to record-keeping. The Determination includes additional requirements for these purposes, including</w:t>
      </w:r>
      <w:r w:rsidR="004640FC" w:rsidRPr="005B1D80">
        <w:rPr>
          <w:rFonts w:ascii="Times New Roman" w:hAnsi="Times New Roman" w:cs="Times New Roman"/>
          <w:sz w:val="24"/>
          <w:szCs w:val="24"/>
        </w:rPr>
        <w:t xml:space="preserve"> </w:t>
      </w:r>
      <w:r w:rsidR="00E32651" w:rsidRPr="005B1D80">
        <w:rPr>
          <w:rFonts w:ascii="Times New Roman" w:hAnsi="Times New Roman" w:cs="Times New Roman"/>
          <w:sz w:val="24"/>
          <w:szCs w:val="24"/>
        </w:rPr>
        <w:t>requirement for the project proponent to</w:t>
      </w:r>
      <w:r w:rsidR="00BD45D0" w:rsidRPr="005B1D80">
        <w:rPr>
          <w:rFonts w:ascii="Times New Roman" w:hAnsi="Times New Roman" w:cs="Times New Roman"/>
          <w:sz w:val="24"/>
          <w:szCs w:val="24"/>
        </w:rPr>
        <w:t xml:space="preserve"> </w:t>
      </w:r>
      <w:r w:rsidR="00E32651" w:rsidRPr="005B1D80">
        <w:rPr>
          <w:rFonts w:ascii="Times New Roman" w:hAnsi="Times New Roman" w:cs="Times New Roman"/>
          <w:sz w:val="24"/>
          <w:szCs w:val="24"/>
        </w:rPr>
        <w:t>make and keep records of</w:t>
      </w:r>
      <w:r w:rsidR="00BD45D0" w:rsidRPr="005B1D80">
        <w:rPr>
          <w:rFonts w:ascii="Times New Roman" w:hAnsi="Times New Roman" w:cs="Times New Roman"/>
          <w:sz w:val="24"/>
          <w:szCs w:val="24"/>
        </w:rPr>
        <w:t xml:space="preserve">: </w:t>
      </w:r>
    </w:p>
    <w:p w14:paraId="727CEA26" w14:textId="5966C377" w:rsidR="0098454F" w:rsidRPr="005B1D80" w:rsidRDefault="00E32651" w:rsidP="0060524D">
      <w:pPr>
        <w:pStyle w:val="ListParagraph"/>
        <w:numPr>
          <w:ilvl w:val="0"/>
          <w:numId w:val="11"/>
        </w:numPr>
        <w:spacing w:before="120" w:after="120" w:line="240" w:lineRule="auto"/>
        <w:ind w:left="714" w:hanging="357"/>
        <w:contextualSpacing w:val="0"/>
        <w:rPr>
          <w:rFonts w:ascii="Times New Roman" w:hAnsi="Times New Roman" w:cs="Times New Roman"/>
          <w:sz w:val="24"/>
          <w:szCs w:val="24"/>
        </w:rPr>
      </w:pPr>
      <w:r w:rsidRPr="005B1D80">
        <w:rPr>
          <w:rFonts w:ascii="Times New Roman" w:hAnsi="Times New Roman" w:cs="Times New Roman"/>
          <w:sz w:val="24"/>
          <w:szCs w:val="24"/>
        </w:rPr>
        <w:t>all</w:t>
      </w:r>
      <w:r w:rsidR="0098454F" w:rsidRPr="005B1D80">
        <w:rPr>
          <w:rFonts w:ascii="Times New Roman" w:hAnsi="Times New Roman" w:cs="Times New Roman"/>
          <w:sz w:val="24"/>
          <w:szCs w:val="24"/>
        </w:rPr>
        <w:t xml:space="preserve"> </w:t>
      </w:r>
      <w:r w:rsidR="00D349E8" w:rsidRPr="00D349E8">
        <w:rPr>
          <w:rFonts w:ascii="Times New Roman" w:hAnsi="Times New Roman" w:cs="Times New Roman"/>
          <w:sz w:val="24"/>
          <w:szCs w:val="24"/>
        </w:rPr>
        <w:t>timber harvesting and areas cleared to facilitate timber harvesting</w:t>
      </w:r>
      <w:r w:rsidR="00D349E8">
        <w:rPr>
          <w:rFonts w:ascii="Times New Roman" w:hAnsi="Times New Roman" w:cs="Times New Roman"/>
          <w:sz w:val="24"/>
          <w:szCs w:val="24"/>
        </w:rPr>
        <w:t xml:space="preserve"> </w:t>
      </w:r>
      <w:r w:rsidR="0098454F" w:rsidRPr="005B1D80">
        <w:rPr>
          <w:rFonts w:ascii="Times New Roman" w:hAnsi="Times New Roman" w:cs="Times New Roman"/>
          <w:sz w:val="24"/>
          <w:szCs w:val="24"/>
        </w:rPr>
        <w:t>during a reporting period</w:t>
      </w:r>
      <w:r w:rsidR="004640FC" w:rsidRPr="005B1D80">
        <w:rPr>
          <w:rFonts w:ascii="Times New Roman" w:hAnsi="Times New Roman" w:cs="Times New Roman"/>
          <w:sz w:val="24"/>
          <w:szCs w:val="24"/>
        </w:rPr>
        <w:t xml:space="preserve">; and </w:t>
      </w:r>
    </w:p>
    <w:p w14:paraId="3DF170B0" w14:textId="0BC6BB44" w:rsidR="0098454F" w:rsidRPr="005B1D80" w:rsidRDefault="00BD45D0" w:rsidP="0060524D">
      <w:pPr>
        <w:pStyle w:val="ListParagraph"/>
        <w:numPr>
          <w:ilvl w:val="0"/>
          <w:numId w:val="11"/>
        </w:numPr>
        <w:spacing w:before="120" w:after="120" w:line="240" w:lineRule="auto"/>
        <w:ind w:left="714" w:hanging="357"/>
        <w:contextualSpacing w:val="0"/>
        <w:rPr>
          <w:rFonts w:ascii="Times New Roman" w:hAnsi="Times New Roman" w:cs="Times New Roman"/>
          <w:sz w:val="24"/>
          <w:szCs w:val="24"/>
        </w:rPr>
      </w:pPr>
      <w:r w:rsidRPr="005B1D80">
        <w:rPr>
          <w:rFonts w:ascii="Times New Roman" w:hAnsi="Times New Roman" w:cs="Times New Roman"/>
          <w:sz w:val="24"/>
          <w:szCs w:val="24"/>
        </w:rPr>
        <w:t xml:space="preserve">the results of </w:t>
      </w:r>
      <w:r w:rsidR="00E160C4">
        <w:rPr>
          <w:rFonts w:ascii="Times New Roman" w:hAnsi="Times New Roman" w:cs="Times New Roman"/>
          <w:sz w:val="24"/>
          <w:szCs w:val="24"/>
        </w:rPr>
        <w:t xml:space="preserve">the </w:t>
      </w:r>
      <w:r w:rsidR="00E160C4" w:rsidRPr="00E160C4">
        <w:rPr>
          <w:rFonts w:ascii="Times New Roman" w:hAnsi="Times New Roman" w:cs="Times New Roman"/>
          <w:sz w:val="24"/>
          <w:szCs w:val="24"/>
        </w:rPr>
        <w:t>monitoring of harvesting and clearing events</w:t>
      </w:r>
      <w:r w:rsidR="00431ADF">
        <w:rPr>
          <w:rFonts w:ascii="Times New Roman" w:hAnsi="Times New Roman" w:cs="Times New Roman"/>
          <w:sz w:val="24"/>
          <w:szCs w:val="24"/>
        </w:rPr>
        <w:t xml:space="preserve"> undertaken in the project area</w:t>
      </w:r>
      <w:r w:rsidR="005B1D80" w:rsidRPr="005B1D80">
        <w:rPr>
          <w:rFonts w:ascii="Times New Roman" w:hAnsi="Times New Roman" w:cs="Times New Roman"/>
          <w:sz w:val="24"/>
          <w:szCs w:val="24"/>
        </w:rPr>
        <w:t>.</w:t>
      </w:r>
    </w:p>
    <w:p w14:paraId="67FF618F" w14:textId="115460EC" w:rsidR="00081039" w:rsidRPr="002F5C86" w:rsidRDefault="00081039" w:rsidP="00DB00CB">
      <w:pPr>
        <w:spacing w:before="120" w:after="120" w:line="240" w:lineRule="auto"/>
        <w:rPr>
          <w:rFonts w:ascii="Times New Roman" w:eastAsia="Times New Roman" w:hAnsi="Times New Roman" w:cs="Times New Roman"/>
          <w:i/>
          <w:iCs/>
          <w:kern w:val="0"/>
          <w:sz w:val="24"/>
          <w:szCs w:val="24"/>
          <w:u w:val="single"/>
          <w:lang w:eastAsia="en-AU"/>
          <w14:ligatures w14:val="none"/>
        </w:rPr>
      </w:pPr>
      <w:r w:rsidRPr="002F5C86">
        <w:rPr>
          <w:rFonts w:ascii="Times New Roman" w:eastAsia="Times New Roman" w:hAnsi="Times New Roman" w:cs="Times New Roman"/>
          <w:i/>
          <w:iCs/>
          <w:kern w:val="0"/>
          <w:sz w:val="24"/>
          <w:szCs w:val="24"/>
          <w:u w:val="single"/>
          <w:lang w:eastAsia="en-AU"/>
          <w14:ligatures w14:val="none"/>
        </w:rPr>
        <w:t xml:space="preserve">Monitoring </w:t>
      </w:r>
    </w:p>
    <w:p w14:paraId="1152FD7F" w14:textId="38A24001" w:rsidR="00A62AFA" w:rsidRPr="00561A24" w:rsidRDefault="003A2130" w:rsidP="00561A24">
      <w:pPr>
        <w:spacing w:before="120" w:after="120" w:line="240" w:lineRule="auto"/>
        <w:rPr>
          <w:rFonts w:ascii="Times New Roman" w:hAnsi="Times New Roman" w:cs="Times New Roman"/>
          <w:sz w:val="24"/>
          <w:szCs w:val="24"/>
        </w:rPr>
      </w:pPr>
      <w:r>
        <w:rPr>
          <w:rFonts w:ascii="Times New Roman" w:eastAsia="Times New Roman" w:hAnsi="Times New Roman" w:cs="Times New Roman"/>
          <w:kern w:val="0"/>
          <w:sz w:val="24"/>
          <w:szCs w:val="24"/>
          <w:lang w:eastAsia="en-AU"/>
          <w14:ligatures w14:val="none"/>
        </w:rPr>
        <w:t>Subs</w:t>
      </w:r>
      <w:r w:rsidR="002D36E1" w:rsidRPr="008231EF">
        <w:rPr>
          <w:rFonts w:ascii="Times New Roman" w:eastAsia="Times New Roman" w:hAnsi="Times New Roman" w:cs="Times New Roman"/>
          <w:kern w:val="0"/>
          <w:sz w:val="24"/>
          <w:szCs w:val="24"/>
          <w:lang w:eastAsia="en-AU"/>
          <w14:ligatures w14:val="none"/>
        </w:rPr>
        <w:t xml:space="preserve">ection 106(3)(d) </w:t>
      </w:r>
      <w:r w:rsidR="002D36E1" w:rsidRPr="008231EF">
        <w:rPr>
          <w:rFonts w:ascii="Times New Roman" w:hAnsi="Times New Roman" w:cs="Times New Roman"/>
          <w:sz w:val="24"/>
          <w:szCs w:val="24"/>
        </w:rPr>
        <w:t xml:space="preserve">of the CFI Act allows methodology determinations to include requirements </w:t>
      </w:r>
      <w:r w:rsidR="00E35210" w:rsidRPr="008231EF">
        <w:rPr>
          <w:rFonts w:ascii="Times New Roman" w:hAnsi="Times New Roman" w:cs="Times New Roman"/>
          <w:sz w:val="24"/>
          <w:szCs w:val="24"/>
        </w:rPr>
        <w:t xml:space="preserve">concerning project monitoring. </w:t>
      </w:r>
      <w:r w:rsidR="00DB34F1" w:rsidRPr="008231EF">
        <w:rPr>
          <w:rFonts w:ascii="Times New Roman" w:hAnsi="Times New Roman" w:cs="Times New Roman"/>
          <w:sz w:val="24"/>
          <w:szCs w:val="24"/>
        </w:rPr>
        <w:t>The Determination includes</w:t>
      </w:r>
      <w:r w:rsidR="00A62AFA" w:rsidRPr="008231EF">
        <w:rPr>
          <w:rFonts w:ascii="Times New Roman" w:hAnsi="Times New Roman" w:cs="Times New Roman"/>
          <w:sz w:val="24"/>
          <w:szCs w:val="24"/>
        </w:rPr>
        <w:t xml:space="preserve"> requirements for project proponents to</w:t>
      </w:r>
      <w:r w:rsidR="009C63C8">
        <w:rPr>
          <w:rFonts w:ascii="Times New Roman" w:hAnsi="Times New Roman" w:cs="Times New Roman"/>
          <w:sz w:val="24"/>
          <w:szCs w:val="24"/>
        </w:rPr>
        <w:t xml:space="preserve"> monitoring </w:t>
      </w:r>
      <w:r w:rsidR="009C63C8" w:rsidRPr="009C63C8">
        <w:rPr>
          <w:rFonts w:ascii="Times New Roman" w:hAnsi="Times New Roman" w:cs="Times New Roman"/>
          <w:sz w:val="24"/>
          <w:szCs w:val="24"/>
        </w:rPr>
        <w:t>timber harvesting and clearing events (including post-harvest (slash) burns) in the project area that are required to be modelled in the project scenario</w:t>
      </w:r>
      <w:r w:rsidR="00A62AFA" w:rsidRPr="00561A24">
        <w:rPr>
          <w:rFonts w:ascii="Times New Roman" w:hAnsi="Times New Roman" w:cs="Times New Roman"/>
          <w:sz w:val="24"/>
          <w:szCs w:val="24"/>
        </w:rPr>
        <w:t xml:space="preserve">. </w:t>
      </w:r>
    </w:p>
    <w:p w14:paraId="30AB1514" w14:textId="1E8945C8" w:rsidR="004C7402" w:rsidRPr="00FE6196" w:rsidRDefault="004C7402" w:rsidP="00DB00CB">
      <w:pPr>
        <w:pStyle w:val="ESHeading"/>
        <w:spacing w:before="120"/>
        <w:rPr>
          <w:b w:val="0"/>
          <w:color w:val="auto"/>
        </w:rPr>
      </w:pPr>
      <w:r w:rsidRPr="003D5864">
        <w:rPr>
          <w:color w:val="auto"/>
        </w:rPr>
        <w:t>Summary of mechanisms to mitigate integrity risks</w:t>
      </w:r>
    </w:p>
    <w:p w14:paraId="7CA0A3F1" w14:textId="77777777" w:rsidR="0019005A" w:rsidRPr="0019005A" w:rsidRDefault="005B50B2" w:rsidP="00DB00CB">
      <w:pPr>
        <w:spacing w:before="120" w:after="120" w:line="240" w:lineRule="auto"/>
        <w:rPr>
          <w:rFonts w:ascii="Times New Roman" w:hAnsi="Times New Roman" w:cs="Times New Roman"/>
          <w:sz w:val="24"/>
          <w:szCs w:val="24"/>
        </w:rPr>
      </w:pPr>
      <w:r w:rsidRPr="0019005A">
        <w:rPr>
          <w:rFonts w:ascii="Times New Roman" w:hAnsi="Times New Roman" w:cs="Times New Roman"/>
          <w:sz w:val="24"/>
          <w:szCs w:val="24"/>
        </w:rPr>
        <w:t>The rules in th</w:t>
      </w:r>
      <w:r w:rsidR="00F62A7B" w:rsidRPr="0019005A">
        <w:rPr>
          <w:rFonts w:ascii="Times New Roman" w:hAnsi="Times New Roman" w:cs="Times New Roman"/>
          <w:sz w:val="24"/>
          <w:szCs w:val="24"/>
        </w:rPr>
        <w:t>e</w:t>
      </w:r>
      <w:r w:rsidRPr="0019005A">
        <w:rPr>
          <w:rFonts w:ascii="Times New Roman" w:hAnsi="Times New Roman" w:cs="Times New Roman"/>
          <w:sz w:val="24"/>
          <w:szCs w:val="24"/>
        </w:rPr>
        <w:t xml:space="preserve"> Determination have </w:t>
      </w:r>
      <w:proofErr w:type="gramStart"/>
      <w:r w:rsidRPr="0019005A">
        <w:rPr>
          <w:rFonts w:ascii="Times New Roman" w:hAnsi="Times New Roman" w:cs="Times New Roman"/>
          <w:sz w:val="24"/>
          <w:szCs w:val="24"/>
        </w:rPr>
        <w:t>been designed</w:t>
      </w:r>
      <w:proofErr w:type="gramEnd"/>
      <w:r w:rsidRPr="0019005A">
        <w:rPr>
          <w:rFonts w:ascii="Times New Roman" w:hAnsi="Times New Roman" w:cs="Times New Roman"/>
          <w:sz w:val="24"/>
          <w:szCs w:val="24"/>
        </w:rPr>
        <w:t xml:space="preserve"> to </w:t>
      </w:r>
      <w:r w:rsidR="000D1F1C" w:rsidRPr="0019005A">
        <w:rPr>
          <w:rFonts w:ascii="Times New Roman" w:hAnsi="Times New Roman" w:cs="Times New Roman"/>
          <w:sz w:val="24"/>
          <w:szCs w:val="24"/>
        </w:rPr>
        <w:t xml:space="preserve">mitigate the </w:t>
      </w:r>
      <w:r w:rsidR="006061C2" w:rsidRPr="0019005A">
        <w:rPr>
          <w:rFonts w:ascii="Times New Roman" w:hAnsi="Times New Roman" w:cs="Times New Roman"/>
          <w:sz w:val="24"/>
          <w:szCs w:val="24"/>
        </w:rPr>
        <w:t>integrity risks associated with INFM projects and reflect the</w:t>
      </w:r>
      <w:r w:rsidRPr="0019005A">
        <w:rPr>
          <w:rFonts w:ascii="Times New Roman" w:hAnsi="Times New Roman" w:cs="Times New Roman"/>
          <w:sz w:val="24"/>
          <w:szCs w:val="24"/>
        </w:rPr>
        <w:t xml:space="preserve"> requirements of the </w:t>
      </w:r>
      <w:proofErr w:type="gramStart"/>
      <w:r w:rsidRPr="0019005A">
        <w:rPr>
          <w:rFonts w:ascii="Times New Roman" w:hAnsi="Times New Roman" w:cs="Times New Roman"/>
          <w:sz w:val="24"/>
          <w:szCs w:val="24"/>
        </w:rPr>
        <w:t>offsets</w:t>
      </w:r>
      <w:proofErr w:type="gramEnd"/>
      <w:r w:rsidRPr="0019005A">
        <w:rPr>
          <w:rFonts w:ascii="Times New Roman" w:hAnsi="Times New Roman" w:cs="Times New Roman"/>
          <w:sz w:val="24"/>
          <w:szCs w:val="24"/>
        </w:rPr>
        <w:t xml:space="preserve"> integrity standards. </w:t>
      </w:r>
      <w:r w:rsidR="0019005A" w:rsidRPr="0019005A">
        <w:rPr>
          <w:rFonts w:ascii="Times New Roman" w:hAnsi="Times New Roman" w:cs="Times New Roman"/>
          <w:sz w:val="24"/>
          <w:szCs w:val="24"/>
        </w:rPr>
        <w:t>The most material integrity risks associated with the INFM method relate to:</w:t>
      </w:r>
    </w:p>
    <w:p w14:paraId="0D4E9735" w14:textId="77777777" w:rsidR="0019005A" w:rsidRDefault="0019005A" w:rsidP="009D5A62">
      <w:pPr>
        <w:pStyle w:val="ListParagraph"/>
        <w:numPr>
          <w:ilvl w:val="0"/>
          <w:numId w:val="16"/>
        </w:numPr>
        <w:spacing w:before="120" w:after="120" w:line="240" w:lineRule="auto"/>
        <w:contextualSpacing w:val="0"/>
        <w:rPr>
          <w:rFonts w:ascii="Times New Roman" w:hAnsi="Times New Roman" w:cs="Times New Roman"/>
          <w:sz w:val="24"/>
          <w:szCs w:val="24"/>
        </w:rPr>
      </w:pPr>
      <w:r w:rsidRPr="0019005A">
        <w:rPr>
          <w:rFonts w:ascii="Times New Roman" w:hAnsi="Times New Roman" w:cs="Times New Roman"/>
          <w:sz w:val="24"/>
          <w:szCs w:val="24"/>
        </w:rPr>
        <w:t xml:space="preserve">additionality – most notably, the risk that, in the absence of the incentive associated with the ACCU scheme, there could be policy or other changes that would result in a comparable decline in native forest harvesting to what is credited under the method; and </w:t>
      </w:r>
    </w:p>
    <w:p w14:paraId="5447F322" w14:textId="6BBD6316" w:rsidR="0019005A" w:rsidRPr="0019005A" w:rsidRDefault="0019005A" w:rsidP="009D5A62">
      <w:pPr>
        <w:pStyle w:val="ListParagraph"/>
        <w:numPr>
          <w:ilvl w:val="0"/>
          <w:numId w:val="16"/>
        </w:numPr>
        <w:spacing w:before="120" w:after="120" w:line="240" w:lineRule="auto"/>
        <w:contextualSpacing w:val="0"/>
        <w:rPr>
          <w:rFonts w:ascii="Times New Roman" w:hAnsi="Times New Roman" w:cs="Times New Roman"/>
          <w:sz w:val="24"/>
          <w:szCs w:val="24"/>
        </w:rPr>
      </w:pPr>
      <w:r w:rsidRPr="0019005A">
        <w:rPr>
          <w:rFonts w:ascii="Times New Roman" w:hAnsi="Times New Roman" w:cs="Times New Roman"/>
          <w:sz w:val="24"/>
          <w:szCs w:val="24"/>
        </w:rPr>
        <w:lastRenderedPageBreak/>
        <w:t xml:space="preserve">leakage – particularly the risk that a decline in harvesting in public native forests could trigger an increase in harvesting in </w:t>
      </w:r>
      <w:r>
        <w:rPr>
          <w:rFonts w:ascii="Times New Roman" w:hAnsi="Times New Roman" w:cs="Times New Roman"/>
          <w:sz w:val="24"/>
          <w:szCs w:val="24"/>
        </w:rPr>
        <w:t>other</w:t>
      </w:r>
      <w:r w:rsidRPr="0019005A">
        <w:rPr>
          <w:rFonts w:ascii="Times New Roman" w:hAnsi="Times New Roman" w:cs="Times New Roman"/>
          <w:sz w:val="24"/>
          <w:szCs w:val="24"/>
        </w:rPr>
        <w:t xml:space="preserve"> native forests</w:t>
      </w:r>
      <w:r>
        <w:rPr>
          <w:rFonts w:ascii="Times New Roman" w:hAnsi="Times New Roman" w:cs="Times New Roman"/>
          <w:sz w:val="24"/>
          <w:szCs w:val="24"/>
        </w:rPr>
        <w:t xml:space="preserve"> in Australia</w:t>
      </w:r>
      <w:r w:rsidRPr="0019005A">
        <w:rPr>
          <w:rFonts w:ascii="Times New Roman" w:hAnsi="Times New Roman" w:cs="Times New Roman"/>
          <w:sz w:val="24"/>
          <w:szCs w:val="24"/>
        </w:rPr>
        <w:t>.</w:t>
      </w:r>
    </w:p>
    <w:p w14:paraId="674751B1" w14:textId="77777777" w:rsidR="0019005A" w:rsidRPr="0019005A" w:rsidRDefault="0019005A" w:rsidP="00DB00CB">
      <w:pPr>
        <w:spacing w:before="120" w:after="120" w:line="240" w:lineRule="auto"/>
        <w:rPr>
          <w:rFonts w:ascii="Times New Roman" w:hAnsi="Times New Roman" w:cs="Times New Roman"/>
          <w:sz w:val="24"/>
          <w:szCs w:val="24"/>
        </w:rPr>
      </w:pPr>
      <w:r w:rsidRPr="0019005A">
        <w:rPr>
          <w:rFonts w:ascii="Times New Roman" w:hAnsi="Times New Roman" w:cs="Times New Roman"/>
          <w:sz w:val="24"/>
          <w:szCs w:val="24"/>
        </w:rPr>
        <w:t xml:space="preserve">Other relevant integrity risks include the potential for over crediting </w:t>
      </w:r>
      <w:proofErr w:type="gramStart"/>
      <w:r w:rsidRPr="0019005A">
        <w:rPr>
          <w:rFonts w:ascii="Times New Roman" w:hAnsi="Times New Roman" w:cs="Times New Roman"/>
          <w:sz w:val="24"/>
          <w:szCs w:val="24"/>
        </w:rPr>
        <w:t>as a result of</w:t>
      </w:r>
      <w:proofErr w:type="gramEnd"/>
      <w:r w:rsidRPr="0019005A">
        <w:rPr>
          <w:rFonts w:ascii="Times New Roman" w:hAnsi="Times New Roman" w:cs="Times New Roman"/>
          <w:sz w:val="24"/>
          <w:szCs w:val="24"/>
        </w:rPr>
        <w:t xml:space="preserve"> inaccurate measurement of carbon stocks or emissions, and for credited increases in forest carbon stocks to subsequently </w:t>
      </w:r>
      <w:proofErr w:type="gramStart"/>
      <w:r w:rsidRPr="0019005A">
        <w:rPr>
          <w:rFonts w:ascii="Times New Roman" w:hAnsi="Times New Roman" w:cs="Times New Roman"/>
          <w:sz w:val="24"/>
          <w:szCs w:val="24"/>
        </w:rPr>
        <w:t>be lost</w:t>
      </w:r>
      <w:proofErr w:type="gramEnd"/>
      <w:r w:rsidRPr="0019005A">
        <w:rPr>
          <w:rFonts w:ascii="Times New Roman" w:hAnsi="Times New Roman" w:cs="Times New Roman"/>
          <w:sz w:val="24"/>
          <w:szCs w:val="24"/>
        </w:rPr>
        <w:t xml:space="preserve"> </w:t>
      </w:r>
      <w:proofErr w:type="gramStart"/>
      <w:r w:rsidRPr="0019005A">
        <w:rPr>
          <w:rFonts w:ascii="Times New Roman" w:hAnsi="Times New Roman" w:cs="Times New Roman"/>
          <w:sz w:val="24"/>
          <w:szCs w:val="24"/>
        </w:rPr>
        <w:t>as a consequence of</w:t>
      </w:r>
      <w:proofErr w:type="gramEnd"/>
      <w:r w:rsidRPr="0019005A">
        <w:rPr>
          <w:rFonts w:ascii="Times New Roman" w:hAnsi="Times New Roman" w:cs="Times New Roman"/>
          <w:sz w:val="24"/>
          <w:szCs w:val="24"/>
        </w:rPr>
        <w:t xml:space="preserve"> future events (e.g. increases in natural disturbance or a resumption of past harvesting practices).</w:t>
      </w:r>
    </w:p>
    <w:p w14:paraId="4497665B" w14:textId="33D9AB53" w:rsidR="006061C2" w:rsidRDefault="0019005A" w:rsidP="00DB00CB">
      <w:pPr>
        <w:spacing w:before="120" w:after="120" w:line="240" w:lineRule="auto"/>
        <w:rPr>
          <w:rFonts w:ascii="Times New Roman" w:hAnsi="Times New Roman" w:cs="Times New Roman"/>
          <w:sz w:val="24"/>
          <w:szCs w:val="24"/>
        </w:rPr>
      </w:pPr>
      <w:r w:rsidRPr="0019005A">
        <w:rPr>
          <w:rFonts w:ascii="Times New Roman" w:hAnsi="Times New Roman" w:cs="Times New Roman"/>
          <w:sz w:val="24"/>
          <w:szCs w:val="24"/>
        </w:rPr>
        <w:t xml:space="preserve">The INFM method </w:t>
      </w:r>
      <w:r w:rsidR="00070E0F">
        <w:rPr>
          <w:rFonts w:ascii="Times New Roman" w:hAnsi="Times New Roman" w:cs="Times New Roman"/>
          <w:sz w:val="24"/>
          <w:szCs w:val="24"/>
        </w:rPr>
        <w:t>has been</w:t>
      </w:r>
      <w:r w:rsidR="008A06FD">
        <w:rPr>
          <w:rFonts w:ascii="Times New Roman" w:hAnsi="Times New Roman" w:cs="Times New Roman"/>
          <w:sz w:val="24"/>
          <w:szCs w:val="24"/>
        </w:rPr>
        <w:t xml:space="preserve"> design</w:t>
      </w:r>
      <w:r w:rsidR="00687612">
        <w:rPr>
          <w:rFonts w:ascii="Times New Roman" w:hAnsi="Times New Roman" w:cs="Times New Roman"/>
          <w:sz w:val="24"/>
          <w:szCs w:val="24"/>
        </w:rPr>
        <w:t>ed</w:t>
      </w:r>
      <w:r w:rsidR="008A06FD">
        <w:rPr>
          <w:rFonts w:ascii="Times New Roman" w:hAnsi="Times New Roman" w:cs="Times New Roman"/>
          <w:sz w:val="24"/>
          <w:szCs w:val="24"/>
        </w:rPr>
        <w:t xml:space="preserve"> to mitigate these risks</w:t>
      </w:r>
      <w:r w:rsidRPr="0019005A">
        <w:rPr>
          <w:rFonts w:ascii="Times New Roman" w:hAnsi="Times New Roman" w:cs="Times New Roman"/>
          <w:sz w:val="24"/>
          <w:szCs w:val="24"/>
        </w:rPr>
        <w:t>.</w:t>
      </w:r>
      <w:r w:rsidR="008A06FD">
        <w:rPr>
          <w:rFonts w:ascii="Times New Roman" w:hAnsi="Times New Roman" w:cs="Times New Roman"/>
          <w:sz w:val="24"/>
          <w:szCs w:val="24"/>
        </w:rPr>
        <w:t xml:space="preserve"> The </w:t>
      </w:r>
      <w:r w:rsidR="00740642">
        <w:rPr>
          <w:rFonts w:ascii="Times New Roman" w:hAnsi="Times New Roman" w:cs="Times New Roman"/>
          <w:sz w:val="24"/>
          <w:szCs w:val="24"/>
        </w:rPr>
        <w:t>measures</w:t>
      </w:r>
      <w:r w:rsidR="008A06FD">
        <w:rPr>
          <w:rFonts w:ascii="Times New Roman" w:hAnsi="Times New Roman" w:cs="Times New Roman"/>
          <w:sz w:val="24"/>
          <w:szCs w:val="24"/>
        </w:rPr>
        <w:t xml:space="preserve"> </w:t>
      </w:r>
      <w:r w:rsidR="00070E0F">
        <w:rPr>
          <w:rFonts w:ascii="Times New Roman" w:hAnsi="Times New Roman" w:cs="Times New Roman"/>
          <w:sz w:val="24"/>
          <w:szCs w:val="24"/>
        </w:rPr>
        <w:t xml:space="preserve">used for these purposes </w:t>
      </w:r>
      <w:r w:rsidR="008A06FD">
        <w:rPr>
          <w:rFonts w:ascii="Times New Roman" w:hAnsi="Times New Roman" w:cs="Times New Roman"/>
          <w:sz w:val="24"/>
          <w:szCs w:val="24"/>
        </w:rPr>
        <w:t xml:space="preserve">are </w:t>
      </w:r>
      <w:r w:rsidR="00740642">
        <w:rPr>
          <w:rFonts w:ascii="Times New Roman" w:hAnsi="Times New Roman" w:cs="Times New Roman"/>
          <w:sz w:val="24"/>
          <w:szCs w:val="24"/>
        </w:rPr>
        <w:t xml:space="preserve">summarised in </w:t>
      </w:r>
      <w:r w:rsidR="00A96D37">
        <w:rPr>
          <w:rFonts w:ascii="Times New Roman" w:hAnsi="Times New Roman" w:cs="Times New Roman"/>
          <w:sz w:val="24"/>
          <w:szCs w:val="24"/>
        </w:rPr>
        <w:t>Attachment B</w:t>
      </w:r>
      <w:r w:rsidR="00740642">
        <w:rPr>
          <w:rFonts w:ascii="Times New Roman" w:hAnsi="Times New Roman" w:cs="Times New Roman"/>
          <w:sz w:val="24"/>
          <w:szCs w:val="24"/>
        </w:rPr>
        <w:t>.</w:t>
      </w:r>
    </w:p>
    <w:p w14:paraId="62C90E17" w14:textId="0121E6C6" w:rsidR="009F5194" w:rsidRDefault="00781438"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The</w:t>
      </w:r>
      <w:r w:rsidR="00740642">
        <w:rPr>
          <w:rFonts w:ascii="Times New Roman" w:hAnsi="Times New Roman" w:cs="Times New Roman"/>
          <w:sz w:val="24"/>
          <w:szCs w:val="24"/>
        </w:rPr>
        <w:t xml:space="preserve"> risk mitigation measures in the Determination</w:t>
      </w:r>
      <w:r w:rsidR="004B5593">
        <w:rPr>
          <w:rFonts w:ascii="Times New Roman" w:hAnsi="Times New Roman" w:cs="Times New Roman"/>
          <w:sz w:val="24"/>
          <w:szCs w:val="24"/>
        </w:rPr>
        <w:t xml:space="preserve"> complement the requirements in the CFI Act</w:t>
      </w:r>
      <w:r w:rsidR="007512DB">
        <w:rPr>
          <w:rFonts w:ascii="Times New Roman" w:hAnsi="Times New Roman" w:cs="Times New Roman"/>
          <w:sz w:val="24"/>
          <w:szCs w:val="24"/>
        </w:rPr>
        <w:t xml:space="preserve"> governing project registrations. These </w:t>
      </w:r>
      <w:r w:rsidRPr="00FE6196">
        <w:rPr>
          <w:rFonts w:ascii="Times New Roman" w:hAnsi="Times New Roman" w:cs="Times New Roman"/>
          <w:sz w:val="24"/>
          <w:szCs w:val="24"/>
        </w:rPr>
        <w:t xml:space="preserve">general eligibility requirements </w:t>
      </w:r>
      <w:r w:rsidR="007512DB">
        <w:rPr>
          <w:rFonts w:ascii="Times New Roman" w:hAnsi="Times New Roman" w:cs="Times New Roman"/>
          <w:sz w:val="24"/>
          <w:szCs w:val="24"/>
        </w:rPr>
        <w:t xml:space="preserve">include project-level </w:t>
      </w:r>
      <w:r w:rsidRPr="00FE6196">
        <w:rPr>
          <w:rFonts w:ascii="Times New Roman" w:hAnsi="Times New Roman" w:cs="Times New Roman"/>
          <w:sz w:val="24"/>
          <w:szCs w:val="24"/>
        </w:rPr>
        <w:t xml:space="preserve">additionality requirements </w:t>
      </w:r>
      <w:r w:rsidR="009F5194">
        <w:rPr>
          <w:rFonts w:ascii="Times New Roman" w:hAnsi="Times New Roman" w:cs="Times New Roman"/>
          <w:sz w:val="24"/>
          <w:szCs w:val="24"/>
        </w:rPr>
        <w:t xml:space="preserve">(s </w:t>
      </w:r>
      <w:r w:rsidRPr="00FE6196">
        <w:rPr>
          <w:rFonts w:ascii="Times New Roman" w:hAnsi="Times New Roman" w:cs="Times New Roman"/>
          <w:sz w:val="24"/>
          <w:szCs w:val="24"/>
        </w:rPr>
        <w:t>27(4A)</w:t>
      </w:r>
      <w:r w:rsidR="009F5194">
        <w:rPr>
          <w:rFonts w:ascii="Times New Roman" w:hAnsi="Times New Roman" w:cs="Times New Roman"/>
          <w:sz w:val="24"/>
          <w:szCs w:val="24"/>
        </w:rPr>
        <w:t>)</w:t>
      </w:r>
      <w:r w:rsidR="0028001D" w:rsidRPr="00FE6196">
        <w:rPr>
          <w:rFonts w:ascii="Times New Roman" w:hAnsi="Times New Roman" w:cs="Times New Roman"/>
          <w:sz w:val="24"/>
          <w:szCs w:val="24"/>
        </w:rPr>
        <w:t>:</w:t>
      </w:r>
    </w:p>
    <w:p w14:paraId="2538E241" w14:textId="67883133" w:rsidR="003B76FE" w:rsidRPr="004626CB" w:rsidRDefault="003B76FE" w:rsidP="009D5A62">
      <w:pPr>
        <w:pStyle w:val="ListParagraph"/>
        <w:numPr>
          <w:ilvl w:val="0"/>
          <w:numId w:val="15"/>
        </w:numPr>
        <w:spacing w:before="120" w:after="120" w:line="240" w:lineRule="auto"/>
        <w:ind w:left="714" w:hanging="357"/>
        <w:contextualSpacing w:val="0"/>
        <w:rPr>
          <w:rFonts w:ascii="Times New Roman" w:hAnsi="Times New Roman" w:cs="Times New Roman"/>
          <w:sz w:val="24"/>
          <w:szCs w:val="24"/>
        </w:rPr>
      </w:pPr>
      <w:r w:rsidRPr="004626CB">
        <w:rPr>
          <w:rFonts w:ascii="Times New Roman" w:hAnsi="Times New Roman" w:cs="Times New Roman"/>
          <w:sz w:val="24"/>
          <w:szCs w:val="24"/>
        </w:rPr>
        <w:t xml:space="preserve">the </w:t>
      </w:r>
      <w:r w:rsidR="004626CB" w:rsidRPr="004626CB">
        <w:rPr>
          <w:rFonts w:ascii="Times New Roman" w:hAnsi="Times New Roman" w:cs="Times New Roman"/>
          <w:sz w:val="24"/>
          <w:szCs w:val="24"/>
        </w:rPr>
        <w:t>‘</w:t>
      </w:r>
      <w:r w:rsidRPr="004626CB">
        <w:rPr>
          <w:rFonts w:ascii="Times New Roman" w:hAnsi="Times New Roman" w:cs="Times New Roman"/>
          <w:sz w:val="24"/>
          <w:szCs w:val="24"/>
        </w:rPr>
        <w:t>newness requirement</w:t>
      </w:r>
      <w:r w:rsidR="004626CB" w:rsidRPr="004626CB">
        <w:rPr>
          <w:rFonts w:ascii="Times New Roman" w:hAnsi="Times New Roman" w:cs="Times New Roman"/>
          <w:sz w:val="24"/>
          <w:szCs w:val="24"/>
        </w:rPr>
        <w:t>’</w:t>
      </w:r>
      <w:r w:rsidR="009F5194" w:rsidRPr="004626CB">
        <w:rPr>
          <w:rFonts w:ascii="Times New Roman" w:hAnsi="Times New Roman" w:cs="Times New Roman"/>
          <w:sz w:val="24"/>
          <w:szCs w:val="24"/>
        </w:rPr>
        <w:t xml:space="preserve">, which </w:t>
      </w:r>
      <w:r w:rsidR="00805D32" w:rsidRPr="004626CB">
        <w:rPr>
          <w:rFonts w:ascii="Times New Roman" w:hAnsi="Times New Roman" w:cs="Times New Roman"/>
          <w:sz w:val="24"/>
          <w:szCs w:val="24"/>
        </w:rPr>
        <w:t xml:space="preserve">specifies that projects must not have begun to be </w:t>
      </w:r>
      <w:proofErr w:type="gramStart"/>
      <w:r w:rsidR="00805D32" w:rsidRPr="004626CB">
        <w:rPr>
          <w:rFonts w:ascii="Times New Roman" w:hAnsi="Times New Roman" w:cs="Times New Roman"/>
          <w:sz w:val="24"/>
          <w:szCs w:val="24"/>
        </w:rPr>
        <w:t>implemented</w:t>
      </w:r>
      <w:r w:rsidR="00491478" w:rsidRPr="004626CB">
        <w:rPr>
          <w:rFonts w:ascii="Times New Roman" w:hAnsi="Times New Roman" w:cs="Times New Roman"/>
          <w:sz w:val="24"/>
          <w:szCs w:val="24"/>
        </w:rPr>
        <w:t>;</w:t>
      </w:r>
      <w:proofErr w:type="gramEnd"/>
      <w:r w:rsidR="00491478" w:rsidRPr="004626CB">
        <w:rPr>
          <w:rFonts w:ascii="Times New Roman" w:hAnsi="Times New Roman" w:cs="Times New Roman"/>
          <w:sz w:val="24"/>
          <w:szCs w:val="24"/>
        </w:rPr>
        <w:t xml:space="preserve"> </w:t>
      </w:r>
    </w:p>
    <w:p w14:paraId="5A265E22" w14:textId="2C1CCC11" w:rsidR="00AC361B" w:rsidRPr="004626CB" w:rsidRDefault="003B76FE" w:rsidP="009D5A62">
      <w:pPr>
        <w:pStyle w:val="ListParagraph"/>
        <w:numPr>
          <w:ilvl w:val="0"/>
          <w:numId w:val="15"/>
        </w:numPr>
        <w:spacing w:before="120" w:after="120" w:line="240" w:lineRule="auto"/>
        <w:ind w:left="714" w:hanging="357"/>
        <w:contextualSpacing w:val="0"/>
        <w:rPr>
          <w:rFonts w:ascii="Times New Roman" w:hAnsi="Times New Roman" w:cs="Times New Roman"/>
          <w:sz w:val="24"/>
          <w:szCs w:val="24"/>
        </w:rPr>
      </w:pPr>
      <w:r w:rsidRPr="004626CB">
        <w:rPr>
          <w:rFonts w:ascii="Times New Roman" w:hAnsi="Times New Roman" w:cs="Times New Roman"/>
          <w:sz w:val="24"/>
          <w:szCs w:val="24"/>
        </w:rPr>
        <w:t xml:space="preserve">the </w:t>
      </w:r>
      <w:r w:rsidR="004626CB" w:rsidRPr="004626CB">
        <w:rPr>
          <w:rFonts w:ascii="Times New Roman" w:hAnsi="Times New Roman" w:cs="Times New Roman"/>
          <w:sz w:val="24"/>
          <w:szCs w:val="24"/>
        </w:rPr>
        <w:t>‘</w:t>
      </w:r>
      <w:r w:rsidRPr="004626CB">
        <w:rPr>
          <w:rFonts w:ascii="Times New Roman" w:hAnsi="Times New Roman" w:cs="Times New Roman"/>
          <w:sz w:val="24"/>
          <w:szCs w:val="24"/>
        </w:rPr>
        <w:t>regulatory additionality requirement</w:t>
      </w:r>
      <w:r w:rsidR="004626CB" w:rsidRPr="004626CB">
        <w:rPr>
          <w:rFonts w:ascii="Times New Roman" w:hAnsi="Times New Roman" w:cs="Times New Roman"/>
          <w:sz w:val="24"/>
          <w:szCs w:val="24"/>
        </w:rPr>
        <w:t>’</w:t>
      </w:r>
      <w:r w:rsidR="00491478" w:rsidRPr="004626CB">
        <w:rPr>
          <w:rFonts w:ascii="Times New Roman" w:hAnsi="Times New Roman" w:cs="Times New Roman"/>
          <w:sz w:val="24"/>
          <w:szCs w:val="24"/>
        </w:rPr>
        <w:t xml:space="preserve">, which specifies that projects must not be required </w:t>
      </w:r>
      <w:r w:rsidR="00AC361B" w:rsidRPr="004626CB">
        <w:rPr>
          <w:rFonts w:ascii="Times New Roman" w:hAnsi="Times New Roman" w:cs="Times New Roman"/>
          <w:sz w:val="24"/>
          <w:szCs w:val="24"/>
        </w:rPr>
        <w:t xml:space="preserve">to be carried out by or under a law of the Commonwealth, a State or a Territory; and </w:t>
      </w:r>
    </w:p>
    <w:p w14:paraId="5CB865D0" w14:textId="3347DA4F" w:rsidR="003B76FE" w:rsidRPr="004626CB" w:rsidRDefault="003B76FE" w:rsidP="009D5A62">
      <w:pPr>
        <w:pStyle w:val="ListParagraph"/>
        <w:numPr>
          <w:ilvl w:val="0"/>
          <w:numId w:val="15"/>
        </w:numPr>
        <w:spacing w:before="120" w:after="120" w:line="240" w:lineRule="auto"/>
        <w:ind w:left="714" w:hanging="357"/>
        <w:contextualSpacing w:val="0"/>
        <w:rPr>
          <w:rFonts w:ascii="Times New Roman" w:hAnsi="Times New Roman" w:cs="Times New Roman"/>
          <w:sz w:val="24"/>
          <w:szCs w:val="24"/>
        </w:rPr>
      </w:pPr>
      <w:r w:rsidRPr="004626CB">
        <w:rPr>
          <w:rFonts w:ascii="Times New Roman" w:hAnsi="Times New Roman" w:cs="Times New Roman"/>
          <w:sz w:val="24"/>
          <w:szCs w:val="24"/>
        </w:rPr>
        <w:t xml:space="preserve">the </w:t>
      </w:r>
      <w:r w:rsidR="004626CB" w:rsidRPr="004626CB">
        <w:rPr>
          <w:rFonts w:ascii="Times New Roman" w:hAnsi="Times New Roman" w:cs="Times New Roman"/>
          <w:sz w:val="24"/>
          <w:szCs w:val="24"/>
        </w:rPr>
        <w:t>‘</w:t>
      </w:r>
      <w:r w:rsidRPr="004626CB">
        <w:rPr>
          <w:rFonts w:ascii="Times New Roman" w:hAnsi="Times New Roman" w:cs="Times New Roman"/>
          <w:sz w:val="24"/>
          <w:szCs w:val="24"/>
        </w:rPr>
        <w:t>government program requirement</w:t>
      </w:r>
      <w:r w:rsidR="004626CB" w:rsidRPr="004626CB">
        <w:rPr>
          <w:rFonts w:ascii="Times New Roman" w:hAnsi="Times New Roman" w:cs="Times New Roman"/>
          <w:sz w:val="24"/>
          <w:szCs w:val="24"/>
        </w:rPr>
        <w:t>’</w:t>
      </w:r>
      <w:r w:rsidR="00AC361B" w:rsidRPr="004626CB">
        <w:rPr>
          <w:rFonts w:ascii="Times New Roman" w:hAnsi="Times New Roman" w:cs="Times New Roman"/>
          <w:sz w:val="24"/>
          <w:szCs w:val="24"/>
        </w:rPr>
        <w:t xml:space="preserve">, which specifies that </w:t>
      </w:r>
      <w:r w:rsidR="0001722E" w:rsidRPr="004626CB">
        <w:rPr>
          <w:rFonts w:ascii="Times New Roman" w:hAnsi="Times New Roman" w:cs="Times New Roman"/>
          <w:sz w:val="24"/>
          <w:szCs w:val="24"/>
        </w:rPr>
        <w:t>projects m</w:t>
      </w:r>
      <w:r w:rsidR="00927DD8" w:rsidRPr="004626CB">
        <w:rPr>
          <w:rFonts w:ascii="Times New Roman" w:hAnsi="Times New Roman" w:cs="Times New Roman"/>
          <w:sz w:val="24"/>
          <w:szCs w:val="24"/>
        </w:rPr>
        <w:t xml:space="preserve">ust be unlikely to be carried out under another Commonwealth, State or Territory government program or scheme in the absence of </w:t>
      </w:r>
      <w:r w:rsidR="004626CB" w:rsidRPr="004626CB">
        <w:rPr>
          <w:rFonts w:ascii="Times New Roman" w:hAnsi="Times New Roman" w:cs="Times New Roman"/>
          <w:sz w:val="24"/>
          <w:szCs w:val="24"/>
        </w:rPr>
        <w:t xml:space="preserve">a declaration of the project as an eligible offsets project. </w:t>
      </w:r>
    </w:p>
    <w:p w14:paraId="52241A27" w14:textId="2819DEBD" w:rsidR="00C663A4" w:rsidRDefault="004626CB" w:rsidP="00DB00CB">
      <w:pPr>
        <w:spacing w:before="120" w:after="120" w:line="240" w:lineRule="auto"/>
        <w:rPr>
          <w:rFonts w:ascii="Times New Roman" w:hAnsi="Times New Roman" w:cs="Times New Roman"/>
          <w:sz w:val="24"/>
          <w:szCs w:val="24"/>
        </w:rPr>
      </w:pPr>
      <w:r w:rsidRPr="00AD1694">
        <w:rPr>
          <w:rFonts w:ascii="Times New Roman" w:hAnsi="Times New Roman" w:cs="Times New Roman"/>
          <w:sz w:val="24"/>
          <w:szCs w:val="24"/>
        </w:rPr>
        <w:t xml:space="preserve">The newness </w:t>
      </w:r>
      <w:r w:rsidR="002E540A" w:rsidRPr="00AD1694">
        <w:rPr>
          <w:rFonts w:ascii="Times New Roman" w:hAnsi="Times New Roman" w:cs="Times New Roman"/>
          <w:sz w:val="24"/>
          <w:szCs w:val="24"/>
        </w:rPr>
        <w:t>and regulatory additional</w:t>
      </w:r>
      <w:r w:rsidR="003F1B79">
        <w:rPr>
          <w:rFonts w:ascii="Times New Roman" w:hAnsi="Times New Roman" w:cs="Times New Roman"/>
          <w:sz w:val="24"/>
          <w:szCs w:val="24"/>
        </w:rPr>
        <w:t>ity</w:t>
      </w:r>
      <w:r w:rsidR="002E540A" w:rsidRPr="00AD1694">
        <w:rPr>
          <w:rFonts w:ascii="Times New Roman" w:hAnsi="Times New Roman" w:cs="Times New Roman"/>
          <w:sz w:val="24"/>
          <w:szCs w:val="24"/>
        </w:rPr>
        <w:t xml:space="preserve"> requirements can be </w:t>
      </w:r>
      <w:r w:rsidR="001844D1" w:rsidRPr="00AD1694">
        <w:rPr>
          <w:rFonts w:ascii="Times New Roman" w:hAnsi="Times New Roman" w:cs="Times New Roman"/>
          <w:sz w:val="24"/>
          <w:szCs w:val="24"/>
        </w:rPr>
        <w:t>displaced by</w:t>
      </w:r>
      <w:r w:rsidR="002E540A" w:rsidRPr="00AD1694">
        <w:rPr>
          <w:rFonts w:ascii="Times New Roman" w:hAnsi="Times New Roman" w:cs="Times New Roman"/>
          <w:sz w:val="24"/>
          <w:szCs w:val="24"/>
        </w:rPr>
        <w:t xml:space="preserve"> </w:t>
      </w:r>
      <w:r w:rsidR="001844D1" w:rsidRPr="00AD1694">
        <w:rPr>
          <w:rFonts w:ascii="Times New Roman" w:hAnsi="Times New Roman" w:cs="Times New Roman"/>
          <w:sz w:val="24"/>
          <w:szCs w:val="24"/>
        </w:rPr>
        <w:t>‘</w:t>
      </w:r>
      <w:r w:rsidR="003B76FE" w:rsidRPr="00AD1694">
        <w:rPr>
          <w:rFonts w:ascii="Times New Roman" w:hAnsi="Times New Roman" w:cs="Times New Roman"/>
          <w:sz w:val="24"/>
          <w:szCs w:val="24"/>
        </w:rPr>
        <w:t>in lieu</w:t>
      </w:r>
      <w:r w:rsidR="001844D1" w:rsidRPr="00AD1694">
        <w:rPr>
          <w:rFonts w:ascii="Times New Roman" w:hAnsi="Times New Roman" w:cs="Times New Roman"/>
          <w:sz w:val="24"/>
          <w:szCs w:val="24"/>
        </w:rPr>
        <w:t>’ requirements in methodology determinations.</w:t>
      </w:r>
      <w:r w:rsidR="003B76FE" w:rsidRPr="00AD1694">
        <w:rPr>
          <w:rFonts w:ascii="Times New Roman" w:hAnsi="Times New Roman" w:cs="Times New Roman"/>
          <w:sz w:val="24"/>
          <w:szCs w:val="24"/>
        </w:rPr>
        <w:t xml:space="preserve"> </w:t>
      </w:r>
      <w:r w:rsidR="00C55C3C" w:rsidRPr="00AD1694">
        <w:rPr>
          <w:rFonts w:ascii="Times New Roman" w:hAnsi="Times New Roman" w:cs="Times New Roman"/>
          <w:sz w:val="24"/>
          <w:szCs w:val="24"/>
        </w:rPr>
        <w:t xml:space="preserve">Under the Determination, </w:t>
      </w:r>
      <w:r w:rsidR="00A5065D" w:rsidRPr="00AD1694">
        <w:rPr>
          <w:rFonts w:ascii="Times New Roman" w:hAnsi="Times New Roman" w:cs="Times New Roman"/>
          <w:sz w:val="24"/>
          <w:szCs w:val="24"/>
        </w:rPr>
        <w:t>the regulatory additionality requirement in subsection 27(4</w:t>
      </w:r>
      <w:proofErr w:type="gramStart"/>
      <w:r w:rsidR="00A5065D" w:rsidRPr="00AD1694">
        <w:rPr>
          <w:rFonts w:ascii="Times New Roman" w:hAnsi="Times New Roman" w:cs="Times New Roman"/>
          <w:sz w:val="24"/>
          <w:szCs w:val="24"/>
        </w:rPr>
        <w:t>A)(</w:t>
      </w:r>
      <w:proofErr w:type="gramEnd"/>
      <w:r w:rsidR="00A5065D" w:rsidRPr="00AD1694">
        <w:rPr>
          <w:rFonts w:ascii="Times New Roman" w:hAnsi="Times New Roman" w:cs="Times New Roman"/>
          <w:sz w:val="24"/>
          <w:szCs w:val="24"/>
        </w:rPr>
        <w:t xml:space="preserve">b) </w:t>
      </w:r>
      <w:proofErr w:type="gramStart"/>
      <w:r w:rsidR="00A5065D" w:rsidRPr="00AD1694">
        <w:rPr>
          <w:rFonts w:ascii="Times New Roman" w:hAnsi="Times New Roman" w:cs="Times New Roman"/>
          <w:sz w:val="24"/>
          <w:szCs w:val="24"/>
        </w:rPr>
        <w:t>is displaced</w:t>
      </w:r>
      <w:proofErr w:type="gramEnd"/>
      <w:r w:rsidR="00A5065D" w:rsidRPr="00AD1694">
        <w:rPr>
          <w:rFonts w:ascii="Times New Roman" w:hAnsi="Times New Roman" w:cs="Times New Roman"/>
          <w:sz w:val="24"/>
          <w:szCs w:val="24"/>
        </w:rPr>
        <w:t xml:space="preserve"> by </w:t>
      </w:r>
      <w:r w:rsidR="00C663A4">
        <w:rPr>
          <w:rFonts w:ascii="Times New Roman" w:hAnsi="Times New Roman" w:cs="Times New Roman"/>
          <w:sz w:val="24"/>
          <w:szCs w:val="24"/>
        </w:rPr>
        <w:t xml:space="preserve">the following </w:t>
      </w:r>
      <w:r w:rsidR="00A5065D" w:rsidRPr="00AD1694">
        <w:rPr>
          <w:rFonts w:ascii="Times New Roman" w:hAnsi="Times New Roman" w:cs="Times New Roman"/>
          <w:sz w:val="24"/>
          <w:szCs w:val="24"/>
        </w:rPr>
        <w:t>requirement</w:t>
      </w:r>
      <w:r w:rsidR="00681ED6">
        <w:rPr>
          <w:rFonts w:ascii="Times New Roman" w:hAnsi="Times New Roman" w:cs="Times New Roman"/>
          <w:sz w:val="24"/>
          <w:szCs w:val="24"/>
        </w:rPr>
        <w:t>s</w:t>
      </w:r>
      <w:r w:rsidR="00C663A4">
        <w:rPr>
          <w:rFonts w:ascii="Times New Roman" w:hAnsi="Times New Roman" w:cs="Times New Roman"/>
          <w:sz w:val="24"/>
          <w:szCs w:val="24"/>
        </w:rPr>
        <w:t xml:space="preserve">. </w:t>
      </w:r>
    </w:p>
    <w:p w14:paraId="69957A53" w14:textId="4FEBA644" w:rsidR="00C663A4" w:rsidRPr="00FA387E" w:rsidRDefault="00C663A4" w:rsidP="009D5A62">
      <w:pPr>
        <w:pStyle w:val="ListParagraph"/>
        <w:numPr>
          <w:ilvl w:val="0"/>
          <w:numId w:val="30"/>
        </w:numPr>
        <w:spacing w:before="120" w:after="120" w:line="240" w:lineRule="auto"/>
        <w:contextualSpacing w:val="0"/>
        <w:rPr>
          <w:rFonts w:ascii="Times New Roman" w:hAnsi="Times New Roman" w:cs="Times New Roman"/>
          <w:sz w:val="24"/>
          <w:szCs w:val="24"/>
        </w:rPr>
      </w:pPr>
      <w:r w:rsidRPr="006C3954">
        <w:rPr>
          <w:rFonts w:ascii="Times New Roman" w:hAnsi="Times New Roman" w:cs="Times New Roman"/>
          <w:sz w:val="24"/>
          <w:szCs w:val="24"/>
        </w:rPr>
        <w:t xml:space="preserve">An area cannot be included in the project area of an INFM project if, at any time </w:t>
      </w:r>
      <w:r w:rsidRPr="00BE2528">
        <w:rPr>
          <w:rFonts w:ascii="Times New Roman" w:hAnsi="Times New Roman" w:cs="Times New Roman"/>
          <w:sz w:val="24"/>
          <w:szCs w:val="24"/>
        </w:rPr>
        <w:t xml:space="preserve">between 1 January 2000 and the date the project is </w:t>
      </w:r>
      <w:r>
        <w:rPr>
          <w:rFonts w:ascii="Times New Roman" w:hAnsi="Times New Roman" w:cs="Times New Roman"/>
          <w:sz w:val="24"/>
          <w:szCs w:val="24"/>
        </w:rPr>
        <w:t>registered</w:t>
      </w:r>
      <w:r w:rsidRPr="00BE2528">
        <w:rPr>
          <w:rFonts w:ascii="Times New Roman" w:hAnsi="Times New Roman" w:cs="Times New Roman"/>
          <w:sz w:val="24"/>
          <w:szCs w:val="24"/>
        </w:rPr>
        <w:t xml:space="preserve"> as an eligible offsets project, a law of the Commonwealth or the relevant State stopped timber harvesting in the area (even if the law has since been repealed or amended to remove that prohibition) or the government of the relevant State made a decision to stop timber harvesting in the area (even if the decision has since been changed to remove that prohibition or the decision was scheduled to take effect after the date this </w:t>
      </w:r>
      <w:r w:rsidR="000F706C">
        <w:rPr>
          <w:rFonts w:ascii="Times New Roman" w:hAnsi="Times New Roman" w:cs="Times New Roman"/>
          <w:sz w:val="24"/>
          <w:szCs w:val="24"/>
        </w:rPr>
        <w:t>D</w:t>
      </w:r>
      <w:r w:rsidRPr="00BE2528">
        <w:rPr>
          <w:rFonts w:ascii="Times New Roman" w:hAnsi="Times New Roman" w:cs="Times New Roman"/>
          <w:sz w:val="24"/>
          <w:szCs w:val="24"/>
        </w:rPr>
        <w:t>etermination commences).</w:t>
      </w:r>
      <w:r>
        <w:rPr>
          <w:rFonts w:ascii="Times New Roman" w:hAnsi="Times New Roman" w:cs="Times New Roman"/>
          <w:sz w:val="24"/>
          <w:szCs w:val="24"/>
        </w:rPr>
        <w:t xml:space="preserve"> This does not apply if </w:t>
      </w:r>
      <w:r w:rsidRPr="009A359E">
        <w:rPr>
          <w:rFonts w:ascii="Times New Roman" w:hAnsi="Times New Roman" w:cs="Times New Roman"/>
          <w:sz w:val="24"/>
          <w:szCs w:val="24"/>
        </w:rPr>
        <w:t>the stopping of timber harvesting in the area was an interim or temporary measure to enable an assessment of the suitability of all or any part of the area for inclusion in an eligible offsets project or conservation reserve</w:t>
      </w:r>
      <w:r>
        <w:rPr>
          <w:rFonts w:ascii="Times New Roman" w:hAnsi="Times New Roman" w:cs="Times New Roman"/>
          <w:sz w:val="24"/>
          <w:szCs w:val="24"/>
        </w:rPr>
        <w:t>,</w:t>
      </w:r>
      <w:r w:rsidRPr="009A359E">
        <w:rPr>
          <w:rFonts w:ascii="Times New Roman" w:hAnsi="Times New Roman" w:cs="Times New Roman"/>
          <w:sz w:val="24"/>
          <w:szCs w:val="24"/>
        </w:rPr>
        <w:t xml:space="preserve"> or </w:t>
      </w:r>
      <w:r w:rsidRPr="00FA387E">
        <w:rPr>
          <w:rFonts w:ascii="Times New Roman" w:hAnsi="Times New Roman" w:cs="Times New Roman"/>
          <w:sz w:val="24"/>
          <w:szCs w:val="24"/>
        </w:rPr>
        <w:t xml:space="preserve">the decision to stop timber harvesting in the area was made in connection with an offsets project and on condition that the project is </w:t>
      </w:r>
      <w:r>
        <w:rPr>
          <w:rFonts w:ascii="Times New Roman" w:hAnsi="Times New Roman" w:cs="Times New Roman"/>
          <w:sz w:val="24"/>
          <w:szCs w:val="24"/>
        </w:rPr>
        <w:t>registered.</w:t>
      </w:r>
    </w:p>
    <w:p w14:paraId="2682B7B7" w14:textId="77777777" w:rsidR="00C663A4" w:rsidRPr="00FD309F" w:rsidRDefault="00C663A4" w:rsidP="009D5A62">
      <w:pPr>
        <w:pStyle w:val="ListParagraph"/>
        <w:numPr>
          <w:ilvl w:val="0"/>
          <w:numId w:val="30"/>
        </w:numPr>
        <w:spacing w:before="120" w:after="120" w:line="240" w:lineRule="auto"/>
        <w:ind w:left="714" w:hanging="357"/>
        <w:contextualSpacing w:val="0"/>
        <w:rPr>
          <w:rFonts w:ascii="Times New Roman" w:hAnsi="Times New Roman" w:cs="Times New Roman"/>
          <w:sz w:val="24"/>
          <w:szCs w:val="24"/>
        </w:rPr>
      </w:pPr>
      <w:r w:rsidRPr="006C3954">
        <w:rPr>
          <w:rFonts w:ascii="Times New Roman" w:hAnsi="Times New Roman" w:cs="Times New Roman"/>
          <w:sz w:val="24"/>
          <w:szCs w:val="24"/>
        </w:rPr>
        <w:t xml:space="preserve">The cessation or reduction of timber harvesting that constitutes the project must not be required under a law of the Commonwealth or the relevant State that is in force when the </w:t>
      </w:r>
      <w:r>
        <w:rPr>
          <w:rFonts w:ascii="Times New Roman" w:hAnsi="Times New Roman" w:cs="Times New Roman"/>
          <w:sz w:val="24"/>
          <w:szCs w:val="24"/>
        </w:rPr>
        <w:t>registration decision</w:t>
      </w:r>
      <w:r w:rsidRPr="006C3954">
        <w:rPr>
          <w:rFonts w:ascii="Times New Roman" w:hAnsi="Times New Roman" w:cs="Times New Roman"/>
          <w:sz w:val="24"/>
          <w:szCs w:val="24"/>
        </w:rPr>
        <w:t xml:space="preserve"> is to be made or that was in force at any time between 1 January 2000 and the date that the </w:t>
      </w:r>
      <w:r>
        <w:rPr>
          <w:rFonts w:ascii="Times New Roman" w:hAnsi="Times New Roman" w:cs="Times New Roman"/>
          <w:sz w:val="24"/>
          <w:szCs w:val="24"/>
        </w:rPr>
        <w:t>registration decision</w:t>
      </w:r>
      <w:r w:rsidRPr="006C3954">
        <w:rPr>
          <w:rFonts w:ascii="Times New Roman" w:hAnsi="Times New Roman" w:cs="Times New Roman"/>
          <w:sz w:val="24"/>
          <w:szCs w:val="24"/>
        </w:rPr>
        <w:t xml:space="preserve"> is to be made. </w:t>
      </w:r>
      <w:r>
        <w:rPr>
          <w:rFonts w:ascii="Times New Roman" w:hAnsi="Times New Roman" w:cs="Times New Roman"/>
          <w:sz w:val="24"/>
          <w:szCs w:val="24"/>
        </w:rPr>
        <w:t xml:space="preserve">This does not apply </w:t>
      </w:r>
      <w:r w:rsidRPr="00FB0D4F">
        <w:rPr>
          <w:rFonts w:ascii="Times New Roman" w:hAnsi="Times New Roman" w:cs="Times New Roman"/>
          <w:sz w:val="24"/>
          <w:szCs w:val="24"/>
        </w:rPr>
        <w:t>if the law requiring the stopping or reduction of timber harvesting was an interim or temporary measure to enable an assessment of the suitability of all or any part of the area for inclusion in an eligible offsets project or conservation reserve and the law has since been repealed or amended to remove the requirement to stop or reduce timber harvesting</w:t>
      </w:r>
      <w:r>
        <w:rPr>
          <w:rFonts w:ascii="Times New Roman" w:hAnsi="Times New Roman" w:cs="Times New Roman"/>
          <w:sz w:val="24"/>
          <w:szCs w:val="24"/>
        </w:rPr>
        <w:t>.</w:t>
      </w:r>
    </w:p>
    <w:p w14:paraId="671BE84D" w14:textId="560A78C4" w:rsidR="005F2C64" w:rsidRPr="00FE6196" w:rsidRDefault="003E1A19"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government program requirement </w:t>
      </w:r>
      <w:r w:rsidR="00900383">
        <w:rPr>
          <w:rFonts w:ascii="Times New Roman" w:hAnsi="Times New Roman" w:cs="Times New Roman"/>
          <w:sz w:val="24"/>
          <w:szCs w:val="24"/>
        </w:rPr>
        <w:t xml:space="preserve">can be displaced by </w:t>
      </w:r>
      <w:r w:rsidR="001F03D6">
        <w:rPr>
          <w:rFonts w:ascii="Times New Roman" w:hAnsi="Times New Roman" w:cs="Times New Roman"/>
          <w:sz w:val="24"/>
          <w:szCs w:val="24"/>
        </w:rPr>
        <w:t xml:space="preserve">in lieu </w:t>
      </w:r>
      <w:r w:rsidR="009350AE">
        <w:rPr>
          <w:rFonts w:ascii="Times New Roman" w:hAnsi="Times New Roman" w:cs="Times New Roman"/>
          <w:sz w:val="24"/>
          <w:szCs w:val="24"/>
        </w:rPr>
        <w:t>provisions in the legislative rules. As at May 2025,</w:t>
      </w:r>
      <w:r w:rsidR="008615CC">
        <w:rPr>
          <w:rFonts w:ascii="Times New Roman" w:hAnsi="Times New Roman" w:cs="Times New Roman"/>
          <w:sz w:val="24"/>
          <w:szCs w:val="24"/>
        </w:rPr>
        <w:t xml:space="preserve"> section 21 of the </w:t>
      </w:r>
      <w:r w:rsidRPr="00FE6196">
        <w:rPr>
          <w:rFonts w:ascii="Times New Roman" w:hAnsi="Times New Roman" w:cs="Times New Roman"/>
          <w:i/>
          <w:iCs/>
          <w:sz w:val="24"/>
          <w:szCs w:val="24"/>
        </w:rPr>
        <w:t xml:space="preserve">Carbon Credits (Carbon Farming Initiative) Rule </w:t>
      </w:r>
      <w:r w:rsidRPr="00FE6196">
        <w:rPr>
          <w:rFonts w:ascii="Times New Roman" w:hAnsi="Times New Roman" w:cs="Times New Roman"/>
          <w:i/>
          <w:iCs/>
          <w:sz w:val="24"/>
          <w:szCs w:val="24"/>
        </w:rPr>
        <w:lastRenderedPageBreak/>
        <w:t>2015</w:t>
      </w:r>
      <w:r w:rsidRPr="00FE6196">
        <w:rPr>
          <w:rFonts w:ascii="Times New Roman" w:hAnsi="Times New Roman" w:cs="Times New Roman"/>
          <w:sz w:val="24"/>
          <w:szCs w:val="24"/>
        </w:rPr>
        <w:t xml:space="preserve"> </w:t>
      </w:r>
      <w:r w:rsidR="008615CC">
        <w:rPr>
          <w:rFonts w:ascii="Times New Roman" w:hAnsi="Times New Roman" w:cs="Times New Roman"/>
          <w:sz w:val="24"/>
          <w:szCs w:val="24"/>
        </w:rPr>
        <w:t xml:space="preserve">operated in lieu of the </w:t>
      </w:r>
      <w:r w:rsidR="008615CC" w:rsidRPr="004626CB">
        <w:rPr>
          <w:rFonts w:ascii="Times New Roman" w:hAnsi="Times New Roman" w:cs="Times New Roman"/>
          <w:sz w:val="24"/>
          <w:szCs w:val="24"/>
        </w:rPr>
        <w:t>government program requirement</w:t>
      </w:r>
      <w:r w:rsidRPr="00FE6196">
        <w:rPr>
          <w:rFonts w:ascii="Times New Roman" w:hAnsi="Times New Roman" w:cs="Times New Roman"/>
          <w:sz w:val="24"/>
          <w:szCs w:val="24"/>
        </w:rPr>
        <w:t>.</w:t>
      </w:r>
      <w:r w:rsidR="005D4B21">
        <w:rPr>
          <w:rFonts w:ascii="Times New Roman" w:hAnsi="Times New Roman" w:cs="Times New Roman"/>
          <w:sz w:val="24"/>
          <w:szCs w:val="24"/>
        </w:rPr>
        <w:t xml:space="preserve"> None of the </w:t>
      </w:r>
      <w:r w:rsidR="00782995">
        <w:rPr>
          <w:rFonts w:ascii="Times New Roman" w:hAnsi="Times New Roman" w:cs="Times New Roman"/>
          <w:sz w:val="24"/>
          <w:szCs w:val="24"/>
        </w:rPr>
        <w:t xml:space="preserve">requirements in section 21 </w:t>
      </w:r>
      <w:r w:rsidR="00070E0F">
        <w:rPr>
          <w:rFonts w:ascii="Times New Roman" w:hAnsi="Times New Roman" w:cs="Times New Roman"/>
          <w:sz w:val="24"/>
          <w:szCs w:val="24"/>
        </w:rPr>
        <w:t xml:space="preserve">of the </w:t>
      </w:r>
      <w:r w:rsidR="00070E0F" w:rsidRPr="00FE6196">
        <w:rPr>
          <w:rFonts w:ascii="Times New Roman" w:hAnsi="Times New Roman" w:cs="Times New Roman"/>
          <w:i/>
          <w:iCs/>
          <w:sz w:val="24"/>
          <w:szCs w:val="24"/>
        </w:rPr>
        <w:t>Carbon Credits (Carbon Farming Initiative) Rule 2015</w:t>
      </w:r>
      <w:r w:rsidR="00070E0F" w:rsidRPr="00FE6196">
        <w:rPr>
          <w:rFonts w:ascii="Times New Roman" w:hAnsi="Times New Roman" w:cs="Times New Roman"/>
          <w:sz w:val="24"/>
          <w:szCs w:val="24"/>
        </w:rPr>
        <w:t xml:space="preserve"> </w:t>
      </w:r>
      <w:r w:rsidR="00070E0F">
        <w:rPr>
          <w:rFonts w:ascii="Times New Roman" w:hAnsi="Times New Roman" w:cs="Times New Roman"/>
          <w:sz w:val="24"/>
          <w:szCs w:val="24"/>
        </w:rPr>
        <w:t>were applicable</w:t>
      </w:r>
      <w:r w:rsidR="00782995">
        <w:rPr>
          <w:rFonts w:ascii="Times New Roman" w:hAnsi="Times New Roman" w:cs="Times New Roman"/>
          <w:sz w:val="24"/>
          <w:szCs w:val="24"/>
        </w:rPr>
        <w:t xml:space="preserve"> to INFM projects covered by the Determination. </w:t>
      </w:r>
    </w:p>
    <w:p w14:paraId="55EBBBB8" w14:textId="47AA055D" w:rsidR="002E0361" w:rsidRPr="00FE6196" w:rsidRDefault="006860F7" w:rsidP="00DB00CB">
      <w:pPr>
        <w:pStyle w:val="ESHeading"/>
        <w:spacing w:before="120"/>
      </w:pPr>
      <w:r w:rsidRPr="00FE6196">
        <w:rPr>
          <w:color w:val="auto"/>
        </w:rPr>
        <w:t>Documents incorporated by reference</w:t>
      </w:r>
    </w:p>
    <w:p w14:paraId="71BE26D7" w14:textId="7B885B08" w:rsidR="0007525E" w:rsidRDefault="000058BD"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w:t>
      </w:r>
      <w:r w:rsidR="00D420EA">
        <w:rPr>
          <w:rFonts w:ascii="Times New Roman" w:hAnsi="Times New Roman" w:cs="Times New Roman"/>
          <w:sz w:val="24"/>
          <w:szCs w:val="24"/>
        </w:rPr>
        <w:t xml:space="preserve">incorporates </w:t>
      </w:r>
      <w:r w:rsidR="004570AF">
        <w:rPr>
          <w:rFonts w:ascii="Times New Roman" w:hAnsi="Times New Roman" w:cs="Times New Roman"/>
          <w:sz w:val="24"/>
          <w:szCs w:val="24"/>
        </w:rPr>
        <w:t xml:space="preserve">the following documents </w:t>
      </w:r>
      <w:r w:rsidR="00207A7F">
        <w:rPr>
          <w:rFonts w:ascii="Times New Roman" w:hAnsi="Times New Roman" w:cs="Times New Roman"/>
          <w:sz w:val="24"/>
          <w:szCs w:val="24"/>
        </w:rPr>
        <w:t>by reference</w:t>
      </w:r>
      <w:r w:rsidR="004570AF">
        <w:rPr>
          <w:rFonts w:ascii="Times New Roman" w:hAnsi="Times New Roman" w:cs="Times New Roman"/>
          <w:sz w:val="24"/>
          <w:szCs w:val="24"/>
        </w:rPr>
        <w:t>:</w:t>
      </w:r>
      <w:r w:rsidR="00207A7F">
        <w:rPr>
          <w:rFonts w:ascii="Times New Roman" w:hAnsi="Times New Roman" w:cs="Times New Roman"/>
          <w:sz w:val="24"/>
          <w:szCs w:val="24"/>
        </w:rPr>
        <w:t xml:space="preserve"> the</w:t>
      </w:r>
      <w:r w:rsidR="008945B0">
        <w:rPr>
          <w:rFonts w:ascii="Times New Roman" w:hAnsi="Times New Roman" w:cs="Times New Roman"/>
          <w:sz w:val="24"/>
          <w:szCs w:val="24"/>
        </w:rPr>
        <w:t xml:space="preserve"> </w:t>
      </w:r>
      <w:r w:rsidR="008945B0" w:rsidRPr="00FE6196">
        <w:rPr>
          <w:rFonts w:ascii="Times New Roman" w:hAnsi="Times New Roman" w:cs="Times New Roman"/>
          <w:sz w:val="24"/>
          <w:szCs w:val="24"/>
        </w:rPr>
        <w:t>Full Carbon Accounting Model (</w:t>
      </w:r>
      <w:proofErr w:type="spellStart"/>
      <w:r w:rsidR="008945B0" w:rsidRPr="00FE6196">
        <w:rPr>
          <w:rFonts w:ascii="Times New Roman" w:hAnsi="Times New Roman" w:cs="Times New Roman"/>
          <w:sz w:val="24"/>
          <w:szCs w:val="24"/>
        </w:rPr>
        <w:t>FullCAM</w:t>
      </w:r>
      <w:proofErr w:type="spellEnd"/>
      <w:r w:rsidR="008945B0" w:rsidRPr="00FE6196">
        <w:rPr>
          <w:rFonts w:ascii="Times New Roman" w:hAnsi="Times New Roman" w:cs="Times New Roman"/>
          <w:sz w:val="24"/>
          <w:szCs w:val="24"/>
        </w:rPr>
        <w:t>)</w:t>
      </w:r>
      <w:r w:rsidR="00DE7D0F">
        <w:rPr>
          <w:rFonts w:ascii="Times New Roman" w:hAnsi="Times New Roman" w:cs="Times New Roman"/>
          <w:sz w:val="24"/>
          <w:szCs w:val="24"/>
        </w:rPr>
        <w:t xml:space="preserve">; </w:t>
      </w:r>
      <w:proofErr w:type="spellStart"/>
      <w:r w:rsidR="00861C7F" w:rsidRPr="00861C7F">
        <w:rPr>
          <w:rFonts w:ascii="Times New Roman" w:hAnsi="Times New Roman" w:cs="Times New Roman"/>
          <w:sz w:val="24"/>
          <w:szCs w:val="24"/>
        </w:rPr>
        <w:t>FullCAM</w:t>
      </w:r>
      <w:proofErr w:type="spellEnd"/>
      <w:r w:rsidR="00861C7F" w:rsidRPr="00861C7F">
        <w:rPr>
          <w:rFonts w:ascii="Times New Roman" w:hAnsi="Times New Roman" w:cs="Times New Roman"/>
          <w:sz w:val="24"/>
          <w:szCs w:val="24"/>
        </w:rPr>
        <w:t xml:space="preserve"> Guidelines</w:t>
      </w:r>
      <w:r w:rsidR="00207A7F">
        <w:rPr>
          <w:rFonts w:ascii="Times New Roman" w:hAnsi="Times New Roman" w:cs="Times New Roman"/>
          <w:sz w:val="24"/>
          <w:szCs w:val="24"/>
        </w:rPr>
        <w:t xml:space="preserve">; </w:t>
      </w:r>
      <w:r w:rsidR="00623726" w:rsidRPr="00623726">
        <w:rPr>
          <w:rFonts w:ascii="Times New Roman" w:hAnsi="Times New Roman" w:cs="Times New Roman"/>
          <w:sz w:val="24"/>
          <w:szCs w:val="24"/>
        </w:rPr>
        <w:t>Mapping Guidelines</w:t>
      </w:r>
      <w:r w:rsidR="00207A7F">
        <w:rPr>
          <w:rFonts w:ascii="Times New Roman" w:hAnsi="Times New Roman" w:cs="Times New Roman"/>
          <w:sz w:val="24"/>
          <w:szCs w:val="24"/>
        </w:rPr>
        <w:t xml:space="preserve">; </w:t>
      </w:r>
      <w:r w:rsidR="0008310B">
        <w:rPr>
          <w:rFonts w:ascii="Times New Roman" w:hAnsi="Times New Roman" w:cs="Times New Roman"/>
          <w:sz w:val="24"/>
          <w:szCs w:val="24"/>
        </w:rPr>
        <w:t>and the National Vegetation Information System.</w:t>
      </w:r>
      <w:r w:rsidR="00207A7F">
        <w:rPr>
          <w:rFonts w:ascii="Times New Roman" w:hAnsi="Times New Roman" w:cs="Times New Roman"/>
          <w:sz w:val="24"/>
          <w:szCs w:val="24"/>
        </w:rPr>
        <w:t xml:space="preserve"> </w:t>
      </w:r>
    </w:p>
    <w:p w14:paraId="58DF1365" w14:textId="4F0B0769" w:rsidR="00253451" w:rsidRDefault="002E0361"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Determination requires </w:t>
      </w:r>
      <w:r w:rsidR="002B1D30">
        <w:rPr>
          <w:rFonts w:ascii="Times New Roman" w:hAnsi="Times New Roman" w:cs="Times New Roman"/>
          <w:sz w:val="24"/>
          <w:szCs w:val="24"/>
        </w:rPr>
        <w:t xml:space="preserve">forest carbon stocks </w:t>
      </w:r>
      <w:r w:rsidR="002B1D30" w:rsidRPr="002B1D30">
        <w:rPr>
          <w:rFonts w:ascii="Times New Roman" w:hAnsi="Times New Roman" w:cs="Times New Roman"/>
          <w:sz w:val="24"/>
          <w:szCs w:val="24"/>
        </w:rPr>
        <w:t>and CH</w:t>
      </w:r>
      <w:r w:rsidR="002B1D30" w:rsidRPr="008945B0">
        <w:rPr>
          <w:rFonts w:ascii="Times New Roman" w:hAnsi="Times New Roman" w:cs="Times New Roman"/>
          <w:sz w:val="24"/>
          <w:szCs w:val="24"/>
          <w:vertAlign w:val="subscript"/>
        </w:rPr>
        <w:t>4</w:t>
      </w:r>
      <w:r w:rsidR="002B1D30" w:rsidRPr="002B1D30">
        <w:rPr>
          <w:rFonts w:ascii="Times New Roman" w:hAnsi="Times New Roman" w:cs="Times New Roman"/>
          <w:sz w:val="24"/>
          <w:szCs w:val="24"/>
        </w:rPr>
        <w:t xml:space="preserve"> and N</w:t>
      </w:r>
      <w:r w:rsidR="002B1D30" w:rsidRPr="008945B0">
        <w:rPr>
          <w:rFonts w:ascii="Times New Roman" w:hAnsi="Times New Roman" w:cs="Times New Roman"/>
          <w:sz w:val="24"/>
          <w:szCs w:val="24"/>
          <w:vertAlign w:val="subscript"/>
        </w:rPr>
        <w:t>2</w:t>
      </w:r>
      <w:r w:rsidR="002B1D30" w:rsidRPr="002B1D30">
        <w:rPr>
          <w:rFonts w:ascii="Times New Roman" w:hAnsi="Times New Roman" w:cs="Times New Roman"/>
          <w:sz w:val="24"/>
          <w:szCs w:val="24"/>
        </w:rPr>
        <w:t>O emissions associated with post-harvest (slash) burns</w:t>
      </w:r>
      <w:r w:rsidR="002B1D30">
        <w:rPr>
          <w:rFonts w:ascii="Times New Roman" w:hAnsi="Times New Roman" w:cs="Times New Roman"/>
          <w:sz w:val="24"/>
          <w:szCs w:val="24"/>
        </w:rPr>
        <w:t xml:space="preserve"> to be estimated using </w:t>
      </w:r>
      <w:proofErr w:type="spellStart"/>
      <w:r w:rsidR="00DE7D0F">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is the model used to </w:t>
      </w:r>
      <w:r w:rsidR="002B1D30">
        <w:rPr>
          <w:rFonts w:ascii="Times New Roman" w:hAnsi="Times New Roman" w:cs="Times New Roman"/>
          <w:sz w:val="24"/>
          <w:szCs w:val="24"/>
        </w:rPr>
        <w:t xml:space="preserve">estimate </w:t>
      </w:r>
      <w:r w:rsidR="00D74C4E">
        <w:rPr>
          <w:rFonts w:ascii="Times New Roman" w:hAnsi="Times New Roman" w:cs="Times New Roman"/>
          <w:sz w:val="24"/>
          <w:szCs w:val="24"/>
        </w:rPr>
        <w:t>carbon stocks in vegetation and soils in</w:t>
      </w:r>
      <w:r w:rsidRPr="00FE6196">
        <w:rPr>
          <w:rFonts w:ascii="Times New Roman" w:hAnsi="Times New Roman" w:cs="Times New Roman"/>
          <w:sz w:val="24"/>
          <w:szCs w:val="24"/>
        </w:rPr>
        <w:t xml:space="preserve"> Australia’s </w:t>
      </w:r>
      <w:r w:rsidR="00D74C4E">
        <w:rPr>
          <w:rFonts w:ascii="Times New Roman" w:hAnsi="Times New Roman" w:cs="Times New Roman"/>
          <w:sz w:val="24"/>
          <w:szCs w:val="24"/>
        </w:rPr>
        <w:t>National Inventory Report</w:t>
      </w:r>
      <w:r w:rsidR="00ED4295">
        <w:rPr>
          <w:rFonts w:ascii="Times New Roman" w:hAnsi="Times New Roman" w:cs="Times New Roman"/>
          <w:sz w:val="24"/>
          <w:szCs w:val="24"/>
        </w:rPr>
        <w:t xml:space="preserve"> under the Climate Change Convention</w:t>
      </w:r>
      <w:r w:rsidRPr="00FE6196">
        <w:rPr>
          <w:rFonts w:ascii="Times New Roman" w:hAnsi="Times New Roman" w:cs="Times New Roman"/>
          <w:sz w:val="24"/>
          <w:szCs w:val="24"/>
        </w:rPr>
        <w:t>.</w:t>
      </w:r>
      <w:r w:rsidR="00EE3D54">
        <w:rPr>
          <w:rFonts w:ascii="Times New Roman" w:hAnsi="Times New Roman" w:cs="Times New Roman"/>
          <w:sz w:val="24"/>
          <w:szCs w:val="24"/>
        </w:rPr>
        <w:t xml:space="preserve"> </w:t>
      </w:r>
      <w:r w:rsidR="00561C50">
        <w:rPr>
          <w:rFonts w:ascii="Times New Roman" w:hAnsi="Times New Roman" w:cs="Times New Roman"/>
          <w:sz w:val="24"/>
          <w:szCs w:val="24"/>
        </w:rPr>
        <w:t xml:space="preserve">This ensures </w:t>
      </w:r>
      <w:r w:rsidR="00EF591A">
        <w:rPr>
          <w:rFonts w:ascii="Times New Roman" w:hAnsi="Times New Roman" w:cs="Times New Roman"/>
          <w:sz w:val="24"/>
          <w:szCs w:val="24"/>
        </w:rPr>
        <w:t>alignment between the Determination and the National Inventory Report</w:t>
      </w:r>
      <w:r w:rsidR="00561C50">
        <w:rPr>
          <w:rFonts w:ascii="Times New Roman" w:hAnsi="Times New Roman" w:cs="Times New Roman"/>
          <w:sz w:val="24"/>
          <w:szCs w:val="24"/>
        </w:rPr>
        <w:t xml:space="preserve">. </w:t>
      </w:r>
    </w:p>
    <w:p w14:paraId="7AADD6DD" w14:textId="289915F1" w:rsidR="001B32EA" w:rsidRDefault="002E0361"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Determination </w:t>
      </w:r>
      <w:r w:rsidR="0040278F" w:rsidRPr="0040278F">
        <w:rPr>
          <w:rFonts w:ascii="Times New Roman" w:hAnsi="Times New Roman" w:cs="Times New Roman"/>
          <w:sz w:val="24"/>
          <w:szCs w:val="24"/>
        </w:rPr>
        <w:t xml:space="preserve">sets </w:t>
      </w:r>
      <w:r w:rsidRPr="00FE6196">
        <w:rPr>
          <w:rFonts w:ascii="Times New Roman" w:hAnsi="Times New Roman" w:cs="Times New Roman"/>
          <w:sz w:val="24"/>
          <w:szCs w:val="24"/>
        </w:rPr>
        <w:t xml:space="preserve">out requirements for using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while more detailed requirements and instructions</w:t>
      </w:r>
      <w:r w:rsidR="00A26CC0"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are provided in </w:t>
      </w:r>
      <w:r w:rsidR="00A25168" w:rsidRPr="00FE6196">
        <w:rPr>
          <w:rFonts w:ascii="Times New Roman" w:hAnsi="Times New Roman" w:cs="Times New Roman"/>
          <w:sz w:val="24"/>
          <w:szCs w:val="24"/>
        </w:rPr>
        <w:t xml:space="preserve">the </w:t>
      </w: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r w:rsidR="00A25168" w:rsidRPr="00FE6196">
        <w:rPr>
          <w:rFonts w:ascii="Times New Roman" w:hAnsi="Times New Roman" w:cs="Times New Roman"/>
          <w:sz w:val="24"/>
          <w:szCs w:val="24"/>
        </w:rPr>
        <w:t>Guidelines</w:t>
      </w:r>
      <w:r w:rsidRPr="00FE6196">
        <w:rPr>
          <w:rFonts w:ascii="Times New Roman" w:hAnsi="Times New Roman" w:cs="Times New Roman"/>
          <w:sz w:val="24"/>
          <w:szCs w:val="24"/>
        </w:rPr>
        <w:t xml:space="preserve">. </w:t>
      </w:r>
      <w:r w:rsidR="000D4C56">
        <w:rPr>
          <w:rFonts w:ascii="Times New Roman" w:hAnsi="Times New Roman" w:cs="Times New Roman"/>
          <w:sz w:val="24"/>
          <w:szCs w:val="24"/>
        </w:rPr>
        <w:t xml:space="preserve">Projects are required to use the </w:t>
      </w:r>
      <w:r w:rsidR="001B32EA">
        <w:rPr>
          <w:rFonts w:ascii="Times New Roman" w:hAnsi="Times New Roman" w:cs="Times New Roman"/>
          <w:sz w:val="24"/>
          <w:szCs w:val="24"/>
        </w:rPr>
        <w:t xml:space="preserve">version of the </w:t>
      </w:r>
      <w:proofErr w:type="spellStart"/>
      <w:r w:rsidR="001B32EA">
        <w:rPr>
          <w:rFonts w:ascii="Times New Roman" w:hAnsi="Times New Roman" w:cs="Times New Roman"/>
          <w:sz w:val="24"/>
          <w:szCs w:val="24"/>
        </w:rPr>
        <w:t>FullCAM</w:t>
      </w:r>
      <w:proofErr w:type="spellEnd"/>
      <w:r w:rsidR="001B32EA">
        <w:rPr>
          <w:rFonts w:ascii="Times New Roman" w:hAnsi="Times New Roman" w:cs="Times New Roman"/>
          <w:sz w:val="24"/>
          <w:szCs w:val="24"/>
        </w:rPr>
        <w:t xml:space="preserve"> Guidelines that is </w:t>
      </w:r>
      <w:r w:rsidR="001B32EA" w:rsidRPr="001B32EA">
        <w:rPr>
          <w:rFonts w:ascii="Times New Roman" w:hAnsi="Times New Roman" w:cs="Times New Roman"/>
          <w:sz w:val="24"/>
          <w:szCs w:val="24"/>
        </w:rPr>
        <w:t>published from time to time on the Department’s website</w:t>
      </w:r>
      <w:r w:rsidR="001B32EA">
        <w:rPr>
          <w:rFonts w:ascii="Times New Roman" w:hAnsi="Times New Roman" w:cs="Times New Roman"/>
          <w:sz w:val="24"/>
          <w:szCs w:val="24"/>
        </w:rPr>
        <w:t xml:space="preserve">. </w:t>
      </w:r>
    </w:p>
    <w:p w14:paraId="63C7DE6B" w14:textId="77777777" w:rsidR="00F261EF" w:rsidRDefault="001B32EA"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requires </w:t>
      </w:r>
      <w:r w:rsidR="009106F9">
        <w:rPr>
          <w:rFonts w:ascii="Times New Roman" w:hAnsi="Times New Roman" w:cs="Times New Roman"/>
          <w:sz w:val="24"/>
          <w:szCs w:val="24"/>
        </w:rPr>
        <w:t>project</w:t>
      </w:r>
      <w:r w:rsidR="008945B0">
        <w:rPr>
          <w:rFonts w:ascii="Times New Roman" w:hAnsi="Times New Roman" w:cs="Times New Roman"/>
          <w:sz w:val="24"/>
          <w:szCs w:val="24"/>
        </w:rPr>
        <w:t xml:space="preserve"> proponents</w:t>
      </w:r>
      <w:r w:rsidR="009106F9">
        <w:rPr>
          <w:rFonts w:ascii="Times New Roman" w:hAnsi="Times New Roman" w:cs="Times New Roman"/>
          <w:sz w:val="24"/>
          <w:szCs w:val="24"/>
        </w:rPr>
        <w:t xml:space="preserve"> to prepare and maintain a </w:t>
      </w:r>
      <w:r w:rsidR="0008148A">
        <w:rPr>
          <w:rFonts w:ascii="Times New Roman" w:hAnsi="Times New Roman" w:cs="Times New Roman"/>
          <w:sz w:val="24"/>
          <w:szCs w:val="24"/>
        </w:rPr>
        <w:t xml:space="preserve">digital </w:t>
      </w:r>
      <w:r w:rsidR="00C57018">
        <w:rPr>
          <w:rFonts w:ascii="Times New Roman" w:hAnsi="Times New Roman" w:cs="Times New Roman"/>
          <w:sz w:val="24"/>
          <w:szCs w:val="24"/>
        </w:rPr>
        <w:t>p</w:t>
      </w:r>
      <w:r w:rsidR="009106F9" w:rsidRPr="009106F9">
        <w:rPr>
          <w:rFonts w:ascii="Times New Roman" w:hAnsi="Times New Roman" w:cs="Times New Roman"/>
          <w:sz w:val="24"/>
          <w:szCs w:val="24"/>
        </w:rPr>
        <w:t xml:space="preserve">roject map </w:t>
      </w:r>
      <w:r w:rsidR="00F261EF">
        <w:rPr>
          <w:rFonts w:ascii="Times New Roman" w:hAnsi="Times New Roman" w:cs="Times New Roman"/>
          <w:sz w:val="24"/>
          <w:szCs w:val="24"/>
        </w:rPr>
        <w:t>that identifies:</w:t>
      </w:r>
      <w:r w:rsidR="009106F9" w:rsidRPr="009106F9">
        <w:rPr>
          <w:rFonts w:ascii="Times New Roman" w:hAnsi="Times New Roman" w:cs="Times New Roman"/>
          <w:sz w:val="24"/>
          <w:szCs w:val="24"/>
        </w:rPr>
        <w:t xml:space="preserve"> </w:t>
      </w:r>
    </w:p>
    <w:p w14:paraId="790DAF29" w14:textId="77777777" w:rsidR="00B61C82" w:rsidRPr="00B61C82" w:rsidRDefault="009106F9" w:rsidP="009D5A62">
      <w:pPr>
        <w:pStyle w:val="ListParagraph"/>
        <w:numPr>
          <w:ilvl w:val="0"/>
          <w:numId w:val="31"/>
        </w:numPr>
        <w:spacing w:before="120" w:after="120" w:line="240" w:lineRule="auto"/>
        <w:ind w:left="714" w:hanging="357"/>
        <w:contextualSpacing w:val="0"/>
        <w:rPr>
          <w:rFonts w:ascii="Times New Roman" w:hAnsi="Times New Roman" w:cs="Times New Roman"/>
          <w:sz w:val="24"/>
          <w:szCs w:val="24"/>
        </w:rPr>
      </w:pPr>
      <w:r w:rsidRPr="00B61C82">
        <w:rPr>
          <w:rFonts w:ascii="Times New Roman" w:hAnsi="Times New Roman" w:cs="Times New Roman"/>
          <w:sz w:val="24"/>
          <w:szCs w:val="24"/>
        </w:rPr>
        <w:t xml:space="preserve">the boundaries of the project area, the forestry region(s) in which the project area is located and any proposed carbon protection </w:t>
      </w:r>
      <w:proofErr w:type="gramStart"/>
      <w:r w:rsidRPr="00B61C82">
        <w:rPr>
          <w:rFonts w:ascii="Times New Roman" w:hAnsi="Times New Roman" w:cs="Times New Roman"/>
          <w:sz w:val="24"/>
          <w:szCs w:val="24"/>
        </w:rPr>
        <w:t>areas</w:t>
      </w:r>
      <w:r w:rsidR="00B61C82" w:rsidRPr="00B61C82">
        <w:rPr>
          <w:rFonts w:ascii="Times New Roman" w:hAnsi="Times New Roman" w:cs="Times New Roman"/>
          <w:sz w:val="24"/>
          <w:szCs w:val="24"/>
        </w:rPr>
        <w:t>;</w:t>
      </w:r>
      <w:proofErr w:type="gramEnd"/>
      <w:r w:rsidR="00B61C82" w:rsidRPr="00B61C82">
        <w:rPr>
          <w:rFonts w:ascii="Times New Roman" w:hAnsi="Times New Roman" w:cs="Times New Roman"/>
          <w:sz w:val="24"/>
          <w:szCs w:val="24"/>
        </w:rPr>
        <w:t xml:space="preserve"> </w:t>
      </w:r>
    </w:p>
    <w:p w14:paraId="4337EDE5" w14:textId="77777777" w:rsidR="00B61C82" w:rsidRPr="00B61C82" w:rsidRDefault="00051E8E" w:rsidP="009D5A62">
      <w:pPr>
        <w:pStyle w:val="ListParagraph"/>
        <w:numPr>
          <w:ilvl w:val="0"/>
          <w:numId w:val="31"/>
        </w:numPr>
        <w:spacing w:before="120" w:after="120" w:line="240" w:lineRule="auto"/>
        <w:ind w:left="714" w:hanging="357"/>
        <w:contextualSpacing w:val="0"/>
        <w:rPr>
          <w:rFonts w:ascii="Times New Roman" w:hAnsi="Times New Roman" w:cs="Times New Roman"/>
          <w:sz w:val="24"/>
          <w:szCs w:val="24"/>
        </w:rPr>
      </w:pPr>
      <w:r w:rsidRPr="00B61C82">
        <w:rPr>
          <w:rFonts w:ascii="Times New Roman" w:hAnsi="Times New Roman" w:cs="Times New Roman"/>
          <w:sz w:val="24"/>
          <w:szCs w:val="24"/>
        </w:rPr>
        <w:t>the spatial distribution of each major vegetation group across the project area; and</w:t>
      </w:r>
    </w:p>
    <w:p w14:paraId="4B544205" w14:textId="384613EF" w:rsidR="00051E8E" w:rsidRPr="00B61C82" w:rsidRDefault="00051E8E" w:rsidP="009D5A62">
      <w:pPr>
        <w:pStyle w:val="ListParagraph"/>
        <w:numPr>
          <w:ilvl w:val="0"/>
          <w:numId w:val="31"/>
        </w:numPr>
        <w:spacing w:before="120" w:after="120" w:line="240" w:lineRule="auto"/>
        <w:ind w:left="714" w:hanging="357"/>
        <w:contextualSpacing w:val="0"/>
        <w:rPr>
          <w:rFonts w:ascii="Times New Roman" w:hAnsi="Times New Roman" w:cs="Times New Roman"/>
          <w:sz w:val="24"/>
          <w:szCs w:val="24"/>
        </w:rPr>
      </w:pPr>
      <w:r w:rsidRPr="00B61C82">
        <w:rPr>
          <w:rFonts w:ascii="Times New Roman" w:hAnsi="Times New Roman" w:cs="Times New Roman"/>
          <w:sz w:val="24"/>
          <w:szCs w:val="24"/>
        </w:rPr>
        <w:t xml:space="preserve">the age class of the public native forests in the project area </w:t>
      </w:r>
      <w:r w:rsidR="00F62832">
        <w:rPr>
          <w:rFonts w:ascii="Times New Roman" w:hAnsi="Times New Roman" w:cs="Times New Roman"/>
          <w:sz w:val="24"/>
          <w:szCs w:val="24"/>
        </w:rPr>
        <w:t xml:space="preserve">within </w:t>
      </w:r>
      <w:r w:rsidRPr="00B61C82">
        <w:rPr>
          <w:rFonts w:ascii="Times New Roman" w:hAnsi="Times New Roman" w:cs="Times New Roman"/>
          <w:sz w:val="24"/>
          <w:szCs w:val="24"/>
        </w:rPr>
        <w:t>major vegetation groups (set out separately for carbon protection areas and other areas).</w:t>
      </w:r>
    </w:p>
    <w:p w14:paraId="36B0F88D" w14:textId="670F36C5" w:rsidR="0070443E" w:rsidRDefault="009106F9" w:rsidP="00DB00CB">
      <w:pPr>
        <w:spacing w:before="120" w:after="120" w:line="240" w:lineRule="auto"/>
        <w:rPr>
          <w:rFonts w:ascii="Times New Roman" w:hAnsi="Times New Roman" w:cs="Times New Roman"/>
          <w:sz w:val="24"/>
          <w:szCs w:val="24"/>
        </w:rPr>
      </w:pPr>
      <w:r w:rsidRPr="00B6189F">
        <w:rPr>
          <w:rFonts w:ascii="Times New Roman" w:hAnsi="Times New Roman" w:cs="Times New Roman"/>
          <w:sz w:val="24"/>
          <w:szCs w:val="24"/>
        </w:rPr>
        <w:t>The project map must be prepared in accordance with the INFM Mapping Guidelines.</w:t>
      </w:r>
      <w:r w:rsidR="00B6189F" w:rsidRPr="00B6189F">
        <w:rPr>
          <w:rFonts w:ascii="Times New Roman" w:hAnsi="Times New Roman" w:cs="Times New Roman"/>
          <w:sz w:val="24"/>
          <w:szCs w:val="24"/>
        </w:rPr>
        <w:t xml:space="preserve"> </w:t>
      </w:r>
      <w:r w:rsidR="0070443E">
        <w:rPr>
          <w:rFonts w:ascii="Times New Roman" w:hAnsi="Times New Roman" w:cs="Times New Roman"/>
          <w:sz w:val="24"/>
          <w:szCs w:val="24"/>
        </w:rPr>
        <w:t>Under the Determination, m</w:t>
      </w:r>
      <w:r w:rsidR="00206006" w:rsidRPr="00206006">
        <w:rPr>
          <w:rFonts w:ascii="Times New Roman" w:hAnsi="Times New Roman" w:cs="Times New Roman"/>
          <w:sz w:val="24"/>
          <w:szCs w:val="24"/>
        </w:rPr>
        <w:t>ajor vegetation group</w:t>
      </w:r>
      <w:r w:rsidR="0070443E">
        <w:rPr>
          <w:rFonts w:ascii="Times New Roman" w:hAnsi="Times New Roman" w:cs="Times New Roman"/>
          <w:sz w:val="24"/>
          <w:szCs w:val="24"/>
        </w:rPr>
        <w:t>s</w:t>
      </w:r>
      <w:r w:rsidR="00206006" w:rsidRPr="00206006">
        <w:rPr>
          <w:rFonts w:ascii="Times New Roman" w:hAnsi="Times New Roman" w:cs="Times New Roman"/>
          <w:sz w:val="24"/>
          <w:szCs w:val="24"/>
        </w:rPr>
        <w:t xml:space="preserve"> </w:t>
      </w:r>
      <w:r w:rsidR="0070443E">
        <w:rPr>
          <w:rFonts w:ascii="Times New Roman" w:hAnsi="Times New Roman" w:cs="Times New Roman"/>
          <w:sz w:val="24"/>
          <w:szCs w:val="24"/>
        </w:rPr>
        <w:t xml:space="preserve">must be </w:t>
      </w:r>
      <w:r w:rsidR="00206006" w:rsidRPr="00206006">
        <w:rPr>
          <w:rFonts w:ascii="Times New Roman" w:hAnsi="Times New Roman" w:cs="Times New Roman"/>
          <w:sz w:val="24"/>
          <w:szCs w:val="24"/>
        </w:rPr>
        <w:t xml:space="preserve">defined in </w:t>
      </w:r>
      <w:r w:rsidR="0070443E">
        <w:rPr>
          <w:rFonts w:ascii="Times New Roman" w:hAnsi="Times New Roman" w:cs="Times New Roman"/>
          <w:sz w:val="24"/>
          <w:szCs w:val="24"/>
        </w:rPr>
        <w:t xml:space="preserve">accordance with </w:t>
      </w:r>
      <w:r w:rsidR="00206006" w:rsidRPr="00206006">
        <w:rPr>
          <w:rFonts w:ascii="Times New Roman" w:hAnsi="Times New Roman" w:cs="Times New Roman"/>
          <w:sz w:val="24"/>
          <w:szCs w:val="24"/>
        </w:rPr>
        <w:t xml:space="preserve">the </w:t>
      </w:r>
      <w:r w:rsidR="005A37DF" w:rsidRPr="005A37DF">
        <w:rPr>
          <w:rFonts w:ascii="Times New Roman" w:hAnsi="Times New Roman" w:cs="Times New Roman"/>
          <w:sz w:val="24"/>
          <w:szCs w:val="24"/>
        </w:rPr>
        <w:t xml:space="preserve">latest publicly released version </w:t>
      </w:r>
      <w:r w:rsidR="004365FA">
        <w:rPr>
          <w:rFonts w:ascii="Times New Roman" w:hAnsi="Times New Roman" w:cs="Times New Roman"/>
          <w:sz w:val="24"/>
          <w:szCs w:val="24"/>
        </w:rPr>
        <w:t xml:space="preserve">of the </w:t>
      </w:r>
      <w:r w:rsidR="00206006" w:rsidRPr="00206006">
        <w:rPr>
          <w:rFonts w:ascii="Times New Roman" w:hAnsi="Times New Roman" w:cs="Times New Roman"/>
          <w:sz w:val="24"/>
          <w:szCs w:val="24"/>
        </w:rPr>
        <w:t>National Vegetation Information System</w:t>
      </w:r>
      <w:r w:rsidR="0070443E">
        <w:rPr>
          <w:rFonts w:ascii="Times New Roman" w:hAnsi="Times New Roman" w:cs="Times New Roman"/>
          <w:sz w:val="24"/>
          <w:szCs w:val="24"/>
        </w:rPr>
        <w:t>.</w:t>
      </w:r>
    </w:p>
    <w:p w14:paraId="63C1E0C2" w14:textId="7FF98975" w:rsidR="00AE0DB4" w:rsidRPr="00FE6196" w:rsidRDefault="002E0361"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incorporation of </w:t>
      </w:r>
      <w:proofErr w:type="spellStart"/>
      <w:r w:rsidR="00C64800">
        <w:rPr>
          <w:rFonts w:ascii="Times New Roman" w:hAnsi="Times New Roman" w:cs="Times New Roman"/>
          <w:sz w:val="24"/>
          <w:szCs w:val="24"/>
        </w:rPr>
        <w:t>FullCAM</w:t>
      </w:r>
      <w:proofErr w:type="spellEnd"/>
      <w:r w:rsidR="00682A3B">
        <w:rPr>
          <w:rFonts w:ascii="Times New Roman" w:hAnsi="Times New Roman" w:cs="Times New Roman"/>
          <w:sz w:val="24"/>
          <w:szCs w:val="24"/>
        </w:rPr>
        <w:t xml:space="preserve"> and the </w:t>
      </w:r>
      <w:proofErr w:type="spellStart"/>
      <w:r w:rsidR="00C64800" w:rsidRPr="00C64800">
        <w:rPr>
          <w:rFonts w:ascii="Times New Roman" w:hAnsi="Times New Roman" w:cs="Times New Roman"/>
          <w:sz w:val="24"/>
          <w:szCs w:val="24"/>
        </w:rPr>
        <w:t>FullCAM</w:t>
      </w:r>
      <w:proofErr w:type="spellEnd"/>
      <w:r w:rsidR="00C64800" w:rsidRPr="00C64800">
        <w:rPr>
          <w:rFonts w:ascii="Times New Roman" w:hAnsi="Times New Roman" w:cs="Times New Roman"/>
          <w:sz w:val="24"/>
          <w:szCs w:val="24"/>
        </w:rPr>
        <w:t xml:space="preserve"> Guidelines</w:t>
      </w:r>
      <w:r w:rsidR="00682A3B">
        <w:rPr>
          <w:rFonts w:ascii="Times New Roman" w:hAnsi="Times New Roman" w:cs="Times New Roman"/>
          <w:sz w:val="24"/>
          <w:szCs w:val="24"/>
        </w:rPr>
        <w:t>,</w:t>
      </w:r>
      <w:r w:rsidR="00C64800" w:rsidRPr="00C64800">
        <w:rPr>
          <w:rFonts w:ascii="Times New Roman" w:hAnsi="Times New Roman" w:cs="Times New Roman"/>
          <w:sz w:val="24"/>
          <w:szCs w:val="24"/>
        </w:rPr>
        <w:t xml:space="preserve"> Mapping Guidelines</w:t>
      </w:r>
      <w:r w:rsidR="00A50D53">
        <w:rPr>
          <w:rFonts w:ascii="Times New Roman" w:hAnsi="Times New Roman" w:cs="Times New Roman"/>
          <w:sz w:val="24"/>
          <w:szCs w:val="24"/>
        </w:rPr>
        <w:t xml:space="preserve"> </w:t>
      </w:r>
      <w:r w:rsidR="00C64800" w:rsidRPr="00C64800">
        <w:rPr>
          <w:rFonts w:ascii="Times New Roman" w:hAnsi="Times New Roman" w:cs="Times New Roman"/>
          <w:sz w:val="24"/>
          <w:szCs w:val="24"/>
        </w:rPr>
        <w:t>and the National Vegetation Information System</w:t>
      </w:r>
      <w:r w:rsidR="0032334E">
        <w:rPr>
          <w:rFonts w:ascii="Times New Roman" w:hAnsi="Times New Roman" w:cs="Times New Roman"/>
          <w:sz w:val="24"/>
          <w:szCs w:val="24"/>
        </w:rPr>
        <w:t>,</w:t>
      </w:r>
      <w:r w:rsidR="00DE7D0F" w:rsidRPr="00FE6196">
        <w:rPr>
          <w:rFonts w:ascii="Times New Roman" w:hAnsi="Times New Roman" w:cs="Times New Roman"/>
          <w:sz w:val="24"/>
          <w:szCs w:val="24"/>
        </w:rPr>
        <w:t xml:space="preserve"> </w:t>
      </w:r>
      <w:r w:rsidRPr="00FE6196">
        <w:rPr>
          <w:rFonts w:ascii="Times New Roman" w:hAnsi="Times New Roman" w:cs="Times New Roman"/>
          <w:sz w:val="24"/>
          <w:szCs w:val="24"/>
        </w:rPr>
        <w:t>as in force from time to time</w:t>
      </w:r>
      <w:r w:rsidR="0032334E">
        <w:rPr>
          <w:rFonts w:ascii="Times New Roman" w:hAnsi="Times New Roman" w:cs="Times New Roman"/>
          <w:sz w:val="24"/>
          <w:szCs w:val="24"/>
        </w:rPr>
        <w:t>,</w:t>
      </w:r>
      <w:r w:rsidRPr="00FE6196">
        <w:rPr>
          <w:rFonts w:ascii="Times New Roman" w:hAnsi="Times New Roman" w:cs="Times New Roman"/>
          <w:sz w:val="24"/>
          <w:szCs w:val="24"/>
        </w:rPr>
        <w:t xml:space="preserve"> is authorised by s</w:t>
      </w:r>
      <w:r w:rsidR="00DB719C" w:rsidRPr="00FE6196">
        <w:rPr>
          <w:rFonts w:ascii="Times New Roman" w:hAnsi="Times New Roman" w:cs="Times New Roman"/>
          <w:sz w:val="24"/>
          <w:szCs w:val="24"/>
        </w:rPr>
        <w:t>ub</w:t>
      </w:r>
      <w:r w:rsidR="00557080" w:rsidRPr="00FE6196">
        <w:rPr>
          <w:rFonts w:ascii="Times New Roman" w:hAnsi="Times New Roman" w:cs="Times New Roman"/>
          <w:sz w:val="24"/>
          <w:szCs w:val="24"/>
        </w:rPr>
        <w:t>s</w:t>
      </w:r>
      <w:r w:rsidRPr="00FE6196">
        <w:rPr>
          <w:rFonts w:ascii="Times New Roman" w:hAnsi="Times New Roman" w:cs="Times New Roman"/>
          <w:sz w:val="24"/>
          <w:szCs w:val="24"/>
        </w:rPr>
        <w:t xml:space="preserve">ection 106(8) of the </w:t>
      </w:r>
      <w:r w:rsidR="00DE7D0F">
        <w:rPr>
          <w:rFonts w:ascii="Times New Roman" w:hAnsi="Times New Roman" w:cs="Times New Roman"/>
          <w:sz w:val="24"/>
          <w:szCs w:val="24"/>
        </w:rPr>
        <w:t xml:space="preserve">CFI </w:t>
      </w:r>
      <w:r w:rsidRPr="00FE6196">
        <w:rPr>
          <w:rFonts w:ascii="Times New Roman" w:hAnsi="Times New Roman" w:cs="Times New Roman"/>
          <w:sz w:val="24"/>
          <w:szCs w:val="24"/>
        </w:rPr>
        <w:t>A</w:t>
      </w:r>
      <w:r w:rsidR="006860F7" w:rsidRPr="00FE6196">
        <w:rPr>
          <w:rFonts w:ascii="Times New Roman" w:hAnsi="Times New Roman" w:cs="Times New Roman"/>
          <w:sz w:val="24"/>
          <w:szCs w:val="24"/>
        </w:rPr>
        <w:t>ct.</w:t>
      </w:r>
    </w:p>
    <w:p w14:paraId="72F8ABF7" w14:textId="2DFE2864" w:rsidR="003C4F1E" w:rsidRPr="00FE6196" w:rsidRDefault="003C4F1E" w:rsidP="00DB00CB">
      <w:pPr>
        <w:spacing w:before="120" w:after="120" w:line="240" w:lineRule="auto"/>
        <w:rPr>
          <w:rFonts w:ascii="Times New Roman" w:hAnsi="Times New Roman" w:cs="Times New Roman"/>
          <w:b/>
          <w:bCs/>
          <w:sz w:val="24"/>
          <w:szCs w:val="24"/>
        </w:rPr>
      </w:pPr>
      <w:r w:rsidRPr="00FE6196">
        <w:rPr>
          <w:rFonts w:ascii="Times New Roman" w:hAnsi="Times New Roman" w:cs="Times New Roman"/>
          <w:b/>
          <w:bCs/>
          <w:sz w:val="24"/>
          <w:szCs w:val="24"/>
        </w:rPr>
        <w:t xml:space="preserve">Permanence period </w:t>
      </w:r>
    </w:p>
    <w:p w14:paraId="0264FB20" w14:textId="2E423468" w:rsidR="00400B68" w:rsidRDefault="00C41FE5"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CFI Act requires credited sequestration to be maintained for the length of the permanence period. </w:t>
      </w:r>
      <w:r w:rsidR="009F5F1C">
        <w:rPr>
          <w:rFonts w:ascii="Times New Roman" w:hAnsi="Times New Roman" w:cs="Times New Roman"/>
          <w:sz w:val="24"/>
          <w:szCs w:val="24"/>
        </w:rPr>
        <w:t>S</w:t>
      </w:r>
      <w:r w:rsidR="00E66BF6">
        <w:rPr>
          <w:rFonts w:ascii="Times New Roman" w:hAnsi="Times New Roman" w:cs="Times New Roman"/>
          <w:sz w:val="24"/>
          <w:szCs w:val="24"/>
        </w:rPr>
        <w:t xml:space="preserve">ection </w:t>
      </w:r>
      <w:r w:rsidR="009F5F1C">
        <w:rPr>
          <w:rFonts w:ascii="Times New Roman" w:hAnsi="Times New Roman" w:cs="Times New Roman"/>
          <w:sz w:val="24"/>
          <w:szCs w:val="24"/>
        </w:rPr>
        <w:t>86A of the CFI Act</w:t>
      </w:r>
      <w:r w:rsidR="00400B68">
        <w:rPr>
          <w:rFonts w:ascii="Times New Roman" w:hAnsi="Times New Roman" w:cs="Times New Roman"/>
          <w:sz w:val="24"/>
          <w:szCs w:val="24"/>
        </w:rPr>
        <w:t xml:space="preserve"> specif</w:t>
      </w:r>
      <w:r w:rsidR="00D62042">
        <w:rPr>
          <w:rFonts w:ascii="Times New Roman" w:hAnsi="Times New Roman" w:cs="Times New Roman"/>
          <w:sz w:val="24"/>
          <w:szCs w:val="24"/>
        </w:rPr>
        <w:t>ies</w:t>
      </w:r>
      <w:r w:rsidR="00400B68">
        <w:rPr>
          <w:rFonts w:ascii="Times New Roman" w:hAnsi="Times New Roman" w:cs="Times New Roman"/>
          <w:sz w:val="24"/>
          <w:szCs w:val="24"/>
        </w:rPr>
        <w:t xml:space="preserve"> that </w:t>
      </w:r>
      <w:r w:rsidR="00400B68" w:rsidRPr="00400B68">
        <w:rPr>
          <w:rFonts w:ascii="Times New Roman" w:hAnsi="Times New Roman" w:cs="Times New Roman"/>
          <w:sz w:val="24"/>
          <w:szCs w:val="24"/>
        </w:rPr>
        <w:t xml:space="preserve">the permanence period for </w:t>
      </w:r>
      <w:r w:rsidR="00400B68">
        <w:rPr>
          <w:rFonts w:ascii="Times New Roman" w:hAnsi="Times New Roman" w:cs="Times New Roman"/>
          <w:sz w:val="24"/>
          <w:szCs w:val="24"/>
        </w:rPr>
        <w:t>sequestration</w:t>
      </w:r>
      <w:r w:rsidR="00400B68" w:rsidRPr="00400B68">
        <w:rPr>
          <w:rFonts w:ascii="Times New Roman" w:hAnsi="Times New Roman" w:cs="Times New Roman"/>
          <w:sz w:val="24"/>
          <w:szCs w:val="24"/>
        </w:rPr>
        <w:t xml:space="preserve"> offsets project </w:t>
      </w:r>
      <w:r w:rsidR="00400B68">
        <w:rPr>
          <w:rFonts w:ascii="Times New Roman" w:hAnsi="Times New Roman" w:cs="Times New Roman"/>
          <w:sz w:val="24"/>
          <w:szCs w:val="24"/>
        </w:rPr>
        <w:t xml:space="preserve">must be </w:t>
      </w:r>
      <w:r w:rsidR="00B05998">
        <w:rPr>
          <w:rFonts w:ascii="Times New Roman" w:hAnsi="Times New Roman" w:cs="Times New Roman"/>
          <w:sz w:val="24"/>
          <w:szCs w:val="24"/>
        </w:rPr>
        <w:t>25 years</w:t>
      </w:r>
      <w:r w:rsidR="00D00BDF">
        <w:rPr>
          <w:rFonts w:ascii="Times New Roman" w:hAnsi="Times New Roman" w:cs="Times New Roman"/>
          <w:sz w:val="24"/>
          <w:szCs w:val="24"/>
        </w:rPr>
        <w:t xml:space="preserve"> </w:t>
      </w:r>
      <w:r w:rsidR="00BC0C18">
        <w:rPr>
          <w:rFonts w:ascii="Times New Roman" w:hAnsi="Times New Roman" w:cs="Times New Roman"/>
          <w:sz w:val="24"/>
          <w:szCs w:val="24"/>
        </w:rPr>
        <w:t>or</w:t>
      </w:r>
      <w:r w:rsidR="00B05998">
        <w:rPr>
          <w:rFonts w:ascii="Times New Roman" w:hAnsi="Times New Roman" w:cs="Times New Roman"/>
          <w:sz w:val="24"/>
          <w:szCs w:val="24"/>
        </w:rPr>
        <w:t xml:space="preserve"> 100 years</w:t>
      </w:r>
      <w:r w:rsidR="00BC0C18">
        <w:rPr>
          <w:rFonts w:ascii="Times New Roman" w:hAnsi="Times New Roman" w:cs="Times New Roman"/>
          <w:sz w:val="24"/>
          <w:szCs w:val="24"/>
        </w:rPr>
        <w:t xml:space="preserve">. In certain circumstances, </w:t>
      </w:r>
      <w:r w:rsidR="006474F1">
        <w:rPr>
          <w:rFonts w:ascii="Times New Roman" w:hAnsi="Times New Roman" w:cs="Times New Roman"/>
          <w:sz w:val="24"/>
          <w:szCs w:val="24"/>
        </w:rPr>
        <w:t xml:space="preserve">the </w:t>
      </w:r>
      <w:r w:rsidR="00412D47">
        <w:rPr>
          <w:rFonts w:ascii="Times New Roman" w:hAnsi="Times New Roman" w:cs="Times New Roman"/>
          <w:sz w:val="24"/>
          <w:szCs w:val="24"/>
        </w:rPr>
        <w:t xml:space="preserve">regulations or </w:t>
      </w:r>
      <w:r w:rsidR="006474F1">
        <w:rPr>
          <w:rFonts w:ascii="Times New Roman" w:hAnsi="Times New Roman" w:cs="Times New Roman"/>
          <w:sz w:val="24"/>
          <w:szCs w:val="24"/>
        </w:rPr>
        <w:t>legislative rules can specify alternative per</w:t>
      </w:r>
      <w:r w:rsidR="00412D47">
        <w:rPr>
          <w:rFonts w:ascii="Times New Roman" w:hAnsi="Times New Roman" w:cs="Times New Roman"/>
          <w:sz w:val="24"/>
          <w:szCs w:val="24"/>
        </w:rPr>
        <w:t xml:space="preserve">manence periods. </w:t>
      </w:r>
    </w:p>
    <w:p w14:paraId="2D323092" w14:textId="14A9C789" w:rsidR="001F5E37" w:rsidRDefault="003C4F1E"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23 of the </w:t>
      </w:r>
      <w:r w:rsidR="00B03F05">
        <w:rPr>
          <w:rFonts w:ascii="Times New Roman" w:hAnsi="Times New Roman" w:cs="Times New Roman"/>
          <w:sz w:val="24"/>
          <w:szCs w:val="24"/>
        </w:rPr>
        <w:t xml:space="preserve">CFI </w:t>
      </w:r>
      <w:r w:rsidRPr="00FE6196">
        <w:rPr>
          <w:rFonts w:ascii="Times New Roman" w:hAnsi="Times New Roman" w:cs="Times New Roman"/>
          <w:sz w:val="24"/>
          <w:szCs w:val="24"/>
        </w:rPr>
        <w:t xml:space="preserve">Act provides that, if a project is a sequestration offsets project, an application to the Regulator under section 22 must include a request that </w:t>
      </w:r>
      <w:r w:rsidR="008D5125" w:rsidRPr="00FE6196">
        <w:rPr>
          <w:rFonts w:ascii="Times New Roman" w:hAnsi="Times New Roman" w:cs="Times New Roman"/>
          <w:sz w:val="24"/>
          <w:szCs w:val="24"/>
        </w:rPr>
        <w:t>a</w:t>
      </w:r>
      <w:r w:rsidRPr="00FE6196">
        <w:rPr>
          <w:rFonts w:ascii="Times New Roman" w:hAnsi="Times New Roman" w:cs="Times New Roman"/>
          <w:sz w:val="24"/>
          <w:szCs w:val="24"/>
        </w:rPr>
        <w:t xml:space="preserve"> project be subject to either a 100-year or 25-year permanence period. Once </w:t>
      </w:r>
      <w:r w:rsidR="00634CF6">
        <w:rPr>
          <w:rFonts w:ascii="Times New Roman" w:hAnsi="Times New Roman" w:cs="Times New Roman"/>
          <w:sz w:val="24"/>
          <w:szCs w:val="24"/>
        </w:rPr>
        <w:t>registered as an eligible offsets project</w:t>
      </w:r>
      <w:r w:rsidRPr="00FE6196">
        <w:rPr>
          <w:rFonts w:ascii="Times New Roman" w:hAnsi="Times New Roman" w:cs="Times New Roman"/>
          <w:sz w:val="24"/>
          <w:szCs w:val="24"/>
        </w:rPr>
        <w:t xml:space="preserve">, the permanence period is </w:t>
      </w:r>
      <w:r w:rsidR="00CC4737" w:rsidRPr="00FE6196">
        <w:rPr>
          <w:rFonts w:ascii="Times New Roman" w:hAnsi="Times New Roman" w:cs="Times New Roman"/>
          <w:sz w:val="24"/>
          <w:szCs w:val="24"/>
        </w:rPr>
        <w:t>fixed</w:t>
      </w:r>
      <w:r w:rsidR="00B03F05">
        <w:rPr>
          <w:rFonts w:ascii="Times New Roman" w:hAnsi="Times New Roman" w:cs="Times New Roman"/>
          <w:sz w:val="24"/>
          <w:szCs w:val="24"/>
        </w:rPr>
        <w:t xml:space="preserve"> – projects cannot move between </w:t>
      </w:r>
      <w:r w:rsidRPr="00FE6196">
        <w:rPr>
          <w:rFonts w:ascii="Times New Roman" w:hAnsi="Times New Roman" w:cs="Times New Roman"/>
          <w:sz w:val="24"/>
          <w:szCs w:val="24"/>
        </w:rPr>
        <w:t>permanence periods.</w:t>
      </w:r>
    </w:p>
    <w:p w14:paraId="0263069C" w14:textId="00824858" w:rsidR="001F5E37" w:rsidRDefault="00D62541" w:rsidP="00DB00CB">
      <w:pPr>
        <w:spacing w:before="120" w:after="120" w:line="240" w:lineRule="auto"/>
        <w:rPr>
          <w:rFonts w:ascii="Times New Roman" w:hAnsi="Times New Roman" w:cs="Times New Roman"/>
          <w:sz w:val="24"/>
          <w:szCs w:val="24"/>
        </w:rPr>
      </w:pPr>
      <w:r w:rsidRPr="001F5E37">
        <w:rPr>
          <w:rFonts w:ascii="Times New Roman" w:hAnsi="Times New Roman" w:cs="Times New Roman"/>
          <w:sz w:val="24"/>
          <w:szCs w:val="24"/>
        </w:rPr>
        <w:t xml:space="preserve">The Determination does not allow 25-year permanence </w:t>
      </w:r>
      <w:r w:rsidR="001F5E37" w:rsidRPr="001F5E37">
        <w:rPr>
          <w:rFonts w:ascii="Times New Roman" w:hAnsi="Times New Roman" w:cs="Times New Roman"/>
          <w:sz w:val="24"/>
          <w:szCs w:val="24"/>
        </w:rPr>
        <w:t xml:space="preserve">periods. To be eligible for registration, </w:t>
      </w:r>
      <w:r w:rsidR="001F5E37">
        <w:rPr>
          <w:rFonts w:ascii="Times New Roman" w:hAnsi="Times New Roman" w:cs="Times New Roman"/>
          <w:sz w:val="24"/>
          <w:szCs w:val="24"/>
        </w:rPr>
        <w:t>a</w:t>
      </w:r>
      <w:r w:rsidR="001F5E37" w:rsidRPr="001F5E37">
        <w:rPr>
          <w:rFonts w:ascii="Times New Roman" w:hAnsi="Times New Roman" w:cs="Times New Roman"/>
          <w:sz w:val="24"/>
          <w:szCs w:val="24"/>
        </w:rPr>
        <w:t xml:space="preserve">pplicants </w:t>
      </w:r>
      <w:r w:rsidR="001F5E37">
        <w:rPr>
          <w:rFonts w:ascii="Times New Roman" w:hAnsi="Times New Roman" w:cs="Times New Roman"/>
          <w:sz w:val="24"/>
          <w:szCs w:val="24"/>
        </w:rPr>
        <w:t xml:space="preserve">for </w:t>
      </w:r>
      <w:r w:rsidR="00B84FD5">
        <w:rPr>
          <w:rFonts w:ascii="Times New Roman" w:hAnsi="Times New Roman" w:cs="Times New Roman"/>
          <w:sz w:val="24"/>
          <w:szCs w:val="24"/>
        </w:rPr>
        <w:t xml:space="preserve">registration </w:t>
      </w:r>
      <w:r w:rsidR="001F5E37" w:rsidRPr="001F5E37">
        <w:rPr>
          <w:rFonts w:ascii="Times New Roman" w:hAnsi="Times New Roman" w:cs="Times New Roman"/>
          <w:sz w:val="24"/>
          <w:szCs w:val="24"/>
        </w:rPr>
        <w:t>must request a 100-year permanence period.</w:t>
      </w:r>
    </w:p>
    <w:p w14:paraId="24386ABA" w14:textId="77777777" w:rsidR="001C192A" w:rsidRPr="00FE6196" w:rsidRDefault="001C192A" w:rsidP="00DB00CB">
      <w:pPr>
        <w:pStyle w:val="ESHeading"/>
        <w:spacing w:before="120"/>
        <w:rPr>
          <w:b w:val="0"/>
        </w:rPr>
      </w:pPr>
      <w:bookmarkStart w:id="2" w:name="_Toc164439977"/>
      <w:r w:rsidRPr="00FE6196">
        <w:rPr>
          <w:color w:val="auto"/>
        </w:rPr>
        <w:t>Determination details</w:t>
      </w:r>
      <w:bookmarkEnd w:id="2"/>
    </w:p>
    <w:p w14:paraId="7191A072" w14:textId="2E5C42FB" w:rsidR="008629C8" w:rsidRPr="00FE6196" w:rsidRDefault="008629C8"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The Determination is a legislative instrument within the meaning of the </w:t>
      </w:r>
      <w:r w:rsidRPr="00FE6196">
        <w:rPr>
          <w:rFonts w:ascii="Times New Roman" w:hAnsi="Times New Roman" w:cs="Times New Roman"/>
          <w:i/>
          <w:iCs/>
          <w:sz w:val="24"/>
          <w:szCs w:val="24"/>
        </w:rPr>
        <w:t>Legislation Act 2003</w:t>
      </w:r>
      <w:r w:rsidRPr="00FE6196">
        <w:rPr>
          <w:rFonts w:ascii="Times New Roman" w:hAnsi="Times New Roman" w:cs="Times New Roman"/>
          <w:sz w:val="24"/>
          <w:szCs w:val="24"/>
        </w:rPr>
        <w:t>.</w:t>
      </w:r>
    </w:p>
    <w:p w14:paraId="41D3B5B3" w14:textId="12C995AF" w:rsidR="00A33F7D" w:rsidRPr="00FE6196" w:rsidRDefault="00A33F7D"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lastRenderedPageBreak/>
        <w:t xml:space="preserve">Details of the Determination are </w:t>
      </w:r>
      <w:r w:rsidR="002A7733" w:rsidRPr="00FE6196">
        <w:rPr>
          <w:rFonts w:ascii="Times New Roman" w:hAnsi="Times New Roman" w:cs="Times New Roman"/>
          <w:sz w:val="24"/>
          <w:szCs w:val="24"/>
        </w:rPr>
        <w:t>set out in</w:t>
      </w:r>
      <w:r w:rsidRPr="00FE6196">
        <w:rPr>
          <w:rFonts w:ascii="Times New Roman" w:hAnsi="Times New Roman" w:cs="Times New Roman"/>
          <w:sz w:val="24"/>
          <w:szCs w:val="24"/>
        </w:rPr>
        <w:t xml:space="preserve"> </w:t>
      </w:r>
      <w:r w:rsidRPr="00FE6196">
        <w:rPr>
          <w:rFonts w:ascii="Times New Roman" w:hAnsi="Times New Roman" w:cs="Times New Roman"/>
          <w:b/>
          <w:bCs/>
          <w:sz w:val="24"/>
          <w:szCs w:val="24"/>
          <w:u w:val="single"/>
        </w:rPr>
        <w:t>Attachment A</w:t>
      </w:r>
      <w:r w:rsidRPr="00FE6196">
        <w:rPr>
          <w:rFonts w:ascii="Times New Roman" w:hAnsi="Times New Roman" w:cs="Times New Roman"/>
          <w:sz w:val="24"/>
          <w:szCs w:val="24"/>
        </w:rPr>
        <w:t xml:space="preserve">. Numbered sections in this explanatory statement align with the relevant sections of the Determination. </w:t>
      </w:r>
    </w:p>
    <w:p w14:paraId="1383476D" w14:textId="0383F97F" w:rsidR="00B07726" w:rsidRPr="006E23C2" w:rsidRDefault="00B07726" w:rsidP="00DB00CB">
      <w:pPr>
        <w:spacing w:before="120" w:after="120" w:line="240" w:lineRule="auto"/>
        <w:rPr>
          <w:rFonts w:ascii="Times New Roman" w:hAnsi="Times New Roman" w:cs="Times New Roman"/>
          <w:b/>
          <w:bCs/>
          <w:sz w:val="24"/>
          <w:szCs w:val="24"/>
        </w:rPr>
      </w:pPr>
      <w:r w:rsidRPr="00FE6196">
        <w:rPr>
          <w:rFonts w:ascii="Times New Roman" w:hAnsi="Times New Roman" w:cs="Times New Roman"/>
          <w:b/>
          <w:bCs/>
          <w:color w:val="FF0000"/>
          <w:sz w:val="24"/>
          <w:szCs w:val="24"/>
        </w:rPr>
        <w:br w:type="page"/>
      </w:r>
    </w:p>
    <w:p w14:paraId="6E8D1042" w14:textId="10F673B3" w:rsidR="00F70098" w:rsidRPr="00FF68D5" w:rsidRDefault="00312ACE" w:rsidP="00DB00CB">
      <w:pPr>
        <w:spacing w:before="120" w:after="120" w:line="240" w:lineRule="auto"/>
        <w:outlineLvl w:val="0"/>
        <w:rPr>
          <w:rFonts w:ascii="Times New Roman" w:hAnsi="Times New Roman" w:cs="Times New Roman"/>
          <w:b/>
          <w:bCs/>
          <w:sz w:val="24"/>
          <w:szCs w:val="24"/>
        </w:rPr>
      </w:pPr>
      <w:r w:rsidRPr="00312ACE">
        <w:rPr>
          <w:rFonts w:ascii="Times New Roman" w:hAnsi="Times New Roman" w:cs="Times New Roman"/>
          <w:b/>
          <w:bCs/>
          <w:sz w:val="24"/>
          <w:szCs w:val="24"/>
        </w:rPr>
        <w:lastRenderedPageBreak/>
        <w:t>ATTACHMENT</w:t>
      </w:r>
      <w:r w:rsidR="006E23C2">
        <w:rPr>
          <w:rFonts w:ascii="Times New Roman" w:hAnsi="Times New Roman" w:cs="Times New Roman"/>
          <w:b/>
          <w:bCs/>
          <w:sz w:val="24"/>
          <w:szCs w:val="24"/>
        </w:rPr>
        <w:t xml:space="preserve"> </w:t>
      </w:r>
      <w:r w:rsidRPr="00312ACE">
        <w:rPr>
          <w:rFonts w:ascii="Times New Roman" w:hAnsi="Times New Roman" w:cs="Times New Roman"/>
          <w:b/>
          <w:bCs/>
          <w:sz w:val="24"/>
          <w:szCs w:val="24"/>
        </w:rPr>
        <w:t>A</w:t>
      </w:r>
      <w:r w:rsidR="006E23C2">
        <w:rPr>
          <w:rFonts w:ascii="Times New Roman" w:hAnsi="Times New Roman" w:cs="Times New Roman"/>
          <w:b/>
          <w:bCs/>
          <w:sz w:val="24"/>
          <w:szCs w:val="24"/>
        </w:rPr>
        <w:t>:</w:t>
      </w:r>
      <w:r w:rsidRPr="00312ACE">
        <w:rPr>
          <w:rFonts w:ascii="Times New Roman" w:hAnsi="Times New Roman" w:cs="Times New Roman"/>
          <w:b/>
          <w:bCs/>
          <w:sz w:val="24"/>
          <w:szCs w:val="24"/>
        </w:rPr>
        <w:t xml:space="preserve"> </w:t>
      </w:r>
      <w:r w:rsidR="00F70098" w:rsidRPr="00FE6196">
        <w:rPr>
          <w:rFonts w:ascii="Times New Roman" w:hAnsi="Times New Roman" w:cs="Times New Roman"/>
          <w:b/>
          <w:bCs/>
          <w:sz w:val="24"/>
          <w:szCs w:val="24"/>
        </w:rPr>
        <w:t>Details of the Determination</w:t>
      </w:r>
    </w:p>
    <w:p w14:paraId="38A8B9DA" w14:textId="376A5BCB" w:rsidR="001C192A" w:rsidRPr="0025148E" w:rsidRDefault="001C192A" w:rsidP="00DB00CB">
      <w:pPr>
        <w:tabs>
          <w:tab w:val="left" w:pos="3120"/>
        </w:tabs>
        <w:spacing w:before="120" w:after="120" w:line="240" w:lineRule="auto"/>
        <w:outlineLvl w:val="1"/>
        <w:rPr>
          <w:rFonts w:ascii="Times New Roman" w:hAnsi="Times New Roman" w:cs="Times New Roman"/>
          <w:b/>
          <w:bCs/>
          <w:sz w:val="26"/>
          <w:szCs w:val="26"/>
        </w:rPr>
      </w:pPr>
      <w:bookmarkStart w:id="3" w:name="_Toc164439981"/>
      <w:r w:rsidRPr="0025148E">
        <w:rPr>
          <w:rFonts w:ascii="Times New Roman" w:hAnsi="Times New Roman" w:cs="Times New Roman"/>
          <w:b/>
          <w:bCs/>
          <w:sz w:val="26"/>
          <w:szCs w:val="26"/>
        </w:rPr>
        <w:t>Part 1</w:t>
      </w:r>
      <w:r w:rsidR="009C284C" w:rsidRPr="0025148E">
        <w:rPr>
          <w:rFonts w:ascii="Times New Roman" w:hAnsi="Times New Roman" w:cs="Times New Roman"/>
          <w:b/>
          <w:bCs/>
          <w:sz w:val="26"/>
          <w:szCs w:val="26"/>
        </w:rPr>
        <w:t>—</w:t>
      </w:r>
      <w:r w:rsidRPr="0025148E">
        <w:rPr>
          <w:rFonts w:ascii="Times New Roman" w:hAnsi="Times New Roman" w:cs="Times New Roman"/>
          <w:b/>
          <w:bCs/>
          <w:sz w:val="26"/>
          <w:szCs w:val="26"/>
        </w:rPr>
        <w:t>Preliminary</w:t>
      </w:r>
      <w:bookmarkEnd w:id="3"/>
    </w:p>
    <w:p w14:paraId="5C066B45" w14:textId="38E5ED7A" w:rsidR="00B07726" w:rsidRPr="00FE6196" w:rsidRDefault="00B07726"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1 – Name</w:t>
      </w:r>
    </w:p>
    <w:p w14:paraId="0D8580D2" w14:textId="0D8615A0" w:rsidR="00B07726" w:rsidRPr="00FE6196" w:rsidRDefault="00414DA0"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1 </w:t>
      </w:r>
      <w:r w:rsidR="005E35B6" w:rsidRPr="005E35B6">
        <w:rPr>
          <w:rFonts w:ascii="Times New Roman" w:hAnsi="Times New Roman" w:cs="Times New Roman"/>
          <w:sz w:val="24"/>
          <w:szCs w:val="24"/>
        </w:rPr>
        <w:t xml:space="preserve">sets </w:t>
      </w:r>
      <w:r w:rsidRPr="00FE6196">
        <w:rPr>
          <w:rFonts w:ascii="Times New Roman" w:hAnsi="Times New Roman" w:cs="Times New Roman"/>
          <w:sz w:val="24"/>
          <w:szCs w:val="24"/>
        </w:rPr>
        <w:t>out the full name of the Determination</w:t>
      </w:r>
      <w:r w:rsidR="00FF2206" w:rsidRPr="00FE6196">
        <w:rPr>
          <w:rFonts w:ascii="Times New Roman" w:hAnsi="Times New Roman" w:cs="Times New Roman"/>
          <w:sz w:val="24"/>
          <w:szCs w:val="24"/>
        </w:rPr>
        <w:t xml:space="preserve"> as</w:t>
      </w:r>
      <w:r w:rsidR="00B07726" w:rsidRPr="00FE6196">
        <w:rPr>
          <w:rFonts w:ascii="Times New Roman" w:hAnsi="Times New Roman" w:cs="Times New Roman"/>
          <w:sz w:val="24"/>
          <w:szCs w:val="24"/>
        </w:rPr>
        <w:t xml:space="preserve"> the </w:t>
      </w:r>
      <w:r w:rsidR="00DD4B5A" w:rsidRPr="00DD4B5A">
        <w:rPr>
          <w:rFonts w:ascii="Times New Roman" w:hAnsi="Times New Roman" w:cs="Times New Roman"/>
          <w:i/>
          <w:iCs/>
          <w:sz w:val="24"/>
          <w:szCs w:val="24"/>
        </w:rPr>
        <w:t>Carbon Credits (Carbon Farming Initiative— Improved Forest Management in Multi-use Public Native Forest) Methodology Determination 2025</w:t>
      </w:r>
      <w:r w:rsidR="00B07726" w:rsidRPr="00FE6196">
        <w:rPr>
          <w:rFonts w:ascii="Times New Roman" w:hAnsi="Times New Roman" w:cs="Times New Roman"/>
          <w:i/>
          <w:iCs/>
          <w:sz w:val="24"/>
          <w:szCs w:val="24"/>
        </w:rPr>
        <w:t>.</w:t>
      </w:r>
    </w:p>
    <w:p w14:paraId="015C73D0" w14:textId="7D2502BA" w:rsidR="00B07726" w:rsidRPr="00FE6196" w:rsidRDefault="00B07726"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2 </w:t>
      </w:r>
      <w:r w:rsidR="00AA26C6" w:rsidRPr="00FE6196">
        <w:rPr>
          <w:rFonts w:ascii="Times New Roman" w:hAnsi="Times New Roman" w:cs="Times New Roman"/>
          <w:sz w:val="24"/>
          <w:szCs w:val="24"/>
          <w:u w:val="single"/>
        </w:rPr>
        <w:t>–</w:t>
      </w:r>
      <w:r w:rsidRPr="00FE6196">
        <w:rPr>
          <w:rFonts w:ascii="Times New Roman" w:hAnsi="Times New Roman" w:cs="Times New Roman"/>
          <w:sz w:val="24"/>
          <w:szCs w:val="24"/>
          <w:u w:val="single"/>
        </w:rPr>
        <w:t xml:space="preserve"> C</w:t>
      </w:r>
      <w:r w:rsidR="00AA26C6" w:rsidRPr="00FE6196">
        <w:rPr>
          <w:rFonts w:ascii="Times New Roman" w:hAnsi="Times New Roman" w:cs="Times New Roman"/>
          <w:sz w:val="24"/>
          <w:szCs w:val="24"/>
          <w:u w:val="single"/>
        </w:rPr>
        <w:t xml:space="preserve">ommencement </w:t>
      </w:r>
    </w:p>
    <w:p w14:paraId="56662FB1" w14:textId="51CFDDF5" w:rsidR="001C192A" w:rsidRPr="00FE6196" w:rsidRDefault="003F72DE"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2 </w:t>
      </w:r>
      <w:r w:rsidR="005E35B6">
        <w:rPr>
          <w:rFonts w:ascii="Times New Roman" w:hAnsi="Times New Roman" w:cs="Times New Roman"/>
          <w:sz w:val="24"/>
          <w:szCs w:val="24"/>
        </w:rPr>
        <w:t>provides</w:t>
      </w:r>
      <w:r w:rsidRPr="00FE6196">
        <w:rPr>
          <w:rFonts w:ascii="Times New Roman" w:hAnsi="Times New Roman" w:cs="Times New Roman"/>
          <w:sz w:val="24"/>
          <w:szCs w:val="24"/>
        </w:rPr>
        <w:t xml:space="preserve"> </w:t>
      </w:r>
      <w:r w:rsidR="007C7590" w:rsidRPr="00FE6196">
        <w:rPr>
          <w:rFonts w:ascii="Times New Roman" w:hAnsi="Times New Roman" w:cs="Times New Roman"/>
          <w:sz w:val="24"/>
          <w:szCs w:val="24"/>
        </w:rPr>
        <w:t>for</w:t>
      </w:r>
      <w:r w:rsidRPr="00FE6196">
        <w:rPr>
          <w:rFonts w:ascii="Times New Roman" w:hAnsi="Times New Roman" w:cs="Times New Roman"/>
          <w:sz w:val="24"/>
          <w:szCs w:val="24"/>
        </w:rPr>
        <w:t xml:space="preserve"> the Determination</w:t>
      </w:r>
      <w:r w:rsidR="007C7590" w:rsidRPr="00FE6196">
        <w:rPr>
          <w:rFonts w:ascii="Times New Roman" w:hAnsi="Times New Roman" w:cs="Times New Roman"/>
          <w:sz w:val="24"/>
          <w:szCs w:val="24"/>
        </w:rPr>
        <w:t xml:space="preserve"> to</w:t>
      </w:r>
      <w:r w:rsidRPr="00FE6196">
        <w:rPr>
          <w:rFonts w:ascii="Times New Roman" w:hAnsi="Times New Roman" w:cs="Times New Roman"/>
          <w:sz w:val="24"/>
          <w:szCs w:val="24"/>
        </w:rPr>
        <w:t xml:space="preserve"> commence on</w:t>
      </w:r>
      <w:r w:rsidR="003E17DC">
        <w:rPr>
          <w:rFonts w:ascii="Times New Roman" w:hAnsi="Times New Roman" w:cs="Times New Roman"/>
          <w:sz w:val="24"/>
          <w:szCs w:val="24"/>
        </w:rPr>
        <w:t xml:space="preserve"> </w:t>
      </w:r>
      <w:r w:rsidR="003E17DC" w:rsidRPr="003E17DC">
        <w:rPr>
          <w:rFonts w:ascii="Times New Roman" w:hAnsi="Times New Roman" w:cs="Times New Roman"/>
          <w:sz w:val="24"/>
          <w:szCs w:val="24"/>
        </w:rPr>
        <w:t>[</w:t>
      </w:r>
      <w:r w:rsidR="003E17DC">
        <w:rPr>
          <w:rFonts w:ascii="Times New Roman" w:hAnsi="Times New Roman" w:cs="Times New Roman"/>
          <w:sz w:val="24"/>
          <w:szCs w:val="24"/>
        </w:rPr>
        <w:t xml:space="preserve">a date </w:t>
      </w:r>
      <w:r w:rsidR="003E17DC" w:rsidRPr="003E17DC">
        <w:rPr>
          <w:rFonts w:ascii="Times New Roman" w:hAnsi="Times New Roman" w:cs="Times New Roman"/>
          <w:sz w:val="24"/>
          <w:szCs w:val="24"/>
        </w:rPr>
        <w:t>to be specified]</w:t>
      </w:r>
      <w:r w:rsidRPr="00FE6196">
        <w:rPr>
          <w:rFonts w:ascii="Times New Roman" w:hAnsi="Times New Roman" w:cs="Times New Roman"/>
          <w:sz w:val="24"/>
          <w:szCs w:val="24"/>
        </w:rPr>
        <w:t>.</w:t>
      </w:r>
    </w:p>
    <w:p w14:paraId="25EF12B1" w14:textId="500524CB" w:rsidR="0096749E" w:rsidRPr="00FE6196" w:rsidRDefault="0096749E"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3 – Authority </w:t>
      </w:r>
    </w:p>
    <w:p w14:paraId="37258F19" w14:textId="51C183F6" w:rsidR="00895CEE" w:rsidRDefault="00895CEE"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Subsection 106(1) of the </w:t>
      </w:r>
      <w:r>
        <w:rPr>
          <w:rFonts w:ascii="Times New Roman" w:hAnsi="Times New Roman" w:cs="Times New Roman"/>
          <w:sz w:val="24"/>
          <w:szCs w:val="24"/>
        </w:rPr>
        <w:t xml:space="preserve">CFI </w:t>
      </w:r>
      <w:r w:rsidRPr="00FE6196">
        <w:rPr>
          <w:rFonts w:ascii="Times New Roman" w:hAnsi="Times New Roman" w:cs="Times New Roman"/>
          <w:sz w:val="24"/>
          <w:szCs w:val="24"/>
        </w:rPr>
        <w:t xml:space="preserve">Act provides that the Minister may, by legislative instrument, make </w:t>
      </w:r>
      <w:r>
        <w:rPr>
          <w:rFonts w:ascii="Times New Roman" w:hAnsi="Times New Roman" w:cs="Times New Roman"/>
          <w:sz w:val="24"/>
          <w:szCs w:val="24"/>
        </w:rPr>
        <w:t>a methodology</w:t>
      </w:r>
      <w:r w:rsidRPr="00FE6196">
        <w:rPr>
          <w:rFonts w:ascii="Times New Roman" w:hAnsi="Times New Roman" w:cs="Times New Roman"/>
          <w:sz w:val="24"/>
          <w:szCs w:val="24"/>
        </w:rPr>
        <w:t xml:space="preserve"> determination</w:t>
      </w:r>
      <w:r w:rsidR="00367B46">
        <w:rPr>
          <w:rFonts w:ascii="Times New Roman" w:hAnsi="Times New Roman" w:cs="Times New Roman"/>
          <w:sz w:val="24"/>
          <w:szCs w:val="24"/>
        </w:rPr>
        <w:t xml:space="preserve"> that: is expressed to apply to a specified kind of offsets project; sets out requirements that must be met for such a project to be </w:t>
      </w:r>
      <w:r w:rsidR="00741E40">
        <w:rPr>
          <w:rFonts w:ascii="Times New Roman" w:hAnsi="Times New Roman" w:cs="Times New Roman"/>
          <w:sz w:val="24"/>
          <w:szCs w:val="24"/>
        </w:rPr>
        <w:t xml:space="preserve">an eligible offsets project; and provides that, if such a project is an eligible offsets project, the carbon dioxide equivalent net abatement amount </w:t>
      </w:r>
      <w:r w:rsidR="00DC166D">
        <w:rPr>
          <w:rFonts w:ascii="Times New Roman" w:hAnsi="Times New Roman" w:cs="Times New Roman"/>
          <w:sz w:val="24"/>
          <w:szCs w:val="24"/>
        </w:rPr>
        <w:t xml:space="preserve">for the project is taken to be equal to the amount ascertained using </w:t>
      </w:r>
      <w:r w:rsidR="00846F2D">
        <w:rPr>
          <w:rFonts w:ascii="Times New Roman" w:hAnsi="Times New Roman" w:cs="Times New Roman"/>
          <w:sz w:val="24"/>
          <w:szCs w:val="24"/>
        </w:rPr>
        <w:t xml:space="preserve">a </w:t>
      </w:r>
      <w:r w:rsidR="00DC166D">
        <w:rPr>
          <w:rFonts w:ascii="Times New Roman" w:hAnsi="Times New Roman" w:cs="Times New Roman"/>
          <w:sz w:val="24"/>
          <w:szCs w:val="24"/>
        </w:rPr>
        <w:t xml:space="preserve">method </w:t>
      </w:r>
      <w:r w:rsidR="00846F2D">
        <w:rPr>
          <w:rFonts w:ascii="Times New Roman" w:hAnsi="Times New Roman" w:cs="Times New Roman"/>
          <w:sz w:val="24"/>
          <w:szCs w:val="24"/>
        </w:rPr>
        <w:t>specified in the determination.</w:t>
      </w:r>
    </w:p>
    <w:p w14:paraId="56623A1D" w14:textId="55158F41" w:rsidR="0096749E" w:rsidRPr="00FE6196" w:rsidRDefault="00D4118E"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3 </w:t>
      </w:r>
      <w:r w:rsidR="005E35B6">
        <w:rPr>
          <w:rFonts w:ascii="Times New Roman" w:hAnsi="Times New Roman" w:cs="Times New Roman"/>
          <w:sz w:val="24"/>
          <w:szCs w:val="24"/>
        </w:rPr>
        <w:t>states</w:t>
      </w:r>
      <w:r w:rsidRPr="00FE6196">
        <w:rPr>
          <w:rFonts w:ascii="Times New Roman" w:hAnsi="Times New Roman" w:cs="Times New Roman"/>
          <w:sz w:val="24"/>
          <w:szCs w:val="24"/>
        </w:rPr>
        <w:t xml:space="preserve"> that the Determination is made under subsection 106(1) of the </w:t>
      </w:r>
      <w:r w:rsidRPr="00FE6196">
        <w:rPr>
          <w:rFonts w:ascii="Times New Roman" w:hAnsi="Times New Roman" w:cs="Times New Roman"/>
          <w:i/>
          <w:iCs/>
          <w:sz w:val="24"/>
          <w:szCs w:val="24"/>
        </w:rPr>
        <w:t>Carbon Credits (Carbon Farming Initiative) Act 2011</w:t>
      </w:r>
      <w:r w:rsidR="004F5C44" w:rsidRPr="00FE6196">
        <w:rPr>
          <w:rFonts w:ascii="Times New Roman" w:hAnsi="Times New Roman" w:cs="Times New Roman"/>
          <w:i/>
          <w:iCs/>
          <w:sz w:val="24"/>
          <w:szCs w:val="24"/>
        </w:rPr>
        <w:t xml:space="preserve"> </w:t>
      </w:r>
      <w:r w:rsidR="004F5C44" w:rsidRPr="00FE6196">
        <w:rPr>
          <w:rFonts w:ascii="Times New Roman" w:hAnsi="Times New Roman" w:cs="Times New Roman"/>
          <w:sz w:val="24"/>
          <w:szCs w:val="24"/>
        </w:rPr>
        <w:t>(the Act)</w:t>
      </w:r>
      <w:r w:rsidRPr="00FE6196">
        <w:rPr>
          <w:rFonts w:ascii="Times New Roman" w:hAnsi="Times New Roman" w:cs="Times New Roman"/>
          <w:sz w:val="24"/>
          <w:szCs w:val="24"/>
        </w:rPr>
        <w:t xml:space="preserve">. </w:t>
      </w:r>
    </w:p>
    <w:p w14:paraId="7BC7C441" w14:textId="712FB514" w:rsidR="00FF5D92" w:rsidRPr="00FE6196" w:rsidRDefault="00FF5D92"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Section 4 – Duration</w:t>
      </w:r>
    </w:p>
    <w:p w14:paraId="335CBA1E" w14:textId="3BC75F29" w:rsidR="008D5AF1" w:rsidRPr="00FE6196" w:rsidRDefault="00793186"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Under </w:t>
      </w:r>
      <w:r w:rsidR="00230BD8">
        <w:rPr>
          <w:rFonts w:ascii="Times New Roman" w:hAnsi="Times New Roman" w:cs="Times New Roman"/>
          <w:sz w:val="24"/>
          <w:szCs w:val="24"/>
        </w:rPr>
        <w:t>subsection</w:t>
      </w:r>
      <w:r w:rsidR="00230BD8" w:rsidRPr="00FE6196">
        <w:rPr>
          <w:rFonts w:ascii="Times New Roman" w:hAnsi="Times New Roman" w:cs="Times New Roman"/>
          <w:sz w:val="24"/>
          <w:szCs w:val="24"/>
        </w:rPr>
        <w:t xml:space="preserve"> </w:t>
      </w:r>
      <w:r w:rsidRPr="00FE6196">
        <w:rPr>
          <w:rFonts w:ascii="Times New Roman" w:hAnsi="Times New Roman" w:cs="Times New Roman"/>
          <w:sz w:val="24"/>
          <w:szCs w:val="24"/>
        </w:rPr>
        <w:t>122(1)(b)(</w:t>
      </w:r>
      <w:proofErr w:type="spellStart"/>
      <w:r w:rsidRPr="00FE6196">
        <w:rPr>
          <w:rFonts w:ascii="Times New Roman" w:hAnsi="Times New Roman" w:cs="Times New Roman"/>
          <w:sz w:val="24"/>
          <w:szCs w:val="24"/>
        </w:rPr>
        <w:t>i</w:t>
      </w:r>
      <w:proofErr w:type="spellEnd"/>
      <w:r w:rsidRPr="00FE6196">
        <w:rPr>
          <w:rFonts w:ascii="Times New Roman" w:hAnsi="Times New Roman" w:cs="Times New Roman"/>
          <w:sz w:val="24"/>
          <w:szCs w:val="24"/>
        </w:rPr>
        <w:t xml:space="preserve">) of the </w:t>
      </w:r>
      <w:r w:rsidR="00895CEE">
        <w:rPr>
          <w:rFonts w:ascii="Times New Roman" w:hAnsi="Times New Roman" w:cs="Times New Roman"/>
          <w:sz w:val="24"/>
          <w:szCs w:val="24"/>
        </w:rPr>
        <w:t xml:space="preserve">CFI </w:t>
      </w:r>
      <w:r w:rsidRPr="00FE6196">
        <w:rPr>
          <w:rFonts w:ascii="Times New Roman" w:hAnsi="Times New Roman" w:cs="Times New Roman"/>
          <w:sz w:val="24"/>
          <w:szCs w:val="24"/>
        </w:rPr>
        <w:t xml:space="preserve">Act, a methodology determination remains in force for the period specified in the Determination. </w:t>
      </w:r>
    </w:p>
    <w:p w14:paraId="125889D4" w14:textId="1CC472DE" w:rsidR="008D5AF1" w:rsidRPr="00FE6196" w:rsidRDefault="00D84307"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4 </w:t>
      </w:r>
      <w:r w:rsidR="005E35B6">
        <w:rPr>
          <w:rFonts w:ascii="Times New Roman" w:hAnsi="Times New Roman" w:cs="Times New Roman"/>
          <w:sz w:val="24"/>
          <w:szCs w:val="24"/>
        </w:rPr>
        <w:t xml:space="preserve">sets </w:t>
      </w:r>
      <w:r w:rsidRPr="00FE6196">
        <w:rPr>
          <w:rFonts w:ascii="Times New Roman" w:hAnsi="Times New Roman" w:cs="Times New Roman"/>
          <w:sz w:val="24"/>
          <w:szCs w:val="24"/>
        </w:rPr>
        <w:t>out the</w:t>
      </w:r>
      <w:r w:rsidR="001B3FAF" w:rsidRPr="00FE6196">
        <w:rPr>
          <w:rFonts w:ascii="Times New Roman" w:hAnsi="Times New Roman" w:cs="Times New Roman"/>
          <w:sz w:val="24"/>
          <w:szCs w:val="24"/>
        </w:rPr>
        <w:t xml:space="preserve"> period</w:t>
      </w:r>
      <w:r w:rsidRPr="00FE6196">
        <w:rPr>
          <w:rFonts w:ascii="Times New Roman" w:hAnsi="Times New Roman" w:cs="Times New Roman"/>
          <w:sz w:val="24"/>
          <w:szCs w:val="24"/>
        </w:rPr>
        <w:t xml:space="preserve"> </w:t>
      </w:r>
      <w:r w:rsidR="00AB21D1" w:rsidRPr="00FE6196">
        <w:rPr>
          <w:rFonts w:ascii="Times New Roman" w:hAnsi="Times New Roman" w:cs="Times New Roman"/>
          <w:sz w:val="24"/>
          <w:szCs w:val="24"/>
        </w:rPr>
        <w:t>that</w:t>
      </w:r>
      <w:r w:rsidRPr="00FE6196">
        <w:rPr>
          <w:rFonts w:ascii="Times New Roman" w:hAnsi="Times New Roman" w:cs="Times New Roman"/>
          <w:sz w:val="24"/>
          <w:szCs w:val="24"/>
        </w:rPr>
        <w:t xml:space="preserve"> the Determination is in force.</w:t>
      </w:r>
      <w:r w:rsidR="00AB21D1" w:rsidRPr="00FE6196">
        <w:rPr>
          <w:rFonts w:ascii="Times New Roman" w:hAnsi="Times New Roman" w:cs="Times New Roman"/>
          <w:sz w:val="24"/>
          <w:szCs w:val="24"/>
        </w:rPr>
        <w:t xml:space="preserve"> The Determination </w:t>
      </w:r>
      <w:r w:rsidR="00BF3375">
        <w:rPr>
          <w:rFonts w:ascii="Times New Roman" w:hAnsi="Times New Roman" w:cs="Times New Roman"/>
          <w:sz w:val="24"/>
          <w:szCs w:val="24"/>
        </w:rPr>
        <w:t>will</w:t>
      </w:r>
      <w:r w:rsidR="00760E17" w:rsidRPr="00FE6196">
        <w:rPr>
          <w:rFonts w:ascii="Times New Roman" w:hAnsi="Times New Roman" w:cs="Times New Roman"/>
          <w:sz w:val="24"/>
          <w:szCs w:val="24"/>
        </w:rPr>
        <w:t xml:space="preserve"> remain in force between the commencement date and </w:t>
      </w:r>
      <w:r w:rsidR="00F31EAB" w:rsidRPr="00FE6196">
        <w:rPr>
          <w:rFonts w:ascii="Times New Roman" w:hAnsi="Times New Roman" w:cs="Times New Roman"/>
          <w:sz w:val="24"/>
          <w:szCs w:val="24"/>
        </w:rPr>
        <w:t xml:space="preserve">the day before it </w:t>
      </w:r>
      <w:r w:rsidR="002276F0">
        <w:rPr>
          <w:rFonts w:ascii="Times New Roman" w:hAnsi="Times New Roman" w:cs="Times New Roman"/>
          <w:sz w:val="24"/>
          <w:szCs w:val="24"/>
        </w:rPr>
        <w:t>would otherwise</w:t>
      </w:r>
      <w:r w:rsidR="002276F0" w:rsidRPr="00FE6196">
        <w:rPr>
          <w:rFonts w:ascii="Times New Roman" w:hAnsi="Times New Roman" w:cs="Times New Roman"/>
          <w:sz w:val="24"/>
          <w:szCs w:val="24"/>
        </w:rPr>
        <w:t xml:space="preserve"> </w:t>
      </w:r>
      <w:r w:rsidR="00E87DD3">
        <w:rPr>
          <w:rFonts w:ascii="Times New Roman" w:hAnsi="Times New Roman" w:cs="Times New Roman"/>
          <w:sz w:val="24"/>
          <w:szCs w:val="24"/>
        </w:rPr>
        <w:t xml:space="preserve">be </w:t>
      </w:r>
      <w:r w:rsidR="00F31EAB" w:rsidRPr="00FE6196">
        <w:rPr>
          <w:rFonts w:ascii="Times New Roman" w:hAnsi="Times New Roman" w:cs="Times New Roman"/>
          <w:sz w:val="24"/>
          <w:szCs w:val="24"/>
        </w:rPr>
        <w:t xml:space="preserve">repealed in accordance with subsection 50(1) of the </w:t>
      </w:r>
      <w:r w:rsidR="00F31EAB" w:rsidRPr="00FE6196">
        <w:rPr>
          <w:rFonts w:ascii="Times New Roman" w:hAnsi="Times New Roman" w:cs="Times New Roman"/>
          <w:i/>
          <w:iCs/>
          <w:sz w:val="24"/>
          <w:szCs w:val="24"/>
        </w:rPr>
        <w:t>Legislation Act 2003</w:t>
      </w:r>
      <w:r w:rsidR="00F31EAB" w:rsidRPr="00FE6196">
        <w:rPr>
          <w:rFonts w:ascii="Times New Roman" w:hAnsi="Times New Roman" w:cs="Times New Roman"/>
          <w:sz w:val="24"/>
          <w:szCs w:val="24"/>
        </w:rPr>
        <w:t xml:space="preserve">. </w:t>
      </w:r>
    </w:p>
    <w:p w14:paraId="6D58D481" w14:textId="713A32AF" w:rsidR="00412B4A" w:rsidRPr="00FE6196" w:rsidRDefault="00412B4A"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5 </w:t>
      </w:r>
      <w:r w:rsidR="00C66191" w:rsidRPr="00FE6196">
        <w:rPr>
          <w:rFonts w:ascii="Times New Roman" w:hAnsi="Times New Roman" w:cs="Times New Roman"/>
          <w:sz w:val="24"/>
          <w:szCs w:val="24"/>
          <w:u w:val="single"/>
        </w:rPr>
        <w:t>–</w:t>
      </w:r>
      <w:r w:rsidRPr="00FE6196">
        <w:rPr>
          <w:rFonts w:ascii="Times New Roman" w:hAnsi="Times New Roman" w:cs="Times New Roman"/>
          <w:sz w:val="24"/>
          <w:szCs w:val="24"/>
          <w:u w:val="single"/>
        </w:rPr>
        <w:t xml:space="preserve"> Definitions</w:t>
      </w:r>
    </w:p>
    <w:p w14:paraId="73F97103" w14:textId="1C6B5EEF" w:rsidR="00C66191" w:rsidRPr="00FE6196" w:rsidRDefault="00C66191"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 xml:space="preserve">Section 5 </w:t>
      </w:r>
      <w:r w:rsidR="00BF3375">
        <w:rPr>
          <w:rFonts w:ascii="Times New Roman" w:hAnsi="Times New Roman" w:cs="Times New Roman"/>
          <w:sz w:val="24"/>
          <w:szCs w:val="24"/>
        </w:rPr>
        <w:t>provides</w:t>
      </w:r>
      <w:r w:rsidR="0083266D" w:rsidRPr="00FE6196">
        <w:rPr>
          <w:rFonts w:ascii="Times New Roman" w:hAnsi="Times New Roman" w:cs="Times New Roman"/>
          <w:sz w:val="24"/>
          <w:szCs w:val="24"/>
        </w:rPr>
        <w:t xml:space="preserve"> </w:t>
      </w:r>
      <w:r w:rsidR="00FF2C37" w:rsidRPr="00FE6196">
        <w:rPr>
          <w:rFonts w:ascii="Times New Roman" w:hAnsi="Times New Roman" w:cs="Times New Roman"/>
          <w:sz w:val="24"/>
          <w:szCs w:val="24"/>
        </w:rPr>
        <w:t xml:space="preserve">definitions </w:t>
      </w:r>
      <w:r w:rsidR="001E7A60">
        <w:rPr>
          <w:rFonts w:ascii="Times New Roman" w:hAnsi="Times New Roman" w:cs="Times New Roman"/>
          <w:sz w:val="24"/>
          <w:szCs w:val="24"/>
        </w:rPr>
        <w:t>for</w:t>
      </w:r>
      <w:r w:rsidR="00FF2C37" w:rsidRPr="00FE6196">
        <w:rPr>
          <w:rFonts w:ascii="Times New Roman" w:hAnsi="Times New Roman" w:cs="Times New Roman"/>
          <w:sz w:val="24"/>
          <w:szCs w:val="24"/>
        </w:rPr>
        <w:t xml:space="preserve"> </w:t>
      </w:r>
      <w:r w:rsidR="00DE5F00" w:rsidRPr="00FE6196">
        <w:rPr>
          <w:rFonts w:ascii="Times New Roman" w:hAnsi="Times New Roman" w:cs="Times New Roman"/>
          <w:sz w:val="24"/>
          <w:szCs w:val="24"/>
        </w:rPr>
        <w:t xml:space="preserve">various terms </w:t>
      </w:r>
      <w:r w:rsidRPr="00FE6196">
        <w:rPr>
          <w:rFonts w:ascii="Times New Roman" w:hAnsi="Times New Roman" w:cs="Times New Roman"/>
          <w:sz w:val="24"/>
          <w:szCs w:val="24"/>
        </w:rPr>
        <w:t xml:space="preserve">used </w:t>
      </w:r>
      <w:r w:rsidR="00986F12">
        <w:rPr>
          <w:rFonts w:ascii="Times New Roman" w:hAnsi="Times New Roman" w:cs="Times New Roman"/>
          <w:sz w:val="24"/>
          <w:szCs w:val="24"/>
        </w:rPr>
        <w:t xml:space="preserve">in </w:t>
      </w:r>
      <w:r w:rsidR="00572BBF" w:rsidRPr="00FE6196">
        <w:rPr>
          <w:rFonts w:ascii="Times New Roman" w:hAnsi="Times New Roman" w:cs="Times New Roman"/>
          <w:sz w:val="24"/>
          <w:szCs w:val="24"/>
        </w:rPr>
        <w:t xml:space="preserve">the </w:t>
      </w:r>
      <w:r w:rsidRPr="00FE6196">
        <w:rPr>
          <w:rFonts w:ascii="Times New Roman" w:hAnsi="Times New Roman" w:cs="Times New Roman"/>
          <w:sz w:val="24"/>
          <w:szCs w:val="24"/>
        </w:rPr>
        <w:t>Determination.</w:t>
      </w:r>
      <w:r w:rsidR="007766EB" w:rsidRPr="00FE6196">
        <w:rPr>
          <w:rFonts w:ascii="Times New Roman" w:hAnsi="Times New Roman" w:cs="Times New Roman"/>
          <w:sz w:val="24"/>
          <w:szCs w:val="24"/>
        </w:rPr>
        <w:t xml:space="preserve"> </w:t>
      </w:r>
      <w:r w:rsidR="00082BE9">
        <w:rPr>
          <w:rFonts w:ascii="Times New Roman" w:hAnsi="Times New Roman" w:cs="Times New Roman"/>
          <w:sz w:val="24"/>
          <w:szCs w:val="24"/>
        </w:rPr>
        <w:t xml:space="preserve">The definitions in </w:t>
      </w:r>
      <w:r w:rsidR="00FA0D33" w:rsidRPr="00FE6196">
        <w:rPr>
          <w:rFonts w:ascii="Times New Roman" w:hAnsi="Times New Roman" w:cs="Times New Roman"/>
          <w:sz w:val="24"/>
          <w:szCs w:val="24"/>
        </w:rPr>
        <w:t>in s</w:t>
      </w:r>
      <w:r w:rsidRPr="00FE6196">
        <w:rPr>
          <w:rFonts w:ascii="Times New Roman" w:hAnsi="Times New Roman" w:cs="Times New Roman"/>
          <w:sz w:val="24"/>
          <w:szCs w:val="24"/>
        </w:rPr>
        <w:t xml:space="preserve">ection 5 of the </w:t>
      </w:r>
      <w:r w:rsidR="00986F12">
        <w:rPr>
          <w:rFonts w:ascii="Times New Roman" w:hAnsi="Times New Roman" w:cs="Times New Roman"/>
          <w:sz w:val="24"/>
          <w:szCs w:val="24"/>
        </w:rPr>
        <w:t xml:space="preserve">CFI </w:t>
      </w:r>
      <w:r w:rsidRPr="00FE6196">
        <w:rPr>
          <w:rFonts w:ascii="Times New Roman" w:hAnsi="Times New Roman" w:cs="Times New Roman"/>
          <w:sz w:val="24"/>
          <w:szCs w:val="24"/>
        </w:rPr>
        <w:t>Act</w:t>
      </w:r>
      <w:r w:rsidR="00082BE9">
        <w:rPr>
          <w:rFonts w:ascii="Times New Roman" w:hAnsi="Times New Roman" w:cs="Times New Roman"/>
          <w:sz w:val="24"/>
          <w:szCs w:val="24"/>
        </w:rPr>
        <w:t xml:space="preserve"> also apply where applicable</w:t>
      </w:r>
      <w:r w:rsidRPr="00FE6196">
        <w:rPr>
          <w:rFonts w:ascii="Times New Roman" w:hAnsi="Times New Roman" w:cs="Times New Roman"/>
          <w:sz w:val="24"/>
          <w:szCs w:val="24"/>
        </w:rPr>
        <w:t>.</w:t>
      </w:r>
    </w:p>
    <w:p w14:paraId="5275B60C" w14:textId="6325AC4A" w:rsidR="00447F8B" w:rsidRPr="00FE6196" w:rsidRDefault="00B37DF3" w:rsidP="00DB00CB">
      <w:pPr>
        <w:spacing w:before="120" w:after="120" w:line="240" w:lineRule="auto"/>
        <w:rPr>
          <w:rFonts w:ascii="Times New Roman" w:hAnsi="Times New Roman" w:cs="Times New Roman"/>
          <w:sz w:val="24"/>
          <w:szCs w:val="24"/>
        </w:rPr>
      </w:pPr>
      <w:r w:rsidRPr="00FE6196">
        <w:rPr>
          <w:rFonts w:ascii="Times New Roman" w:hAnsi="Times New Roman" w:cs="Times New Roman"/>
          <w:sz w:val="24"/>
          <w:szCs w:val="24"/>
        </w:rPr>
        <w:t>The following documents and models</w:t>
      </w:r>
      <w:r w:rsidR="001B0518">
        <w:rPr>
          <w:rFonts w:ascii="Times New Roman" w:hAnsi="Times New Roman" w:cs="Times New Roman"/>
          <w:sz w:val="24"/>
          <w:szCs w:val="24"/>
        </w:rPr>
        <w:t xml:space="preserve">, </w:t>
      </w:r>
      <w:r w:rsidR="001B0518" w:rsidRPr="00FE6196">
        <w:rPr>
          <w:rFonts w:ascii="Times New Roman" w:hAnsi="Times New Roman" w:cs="Times New Roman"/>
          <w:sz w:val="24"/>
          <w:szCs w:val="24"/>
        </w:rPr>
        <w:t>as in force from time to time</w:t>
      </w:r>
      <w:r w:rsidR="001B0518">
        <w:rPr>
          <w:rFonts w:ascii="Times New Roman" w:hAnsi="Times New Roman" w:cs="Times New Roman"/>
          <w:sz w:val="24"/>
          <w:szCs w:val="24"/>
        </w:rPr>
        <w:t>,</w:t>
      </w:r>
      <w:r w:rsidRPr="00FE6196">
        <w:rPr>
          <w:rFonts w:ascii="Times New Roman" w:hAnsi="Times New Roman" w:cs="Times New Roman"/>
          <w:sz w:val="24"/>
          <w:szCs w:val="24"/>
        </w:rPr>
        <w:t xml:space="preserve"> are </w:t>
      </w:r>
      <w:r w:rsidR="00CE089B">
        <w:rPr>
          <w:rFonts w:ascii="Times New Roman" w:hAnsi="Times New Roman" w:cs="Times New Roman"/>
          <w:sz w:val="24"/>
          <w:szCs w:val="24"/>
        </w:rPr>
        <w:t>used</w:t>
      </w:r>
      <w:r w:rsidR="00CE089B" w:rsidRPr="00FE6196">
        <w:rPr>
          <w:rFonts w:ascii="Times New Roman" w:hAnsi="Times New Roman" w:cs="Times New Roman"/>
          <w:sz w:val="24"/>
          <w:szCs w:val="24"/>
        </w:rPr>
        <w:t xml:space="preserve"> </w:t>
      </w:r>
      <w:r w:rsidRPr="00FE6196">
        <w:rPr>
          <w:rFonts w:ascii="Times New Roman" w:hAnsi="Times New Roman" w:cs="Times New Roman"/>
          <w:sz w:val="24"/>
          <w:szCs w:val="24"/>
        </w:rPr>
        <w:t xml:space="preserve">in the Determination </w:t>
      </w:r>
      <w:r w:rsidR="001B0518">
        <w:rPr>
          <w:rFonts w:ascii="Times New Roman" w:hAnsi="Times New Roman" w:cs="Times New Roman"/>
          <w:sz w:val="24"/>
          <w:szCs w:val="24"/>
        </w:rPr>
        <w:t>in a ma</w:t>
      </w:r>
      <w:r w:rsidR="00EC7A72">
        <w:rPr>
          <w:rFonts w:ascii="Times New Roman" w:hAnsi="Times New Roman" w:cs="Times New Roman"/>
          <w:sz w:val="24"/>
          <w:szCs w:val="24"/>
        </w:rPr>
        <w:t xml:space="preserve">nner </w:t>
      </w:r>
      <w:r w:rsidRPr="00FE6196">
        <w:rPr>
          <w:rFonts w:ascii="Times New Roman" w:hAnsi="Times New Roman" w:cs="Times New Roman"/>
          <w:sz w:val="24"/>
          <w:szCs w:val="24"/>
        </w:rPr>
        <w:t>consistent with subsection 106(8) of the Act:</w:t>
      </w:r>
    </w:p>
    <w:p w14:paraId="101FA4FF" w14:textId="310B3DB5" w:rsidR="00776374" w:rsidRPr="00FE6196" w:rsidRDefault="00776374" w:rsidP="00DB00CB">
      <w:pPr>
        <w:pStyle w:val="ListParagraph"/>
        <w:numPr>
          <w:ilvl w:val="0"/>
          <w:numId w:val="1"/>
        </w:numPr>
        <w:spacing w:before="120" w:after="120" w:line="240" w:lineRule="auto"/>
        <w:rPr>
          <w:rFonts w:ascii="Times New Roman" w:hAnsi="Times New Roman" w:cs="Times New Roman"/>
          <w:sz w:val="24"/>
          <w:szCs w:val="24"/>
        </w:rPr>
      </w:pPr>
      <w:proofErr w:type="spellStart"/>
      <w:proofErr w:type="gramStart"/>
      <w:r w:rsidRPr="00FE6196">
        <w:rPr>
          <w:rFonts w:ascii="Times New Roman" w:hAnsi="Times New Roman" w:cs="Times New Roman"/>
          <w:sz w:val="24"/>
          <w:szCs w:val="24"/>
        </w:rPr>
        <w:t>FullCAM</w:t>
      </w:r>
      <w:proofErr w:type="spellEnd"/>
      <w:r w:rsidR="00746C3A">
        <w:rPr>
          <w:rFonts w:ascii="Times New Roman" w:hAnsi="Times New Roman" w:cs="Times New Roman"/>
          <w:sz w:val="24"/>
          <w:szCs w:val="24"/>
        </w:rPr>
        <w:t>;</w:t>
      </w:r>
      <w:proofErr w:type="gramEnd"/>
    </w:p>
    <w:p w14:paraId="255E015F" w14:textId="174B1C9A" w:rsidR="00AD21C5" w:rsidRDefault="00776374" w:rsidP="00DB00CB">
      <w:pPr>
        <w:pStyle w:val="ListParagraph"/>
        <w:numPr>
          <w:ilvl w:val="0"/>
          <w:numId w:val="1"/>
        </w:numPr>
        <w:spacing w:before="120" w:after="120" w:line="240" w:lineRule="auto"/>
        <w:rPr>
          <w:rFonts w:ascii="Times New Roman" w:hAnsi="Times New Roman" w:cs="Times New Roman"/>
          <w:sz w:val="24"/>
          <w:szCs w:val="24"/>
        </w:rPr>
      </w:pPr>
      <w:proofErr w:type="spellStart"/>
      <w:r w:rsidRPr="00FE6196">
        <w:rPr>
          <w:rFonts w:ascii="Times New Roman" w:hAnsi="Times New Roman" w:cs="Times New Roman"/>
          <w:sz w:val="24"/>
          <w:szCs w:val="24"/>
        </w:rPr>
        <w:t>FullCAM</w:t>
      </w:r>
      <w:proofErr w:type="spellEnd"/>
      <w:r w:rsidRPr="00FE6196">
        <w:rPr>
          <w:rFonts w:ascii="Times New Roman" w:hAnsi="Times New Roman" w:cs="Times New Roman"/>
          <w:sz w:val="24"/>
          <w:szCs w:val="24"/>
        </w:rPr>
        <w:t xml:space="preserve"> </w:t>
      </w:r>
      <w:proofErr w:type="gramStart"/>
      <w:r w:rsidR="00EE6DE8" w:rsidRPr="00FE6196">
        <w:rPr>
          <w:rFonts w:ascii="Times New Roman" w:hAnsi="Times New Roman" w:cs="Times New Roman"/>
          <w:sz w:val="24"/>
          <w:szCs w:val="24"/>
        </w:rPr>
        <w:t>Guideline</w:t>
      </w:r>
      <w:r w:rsidR="00746C3A">
        <w:rPr>
          <w:rFonts w:ascii="Times New Roman" w:hAnsi="Times New Roman" w:cs="Times New Roman"/>
          <w:sz w:val="24"/>
          <w:szCs w:val="24"/>
        </w:rPr>
        <w:t>s;</w:t>
      </w:r>
      <w:proofErr w:type="gramEnd"/>
    </w:p>
    <w:p w14:paraId="73C96738" w14:textId="191A985A" w:rsidR="00755D85" w:rsidRPr="00C50B86" w:rsidRDefault="007E4EB5" w:rsidP="00DB00CB">
      <w:pPr>
        <w:pStyle w:val="ListParagraph"/>
        <w:numPr>
          <w:ilvl w:val="0"/>
          <w:numId w:val="1"/>
        </w:numPr>
        <w:spacing w:before="120" w:after="120" w:line="240" w:lineRule="auto"/>
        <w:rPr>
          <w:rFonts w:ascii="Times New Roman" w:hAnsi="Times New Roman" w:cs="Times New Roman"/>
          <w:sz w:val="24"/>
          <w:szCs w:val="24"/>
        </w:rPr>
      </w:pPr>
      <w:r w:rsidRPr="00C50B86">
        <w:rPr>
          <w:rFonts w:ascii="Times New Roman" w:hAnsi="Times New Roman" w:cs="Times New Roman"/>
          <w:sz w:val="24"/>
          <w:szCs w:val="24"/>
        </w:rPr>
        <w:t xml:space="preserve">Mapping </w:t>
      </w:r>
      <w:proofErr w:type="gramStart"/>
      <w:r w:rsidRPr="00C50B86">
        <w:rPr>
          <w:rFonts w:ascii="Times New Roman" w:hAnsi="Times New Roman" w:cs="Times New Roman"/>
          <w:sz w:val="24"/>
          <w:szCs w:val="24"/>
        </w:rPr>
        <w:t>Guidelines</w:t>
      </w:r>
      <w:r w:rsidR="00746C3A">
        <w:rPr>
          <w:rFonts w:ascii="Times New Roman" w:hAnsi="Times New Roman" w:cs="Times New Roman"/>
          <w:sz w:val="24"/>
          <w:szCs w:val="24"/>
        </w:rPr>
        <w:t>;</w:t>
      </w:r>
      <w:proofErr w:type="gramEnd"/>
      <w:r w:rsidR="00776374" w:rsidRPr="00C50B86">
        <w:rPr>
          <w:rFonts w:ascii="Times New Roman" w:hAnsi="Times New Roman" w:cs="Times New Roman"/>
          <w:sz w:val="24"/>
          <w:szCs w:val="24"/>
        </w:rPr>
        <w:t xml:space="preserve"> </w:t>
      </w:r>
    </w:p>
    <w:p w14:paraId="06633760" w14:textId="0056780D" w:rsidR="00746C3A" w:rsidRPr="00C50B86" w:rsidRDefault="00746C3A" w:rsidP="00DB00CB">
      <w:pPr>
        <w:pStyle w:val="ListParagraph"/>
        <w:numPr>
          <w:ilvl w:val="0"/>
          <w:numId w:val="1"/>
        </w:numPr>
        <w:spacing w:before="120" w:after="120" w:line="240" w:lineRule="auto"/>
        <w:rPr>
          <w:rFonts w:ascii="Times New Roman" w:hAnsi="Times New Roman" w:cs="Times New Roman"/>
          <w:sz w:val="24"/>
          <w:szCs w:val="24"/>
        </w:rPr>
      </w:pPr>
      <w:r w:rsidRPr="00746C3A">
        <w:rPr>
          <w:rFonts w:ascii="Times New Roman" w:hAnsi="Times New Roman" w:cs="Times New Roman"/>
          <w:sz w:val="24"/>
          <w:szCs w:val="24"/>
        </w:rPr>
        <w:t xml:space="preserve">National Vegetation Information </w:t>
      </w:r>
      <w:proofErr w:type="gramStart"/>
      <w:r w:rsidRPr="00746C3A">
        <w:rPr>
          <w:rFonts w:ascii="Times New Roman" w:hAnsi="Times New Roman" w:cs="Times New Roman"/>
          <w:sz w:val="24"/>
          <w:szCs w:val="24"/>
        </w:rPr>
        <w:t>System</w:t>
      </w:r>
      <w:r>
        <w:rPr>
          <w:rFonts w:ascii="Times New Roman" w:hAnsi="Times New Roman" w:cs="Times New Roman"/>
          <w:sz w:val="24"/>
          <w:szCs w:val="24"/>
        </w:rPr>
        <w:t>;</w:t>
      </w:r>
      <w:proofErr w:type="gramEnd"/>
    </w:p>
    <w:p w14:paraId="090A154F" w14:textId="2B0DFFAD" w:rsidR="00EE6DE8" w:rsidRPr="00C50B86" w:rsidRDefault="00776374" w:rsidP="00DB00CB">
      <w:pPr>
        <w:pStyle w:val="ListParagraph"/>
        <w:numPr>
          <w:ilvl w:val="0"/>
          <w:numId w:val="1"/>
        </w:numPr>
        <w:spacing w:before="120" w:after="120" w:line="240" w:lineRule="auto"/>
        <w:rPr>
          <w:rFonts w:ascii="Times New Roman" w:hAnsi="Times New Roman" w:cs="Times New Roman"/>
          <w:sz w:val="24"/>
          <w:szCs w:val="24"/>
        </w:rPr>
      </w:pPr>
      <w:r w:rsidRPr="00C50B86">
        <w:rPr>
          <w:rFonts w:ascii="Times New Roman" w:hAnsi="Times New Roman" w:cs="Times New Roman"/>
          <w:i/>
          <w:sz w:val="24"/>
          <w:szCs w:val="24"/>
        </w:rPr>
        <w:t>National Greenhouse and Energy Reporting Regulations 2008</w:t>
      </w:r>
      <w:r w:rsidR="00746C3A">
        <w:rPr>
          <w:rFonts w:ascii="Times New Roman" w:hAnsi="Times New Roman" w:cs="Times New Roman"/>
          <w:sz w:val="24"/>
          <w:szCs w:val="24"/>
        </w:rPr>
        <w:t>; and</w:t>
      </w:r>
    </w:p>
    <w:p w14:paraId="7C0C4CFE" w14:textId="6609CE55" w:rsidR="009D279C" w:rsidRPr="005A1BD9" w:rsidRDefault="00C50B86" w:rsidP="00DB00CB">
      <w:pPr>
        <w:pStyle w:val="ListParagraph"/>
        <w:numPr>
          <w:ilvl w:val="0"/>
          <w:numId w:val="1"/>
        </w:numPr>
        <w:spacing w:before="120" w:after="120" w:line="240" w:lineRule="auto"/>
        <w:rPr>
          <w:rFonts w:ascii="Times New Roman" w:hAnsi="Times New Roman" w:cs="Times New Roman"/>
          <w:sz w:val="24"/>
          <w:szCs w:val="24"/>
        </w:rPr>
      </w:pPr>
      <w:r w:rsidRPr="00C50B86">
        <w:rPr>
          <w:rFonts w:ascii="Times New Roman" w:hAnsi="Times New Roman" w:cs="Times New Roman"/>
          <w:bCs/>
          <w:i/>
          <w:sz w:val="24"/>
          <w:szCs w:val="24"/>
        </w:rPr>
        <w:t>National Greenhouse and Energy Reporting (Measurement) Determination 2008</w:t>
      </w:r>
      <w:r>
        <w:rPr>
          <w:rFonts w:ascii="Times New Roman" w:hAnsi="Times New Roman" w:cs="Times New Roman"/>
          <w:sz w:val="24"/>
          <w:szCs w:val="24"/>
        </w:rPr>
        <w:t xml:space="preserve">. </w:t>
      </w:r>
    </w:p>
    <w:p w14:paraId="69F13061" w14:textId="77777777" w:rsidR="00082BE9" w:rsidRDefault="00082BE9" w:rsidP="00DB00C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0008D0" w14:textId="09CDFB84" w:rsidR="00BC5C7E" w:rsidRPr="0025148E" w:rsidRDefault="00BC5C7E" w:rsidP="00DB00CB">
      <w:pPr>
        <w:tabs>
          <w:tab w:val="left" w:pos="3120"/>
        </w:tabs>
        <w:spacing w:before="120" w:after="120" w:line="240" w:lineRule="auto"/>
        <w:outlineLvl w:val="1"/>
        <w:rPr>
          <w:rFonts w:ascii="Times New Roman" w:hAnsi="Times New Roman" w:cs="Times New Roman"/>
          <w:b/>
          <w:bCs/>
          <w:sz w:val="26"/>
          <w:szCs w:val="26"/>
        </w:rPr>
      </w:pPr>
      <w:r w:rsidRPr="0025148E">
        <w:rPr>
          <w:rFonts w:ascii="Times New Roman" w:hAnsi="Times New Roman" w:cs="Times New Roman"/>
          <w:b/>
          <w:bCs/>
          <w:sz w:val="26"/>
          <w:szCs w:val="26"/>
        </w:rPr>
        <w:lastRenderedPageBreak/>
        <w:t>Part 2—</w:t>
      </w:r>
      <w:r w:rsidR="004822C3" w:rsidRPr="0025148E">
        <w:rPr>
          <w:rFonts w:ascii="Times New Roman" w:hAnsi="Times New Roman" w:cs="Times New Roman"/>
          <w:b/>
          <w:bCs/>
          <w:sz w:val="26"/>
          <w:szCs w:val="26"/>
        </w:rPr>
        <w:t xml:space="preserve">Offsets projects to which </w:t>
      </w:r>
      <w:r w:rsidR="000C432A">
        <w:rPr>
          <w:rFonts w:ascii="Times New Roman" w:hAnsi="Times New Roman" w:cs="Times New Roman"/>
          <w:b/>
          <w:bCs/>
          <w:sz w:val="26"/>
          <w:szCs w:val="26"/>
        </w:rPr>
        <w:t>D</w:t>
      </w:r>
      <w:r w:rsidR="004822C3" w:rsidRPr="0025148E">
        <w:rPr>
          <w:rFonts w:ascii="Times New Roman" w:hAnsi="Times New Roman" w:cs="Times New Roman"/>
          <w:b/>
          <w:bCs/>
          <w:sz w:val="26"/>
          <w:szCs w:val="26"/>
        </w:rPr>
        <w:t>etermination applies</w:t>
      </w:r>
    </w:p>
    <w:p w14:paraId="3633AD39" w14:textId="5A22BD90" w:rsidR="00886EA0" w:rsidRPr="00C540C5" w:rsidRDefault="00197448"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Subs</w:t>
      </w:r>
      <w:r w:rsidR="00230BD8">
        <w:rPr>
          <w:rFonts w:ascii="Times New Roman" w:hAnsi="Times New Roman" w:cs="Times New Roman"/>
          <w:sz w:val="24"/>
          <w:szCs w:val="24"/>
        </w:rPr>
        <w:t>ection</w:t>
      </w:r>
      <w:r w:rsidR="00230BD8" w:rsidRPr="00AF5749">
        <w:rPr>
          <w:rFonts w:ascii="Times New Roman" w:hAnsi="Times New Roman" w:cs="Times New Roman"/>
          <w:sz w:val="24"/>
          <w:szCs w:val="24"/>
        </w:rPr>
        <w:t xml:space="preserve"> </w:t>
      </w:r>
      <w:r w:rsidR="00AF5749" w:rsidRPr="00AF5749">
        <w:rPr>
          <w:rFonts w:ascii="Times New Roman" w:hAnsi="Times New Roman" w:cs="Times New Roman"/>
          <w:sz w:val="24"/>
          <w:szCs w:val="24"/>
        </w:rPr>
        <w:t>106(1)(</w:t>
      </w:r>
      <w:r w:rsidR="006A423C">
        <w:rPr>
          <w:rFonts w:ascii="Times New Roman" w:hAnsi="Times New Roman" w:cs="Times New Roman"/>
          <w:sz w:val="24"/>
          <w:szCs w:val="24"/>
        </w:rPr>
        <w:t>a</w:t>
      </w:r>
      <w:r w:rsidR="00AF5749" w:rsidRPr="00AF5749">
        <w:rPr>
          <w:rFonts w:ascii="Times New Roman" w:hAnsi="Times New Roman" w:cs="Times New Roman"/>
          <w:sz w:val="24"/>
          <w:szCs w:val="24"/>
        </w:rPr>
        <w:t xml:space="preserve">) of the </w:t>
      </w:r>
      <w:r w:rsidR="00AF5749">
        <w:rPr>
          <w:rFonts w:ascii="Times New Roman" w:hAnsi="Times New Roman" w:cs="Times New Roman"/>
          <w:sz w:val="24"/>
          <w:szCs w:val="24"/>
        </w:rPr>
        <w:t xml:space="preserve">CFI </w:t>
      </w:r>
      <w:r w:rsidR="00AF5749" w:rsidRPr="00AF5749">
        <w:rPr>
          <w:rFonts w:ascii="Times New Roman" w:hAnsi="Times New Roman" w:cs="Times New Roman"/>
          <w:sz w:val="24"/>
          <w:szCs w:val="24"/>
        </w:rPr>
        <w:t xml:space="preserve">Act </w:t>
      </w:r>
      <w:r w:rsidR="00BC076B">
        <w:rPr>
          <w:rFonts w:ascii="Times New Roman" w:hAnsi="Times New Roman" w:cs="Times New Roman"/>
          <w:sz w:val="24"/>
          <w:szCs w:val="24"/>
        </w:rPr>
        <w:t xml:space="preserve">provides that the Minister may make a </w:t>
      </w:r>
      <w:r w:rsidR="00FD4F69">
        <w:rPr>
          <w:rFonts w:ascii="Times New Roman" w:hAnsi="Times New Roman" w:cs="Times New Roman"/>
          <w:sz w:val="24"/>
          <w:szCs w:val="24"/>
        </w:rPr>
        <w:t>metho</w:t>
      </w:r>
      <w:r w:rsidR="007A3566">
        <w:rPr>
          <w:rFonts w:ascii="Times New Roman" w:hAnsi="Times New Roman" w:cs="Times New Roman"/>
          <w:sz w:val="24"/>
          <w:szCs w:val="24"/>
        </w:rPr>
        <w:t>do</w:t>
      </w:r>
      <w:r w:rsidR="00FD4F69">
        <w:rPr>
          <w:rFonts w:ascii="Times New Roman" w:hAnsi="Times New Roman" w:cs="Times New Roman"/>
          <w:sz w:val="24"/>
          <w:szCs w:val="24"/>
        </w:rPr>
        <w:t xml:space="preserve">logy </w:t>
      </w:r>
      <w:r w:rsidR="00BC076B">
        <w:rPr>
          <w:rFonts w:ascii="Times New Roman" w:hAnsi="Times New Roman" w:cs="Times New Roman"/>
          <w:sz w:val="24"/>
          <w:szCs w:val="24"/>
        </w:rPr>
        <w:t xml:space="preserve">determination </w:t>
      </w:r>
      <w:r w:rsidR="00FD4F69">
        <w:rPr>
          <w:rFonts w:ascii="Times New Roman" w:hAnsi="Times New Roman" w:cs="Times New Roman"/>
          <w:sz w:val="24"/>
          <w:szCs w:val="24"/>
        </w:rPr>
        <w:t>that is expressed to apply to a specific kind of offsets project</w:t>
      </w:r>
      <w:r w:rsidR="00AF5749" w:rsidRPr="00AF5749">
        <w:rPr>
          <w:rFonts w:ascii="Times New Roman" w:hAnsi="Times New Roman" w:cs="Times New Roman"/>
          <w:sz w:val="24"/>
          <w:szCs w:val="24"/>
        </w:rPr>
        <w:t xml:space="preserve">. </w:t>
      </w:r>
      <w:r w:rsidR="00886EA0">
        <w:rPr>
          <w:rFonts w:ascii="Times New Roman" w:hAnsi="Times New Roman" w:cs="Times New Roman"/>
          <w:sz w:val="24"/>
          <w:szCs w:val="24"/>
        </w:rPr>
        <w:t xml:space="preserve">Part 2 of the Determination contains </w:t>
      </w:r>
      <w:r w:rsidR="00BB3A50">
        <w:rPr>
          <w:rFonts w:ascii="Times New Roman" w:hAnsi="Times New Roman" w:cs="Times New Roman"/>
          <w:sz w:val="24"/>
          <w:szCs w:val="24"/>
        </w:rPr>
        <w:t>the description of the offsets projects to which it applies</w:t>
      </w:r>
      <w:r w:rsidR="00684B20">
        <w:rPr>
          <w:rFonts w:ascii="Times New Roman" w:hAnsi="Times New Roman" w:cs="Times New Roman"/>
          <w:sz w:val="24"/>
          <w:szCs w:val="24"/>
        </w:rPr>
        <w:t>.</w:t>
      </w:r>
    </w:p>
    <w:p w14:paraId="295F1531" w14:textId="3B111953" w:rsidR="00BC5C7E" w:rsidRPr="00464EF1" w:rsidRDefault="00BC5C7E" w:rsidP="00DB00CB">
      <w:pPr>
        <w:spacing w:before="120" w:after="120" w:line="240" w:lineRule="auto"/>
        <w:outlineLvl w:val="3"/>
        <w:rPr>
          <w:rFonts w:ascii="Times New Roman" w:hAnsi="Times New Roman" w:cs="Times New Roman"/>
          <w:sz w:val="24"/>
          <w:szCs w:val="24"/>
          <w:u w:val="single"/>
        </w:rPr>
      </w:pPr>
      <w:r w:rsidRPr="00FE6196">
        <w:rPr>
          <w:rFonts w:ascii="Times New Roman" w:hAnsi="Times New Roman" w:cs="Times New Roman"/>
          <w:sz w:val="24"/>
          <w:szCs w:val="24"/>
          <w:u w:val="single"/>
        </w:rPr>
        <w:t xml:space="preserve">Section </w:t>
      </w:r>
      <w:r w:rsidR="004822C3">
        <w:rPr>
          <w:rFonts w:ascii="Times New Roman" w:hAnsi="Times New Roman" w:cs="Times New Roman"/>
          <w:sz w:val="24"/>
          <w:szCs w:val="24"/>
          <w:u w:val="single"/>
        </w:rPr>
        <w:t>6</w:t>
      </w:r>
      <w:r w:rsidRPr="00FE6196">
        <w:rPr>
          <w:rFonts w:ascii="Times New Roman" w:hAnsi="Times New Roman" w:cs="Times New Roman"/>
          <w:sz w:val="24"/>
          <w:szCs w:val="24"/>
          <w:u w:val="single"/>
        </w:rPr>
        <w:t xml:space="preserve"> – </w:t>
      </w:r>
      <w:r w:rsidR="00543C20" w:rsidRPr="00543C20">
        <w:rPr>
          <w:rFonts w:ascii="Times New Roman" w:hAnsi="Times New Roman" w:cs="Times New Roman"/>
          <w:sz w:val="24"/>
          <w:szCs w:val="24"/>
          <w:u w:val="single"/>
        </w:rPr>
        <w:t xml:space="preserve">Determination applies to projects to stop or reduce timber harvesting in public </w:t>
      </w:r>
      <w:r w:rsidR="00543C20" w:rsidRPr="00464EF1">
        <w:rPr>
          <w:rFonts w:ascii="Times New Roman" w:hAnsi="Times New Roman" w:cs="Times New Roman"/>
          <w:sz w:val="24"/>
          <w:szCs w:val="24"/>
          <w:u w:val="single"/>
        </w:rPr>
        <w:t>native forests</w:t>
      </w:r>
    </w:p>
    <w:p w14:paraId="7756DE49" w14:textId="33497AB7" w:rsidR="00176874" w:rsidRDefault="000A5E7D"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Subsection</w:t>
      </w:r>
      <w:r w:rsidR="00C52078">
        <w:rPr>
          <w:rFonts w:ascii="Times New Roman" w:hAnsi="Times New Roman" w:cs="Times New Roman"/>
          <w:sz w:val="24"/>
          <w:szCs w:val="24"/>
        </w:rPr>
        <w:t xml:space="preserve"> </w:t>
      </w:r>
      <w:r w:rsidR="00DA6478">
        <w:rPr>
          <w:rFonts w:ascii="Times New Roman" w:hAnsi="Times New Roman" w:cs="Times New Roman"/>
          <w:sz w:val="24"/>
          <w:szCs w:val="24"/>
        </w:rPr>
        <w:t>6</w:t>
      </w:r>
      <w:r w:rsidR="00C52078">
        <w:rPr>
          <w:rFonts w:ascii="Times New Roman" w:hAnsi="Times New Roman" w:cs="Times New Roman"/>
          <w:sz w:val="24"/>
          <w:szCs w:val="24"/>
        </w:rPr>
        <w:t>(1)</w:t>
      </w:r>
      <w:r w:rsidR="00DA6478">
        <w:rPr>
          <w:rFonts w:ascii="Times New Roman" w:hAnsi="Times New Roman" w:cs="Times New Roman"/>
          <w:sz w:val="24"/>
          <w:szCs w:val="24"/>
        </w:rPr>
        <w:t xml:space="preserve"> specifies that the Determination</w:t>
      </w:r>
      <w:r w:rsidR="00DA6478" w:rsidRPr="00DA6478">
        <w:rPr>
          <w:rFonts w:ascii="Times New Roman" w:hAnsi="Times New Roman" w:cs="Times New Roman"/>
          <w:sz w:val="24"/>
          <w:szCs w:val="24"/>
        </w:rPr>
        <w:t xml:space="preserve"> applies to an offsets project</w:t>
      </w:r>
      <w:r w:rsidR="00DA6478">
        <w:rPr>
          <w:rFonts w:ascii="Times New Roman" w:hAnsi="Times New Roman" w:cs="Times New Roman"/>
          <w:sz w:val="24"/>
          <w:szCs w:val="24"/>
        </w:rPr>
        <w:t xml:space="preserve"> </w:t>
      </w:r>
      <w:r w:rsidR="004C74EB">
        <w:rPr>
          <w:rFonts w:ascii="Times New Roman" w:hAnsi="Times New Roman" w:cs="Times New Roman"/>
          <w:sz w:val="24"/>
          <w:szCs w:val="24"/>
        </w:rPr>
        <w:t>that</w:t>
      </w:r>
      <w:r w:rsidR="00176874">
        <w:rPr>
          <w:rFonts w:ascii="Times New Roman" w:hAnsi="Times New Roman" w:cs="Times New Roman"/>
          <w:sz w:val="24"/>
          <w:szCs w:val="24"/>
        </w:rPr>
        <w:t>:</w:t>
      </w:r>
      <w:r w:rsidR="00D31257">
        <w:rPr>
          <w:rFonts w:ascii="Times New Roman" w:hAnsi="Times New Roman" w:cs="Times New Roman"/>
          <w:sz w:val="24"/>
          <w:szCs w:val="24"/>
        </w:rPr>
        <w:t xml:space="preserve"> </w:t>
      </w:r>
    </w:p>
    <w:p w14:paraId="6218C9D0" w14:textId="5F43A49F" w:rsidR="004C74EB" w:rsidRPr="00176874" w:rsidRDefault="00BF4E23" w:rsidP="009D5A62">
      <w:pPr>
        <w:pStyle w:val="ListParagraph"/>
        <w:numPr>
          <w:ilvl w:val="0"/>
          <w:numId w:val="74"/>
        </w:numPr>
        <w:spacing w:before="120" w:after="120" w:line="240" w:lineRule="auto"/>
        <w:contextualSpacing w:val="0"/>
        <w:rPr>
          <w:rFonts w:ascii="Times New Roman" w:hAnsi="Times New Roman" w:cs="Times New Roman"/>
          <w:sz w:val="24"/>
          <w:szCs w:val="24"/>
        </w:rPr>
      </w:pPr>
      <w:r w:rsidRPr="00176874">
        <w:rPr>
          <w:rFonts w:ascii="Times New Roman" w:hAnsi="Times New Roman" w:cs="Times New Roman"/>
          <w:sz w:val="24"/>
          <w:szCs w:val="24"/>
        </w:rPr>
        <w:t xml:space="preserve">involves a decision of the government of a State to stop or reduce timber harvesting </w:t>
      </w:r>
      <w:r w:rsidR="001E32C7" w:rsidRPr="00176874">
        <w:rPr>
          <w:rFonts w:ascii="Times New Roman" w:hAnsi="Times New Roman" w:cs="Times New Roman"/>
          <w:sz w:val="24"/>
          <w:szCs w:val="24"/>
        </w:rPr>
        <w:t>in public native forests</w:t>
      </w:r>
      <w:r w:rsidR="00176874">
        <w:rPr>
          <w:rFonts w:ascii="Times New Roman" w:hAnsi="Times New Roman" w:cs="Times New Roman"/>
          <w:sz w:val="24"/>
          <w:szCs w:val="24"/>
        </w:rPr>
        <w:t xml:space="preserve">, which </w:t>
      </w:r>
      <w:r w:rsidR="00F12738">
        <w:rPr>
          <w:rFonts w:ascii="Times New Roman" w:hAnsi="Times New Roman" w:cs="Times New Roman"/>
          <w:sz w:val="24"/>
          <w:szCs w:val="24"/>
        </w:rPr>
        <w:t>results in the removal of</w:t>
      </w:r>
      <w:r w:rsidR="004C74EB" w:rsidRPr="00176874">
        <w:rPr>
          <w:rFonts w:ascii="Times New Roman" w:hAnsi="Times New Roman" w:cs="Times New Roman"/>
          <w:sz w:val="24"/>
          <w:szCs w:val="24"/>
        </w:rPr>
        <w:t xml:space="preserve"> carbon dioxide from the atmosphere by sequestering additional carbon in trees and debris</w:t>
      </w:r>
      <w:r w:rsidR="00714F5D" w:rsidRPr="00176874">
        <w:rPr>
          <w:rFonts w:ascii="Times New Roman" w:hAnsi="Times New Roman" w:cs="Times New Roman"/>
          <w:sz w:val="24"/>
          <w:szCs w:val="24"/>
        </w:rPr>
        <w:t xml:space="preserve"> and </w:t>
      </w:r>
      <w:r w:rsidR="00F12738">
        <w:rPr>
          <w:rFonts w:ascii="Times New Roman" w:hAnsi="Times New Roman" w:cs="Times New Roman"/>
          <w:sz w:val="24"/>
          <w:szCs w:val="24"/>
        </w:rPr>
        <w:t xml:space="preserve">the </w:t>
      </w:r>
      <w:r w:rsidR="004C74EB" w:rsidRPr="00176874">
        <w:rPr>
          <w:rFonts w:ascii="Times New Roman" w:hAnsi="Times New Roman" w:cs="Times New Roman"/>
          <w:sz w:val="24"/>
          <w:szCs w:val="24"/>
        </w:rPr>
        <w:t>avoid</w:t>
      </w:r>
      <w:r w:rsidR="00F12738">
        <w:rPr>
          <w:rFonts w:ascii="Times New Roman" w:hAnsi="Times New Roman" w:cs="Times New Roman"/>
          <w:sz w:val="24"/>
          <w:szCs w:val="24"/>
        </w:rPr>
        <w:t>ance of the</w:t>
      </w:r>
      <w:r w:rsidR="004C74EB" w:rsidRPr="00176874">
        <w:rPr>
          <w:rFonts w:ascii="Times New Roman" w:hAnsi="Times New Roman" w:cs="Times New Roman"/>
          <w:sz w:val="24"/>
          <w:szCs w:val="24"/>
        </w:rPr>
        <w:t xml:space="preserve"> greenhouse gas emissions attributable to timber harvesting</w:t>
      </w:r>
      <w:r w:rsidR="00176874" w:rsidRPr="00176874">
        <w:rPr>
          <w:rFonts w:ascii="Times New Roman" w:hAnsi="Times New Roman" w:cs="Times New Roman"/>
          <w:sz w:val="24"/>
          <w:szCs w:val="24"/>
        </w:rPr>
        <w:t xml:space="preserve">; and </w:t>
      </w:r>
    </w:p>
    <w:p w14:paraId="3841E794" w14:textId="604B45E6" w:rsidR="00DA6478" w:rsidRPr="00176874" w:rsidRDefault="00DA6478" w:rsidP="009D5A62">
      <w:pPr>
        <w:pStyle w:val="ListParagraph"/>
        <w:numPr>
          <w:ilvl w:val="0"/>
          <w:numId w:val="74"/>
        </w:numPr>
        <w:spacing w:before="120" w:after="120" w:line="240" w:lineRule="auto"/>
        <w:ind w:left="714" w:hanging="357"/>
        <w:contextualSpacing w:val="0"/>
        <w:rPr>
          <w:rFonts w:ascii="Times New Roman" w:hAnsi="Times New Roman" w:cs="Times New Roman"/>
          <w:sz w:val="24"/>
          <w:szCs w:val="24"/>
        </w:rPr>
      </w:pPr>
      <w:r w:rsidRPr="00176874">
        <w:rPr>
          <w:rFonts w:ascii="Times New Roman" w:hAnsi="Times New Roman" w:cs="Times New Roman"/>
          <w:sz w:val="24"/>
          <w:szCs w:val="24"/>
        </w:rPr>
        <w:t>can reasonably be expected to result in eligible carbon abatement.</w:t>
      </w:r>
    </w:p>
    <w:p w14:paraId="2CB0E4CC" w14:textId="509D309B" w:rsidR="00675C46" w:rsidRDefault="00B66732"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Limiting</w:t>
      </w:r>
      <w:r w:rsidR="004D34DC">
        <w:rPr>
          <w:rFonts w:ascii="Times New Roman" w:hAnsi="Times New Roman" w:cs="Times New Roman"/>
          <w:sz w:val="24"/>
          <w:szCs w:val="24"/>
        </w:rPr>
        <w:t xml:space="preserve"> eligibility to projects involving stopping</w:t>
      </w:r>
      <w:r w:rsidR="004D34DC" w:rsidRPr="004D34DC">
        <w:rPr>
          <w:rFonts w:ascii="Times New Roman" w:hAnsi="Times New Roman" w:cs="Times New Roman"/>
          <w:sz w:val="24"/>
          <w:szCs w:val="24"/>
        </w:rPr>
        <w:t xml:space="preserve"> or reducing harvesting</w:t>
      </w:r>
      <w:r w:rsidR="004D34DC">
        <w:rPr>
          <w:rFonts w:ascii="Times New Roman" w:hAnsi="Times New Roman" w:cs="Times New Roman"/>
          <w:sz w:val="24"/>
          <w:szCs w:val="24"/>
        </w:rPr>
        <w:t xml:space="preserve"> in public native forests </w:t>
      </w:r>
      <w:r w:rsidR="002E6B59">
        <w:rPr>
          <w:rFonts w:ascii="Times New Roman" w:hAnsi="Times New Roman" w:cs="Times New Roman"/>
          <w:sz w:val="24"/>
          <w:szCs w:val="24"/>
        </w:rPr>
        <w:t xml:space="preserve">plays an important function in mitigating additionality risks. </w:t>
      </w:r>
      <w:r w:rsidR="00BE4FF8" w:rsidRPr="00BE4FF8">
        <w:rPr>
          <w:rFonts w:ascii="Times New Roman" w:hAnsi="Times New Roman" w:cs="Times New Roman"/>
          <w:sz w:val="24"/>
          <w:szCs w:val="24"/>
        </w:rPr>
        <w:t xml:space="preserve">Projects that involve the cessation or reduction in harvesting on private land are not eligible </w:t>
      </w:r>
      <w:r w:rsidR="00C90FD7">
        <w:rPr>
          <w:rFonts w:ascii="Times New Roman" w:hAnsi="Times New Roman" w:cs="Times New Roman"/>
          <w:sz w:val="24"/>
          <w:szCs w:val="24"/>
        </w:rPr>
        <w:t>under the Determination</w:t>
      </w:r>
      <w:r w:rsidR="00BE4FF8" w:rsidRPr="00BE4FF8">
        <w:rPr>
          <w:rFonts w:ascii="Times New Roman" w:hAnsi="Times New Roman" w:cs="Times New Roman"/>
          <w:sz w:val="24"/>
          <w:szCs w:val="24"/>
        </w:rPr>
        <w:t xml:space="preserve"> because of increased additionality risks</w:t>
      </w:r>
      <w:r w:rsidR="00C90FD7">
        <w:rPr>
          <w:rFonts w:ascii="Times New Roman" w:hAnsi="Times New Roman" w:cs="Times New Roman"/>
          <w:sz w:val="24"/>
          <w:szCs w:val="24"/>
        </w:rPr>
        <w:t xml:space="preserve">. </w:t>
      </w:r>
    </w:p>
    <w:p w14:paraId="0832F661" w14:textId="645EDFD3" w:rsidR="00584BC9" w:rsidRDefault="00C45AE1"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While </w:t>
      </w:r>
      <w:r w:rsidR="00DE41FC">
        <w:rPr>
          <w:rFonts w:ascii="Times New Roman" w:hAnsi="Times New Roman" w:cs="Times New Roman"/>
          <w:sz w:val="24"/>
          <w:szCs w:val="24"/>
        </w:rPr>
        <w:t>an eligible project must involve</w:t>
      </w:r>
      <w:r w:rsidR="002B1FDA">
        <w:rPr>
          <w:rFonts w:ascii="Times New Roman" w:hAnsi="Times New Roman" w:cs="Times New Roman"/>
          <w:sz w:val="24"/>
          <w:szCs w:val="24"/>
        </w:rPr>
        <w:t xml:space="preserve"> the cessation or </w:t>
      </w:r>
      <w:r w:rsidR="00065838">
        <w:rPr>
          <w:rFonts w:ascii="Times New Roman" w:hAnsi="Times New Roman" w:cs="Times New Roman"/>
          <w:sz w:val="24"/>
          <w:szCs w:val="24"/>
        </w:rPr>
        <w:t>reduc</w:t>
      </w:r>
      <w:r w:rsidR="002B1FDA">
        <w:rPr>
          <w:rFonts w:ascii="Times New Roman" w:hAnsi="Times New Roman" w:cs="Times New Roman"/>
          <w:sz w:val="24"/>
          <w:szCs w:val="24"/>
        </w:rPr>
        <w:t xml:space="preserve">tion of </w:t>
      </w:r>
      <w:r w:rsidR="00065838">
        <w:rPr>
          <w:rFonts w:ascii="Times New Roman" w:hAnsi="Times New Roman" w:cs="Times New Roman"/>
          <w:sz w:val="24"/>
          <w:szCs w:val="24"/>
        </w:rPr>
        <w:t>harvesting</w:t>
      </w:r>
      <w:r w:rsidR="00DE41FC">
        <w:rPr>
          <w:rFonts w:ascii="Times New Roman" w:hAnsi="Times New Roman" w:cs="Times New Roman"/>
          <w:sz w:val="24"/>
          <w:szCs w:val="24"/>
        </w:rPr>
        <w:t xml:space="preserve"> in the project area</w:t>
      </w:r>
      <w:r>
        <w:rPr>
          <w:rFonts w:ascii="Times New Roman" w:hAnsi="Times New Roman" w:cs="Times New Roman"/>
          <w:sz w:val="24"/>
          <w:szCs w:val="24"/>
        </w:rPr>
        <w:t xml:space="preserve">, </w:t>
      </w:r>
      <w:r w:rsidR="000A5E7D">
        <w:rPr>
          <w:rFonts w:ascii="Times New Roman" w:hAnsi="Times New Roman" w:cs="Times New Roman"/>
          <w:sz w:val="24"/>
          <w:szCs w:val="24"/>
        </w:rPr>
        <w:t>subsection</w:t>
      </w:r>
      <w:r>
        <w:rPr>
          <w:rFonts w:ascii="Times New Roman" w:hAnsi="Times New Roman" w:cs="Times New Roman"/>
          <w:sz w:val="24"/>
          <w:szCs w:val="24"/>
        </w:rPr>
        <w:t xml:space="preserve"> 6</w:t>
      </w:r>
      <w:r w:rsidR="00DA6478" w:rsidRPr="00DA6478">
        <w:rPr>
          <w:rFonts w:ascii="Times New Roman" w:hAnsi="Times New Roman" w:cs="Times New Roman"/>
          <w:sz w:val="24"/>
          <w:szCs w:val="24"/>
        </w:rPr>
        <w:t>(2)</w:t>
      </w:r>
      <w:r>
        <w:rPr>
          <w:rFonts w:ascii="Times New Roman" w:hAnsi="Times New Roman" w:cs="Times New Roman"/>
          <w:sz w:val="24"/>
          <w:szCs w:val="24"/>
        </w:rPr>
        <w:t xml:space="preserve"> </w:t>
      </w:r>
      <w:r w:rsidR="00DE41FC">
        <w:rPr>
          <w:rFonts w:ascii="Times New Roman" w:hAnsi="Times New Roman" w:cs="Times New Roman"/>
          <w:sz w:val="24"/>
          <w:szCs w:val="24"/>
        </w:rPr>
        <w:t xml:space="preserve">provides that </w:t>
      </w:r>
      <w:r>
        <w:rPr>
          <w:rFonts w:ascii="Times New Roman" w:hAnsi="Times New Roman" w:cs="Times New Roman"/>
          <w:sz w:val="24"/>
          <w:szCs w:val="24"/>
        </w:rPr>
        <w:t>f</w:t>
      </w:r>
      <w:r w:rsidR="00DA6478" w:rsidRPr="00DA6478">
        <w:rPr>
          <w:rFonts w:ascii="Times New Roman" w:hAnsi="Times New Roman" w:cs="Times New Roman"/>
          <w:sz w:val="24"/>
          <w:szCs w:val="24"/>
        </w:rPr>
        <w:t xml:space="preserve">orest management activities </w:t>
      </w:r>
      <w:r w:rsidR="00DE41FC">
        <w:rPr>
          <w:rFonts w:ascii="Times New Roman" w:hAnsi="Times New Roman" w:cs="Times New Roman"/>
          <w:sz w:val="24"/>
          <w:szCs w:val="24"/>
        </w:rPr>
        <w:t>may</w:t>
      </w:r>
      <w:r w:rsidR="00DE41FC" w:rsidRPr="00DA6478">
        <w:rPr>
          <w:rFonts w:ascii="Times New Roman" w:hAnsi="Times New Roman" w:cs="Times New Roman"/>
          <w:sz w:val="24"/>
          <w:szCs w:val="24"/>
        </w:rPr>
        <w:t xml:space="preserve"> </w:t>
      </w:r>
      <w:r w:rsidR="00DA6478" w:rsidRPr="00DA6478">
        <w:rPr>
          <w:rFonts w:ascii="Times New Roman" w:hAnsi="Times New Roman" w:cs="Times New Roman"/>
          <w:sz w:val="24"/>
          <w:szCs w:val="24"/>
        </w:rPr>
        <w:t>be undertaken in the public native forests to which an offsets project applies.</w:t>
      </w:r>
      <w:r>
        <w:rPr>
          <w:rFonts w:ascii="Times New Roman" w:hAnsi="Times New Roman" w:cs="Times New Roman"/>
          <w:sz w:val="24"/>
          <w:szCs w:val="24"/>
        </w:rPr>
        <w:t xml:space="preserve"> </w:t>
      </w:r>
      <w:r w:rsidR="00584BC9">
        <w:rPr>
          <w:rFonts w:ascii="Times New Roman" w:hAnsi="Times New Roman" w:cs="Times New Roman"/>
          <w:sz w:val="24"/>
          <w:szCs w:val="24"/>
        </w:rPr>
        <w:t>Th</w:t>
      </w:r>
      <w:r w:rsidR="00DE41FC">
        <w:rPr>
          <w:rFonts w:ascii="Times New Roman" w:hAnsi="Times New Roman" w:cs="Times New Roman"/>
          <w:sz w:val="24"/>
          <w:szCs w:val="24"/>
        </w:rPr>
        <w:t>e</w:t>
      </w:r>
      <w:r w:rsidR="00584BC9">
        <w:rPr>
          <w:rFonts w:ascii="Times New Roman" w:hAnsi="Times New Roman" w:cs="Times New Roman"/>
          <w:sz w:val="24"/>
          <w:szCs w:val="24"/>
        </w:rPr>
        <w:t xml:space="preserve">se forest management activities can include harvesting, </w:t>
      </w:r>
      <w:r w:rsidR="00722F4F" w:rsidRPr="004D34DC">
        <w:rPr>
          <w:rFonts w:ascii="Times New Roman" w:hAnsi="Times New Roman" w:cs="Times New Roman"/>
          <w:sz w:val="24"/>
          <w:szCs w:val="24"/>
        </w:rPr>
        <w:t xml:space="preserve">weed and </w:t>
      </w:r>
      <w:r w:rsidR="00DE41FC">
        <w:rPr>
          <w:rFonts w:ascii="Times New Roman" w:hAnsi="Times New Roman" w:cs="Times New Roman"/>
          <w:sz w:val="24"/>
          <w:szCs w:val="24"/>
        </w:rPr>
        <w:t>feral animal</w:t>
      </w:r>
      <w:r w:rsidR="00DE41FC" w:rsidRPr="004D34DC">
        <w:rPr>
          <w:rFonts w:ascii="Times New Roman" w:hAnsi="Times New Roman" w:cs="Times New Roman"/>
          <w:sz w:val="24"/>
          <w:szCs w:val="24"/>
        </w:rPr>
        <w:t xml:space="preserve"> </w:t>
      </w:r>
      <w:r w:rsidR="00722F4F" w:rsidRPr="004D34DC">
        <w:rPr>
          <w:rFonts w:ascii="Times New Roman" w:hAnsi="Times New Roman" w:cs="Times New Roman"/>
          <w:sz w:val="24"/>
          <w:szCs w:val="24"/>
        </w:rPr>
        <w:t>control</w:t>
      </w:r>
      <w:r w:rsidR="00722F4F">
        <w:rPr>
          <w:rFonts w:ascii="Times New Roman" w:hAnsi="Times New Roman" w:cs="Times New Roman"/>
          <w:sz w:val="24"/>
          <w:szCs w:val="24"/>
        </w:rPr>
        <w:t xml:space="preserve">, </w:t>
      </w:r>
      <w:r w:rsidR="00584BC9" w:rsidRPr="002B1FDA">
        <w:rPr>
          <w:rFonts w:ascii="Times New Roman" w:hAnsi="Times New Roman" w:cs="Times New Roman"/>
          <w:sz w:val="24"/>
          <w:szCs w:val="24"/>
        </w:rPr>
        <w:t xml:space="preserve">prescribed burns and emergency </w:t>
      </w:r>
      <w:proofErr w:type="gramStart"/>
      <w:r w:rsidR="00584BC9" w:rsidRPr="002B1FDA">
        <w:rPr>
          <w:rFonts w:ascii="Times New Roman" w:hAnsi="Times New Roman" w:cs="Times New Roman"/>
          <w:sz w:val="24"/>
          <w:szCs w:val="24"/>
        </w:rPr>
        <w:t>back-burning</w:t>
      </w:r>
      <w:proofErr w:type="gramEnd"/>
      <w:r w:rsidR="00584BC9">
        <w:rPr>
          <w:rFonts w:ascii="Times New Roman" w:hAnsi="Times New Roman" w:cs="Times New Roman"/>
          <w:sz w:val="24"/>
          <w:szCs w:val="24"/>
        </w:rPr>
        <w:t>,</w:t>
      </w:r>
      <w:r w:rsidR="00584BC9" w:rsidRPr="002B1FDA">
        <w:rPr>
          <w:rFonts w:ascii="Times New Roman" w:hAnsi="Times New Roman" w:cs="Times New Roman"/>
          <w:sz w:val="24"/>
          <w:szCs w:val="24"/>
        </w:rPr>
        <w:t xml:space="preserve"> </w:t>
      </w:r>
      <w:r w:rsidR="00584BC9">
        <w:rPr>
          <w:rFonts w:ascii="Times New Roman" w:hAnsi="Times New Roman" w:cs="Times New Roman"/>
          <w:sz w:val="24"/>
          <w:szCs w:val="24"/>
        </w:rPr>
        <w:t>and</w:t>
      </w:r>
      <w:r w:rsidR="00584BC9" w:rsidRPr="002B1FDA">
        <w:rPr>
          <w:rFonts w:ascii="Times New Roman" w:hAnsi="Times New Roman" w:cs="Times New Roman"/>
          <w:sz w:val="24"/>
          <w:szCs w:val="24"/>
        </w:rPr>
        <w:t xml:space="preserve"> mechanical clearing for firebreaks to prevent the spread of a wildfire</w:t>
      </w:r>
      <w:r w:rsidR="00584BC9">
        <w:rPr>
          <w:rFonts w:ascii="Times New Roman" w:hAnsi="Times New Roman" w:cs="Times New Roman"/>
          <w:sz w:val="24"/>
          <w:szCs w:val="24"/>
        </w:rPr>
        <w:t xml:space="preserve">. </w:t>
      </w:r>
      <w:r w:rsidR="00722F4F">
        <w:rPr>
          <w:rFonts w:ascii="Times New Roman" w:hAnsi="Times New Roman" w:cs="Times New Roman"/>
          <w:sz w:val="24"/>
          <w:szCs w:val="24"/>
        </w:rPr>
        <w:t>The inclusion of this provision clarifies that</w:t>
      </w:r>
      <w:r w:rsidR="00225B1A">
        <w:rPr>
          <w:rFonts w:ascii="Times New Roman" w:hAnsi="Times New Roman" w:cs="Times New Roman"/>
          <w:sz w:val="24"/>
          <w:szCs w:val="24"/>
        </w:rPr>
        <w:t xml:space="preserve"> </w:t>
      </w:r>
      <w:r w:rsidR="00616063">
        <w:rPr>
          <w:rFonts w:ascii="Times New Roman" w:hAnsi="Times New Roman" w:cs="Times New Roman"/>
          <w:sz w:val="24"/>
          <w:szCs w:val="24"/>
        </w:rPr>
        <w:t xml:space="preserve">one or more of </w:t>
      </w:r>
      <w:r w:rsidR="00A950E1">
        <w:rPr>
          <w:rFonts w:ascii="Times New Roman" w:hAnsi="Times New Roman" w:cs="Times New Roman"/>
          <w:sz w:val="24"/>
          <w:szCs w:val="24"/>
        </w:rPr>
        <w:t>these activities can continue in the project area</w:t>
      </w:r>
      <w:r w:rsidR="00225B1A">
        <w:rPr>
          <w:rFonts w:ascii="Times New Roman" w:hAnsi="Times New Roman" w:cs="Times New Roman"/>
          <w:sz w:val="24"/>
          <w:szCs w:val="24"/>
        </w:rPr>
        <w:t xml:space="preserve">, provided that the project results in the cessation </w:t>
      </w:r>
      <w:r w:rsidR="00616063">
        <w:rPr>
          <w:rFonts w:ascii="Times New Roman" w:hAnsi="Times New Roman" w:cs="Times New Roman"/>
          <w:sz w:val="24"/>
          <w:szCs w:val="24"/>
        </w:rPr>
        <w:t xml:space="preserve">or </w:t>
      </w:r>
      <w:r w:rsidR="00C300BC">
        <w:rPr>
          <w:rFonts w:ascii="Times New Roman" w:hAnsi="Times New Roman" w:cs="Times New Roman"/>
          <w:sz w:val="24"/>
          <w:szCs w:val="24"/>
        </w:rPr>
        <w:t>reduction in harvesting</w:t>
      </w:r>
      <w:r w:rsidR="00616063">
        <w:rPr>
          <w:rFonts w:ascii="Times New Roman" w:hAnsi="Times New Roman" w:cs="Times New Roman"/>
          <w:sz w:val="24"/>
          <w:szCs w:val="24"/>
        </w:rPr>
        <w:t>.</w:t>
      </w:r>
    </w:p>
    <w:p w14:paraId="6178433D" w14:textId="00FED7F0" w:rsidR="00C45AE1" w:rsidRPr="00DA6478" w:rsidRDefault="001C2F40" w:rsidP="00DB00CB">
      <w:pPr>
        <w:spacing w:before="120" w:after="120" w:line="240" w:lineRule="auto"/>
        <w:rPr>
          <w:rFonts w:ascii="Times New Roman" w:hAnsi="Times New Roman" w:cs="Times New Roman"/>
          <w:sz w:val="24"/>
          <w:szCs w:val="24"/>
        </w:rPr>
      </w:pPr>
      <w:r w:rsidRPr="001C2F40">
        <w:rPr>
          <w:rFonts w:ascii="Times New Roman" w:hAnsi="Times New Roman" w:cs="Times New Roman"/>
          <w:sz w:val="24"/>
          <w:szCs w:val="24"/>
        </w:rPr>
        <w:t>Other forest management activities that can potentially generate abatement (e.g. reduced impact logging, weed and pest control, enrichment plantings and prescribed burning) are not eligible to generate credited abatement under the Determination</w:t>
      </w:r>
      <w:r w:rsidR="00C45AE1" w:rsidRPr="004D34DC">
        <w:rPr>
          <w:rFonts w:ascii="Times New Roman" w:hAnsi="Times New Roman" w:cs="Times New Roman"/>
          <w:sz w:val="24"/>
          <w:szCs w:val="24"/>
        </w:rPr>
        <w:t xml:space="preserve">. </w:t>
      </w:r>
      <w:r w:rsidR="00486DAA">
        <w:rPr>
          <w:rFonts w:ascii="Times New Roman" w:hAnsi="Times New Roman" w:cs="Times New Roman"/>
          <w:sz w:val="24"/>
          <w:szCs w:val="24"/>
        </w:rPr>
        <w:t>They</w:t>
      </w:r>
      <w:r w:rsidR="00C45AE1" w:rsidRPr="004D34DC">
        <w:rPr>
          <w:rFonts w:ascii="Times New Roman" w:hAnsi="Times New Roman" w:cs="Times New Roman"/>
          <w:sz w:val="24"/>
          <w:szCs w:val="24"/>
        </w:rPr>
        <w:t xml:space="preserve"> can </w:t>
      </w:r>
      <w:proofErr w:type="gramStart"/>
      <w:r w:rsidR="00C45AE1" w:rsidRPr="004D34DC">
        <w:rPr>
          <w:rFonts w:ascii="Times New Roman" w:hAnsi="Times New Roman" w:cs="Times New Roman"/>
          <w:sz w:val="24"/>
          <w:szCs w:val="24"/>
        </w:rPr>
        <w:t>be undertaken</w:t>
      </w:r>
      <w:proofErr w:type="gramEnd"/>
      <w:r w:rsidR="00C45AE1" w:rsidRPr="004D34DC">
        <w:rPr>
          <w:rFonts w:ascii="Times New Roman" w:hAnsi="Times New Roman" w:cs="Times New Roman"/>
          <w:sz w:val="24"/>
          <w:szCs w:val="24"/>
        </w:rPr>
        <w:t xml:space="preserve"> in the project area, but </w:t>
      </w:r>
      <w:r w:rsidR="00486DAA">
        <w:rPr>
          <w:rFonts w:ascii="Times New Roman" w:hAnsi="Times New Roman" w:cs="Times New Roman"/>
          <w:sz w:val="24"/>
          <w:szCs w:val="24"/>
        </w:rPr>
        <w:t>any</w:t>
      </w:r>
      <w:r w:rsidR="00C45AE1" w:rsidRPr="004D34DC">
        <w:rPr>
          <w:rFonts w:ascii="Times New Roman" w:hAnsi="Times New Roman" w:cs="Times New Roman"/>
          <w:sz w:val="24"/>
          <w:szCs w:val="24"/>
        </w:rPr>
        <w:t xml:space="preserve"> abatement </w:t>
      </w:r>
      <w:r w:rsidR="00486DAA">
        <w:rPr>
          <w:rFonts w:ascii="Times New Roman" w:hAnsi="Times New Roman" w:cs="Times New Roman"/>
          <w:sz w:val="24"/>
          <w:szCs w:val="24"/>
        </w:rPr>
        <w:t xml:space="preserve">generated </w:t>
      </w:r>
      <w:proofErr w:type="gramStart"/>
      <w:r w:rsidR="00486DAA">
        <w:rPr>
          <w:rFonts w:ascii="Times New Roman" w:hAnsi="Times New Roman" w:cs="Times New Roman"/>
          <w:sz w:val="24"/>
          <w:szCs w:val="24"/>
        </w:rPr>
        <w:t>as a result of</w:t>
      </w:r>
      <w:proofErr w:type="gramEnd"/>
      <w:r w:rsidR="00486DAA">
        <w:rPr>
          <w:rFonts w:ascii="Times New Roman" w:hAnsi="Times New Roman" w:cs="Times New Roman"/>
          <w:sz w:val="24"/>
          <w:szCs w:val="24"/>
        </w:rPr>
        <w:t xml:space="preserve"> the conduct of these activities </w:t>
      </w:r>
      <w:proofErr w:type="gramStart"/>
      <w:r w:rsidR="00486DAA">
        <w:rPr>
          <w:rFonts w:ascii="Times New Roman" w:hAnsi="Times New Roman" w:cs="Times New Roman"/>
          <w:sz w:val="24"/>
          <w:szCs w:val="24"/>
        </w:rPr>
        <w:t>is not counted</w:t>
      </w:r>
      <w:proofErr w:type="gramEnd"/>
      <w:r w:rsidR="00486DAA">
        <w:rPr>
          <w:rFonts w:ascii="Times New Roman" w:hAnsi="Times New Roman" w:cs="Times New Roman"/>
          <w:sz w:val="24"/>
          <w:szCs w:val="24"/>
        </w:rPr>
        <w:t xml:space="preserve"> </w:t>
      </w:r>
      <w:r w:rsidR="00C947EE">
        <w:rPr>
          <w:rFonts w:ascii="Times New Roman" w:hAnsi="Times New Roman" w:cs="Times New Roman"/>
          <w:sz w:val="24"/>
          <w:szCs w:val="24"/>
        </w:rPr>
        <w:t>towards the net abatement amount</w:t>
      </w:r>
      <w:r w:rsidR="00C45AE1" w:rsidRPr="004D34DC">
        <w:rPr>
          <w:rFonts w:ascii="Times New Roman" w:hAnsi="Times New Roman" w:cs="Times New Roman"/>
          <w:sz w:val="24"/>
          <w:szCs w:val="24"/>
        </w:rPr>
        <w:t xml:space="preserve">. </w:t>
      </w:r>
      <w:r w:rsidR="00570D2C">
        <w:rPr>
          <w:rFonts w:ascii="Times New Roman" w:hAnsi="Times New Roman" w:cs="Times New Roman"/>
          <w:sz w:val="24"/>
          <w:szCs w:val="24"/>
        </w:rPr>
        <w:t>This is</w:t>
      </w:r>
      <w:r w:rsidR="00C947EE">
        <w:rPr>
          <w:rFonts w:ascii="Times New Roman" w:hAnsi="Times New Roman" w:cs="Times New Roman"/>
          <w:sz w:val="24"/>
          <w:szCs w:val="24"/>
        </w:rPr>
        <w:t xml:space="preserve"> </w:t>
      </w:r>
      <w:r w:rsidR="00C45AE1" w:rsidRPr="004D34DC">
        <w:rPr>
          <w:rFonts w:ascii="Times New Roman" w:hAnsi="Times New Roman" w:cs="Times New Roman"/>
          <w:sz w:val="24"/>
          <w:szCs w:val="24"/>
        </w:rPr>
        <w:t>because they carry significantly higher integrity risks than stopping or reducing harvesting, particularly in relation to additionality and confidence in generating abatement. There are multiple other drivers of the uptake of these activities (regulatory and market</w:t>
      </w:r>
      <w:proofErr w:type="gramStart"/>
      <w:r w:rsidR="00C45AE1" w:rsidRPr="004D34DC">
        <w:rPr>
          <w:rFonts w:ascii="Times New Roman" w:hAnsi="Times New Roman" w:cs="Times New Roman"/>
          <w:sz w:val="24"/>
          <w:szCs w:val="24"/>
        </w:rPr>
        <w:t>)</w:t>
      </w:r>
      <w:proofErr w:type="gramEnd"/>
      <w:r w:rsidR="00C45AE1" w:rsidRPr="004D34DC">
        <w:rPr>
          <w:rFonts w:ascii="Times New Roman" w:hAnsi="Times New Roman" w:cs="Times New Roman"/>
          <w:sz w:val="24"/>
          <w:szCs w:val="24"/>
        </w:rPr>
        <w:t xml:space="preserve"> and it is difficult to design robust processes to confine crediting to instances where uptake is genuinely additional. There is also considerable uncertainty about whether and when these activities are likely to generate abatement.</w:t>
      </w:r>
    </w:p>
    <w:p w14:paraId="6A7958A5" w14:textId="565996AF" w:rsidR="00402679" w:rsidRPr="00464EF1" w:rsidRDefault="00EB64A4"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0E531C" w:rsidRPr="000E531C">
        <w:rPr>
          <w:rFonts w:ascii="Times New Roman" w:hAnsi="Times New Roman" w:cs="Times New Roman"/>
          <w:sz w:val="24"/>
          <w:szCs w:val="24"/>
          <w:u w:val="single"/>
        </w:rPr>
        <w:t xml:space="preserve">7 </w:t>
      </w:r>
      <w:r w:rsidR="000E531C" w:rsidRPr="00FE6196">
        <w:rPr>
          <w:rFonts w:ascii="Times New Roman" w:hAnsi="Times New Roman" w:cs="Times New Roman"/>
          <w:sz w:val="24"/>
          <w:szCs w:val="24"/>
          <w:u w:val="single"/>
        </w:rPr>
        <w:t>–</w:t>
      </w:r>
      <w:r w:rsidR="000E531C" w:rsidRPr="000E531C">
        <w:rPr>
          <w:rFonts w:ascii="Times New Roman" w:hAnsi="Times New Roman" w:cs="Times New Roman"/>
          <w:sz w:val="24"/>
          <w:szCs w:val="24"/>
          <w:u w:val="single"/>
        </w:rPr>
        <w:t xml:space="preserve"> Projects to stop timber harvesting</w:t>
      </w:r>
    </w:p>
    <w:p w14:paraId="23631925" w14:textId="51D63419" w:rsidR="00D71AC4" w:rsidRDefault="000A5E7D" w:rsidP="00DB00CB">
      <w:pPr>
        <w:pStyle w:val="subsection"/>
        <w:spacing w:before="120" w:after="120"/>
        <w:ind w:left="0" w:firstLine="0"/>
        <w:rPr>
          <w:sz w:val="24"/>
          <w:szCs w:val="24"/>
        </w:rPr>
      </w:pPr>
      <w:r>
        <w:rPr>
          <w:sz w:val="24"/>
          <w:szCs w:val="24"/>
        </w:rPr>
        <w:t xml:space="preserve">Subsection </w:t>
      </w:r>
      <w:r w:rsidR="00B73ED6">
        <w:rPr>
          <w:sz w:val="24"/>
          <w:szCs w:val="24"/>
        </w:rPr>
        <w:t>7</w:t>
      </w:r>
      <w:r w:rsidR="00114DB5">
        <w:rPr>
          <w:sz w:val="24"/>
          <w:szCs w:val="24"/>
        </w:rPr>
        <w:t xml:space="preserve">(1) </w:t>
      </w:r>
      <w:r w:rsidR="00D71AC4">
        <w:rPr>
          <w:sz w:val="24"/>
          <w:szCs w:val="24"/>
        </w:rPr>
        <w:t xml:space="preserve">provides that a project to </w:t>
      </w:r>
      <w:r w:rsidR="00D71AC4" w:rsidRPr="00D71AC4">
        <w:rPr>
          <w:sz w:val="24"/>
          <w:szCs w:val="24"/>
        </w:rPr>
        <w:t xml:space="preserve">stop timber harvesting </w:t>
      </w:r>
      <w:r w:rsidR="007C485A">
        <w:rPr>
          <w:sz w:val="24"/>
          <w:szCs w:val="24"/>
        </w:rPr>
        <w:t xml:space="preserve">must involve the indefinite cessation of </w:t>
      </w:r>
      <w:r w:rsidR="00D71AC4" w:rsidRPr="00D71AC4">
        <w:rPr>
          <w:sz w:val="24"/>
          <w:szCs w:val="24"/>
        </w:rPr>
        <w:t xml:space="preserve">timber harvesting </w:t>
      </w:r>
      <w:r w:rsidR="007C485A">
        <w:rPr>
          <w:sz w:val="24"/>
          <w:szCs w:val="24"/>
        </w:rPr>
        <w:t>in the relevant area</w:t>
      </w:r>
      <w:r w:rsidR="00D61714">
        <w:rPr>
          <w:sz w:val="24"/>
          <w:szCs w:val="24"/>
        </w:rPr>
        <w:t>. Indefinite in this context refers to the length of the permanence period</w:t>
      </w:r>
      <w:r w:rsidR="00DE41FC">
        <w:rPr>
          <w:sz w:val="24"/>
          <w:szCs w:val="24"/>
        </w:rPr>
        <w:t xml:space="preserve"> (100 years)</w:t>
      </w:r>
      <w:r w:rsidR="00D61714">
        <w:rPr>
          <w:sz w:val="24"/>
          <w:szCs w:val="24"/>
        </w:rPr>
        <w:t>.</w:t>
      </w:r>
      <w:r w:rsidR="00B73ED6">
        <w:rPr>
          <w:sz w:val="24"/>
          <w:szCs w:val="24"/>
        </w:rPr>
        <w:t xml:space="preserve"> </w:t>
      </w:r>
    </w:p>
    <w:p w14:paraId="0196F92D" w14:textId="697944AE" w:rsidR="00B73ED6" w:rsidRPr="00B73ED6" w:rsidRDefault="000A5E7D" w:rsidP="00DB00CB">
      <w:pPr>
        <w:pStyle w:val="subsection"/>
        <w:spacing w:before="120" w:after="120"/>
        <w:ind w:left="0" w:firstLine="0"/>
        <w:rPr>
          <w:sz w:val="24"/>
          <w:szCs w:val="24"/>
        </w:rPr>
      </w:pPr>
      <w:r>
        <w:rPr>
          <w:sz w:val="24"/>
          <w:szCs w:val="24"/>
        </w:rPr>
        <w:t>Subsection</w:t>
      </w:r>
      <w:r w:rsidR="005920CC">
        <w:rPr>
          <w:sz w:val="24"/>
          <w:szCs w:val="24"/>
        </w:rPr>
        <w:t xml:space="preserve"> 7(2) clarifies that </w:t>
      </w:r>
      <w:r w:rsidR="00114DB5">
        <w:rPr>
          <w:sz w:val="24"/>
          <w:szCs w:val="24"/>
        </w:rPr>
        <w:t>a</w:t>
      </w:r>
      <w:r w:rsidR="00B73ED6" w:rsidRPr="00B73ED6">
        <w:rPr>
          <w:sz w:val="24"/>
          <w:szCs w:val="24"/>
        </w:rPr>
        <w:t>n offsets project to stop timber harvesting may relate to stopping timber harvesting across the whole of the project area or only in one or more parts of the project area.</w:t>
      </w:r>
      <w:r w:rsidR="00BF7BCB">
        <w:rPr>
          <w:sz w:val="24"/>
          <w:szCs w:val="24"/>
        </w:rPr>
        <w:t xml:space="preserve"> </w:t>
      </w:r>
    </w:p>
    <w:p w14:paraId="78136366" w14:textId="37A31FC5" w:rsidR="00D53542" w:rsidRDefault="00DF430D" w:rsidP="00DB00CB">
      <w:pPr>
        <w:pStyle w:val="subsection"/>
        <w:spacing w:before="120" w:after="120"/>
        <w:ind w:left="0" w:firstLine="0"/>
        <w:rPr>
          <w:sz w:val="24"/>
          <w:szCs w:val="24"/>
        </w:rPr>
      </w:pPr>
      <w:r>
        <w:rPr>
          <w:sz w:val="24"/>
          <w:szCs w:val="24"/>
        </w:rPr>
        <w:t xml:space="preserve">Subsection </w:t>
      </w:r>
      <w:r w:rsidR="00D53542">
        <w:rPr>
          <w:sz w:val="24"/>
          <w:szCs w:val="24"/>
        </w:rPr>
        <w:t>7(</w:t>
      </w:r>
      <w:r w:rsidR="00601337">
        <w:rPr>
          <w:sz w:val="24"/>
          <w:szCs w:val="24"/>
        </w:rPr>
        <w:t>3</w:t>
      </w:r>
      <w:r w:rsidR="00D53542">
        <w:rPr>
          <w:sz w:val="24"/>
          <w:szCs w:val="24"/>
        </w:rPr>
        <w:t>) provides that a</w:t>
      </w:r>
      <w:r w:rsidR="00B73ED6" w:rsidRPr="00B73ED6">
        <w:rPr>
          <w:sz w:val="24"/>
          <w:szCs w:val="24"/>
        </w:rPr>
        <w:t xml:space="preserve">n area in which timber harvesting is stopped as part of an offsets project is </w:t>
      </w:r>
      <w:r w:rsidR="00D53542">
        <w:rPr>
          <w:sz w:val="24"/>
          <w:szCs w:val="24"/>
        </w:rPr>
        <w:t xml:space="preserve">referred to as </w:t>
      </w:r>
      <w:r w:rsidR="00B73ED6" w:rsidRPr="00B73ED6">
        <w:rPr>
          <w:sz w:val="24"/>
          <w:szCs w:val="24"/>
        </w:rPr>
        <w:t xml:space="preserve">a </w:t>
      </w:r>
      <w:r w:rsidR="00B73ED6" w:rsidRPr="00475E93">
        <w:rPr>
          <w:b/>
          <w:sz w:val="24"/>
          <w:szCs w:val="24"/>
        </w:rPr>
        <w:t>carbon protection area</w:t>
      </w:r>
      <w:r w:rsidR="00D53542">
        <w:rPr>
          <w:sz w:val="24"/>
          <w:szCs w:val="24"/>
        </w:rPr>
        <w:t xml:space="preserve"> under the Determination.</w:t>
      </w:r>
    </w:p>
    <w:p w14:paraId="5191BEFD" w14:textId="5B2ACC34" w:rsidR="00B73ED6" w:rsidRPr="00B73ED6" w:rsidRDefault="00DF430D" w:rsidP="00DB00CB">
      <w:pPr>
        <w:pStyle w:val="subsection"/>
        <w:spacing w:before="120" w:after="120"/>
        <w:ind w:left="0" w:firstLine="0"/>
        <w:rPr>
          <w:sz w:val="24"/>
          <w:szCs w:val="24"/>
        </w:rPr>
      </w:pPr>
      <w:r>
        <w:rPr>
          <w:sz w:val="24"/>
          <w:szCs w:val="24"/>
        </w:rPr>
        <w:t>Subsection</w:t>
      </w:r>
      <w:r w:rsidR="00D53542">
        <w:rPr>
          <w:sz w:val="24"/>
          <w:szCs w:val="24"/>
        </w:rPr>
        <w:t xml:space="preserve"> 7(</w:t>
      </w:r>
      <w:r w:rsidR="00601337">
        <w:rPr>
          <w:sz w:val="24"/>
          <w:szCs w:val="24"/>
        </w:rPr>
        <w:t>4</w:t>
      </w:r>
      <w:r w:rsidR="00D53542">
        <w:rPr>
          <w:sz w:val="24"/>
          <w:szCs w:val="24"/>
        </w:rPr>
        <w:t xml:space="preserve">) </w:t>
      </w:r>
      <w:r w:rsidR="008743B3">
        <w:rPr>
          <w:sz w:val="24"/>
          <w:szCs w:val="24"/>
        </w:rPr>
        <w:t>prohibits the removal of a</w:t>
      </w:r>
      <w:r w:rsidR="00057F78">
        <w:rPr>
          <w:sz w:val="24"/>
          <w:szCs w:val="24"/>
        </w:rPr>
        <w:t xml:space="preserve"> </w:t>
      </w:r>
      <w:r w:rsidR="00B73ED6" w:rsidRPr="00B73ED6">
        <w:rPr>
          <w:sz w:val="24"/>
          <w:szCs w:val="24"/>
        </w:rPr>
        <w:t>carbon protection area</w:t>
      </w:r>
      <w:r w:rsidR="0073733B">
        <w:rPr>
          <w:sz w:val="24"/>
          <w:szCs w:val="24"/>
        </w:rPr>
        <w:t xml:space="preserve"> from</w:t>
      </w:r>
      <w:r w:rsidR="000C1F6F">
        <w:rPr>
          <w:sz w:val="24"/>
          <w:szCs w:val="24"/>
        </w:rPr>
        <w:t>,</w:t>
      </w:r>
      <w:r w:rsidR="00B73ED6" w:rsidRPr="00B73ED6">
        <w:rPr>
          <w:sz w:val="24"/>
          <w:szCs w:val="24"/>
        </w:rPr>
        <w:t xml:space="preserve"> </w:t>
      </w:r>
      <w:r w:rsidR="000C1F6F">
        <w:rPr>
          <w:sz w:val="24"/>
          <w:szCs w:val="24"/>
        </w:rPr>
        <w:t xml:space="preserve">or </w:t>
      </w:r>
      <w:r w:rsidR="0073733B">
        <w:rPr>
          <w:sz w:val="24"/>
          <w:szCs w:val="24"/>
        </w:rPr>
        <w:t>a</w:t>
      </w:r>
      <w:r w:rsidR="000C1F6F">
        <w:rPr>
          <w:sz w:val="24"/>
          <w:szCs w:val="24"/>
        </w:rPr>
        <w:t xml:space="preserve"> </w:t>
      </w:r>
      <w:r w:rsidR="00B73ED6" w:rsidRPr="00B73ED6">
        <w:rPr>
          <w:sz w:val="24"/>
          <w:szCs w:val="24"/>
        </w:rPr>
        <w:t>reduc</w:t>
      </w:r>
      <w:r w:rsidR="0073733B">
        <w:rPr>
          <w:sz w:val="24"/>
          <w:szCs w:val="24"/>
        </w:rPr>
        <w:t>tion in</w:t>
      </w:r>
      <w:r w:rsidR="00B73ED6" w:rsidRPr="00B73ED6">
        <w:rPr>
          <w:sz w:val="24"/>
          <w:szCs w:val="24"/>
        </w:rPr>
        <w:t xml:space="preserve"> </w:t>
      </w:r>
      <w:r w:rsidR="000C1F6F">
        <w:rPr>
          <w:sz w:val="24"/>
          <w:szCs w:val="24"/>
        </w:rPr>
        <w:t xml:space="preserve">the </w:t>
      </w:r>
      <w:r w:rsidR="00B73ED6" w:rsidRPr="00B73ED6">
        <w:rPr>
          <w:sz w:val="24"/>
          <w:szCs w:val="24"/>
        </w:rPr>
        <w:t>size</w:t>
      </w:r>
      <w:r w:rsidR="000C1F6F">
        <w:rPr>
          <w:sz w:val="24"/>
          <w:szCs w:val="24"/>
        </w:rPr>
        <w:t xml:space="preserve"> of a carbon protection area</w:t>
      </w:r>
      <w:r w:rsidR="0073733B">
        <w:rPr>
          <w:sz w:val="24"/>
          <w:szCs w:val="24"/>
        </w:rPr>
        <w:t xml:space="preserve"> in</w:t>
      </w:r>
      <w:r w:rsidR="000C1F6F">
        <w:rPr>
          <w:sz w:val="24"/>
          <w:szCs w:val="24"/>
        </w:rPr>
        <w:t>,</w:t>
      </w:r>
      <w:r w:rsidR="0073733B" w:rsidRPr="00B73ED6">
        <w:rPr>
          <w:sz w:val="24"/>
          <w:szCs w:val="24"/>
        </w:rPr>
        <w:t xml:space="preserve"> a</w:t>
      </w:r>
      <w:r w:rsidR="0073733B">
        <w:rPr>
          <w:sz w:val="24"/>
          <w:szCs w:val="24"/>
        </w:rPr>
        <w:t xml:space="preserve"> registered INFM project</w:t>
      </w:r>
      <w:r w:rsidR="00057F78">
        <w:rPr>
          <w:sz w:val="24"/>
          <w:szCs w:val="24"/>
        </w:rPr>
        <w:t xml:space="preserve">. This </w:t>
      </w:r>
      <w:r w:rsidR="007278D8">
        <w:rPr>
          <w:sz w:val="24"/>
          <w:szCs w:val="24"/>
        </w:rPr>
        <w:t xml:space="preserve">ensures the permanence of credited forest carbon stocks by </w:t>
      </w:r>
      <w:r w:rsidR="006E0687">
        <w:rPr>
          <w:sz w:val="24"/>
          <w:szCs w:val="24"/>
        </w:rPr>
        <w:t>prevent</w:t>
      </w:r>
      <w:r w:rsidR="007278D8">
        <w:rPr>
          <w:sz w:val="24"/>
          <w:szCs w:val="24"/>
        </w:rPr>
        <w:t>ing</w:t>
      </w:r>
      <w:r w:rsidR="006E0687">
        <w:rPr>
          <w:sz w:val="24"/>
          <w:szCs w:val="24"/>
        </w:rPr>
        <w:t xml:space="preserve"> a proponent from being credited for the abatement </w:t>
      </w:r>
      <w:r w:rsidR="006E0687">
        <w:rPr>
          <w:sz w:val="24"/>
          <w:szCs w:val="24"/>
        </w:rPr>
        <w:lastRenderedPageBreak/>
        <w:t>associated with stop</w:t>
      </w:r>
      <w:r w:rsidR="007278D8">
        <w:rPr>
          <w:sz w:val="24"/>
          <w:szCs w:val="24"/>
        </w:rPr>
        <w:t>p</w:t>
      </w:r>
      <w:r w:rsidR="006E0687">
        <w:rPr>
          <w:sz w:val="24"/>
          <w:szCs w:val="24"/>
        </w:rPr>
        <w:t xml:space="preserve">ing harvesting in a </w:t>
      </w:r>
      <w:r w:rsidR="007278D8">
        <w:rPr>
          <w:sz w:val="24"/>
          <w:szCs w:val="24"/>
        </w:rPr>
        <w:t>carbon protection area</w:t>
      </w:r>
      <w:r w:rsidR="00A551EB">
        <w:rPr>
          <w:sz w:val="24"/>
          <w:szCs w:val="24"/>
        </w:rPr>
        <w:t xml:space="preserve">, only to later </w:t>
      </w:r>
      <w:r w:rsidR="007278D8">
        <w:rPr>
          <w:sz w:val="24"/>
          <w:szCs w:val="24"/>
        </w:rPr>
        <w:t>recommenc</w:t>
      </w:r>
      <w:r w:rsidR="00A551EB">
        <w:rPr>
          <w:sz w:val="24"/>
          <w:szCs w:val="24"/>
        </w:rPr>
        <w:t>e</w:t>
      </w:r>
      <w:r w:rsidR="007278D8">
        <w:rPr>
          <w:sz w:val="24"/>
          <w:szCs w:val="24"/>
        </w:rPr>
        <w:t xml:space="preserve"> harvesting in the </w:t>
      </w:r>
      <w:r w:rsidR="00A551EB">
        <w:rPr>
          <w:sz w:val="24"/>
          <w:szCs w:val="24"/>
        </w:rPr>
        <w:t xml:space="preserve">area. </w:t>
      </w:r>
      <w:r w:rsidR="00230BD8">
        <w:rPr>
          <w:sz w:val="24"/>
          <w:szCs w:val="24"/>
        </w:rPr>
        <w:t xml:space="preserve">Subsection </w:t>
      </w:r>
      <w:r w:rsidR="00A551EB">
        <w:rPr>
          <w:sz w:val="24"/>
          <w:szCs w:val="24"/>
        </w:rPr>
        <w:t>7(</w:t>
      </w:r>
      <w:r w:rsidR="0073733B">
        <w:rPr>
          <w:sz w:val="24"/>
          <w:szCs w:val="24"/>
        </w:rPr>
        <w:t>4</w:t>
      </w:r>
      <w:r w:rsidR="00A551EB">
        <w:rPr>
          <w:sz w:val="24"/>
          <w:szCs w:val="24"/>
        </w:rPr>
        <w:t xml:space="preserve">) also clarifies that </w:t>
      </w:r>
      <w:r w:rsidR="00B73ED6" w:rsidRPr="00B73ED6">
        <w:rPr>
          <w:sz w:val="24"/>
          <w:szCs w:val="24"/>
        </w:rPr>
        <w:t xml:space="preserve">additional carbon protection areas can be included in </w:t>
      </w:r>
      <w:r w:rsidR="00A551EB">
        <w:rPr>
          <w:sz w:val="24"/>
          <w:szCs w:val="24"/>
        </w:rPr>
        <w:t xml:space="preserve">a </w:t>
      </w:r>
      <w:r w:rsidR="00B73ED6" w:rsidRPr="00B73ED6">
        <w:rPr>
          <w:sz w:val="24"/>
          <w:szCs w:val="24"/>
        </w:rPr>
        <w:t xml:space="preserve">project </w:t>
      </w:r>
      <w:r w:rsidR="00A551EB">
        <w:rPr>
          <w:sz w:val="24"/>
          <w:szCs w:val="24"/>
        </w:rPr>
        <w:t>and</w:t>
      </w:r>
      <w:r w:rsidR="00B73ED6" w:rsidRPr="00B73ED6">
        <w:rPr>
          <w:sz w:val="24"/>
          <w:szCs w:val="24"/>
        </w:rPr>
        <w:t xml:space="preserve"> existing carbon protection area</w:t>
      </w:r>
      <w:r w:rsidR="00A551EB">
        <w:rPr>
          <w:sz w:val="24"/>
          <w:szCs w:val="24"/>
        </w:rPr>
        <w:t>s</w:t>
      </w:r>
      <w:r w:rsidR="00B73ED6" w:rsidRPr="00B73ED6">
        <w:rPr>
          <w:sz w:val="24"/>
          <w:szCs w:val="24"/>
        </w:rPr>
        <w:t xml:space="preserve"> can be increased in size.</w:t>
      </w:r>
    </w:p>
    <w:p w14:paraId="002AB60E" w14:textId="3E7C2467" w:rsidR="00B73ED6" w:rsidRPr="00FF4E6F" w:rsidRDefault="00DF430D" w:rsidP="00DB00CB">
      <w:pPr>
        <w:pStyle w:val="subsection"/>
        <w:spacing w:before="120" w:after="120"/>
        <w:ind w:left="0" w:firstLine="0"/>
        <w:rPr>
          <w:sz w:val="24"/>
          <w:szCs w:val="24"/>
        </w:rPr>
      </w:pPr>
      <w:r>
        <w:rPr>
          <w:sz w:val="24"/>
          <w:szCs w:val="24"/>
        </w:rPr>
        <w:t>Subsection</w:t>
      </w:r>
      <w:r w:rsidR="00596B97">
        <w:rPr>
          <w:sz w:val="24"/>
          <w:szCs w:val="24"/>
        </w:rPr>
        <w:t xml:space="preserve"> 7(</w:t>
      </w:r>
      <w:r w:rsidR="001E5356">
        <w:rPr>
          <w:sz w:val="24"/>
          <w:szCs w:val="24"/>
        </w:rPr>
        <w:t>5</w:t>
      </w:r>
      <w:r w:rsidR="00596B97">
        <w:rPr>
          <w:sz w:val="24"/>
          <w:szCs w:val="24"/>
        </w:rPr>
        <w:t xml:space="preserve">) clarifies that, even if a carbon protection area covers </w:t>
      </w:r>
      <w:r w:rsidR="00B73ED6" w:rsidRPr="00B73ED6">
        <w:rPr>
          <w:sz w:val="24"/>
          <w:szCs w:val="24"/>
        </w:rPr>
        <w:t xml:space="preserve">only a part of the project area, the whole area remains the project area. </w:t>
      </w:r>
      <w:r w:rsidR="002B0F9E">
        <w:rPr>
          <w:sz w:val="24"/>
          <w:szCs w:val="24"/>
        </w:rPr>
        <w:t xml:space="preserve">This assists with the management of </w:t>
      </w:r>
      <w:r w:rsidR="00BE7193">
        <w:rPr>
          <w:sz w:val="24"/>
          <w:szCs w:val="24"/>
        </w:rPr>
        <w:t>additionality</w:t>
      </w:r>
      <w:r w:rsidR="009209EF">
        <w:rPr>
          <w:sz w:val="24"/>
          <w:szCs w:val="24"/>
        </w:rPr>
        <w:t xml:space="preserve">, </w:t>
      </w:r>
      <w:r w:rsidR="002B0F9E">
        <w:rPr>
          <w:sz w:val="24"/>
          <w:szCs w:val="24"/>
        </w:rPr>
        <w:t xml:space="preserve">leakage </w:t>
      </w:r>
      <w:r w:rsidR="009209EF">
        <w:rPr>
          <w:sz w:val="24"/>
          <w:szCs w:val="24"/>
        </w:rPr>
        <w:t xml:space="preserve">and permanence </w:t>
      </w:r>
      <w:r w:rsidR="002B0F9E">
        <w:rPr>
          <w:sz w:val="24"/>
          <w:szCs w:val="24"/>
        </w:rPr>
        <w:t xml:space="preserve">risks, </w:t>
      </w:r>
      <w:r w:rsidR="00BE7193">
        <w:rPr>
          <w:sz w:val="24"/>
          <w:szCs w:val="24"/>
        </w:rPr>
        <w:t xml:space="preserve">by </w:t>
      </w:r>
      <w:r w:rsidR="002B0F9E">
        <w:rPr>
          <w:sz w:val="24"/>
          <w:szCs w:val="24"/>
        </w:rPr>
        <w:t xml:space="preserve">ensuring that </w:t>
      </w:r>
      <w:r w:rsidR="00BE7193">
        <w:rPr>
          <w:sz w:val="24"/>
          <w:szCs w:val="24"/>
        </w:rPr>
        <w:t xml:space="preserve">the abatement calculations </w:t>
      </w:r>
      <w:r w:rsidR="009209EF">
        <w:rPr>
          <w:sz w:val="24"/>
          <w:szCs w:val="24"/>
        </w:rPr>
        <w:t xml:space="preserve">are based on harvesting levels across at least one whole forest region </w:t>
      </w:r>
      <w:r w:rsidR="00FF4E6F">
        <w:rPr>
          <w:sz w:val="24"/>
          <w:szCs w:val="24"/>
        </w:rPr>
        <w:t>and that the permanence obligations apply across at least one whole forest region.</w:t>
      </w:r>
    </w:p>
    <w:p w14:paraId="29BF3812" w14:textId="695171D5" w:rsidR="00543C20" w:rsidRDefault="00EB64A4"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AA1749" w:rsidRPr="00AA1749">
        <w:rPr>
          <w:rFonts w:ascii="Times New Roman" w:hAnsi="Times New Roman" w:cs="Times New Roman"/>
          <w:sz w:val="24"/>
          <w:szCs w:val="24"/>
          <w:u w:val="single"/>
        </w:rPr>
        <w:t xml:space="preserve">8 </w:t>
      </w:r>
      <w:r w:rsidR="00AA1749" w:rsidRPr="00FE6196">
        <w:rPr>
          <w:rFonts w:ascii="Times New Roman" w:hAnsi="Times New Roman" w:cs="Times New Roman"/>
          <w:sz w:val="24"/>
          <w:szCs w:val="24"/>
          <w:u w:val="single"/>
        </w:rPr>
        <w:t>–</w:t>
      </w:r>
      <w:r w:rsidR="00AA1749" w:rsidRPr="00AA1749">
        <w:rPr>
          <w:rFonts w:ascii="Times New Roman" w:hAnsi="Times New Roman" w:cs="Times New Roman"/>
          <w:sz w:val="24"/>
          <w:szCs w:val="24"/>
          <w:u w:val="single"/>
        </w:rPr>
        <w:t xml:space="preserve"> Projects to reduce timber harvesting by deferral of harvesting</w:t>
      </w:r>
    </w:p>
    <w:p w14:paraId="327F2E58" w14:textId="77777777" w:rsidR="001F6F86" w:rsidRDefault="001D4654"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Section 8 serves two purposes</w:t>
      </w:r>
      <w:r w:rsidR="001F6F86">
        <w:rPr>
          <w:rFonts w:ascii="Times New Roman" w:hAnsi="Times New Roman" w:cs="Times New Roman"/>
          <w:sz w:val="24"/>
          <w:szCs w:val="24"/>
        </w:rPr>
        <w:t xml:space="preserve">: </w:t>
      </w:r>
    </w:p>
    <w:p w14:paraId="71F29453" w14:textId="56898816" w:rsidR="00E23761" w:rsidRPr="006660CA" w:rsidRDefault="00DF430D" w:rsidP="009D5A62">
      <w:pPr>
        <w:pStyle w:val="ListParagraph"/>
        <w:numPr>
          <w:ilvl w:val="0"/>
          <w:numId w:val="24"/>
        </w:numPr>
        <w:spacing w:before="120" w:after="120" w:line="240" w:lineRule="auto"/>
        <w:ind w:left="714" w:hanging="357"/>
        <w:contextualSpacing w:val="0"/>
        <w:rPr>
          <w:rFonts w:ascii="Times New Roman" w:hAnsi="Times New Roman" w:cs="Times New Roman"/>
          <w:sz w:val="24"/>
          <w:szCs w:val="24"/>
        </w:rPr>
      </w:pPr>
      <w:r w:rsidRPr="00DF430D">
        <w:rPr>
          <w:rFonts w:ascii="Times New Roman" w:hAnsi="Times New Roman" w:cs="Times New Roman"/>
          <w:sz w:val="24"/>
          <w:szCs w:val="24"/>
        </w:rPr>
        <w:t>subsection</w:t>
      </w:r>
      <w:r w:rsidR="001F6F86" w:rsidRPr="00DF430D">
        <w:rPr>
          <w:rFonts w:ascii="Times New Roman" w:hAnsi="Times New Roman" w:cs="Times New Roman"/>
          <w:sz w:val="24"/>
          <w:szCs w:val="24"/>
        </w:rPr>
        <w:t xml:space="preserve"> </w:t>
      </w:r>
      <w:r w:rsidR="001F6F86" w:rsidRPr="006660CA">
        <w:rPr>
          <w:rFonts w:ascii="Times New Roman" w:hAnsi="Times New Roman" w:cs="Times New Roman"/>
          <w:sz w:val="24"/>
          <w:szCs w:val="24"/>
        </w:rPr>
        <w:t xml:space="preserve">8(1) clarifies that </w:t>
      </w:r>
      <w:r w:rsidR="00E23761" w:rsidRPr="006660CA">
        <w:rPr>
          <w:rFonts w:ascii="Times New Roman" w:hAnsi="Times New Roman" w:cs="Times New Roman"/>
          <w:sz w:val="24"/>
          <w:szCs w:val="24"/>
        </w:rPr>
        <w:t>project</w:t>
      </w:r>
      <w:r w:rsidR="001F6F86" w:rsidRPr="006660CA">
        <w:rPr>
          <w:rFonts w:ascii="Times New Roman" w:hAnsi="Times New Roman" w:cs="Times New Roman"/>
          <w:sz w:val="24"/>
          <w:szCs w:val="24"/>
        </w:rPr>
        <w:t>s</w:t>
      </w:r>
      <w:r w:rsidR="00E23761" w:rsidRPr="006660CA">
        <w:rPr>
          <w:rFonts w:ascii="Times New Roman" w:hAnsi="Times New Roman" w:cs="Times New Roman"/>
          <w:sz w:val="24"/>
          <w:szCs w:val="24"/>
        </w:rPr>
        <w:t xml:space="preserve"> </w:t>
      </w:r>
      <w:r w:rsidR="001F6F86" w:rsidRPr="006660CA">
        <w:rPr>
          <w:rFonts w:ascii="Times New Roman" w:hAnsi="Times New Roman" w:cs="Times New Roman"/>
          <w:sz w:val="24"/>
          <w:szCs w:val="24"/>
        </w:rPr>
        <w:t xml:space="preserve">involving </w:t>
      </w:r>
      <w:r w:rsidR="00633A0B" w:rsidRPr="006660CA">
        <w:rPr>
          <w:rFonts w:ascii="Times New Roman" w:hAnsi="Times New Roman" w:cs="Times New Roman"/>
          <w:sz w:val="24"/>
          <w:szCs w:val="24"/>
        </w:rPr>
        <w:t>reducing (rather than stopping)</w:t>
      </w:r>
      <w:r w:rsidR="00E23761" w:rsidRPr="006660CA">
        <w:rPr>
          <w:rFonts w:ascii="Times New Roman" w:hAnsi="Times New Roman" w:cs="Times New Roman"/>
          <w:sz w:val="24"/>
          <w:szCs w:val="24"/>
        </w:rPr>
        <w:t xml:space="preserve"> timber harvesting </w:t>
      </w:r>
      <w:r w:rsidR="00633A0B" w:rsidRPr="006660CA">
        <w:rPr>
          <w:rFonts w:ascii="Times New Roman" w:hAnsi="Times New Roman" w:cs="Times New Roman"/>
          <w:sz w:val="24"/>
          <w:szCs w:val="24"/>
        </w:rPr>
        <w:t xml:space="preserve">involve </w:t>
      </w:r>
      <w:r w:rsidR="00FB3E81" w:rsidRPr="00FB3E81">
        <w:rPr>
          <w:rFonts w:ascii="Times New Roman" w:hAnsi="Times New Roman" w:cs="Times New Roman"/>
          <w:sz w:val="24"/>
          <w:szCs w:val="24"/>
        </w:rPr>
        <w:t xml:space="preserve">deferring timber harvesting and thereby extending the length of harvest rotations and reducing the volume of wood extracted from the project area over a given </w:t>
      </w:r>
      <w:proofErr w:type="gramStart"/>
      <w:r w:rsidR="00FB3E81" w:rsidRPr="00FB3E81">
        <w:rPr>
          <w:rFonts w:ascii="Times New Roman" w:hAnsi="Times New Roman" w:cs="Times New Roman"/>
          <w:sz w:val="24"/>
          <w:szCs w:val="24"/>
        </w:rPr>
        <w:t>period</w:t>
      </w:r>
      <w:r w:rsidR="00633A0B" w:rsidRPr="006660CA">
        <w:rPr>
          <w:rFonts w:ascii="Times New Roman" w:hAnsi="Times New Roman" w:cs="Times New Roman"/>
          <w:sz w:val="24"/>
          <w:szCs w:val="24"/>
        </w:rPr>
        <w:t>;</w:t>
      </w:r>
      <w:proofErr w:type="gramEnd"/>
      <w:r w:rsidR="00633A0B" w:rsidRPr="006660CA">
        <w:rPr>
          <w:rFonts w:ascii="Times New Roman" w:hAnsi="Times New Roman" w:cs="Times New Roman"/>
          <w:sz w:val="24"/>
          <w:szCs w:val="24"/>
        </w:rPr>
        <w:t xml:space="preserve"> </w:t>
      </w:r>
    </w:p>
    <w:p w14:paraId="061FC62C" w14:textId="42606D8D" w:rsidR="00710718" w:rsidRDefault="00DF430D" w:rsidP="009D5A62">
      <w:pPr>
        <w:pStyle w:val="ListParagraph"/>
        <w:numPr>
          <w:ilvl w:val="0"/>
          <w:numId w:val="24"/>
        </w:numPr>
        <w:spacing w:before="120" w:after="120" w:line="240" w:lineRule="auto"/>
        <w:ind w:left="714" w:hanging="357"/>
        <w:contextualSpacing w:val="0"/>
        <w:rPr>
          <w:rFonts w:ascii="Times New Roman" w:hAnsi="Times New Roman" w:cs="Times New Roman"/>
          <w:sz w:val="24"/>
          <w:szCs w:val="24"/>
        </w:rPr>
      </w:pPr>
      <w:r w:rsidRPr="00DF430D">
        <w:rPr>
          <w:rFonts w:ascii="Times New Roman" w:hAnsi="Times New Roman" w:cs="Times New Roman"/>
          <w:sz w:val="24"/>
          <w:szCs w:val="24"/>
        </w:rPr>
        <w:t>subsection</w:t>
      </w:r>
      <w:r w:rsidR="00633A0B" w:rsidRPr="006660CA">
        <w:rPr>
          <w:rFonts w:ascii="Times New Roman" w:hAnsi="Times New Roman" w:cs="Times New Roman"/>
          <w:sz w:val="24"/>
          <w:szCs w:val="24"/>
        </w:rPr>
        <w:t xml:space="preserve"> 8(2) clarifies that </w:t>
      </w:r>
      <w:r w:rsidR="00710718" w:rsidRPr="006660CA">
        <w:rPr>
          <w:rFonts w:ascii="Times New Roman" w:hAnsi="Times New Roman" w:cs="Times New Roman"/>
          <w:sz w:val="24"/>
          <w:szCs w:val="24"/>
        </w:rPr>
        <w:t xml:space="preserve">projects involving reducing </w:t>
      </w:r>
      <w:r w:rsidR="003F2D9C">
        <w:rPr>
          <w:rFonts w:ascii="Times New Roman" w:hAnsi="Times New Roman" w:cs="Times New Roman"/>
          <w:sz w:val="24"/>
          <w:szCs w:val="24"/>
        </w:rPr>
        <w:t xml:space="preserve">timber harvesting </w:t>
      </w:r>
      <w:r w:rsidR="00710718" w:rsidRPr="00710718">
        <w:rPr>
          <w:rFonts w:ascii="Times New Roman" w:hAnsi="Times New Roman" w:cs="Times New Roman"/>
          <w:sz w:val="24"/>
          <w:szCs w:val="24"/>
        </w:rPr>
        <w:t>may relate to reducing timber harvesting across the whole of the project area or only in one or more parts of the project area</w:t>
      </w:r>
      <w:r w:rsidR="003F2D9C">
        <w:rPr>
          <w:rFonts w:ascii="Times New Roman" w:hAnsi="Times New Roman" w:cs="Times New Roman"/>
          <w:sz w:val="24"/>
          <w:szCs w:val="24"/>
        </w:rPr>
        <w:t xml:space="preserve">; and </w:t>
      </w:r>
    </w:p>
    <w:p w14:paraId="76D6B382" w14:textId="2259812D" w:rsidR="00543C20" w:rsidRPr="006660CA" w:rsidRDefault="00DF430D" w:rsidP="009D5A62">
      <w:pPr>
        <w:pStyle w:val="ListParagraph"/>
        <w:numPr>
          <w:ilvl w:val="0"/>
          <w:numId w:val="24"/>
        </w:numPr>
        <w:spacing w:before="120" w:after="120" w:line="240" w:lineRule="auto"/>
        <w:ind w:left="714" w:hanging="357"/>
        <w:contextualSpacing w:val="0"/>
        <w:rPr>
          <w:rFonts w:ascii="Times New Roman" w:hAnsi="Times New Roman" w:cs="Times New Roman"/>
          <w:sz w:val="24"/>
          <w:szCs w:val="24"/>
        </w:rPr>
      </w:pPr>
      <w:r w:rsidRPr="00DF430D">
        <w:rPr>
          <w:rFonts w:ascii="Times New Roman" w:hAnsi="Times New Roman" w:cs="Times New Roman"/>
          <w:sz w:val="24"/>
          <w:szCs w:val="24"/>
        </w:rPr>
        <w:t>subsection</w:t>
      </w:r>
      <w:r w:rsidR="003F2D9C">
        <w:rPr>
          <w:rFonts w:ascii="Times New Roman" w:hAnsi="Times New Roman" w:cs="Times New Roman"/>
          <w:sz w:val="24"/>
          <w:szCs w:val="24"/>
        </w:rPr>
        <w:t xml:space="preserve"> 8(3) clarifies that </w:t>
      </w:r>
      <w:r w:rsidR="00E23761" w:rsidRPr="006660CA">
        <w:rPr>
          <w:rFonts w:ascii="Times New Roman" w:hAnsi="Times New Roman" w:cs="Times New Roman"/>
          <w:sz w:val="24"/>
          <w:szCs w:val="24"/>
        </w:rPr>
        <w:t>project</w:t>
      </w:r>
      <w:r w:rsidR="00633A0B" w:rsidRPr="006660CA">
        <w:rPr>
          <w:rFonts w:ascii="Times New Roman" w:hAnsi="Times New Roman" w:cs="Times New Roman"/>
          <w:sz w:val="24"/>
          <w:szCs w:val="24"/>
        </w:rPr>
        <w:t>s</w:t>
      </w:r>
      <w:r w:rsidR="00E23761" w:rsidRPr="006660CA">
        <w:rPr>
          <w:rFonts w:ascii="Times New Roman" w:hAnsi="Times New Roman" w:cs="Times New Roman"/>
          <w:sz w:val="24"/>
          <w:szCs w:val="24"/>
        </w:rPr>
        <w:t xml:space="preserve"> may comprise both stop</w:t>
      </w:r>
      <w:r w:rsidR="00633A0B" w:rsidRPr="006660CA">
        <w:rPr>
          <w:rFonts w:ascii="Times New Roman" w:hAnsi="Times New Roman" w:cs="Times New Roman"/>
          <w:sz w:val="24"/>
          <w:szCs w:val="24"/>
        </w:rPr>
        <w:t>ping and reducing</w:t>
      </w:r>
      <w:r w:rsidR="00E23761" w:rsidRPr="006660CA">
        <w:rPr>
          <w:rFonts w:ascii="Times New Roman" w:hAnsi="Times New Roman" w:cs="Times New Roman"/>
          <w:sz w:val="24"/>
          <w:szCs w:val="24"/>
        </w:rPr>
        <w:t xml:space="preserve"> timber</w:t>
      </w:r>
      <w:r w:rsidR="006660CA" w:rsidRPr="006660CA">
        <w:rPr>
          <w:rFonts w:ascii="Times New Roman" w:hAnsi="Times New Roman" w:cs="Times New Roman"/>
          <w:sz w:val="24"/>
          <w:szCs w:val="24"/>
        </w:rPr>
        <w:t xml:space="preserve"> in different parts of the project area</w:t>
      </w:r>
      <w:r w:rsidR="00E23761" w:rsidRPr="006660CA">
        <w:rPr>
          <w:rFonts w:ascii="Times New Roman" w:hAnsi="Times New Roman" w:cs="Times New Roman"/>
          <w:sz w:val="24"/>
          <w:szCs w:val="24"/>
        </w:rPr>
        <w:t>.</w:t>
      </w:r>
    </w:p>
    <w:p w14:paraId="5339ED15" w14:textId="7633B74A" w:rsidR="006660CA" w:rsidRPr="0025148E" w:rsidRDefault="006660CA" w:rsidP="00DB00CB">
      <w:pPr>
        <w:tabs>
          <w:tab w:val="left" w:pos="3120"/>
        </w:tabs>
        <w:spacing w:before="120" w:after="120" w:line="240" w:lineRule="auto"/>
        <w:outlineLvl w:val="1"/>
        <w:rPr>
          <w:rFonts w:ascii="Times New Roman" w:hAnsi="Times New Roman" w:cs="Times New Roman"/>
          <w:b/>
          <w:bCs/>
          <w:sz w:val="26"/>
          <w:szCs w:val="26"/>
        </w:rPr>
      </w:pPr>
      <w:r w:rsidRPr="0025148E">
        <w:rPr>
          <w:rFonts w:ascii="Times New Roman" w:hAnsi="Times New Roman" w:cs="Times New Roman"/>
          <w:b/>
          <w:bCs/>
          <w:sz w:val="26"/>
          <w:szCs w:val="26"/>
        </w:rPr>
        <w:t>Part 3—</w:t>
      </w:r>
      <w:r w:rsidR="00312ACE" w:rsidRPr="0025148E">
        <w:rPr>
          <w:rFonts w:ascii="Times New Roman" w:hAnsi="Times New Roman" w:cs="Times New Roman"/>
          <w:b/>
          <w:bCs/>
          <w:sz w:val="26"/>
          <w:szCs w:val="26"/>
        </w:rPr>
        <w:t>Project requirements</w:t>
      </w:r>
    </w:p>
    <w:p w14:paraId="28E09181" w14:textId="77777777" w:rsidR="00A656D9" w:rsidRPr="006660CA" w:rsidRDefault="00070E15" w:rsidP="00DB00CB">
      <w:pPr>
        <w:tabs>
          <w:tab w:val="left" w:pos="3120"/>
        </w:tabs>
        <w:spacing w:before="120" w:after="120" w:line="240" w:lineRule="auto"/>
        <w:outlineLvl w:val="1"/>
        <w:rPr>
          <w:rFonts w:ascii="Times New Roman" w:hAnsi="Times New Roman" w:cs="Times New Roman"/>
          <w:b/>
          <w:bCs/>
          <w:sz w:val="24"/>
          <w:szCs w:val="24"/>
        </w:rPr>
      </w:pPr>
      <w:r w:rsidRPr="00070E15">
        <w:rPr>
          <w:rFonts w:ascii="Times New Roman" w:hAnsi="Times New Roman" w:cs="Times New Roman"/>
          <w:b/>
          <w:bCs/>
          <w:sz w:val="24"/>
          <w:szCs w:val="24"/>
        </w:rPr>
        <w:t>Division 3.1—General</w:t>
      </w:r>
    </w:p>
    <w:p w14:paraId="4A05A46D" w14:textId="43187D0B" w:rsidR="006A423C" w:rsidRDefault="000F12A2"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w:t>
      </w:r>
      <w:r w:rsidR="00DF3A70">
        <w:rPr>
          <w:rFonts w:ascii="Times New Roman" w:hAnsi="Times New Roman" w:cs="Times New Roman"/>
          <w:sz w:val="24"/>
          <w:szCs w:val="24"/>
        </w:rPr>
        <w:t>ubs</w:t>
      </w:r>
      <w:r>
        <w:rPr>
          <w:rFonts w:ascii="Times New Roman" w:hAnsi="Times New Roman" w:cs="Times New Roman"/>
          <w:sz w:val="24"/>
          <w:szCs w:val="24"/>
        </w:rPr>
        <w:t>ection</w:t>
      </w:r>
      <w:r w:rsidRPr="00AF5749">
        <w:rPr>
          <w:rFonts w:ascii="Times New Roman" w:hAnsi="Times New Roman" w:cs="Times New Roman"/>
          <w:sz w:val="24"/>
          <w:szCs w:val="24"/>
        </w:rPr>
        <w:t xml:space="preserve"> </w:t>
      </w:r>
      <w:r w:rsidR="006A423C" w:rsidRPr="00AF5749">
        <w:rPr>
          <w:rFonts w:ascii="Times New Roman" w:hAnsi="Times New Roman" w:cs="Times New Roman"/>
          <w:sz w:val="24"/>
          <w:szCs w:val="24"/>
        </w:rPr>
        <w:t xml:space="preserve">106(1)(b) of the </w:t>
      </w:r>
      <w:r w:rsidR="006A423C">
        <w:rPr>
          <w:rFonts w:ascii="Times New Roman" w:hAnsi="Times New Roman" w:cs="Times New Roman"/>
          <w:sz w:val="24"/>
          <w:szCs w:val="24"/>
        </w:rPr>
        <w:t xml:space="preserve">CFI </w:t>
      </w:r>
      <w:r w:rsidR="006A423C" w:rsidRPr="00AF5749">
        <w:rPr>
          <w:rFonts w:ascii="Times New Roman" w:hAnsi="Times New Roman" w:cs="Times New Roman"/>
          <w:sz w:val="24"/>
          <w:szCs w:val="24"/>
        </w:rPr>
        <w:t xml:space="preserve">Act </w:t>
      </w:r>
      <w:r w:rsidR="006A423C">
        <w:rPr>
          <w:rFonts w:ascii="Times New Roman" w:hAnsi="Times New Roman" w:cs="Times New Roman"/>
          <w:sz w:val="24"/>
          <w:szCs w:val="24"/>
        </w:rPr>
        <w:t>requires</w:t>
      </w:r>
      <w:r w:rsidR="006A423C" w:rsidRPr="00AF5749">
        <w:rPr>
          <w:rFonts w:ascii="Times New Roman" w:hAnsi="Times New Roman" w:cs="Times New Roman"/>
          <w:sz w:val="24"/>
          <w:szCs w:val="24"/>
        </w:rPr>
        <w:t xml:space="preserve"> methodology determination</w:t>
      </w:r>
      <w:r w:rsidR="006A423C">
        <w:rPr>
          <w:rFonts w:ascii="Times New Roman" w:hAnsi="Times New Roman" w:cs="Times New Roman"/>
          <w:sz w:val="24"/>
          <w:szCs w:val="24"/>
        </w:rPr>
        <w:t>s</w:t>
      </w:r>
      <w:r w:rsidR="006A423C" w:rsidRPr="00AF5749">
        <w:rPr>
          <w:rFonts w:ascii="Times New Roman" w:hAnsi="Times New Roman" w:cs="Times New Roman"/>
          <w:sz w:val="24"/>
          <w:szCs w:val="24"/>
        </w:rPr>
        <w:t xml:space="preserve"> </w:t>
      </w:r>
      <w:r w:rsidR="006A423C">
        <w:rPr>
          <w:rFonts w:ascii="Times New Roman" w:hAnsi="Times New Roman" w:cs="Times New Roman"/>
          <w:sz w:val="24"/>
          <w:szCs w:val="24"/>
        </w:rPr>
        <w:t xml:space="preserve">to </w:t>
      </w:r>
      <w:r w:rsidR="006A423C" w:rsidRPr="00AF5749">
        <w:rPr>
          <w:rFonts w:ascii="Times New Roman" w:hAnsi="Times New Roman" w:cs="Times New Roman"/>
          <w:sz w:val="24"/>
          <w:szCs w:val="24"/>
        </w:rPr>
        <w:t>set out</w:t>
      </w:r>
      <w:r w:rsidR="006A423C">
        <w:rPr>
          <w:rFonts w:ascii="Times New Roman" w:hAnsi="Times New Roman" w:cs="Times New Roman"/>
          <w:sz w:val="24"/>
          <w:szCs w:val="24"/>
        </w:rPr>
        <w:t xml:space="preserve"> the eligibility </w:t>
      </w:r>
      <w:r w:rsidR="006A423C" w:rsidRPr="00AF5749">
        <w:rPr>
          <w:rFonts w:ascii="Times New Roman" w:hAnsi="Times New Roman" w:cs="Times New Roman"/>
          <w:sz w:val="24"/>
          <w:szCs w:val="24"/>
        </w:rPr>
        <w:t xml:space="preserve">requirements that must be met for a project to be </w:t>
      </w:r>
      <w:r w:rsidR="006A423C">
        <w:rPr>
          <w:rFonts w:ascii="Times New Roman" w:hAnsi="Times New Roman" w:cs="Times New Roman"/>
          <w:sz w:val="24"/>
          <w:szCs w:val="24"/>
        </w:rPr>
        <w:t>registered</w:t>
      </w:r>
      <w:r w:rsidR="006A423C" w:rsidRPr="00AF5749">
        <w:rPr>
          <w:rFonts w:ascii="Times New Roman" w:hAnsi="Times New Roman" w:cs="Times New Roman"/>
          <w:sz w:val="24"/>
          <w:szCs w:val="24"/>
        </w:rPr>
        <w:t>. Under</w:t>
      </w:r>
      <w:r w:rsidR="006A423C">
        <w:rPr>
          <w:rFonts w:ascii="Times New Roman" w:hAnsi="Times New Roman" w:cs="Times New Roman"/>
          <w:sz w:val="24"/>
          <w:szCs w:val="24"/>
        </w:rPr>
        <w:t xml:space="preserve"> </w:t>
      </w:r>
      <w:r w:rsidR="00DF3A70">
        <w:rPr>
          <w:rFonts w:ascii="Times New Roman" w:hAnsi="Times New Roman" w:cs="Times New Roman"/>
          <w:sz w:val="24"/>
          <w:szCs w:val="24"/>
        </w:rPr>
        <w:t>sub</w:t>
      </w:r>
      <w:r>
        <w:rPr>
          <w:rFonts w:ascii="Times New Roman" w:hAnsi="Times New Roman" w:cs="Times New Roman"/>
          <w:sz w:val="24"/>
          <w:szCs w:val="24"/>
        </w:rPr>
        <w:t>section</w:t>
      </w:r>
      <w:r w:rsidRPr="00AF5749">
        <w:rPr>
          <w:rFonts w:ascii="Times New Roman" w:hAnsi="Times New Roman" w:cs="Times New Roman"/>
          <w:sz w:val="24"/>
          <w:szCs w:val="24"/>
        </w:rPr>
        <w:t xml:space="preserve"> </w:t>
      </w:r>
      <w:r w:rsidR="006A423C" w:rsidRPr="00AF5749">
        <w:rPr>
          <w:rFonts w:ascii="Times New Roman" w:hAnsi="Times New Roman" w:cs="Times New Roman"/>
          <w:sz w:val="24"/>
          <w:szCs w:val="24"/>
        </w:rPr>
        <w:t xml:space="preserve">27(4)(c) of the </w:t>
      </w:r>
      <w:r w:rsidR="006A423C">
        <w:rPr>
          <w:rFonts w:ascii="Times New Roman" w:hAnsi="Times New Roman" w:cs="Times New Roman"/>
          <w:sz w:val="24"/>
          <w:szCs w:val="24"/>
        </w:rPr>
        <w:t xml:space="preserve">CFI </w:t>
      </w:r>
      <w:r w:rsidR="006A423C" w:rsidRPr="00AF5749">
        <w:rPr>
          <w:rFonts w:ascii="Times New Roman" w:hAnsi="Times New Roman" w:cs="Times New Roman"/>
          <w:sz w:val="24"/>
          <w:szCs w:val="24"/>
        </w:rPr>
        <w:t xml:space="preserve">Act, the Regulator must not </w:t>
      </w:r>
      <w:r w:rsidR="00634CF6">
        <w:rPr>
          <w:rFonts w:ascii="Times New Roman" w:hAnsi="Times New Roman" w:cs="Times New Roman"/>
          <w:sz w:val="24"/>
          <w:szCs w:val="24"/>
        </w:rPr>
        <w:t xml:space="preserve">register a </w:t>
      </w:r>
      <w:r w:rsidR="006A423C" w:rsidRPr="00AF5749">
        <w:rPr>
          <w:rFonts w:ascii="Times New Roman" w:hAnsi="Times New Roman" w:cs="Times New Roman"/>
          <w:sz w:val="24"/>
          <w:szCs w:val="24"/>
        </w:rPr>
        <w:t xml:space="preserve">project unless </w:t>
      </w:r>
      <w:r w:rsidR="006A423C">
        <w:rPr>
          <w:rFonts w:ascii="Times New Roman" w:hAnsi="Times New Roman" w:cs="Times New Roman"/>
          <w:sz w:val="24"/>
          <w:szCs w:val="24"/>
        </w:rPr>
        <w:t xml:space="preserve">it </w:t>
      </w:r>
      <w:r w:rsidR="006A423C" w:rsidRPr="00AF5749">
        <w:rPr>
          <w:rFonts w:ascii="Times New Roman" w:hAnsi="Times New Roman" w:cs="Times New Roman"/>
          <w:sz w:val="24"/>
          <w:szCs w:val="24"/>
        </w:rPr>
        <w:t xml:space="preserve">is satisfied </w:t>
      </w:r>
      <w:r w:rsidR="006A423C">
        <w:rPr>
          <w:rFonts w:ascii="Times New Roman" w:hAnsi="Times New Roman" w:cs="Times New Roman"/>
          <w:sz w:val="24"/>
          <w:szCs w:val="24"/>
        </w:rPr>
        <w:t>t</w:t>
      </w:r>
      <w:r w:rsidR="006A423C" w:rsidRPr="00AF5749">
        <w:rPr>
          <w:rFonts w:ascii="Times New Roman" w:hAnsi="Times New Roman" w:cs="Times New Roman"/>
          <w:sz w:val="24"/>
          <w:szCs w:val="24"/>
        </w:rPr>
        <w:t>he project meets the</w:t>
      </w:r>
      <w:r w:rsidR="006A423C">
        <w:rPr>
          <w:rFonts w:ascii="Times New Roman" w:hAnsi="Times New Roman" w:cs="Times New Roman"/>
          <w:sz w:val="24"/>
          <w:szCs w:val="24"/>
        </w:rPr>
        <w:t xml:space="preserve"> eligibility </w:t>
      </w:r>
      <w:r w:rsidR="006A423C" w:rsidRPr="00AF5749">
        <w:rPr>
          <w:rFonts w:ascii="Times New Roman" w:hAnsi="Times New Roman" w:cs="Times New Roman"/>
          <w:sz w:val="24"/>
          <w:szCs w:val="24"/>
        </w:rPr>
        <w:t>requirements</w:t>
      </w:r>
      <w:r w:rsidR="006A423C">
        <w:rPr>
          <w:rFonts w:ascii="Times New Roman" w:hAnsi="Times New Roman" w:cs="Times New Roman"/>
          <w:sz w:val="24"/>
          <w:szCs w:val="24"/>
        </w:rPr>
        <w:t xml:space="preserve"> specified in the methodology determination</w:t>
      </w:r>
      <w:r w:rsidR="006A423C" w:rsidRPr="00AF5749">
        <w:rPr>
          <w:rFonts w:ascii="Times New Roman" w:hAnsi="Times New Roman" w:cs="Times New Roman"/>
          <w:sz w:val="24"/>
          <w:szCs w:val="24"/>
        </w:rPr>
        <w:t xml:space="preserve">. </w:t>
      </w:r>
      <w:r w:rsidR="006A423C">
        <w:rPr>
          <w:rFonts w:ascii="Times New Roman" w:hAnsi="Times New Roman" w:cs="Times New Roman"/>
          <w:sz w:val="24"/>
          <w:szCs w:val="24"/>
        </w:rPr>
        <w:t>S</w:t>
      </w:r>
      <w:r w:rsidR="006A423C" w:rsidRPr="00AF5749">
        <w:rPr>
          <w:rFonts w:ascii="Times New Roman" w:hAnsi="Times New Roman" w:cs="Times New Roman"/>
          <w:sz w:val="24"/>
          <w:szCs w:val="24"/>
        </w:rPr>
        <w:t>ection 35 of the</w:t>
      </w:r>
      <w:r w:rsidR="006A423C">
        <w:rPr>
          <w:rFonts w:ascii="Times New Roman" w:hAnsi="Times New Roman" w:cs="Times New Roman"/>
          <w:sz w:val="24"/>
          <w:szCs w:val="24"/>
        </w:rPr>
        <w:t xml:space="preserve"> CFI</w:t>
      </w:r>
      <w:r w:rsidR="006A423C" w:rsidRPr="00AF5749">
        <w:rPr>
          <w:rFonts w:ascii="Times New Roman" w:hAnsi="Times New Roman" w:cs="Times New Roman"/>
          <w:sz w:val="24"/>
          <w:szCs w:val="24"/>
        </w:rPr>
        <w:t xml:space="preserve"> Act </w:t>
      </w:r>
      <w:r w:rsidR="006A423C">
        <w:rPr>
          <w:rFonts w:ascii="Times New Roman" w:hAnsi="Times New Roman" w:cs="Times New Roman"/>
          <w:sz w:val="24"/>
          <w:szCs w:val="24"/>
        </w:rPr>
        <w:t>states that regulations or legislative rules may empower the</w:t>
      </w:r>
      <w:r w:rsidR="006A423C" w:rsidRPr="00AF5749">
        <w:rPr>
          <w:rFonts w:ascii="Times New Roman" w:hAnsi="Times New Roman" w:cs="Times New Roman"/>
          <w:sz w:val="24"/>
          <w:szCs w:val="24"/>
        </w:rPr>
        <w:t xml:space="preserve"> Regulator</w:t>
      </w:r>
      <w:r w:rsidR="006A423C">
        <w:rPr>
          <w:rFonts w:ascii="Times New Roman" w:hAnsi="Times New Roman" w:cs="Times New Roman"/>
          <w:sz w:val="24"/>
          <w:szCs w:val="24"/>
        </w:rPr>
        <w:t xml:space="preserve"> to </w:t>
      </w:r>
      <w:r w:rsidR="006A423C" w:rsidRPr="00AF5749">
        <w:rPr>
          <w:rFonts w:ascii="Times New Roman" w:hAnsi="Times New Roman" w:cs="Times New Roman"/>
          <w:sz w:val="24"/>
          <w:szCs w:val="24"/>
        </w:rPr>
        <w:t xml:space="preserve">revoke </w:t>
      </w:r>
      <w:r w:rsidR="006A423C">
        <w:rPr>
          <w:rFonts w:ascii="Times New Roman" w:hAnsi="Times New Roman" w:cs="Times New Roman"/>
          <w:sz w:val="24"/>
          <w:szCs w:val="24"/>
        </w:rPr>
        <w:t xml:space="preserve">a project </w:t>
      </w:r>
      <w:r w:rsidR="006A423C" w:rsidRPr="00AF5749">
        <w:rPr>
          <w:rFonts w:ascii="Times New Roman" w:hAnsi="Times New Roman" w:cs="Times New Roman"/>
          <w:sz w:val="24"/>
          <w:szCs w:val="24"/>
        </w:rPr>
        <w:t xml:space="preserve">declaration if </w:t>
      </w:r>
      <w:r w:rsidR="006A423C">
        <w:rPr>
          <w:rFonts w:ascii="Times New Roman" w:hAnsi="Times New Roman" w:cs="Times New Roman"/>
          <w:sz w:val="24"/>
          <w:szCs w:val="24"/>
        </w:rPr>
        <w:t xml:space="preserve">relevant </w:t>
      </w:r>
      <w:r w:rsidR="006A423C" w:rsidRPr="00AF5749">
        <w:rPr>
          <w:rFonts w:ascii="Times New Roman" w:hAnsi="Times New Roman" w:cs="Times New Roman"/>
          <w:sz w:val="24"/>
          <w:szCs w:val="24"/>
        </w:rPr>
        <w:t xml:space="preserve">eligibility requirements </w:t>
      </w:r>
      <w:r w:rsidR="006A423C">
        <w:rPr>
          <w:rFonts w:ascii="Times New Roman" w:hAnsi="Times New Roman" w:cs="Times New Roman"/>
          <w:sz w:val="24"/>
          <w:szCs w:val="24"/>
        </w:rPr>
        <w:t xml:space="preserve">in </w:t>
      </w:r>
      <w:r w:rsidR="00085A5F">
        <w:rPr>
          <w:rFonts w:ascii="Times New Roman" w:hAnsi="Times New Roman" w:cs="Times New Roman"/>
          <w:sz w:val="24"/>
          <w:szCs w:val="24"/>
        </w:rPr>
        <w:t>sub</w:t>
      </w:r>
      <w:r w:rsidR="006A423C">
        <w:rPr>
          <w:rFonts w:ascii="Times New Roman" w:hAnsi="Times New Roman" w:cs="Times New Roman"/>
          <w:sz w:val="24"/>
          <w:szCs w:val="24"/>
        </w:rPr>
        <w:t xml:space="preserve">section 27(4) </w:t>
      </w:r>
      <w:r w:rsidR="006A423C" w:rsidRPr="00AF5749">
        <w:rPr>
          <w:rFonts w:ascii="Times New Roman" w:hAnsi="Times New Roman" w:cs="Times New Roman"/>
          <w:sz w:val="24"/>
          <w:szCs w:val="24"/>
        </w:rPr>
        <w:t>have not been met</w:t>
      </w:r>
      <w:r w:rsidR="006A423C">
        <w:rPr>
          <w:rFonts w:ascii="Times New Roman" w:hAnsi="Times New Roman" w:cs="Times New Roman"/>
          <w:sz w:val="24"/>
          <w:szCs w:val="24"/>
        </w:rPr>
        <w:t xml:space="preserve">. As at May 2025, section 32 of the </w:t>
      </w:r>
      <w:r w:rsidR="006A423C" w:rsidRPr="00653FBB">
        <w:rPr>
          <w:rFonts w:ascii="Times New Roman" w:hAnsi="Times New Roman" w:cs="Times New Roman"/>
          <w:i/>
          <w:iCs/>
          <w:sz w:val="24"/>
          <w:szCs w:val="24"/>
        </w:rPr>
        <w:t>Carbon Credits (Carbon Farming Initiative) Rule 2015</w:t>
      </w:r>
      <w:r w:rsidR="006A423C">
        <w:rPr>
          <w:rFonts w:ascii="Times New Roman" w:hAnsi="Times New Roman" w:cs="Times New Roman"/>
          <w:sz w:val="24"/>
          <w:szCs w:val="24"/>
        </w:rPr>
        <w:t xml:space="preserve"> provided the Regulator with the power to unilaterally revoke a project declaration where it is </w:t>
      </w:r>
      <w:r w:rsidR="006A423C" w:rsidRPr="00C540C5">
        <w:rPr>
          <w:rFonts w:ascii="Times New Roman" w:hAnsi="Times New Roman" w:cs="Times New Roman"/>
          <w:sz w:val="24"/>
          <w:szCs w:val="24"/>
        </w:rPr>
        <w:t xml:space="preserve">satisfied the project does not meet the requirements in </w:t>
      </w:r>
      <w:r>
        <w:rPr>
          <w:rFonts w:ascii="Times New Roman" w:hAnsi="Times New Roman" w:cs="Times New Roman"/>
          <w:sz w:val="24"/>
          <w:szCs w:val="24"/>
        </w:rPr>
        <w:t>subsections</w:t>
      </w:r>
      <w:r w:rsidRPr="00C540C5">
        <w:rPr>
          <w:rFonts w:ascii="Times New Roman" w:hAnsi="Times New Roman" w:cs="Times New Roman"/>
          <w:sz w:val="24"/>
          <w:szCs w:val="24"/>
        </w:rPr>
        <w:t xml:space="preserve"> </w:t>
      </w:r>
      <w:r w:rsidR="006A423C" w:rsidRPr="00C540C5">
        <w:rPr>
          <w:rFonts w:ascii="Times New Roman" w:hAnsi="Times New Roman" w:cs="Times New Roman"/>
          <w:sz w:val="24"/>
          <w:szCs w:val="24"/>
        </w:rPr>
        <w:t xml:space="preserve">27(4)(a) to (c) and (l) of the </w:t>
      </w:r>
      <w:r w:rsidR="006A423C">
        <w:rPr>
          <w:rFonts w:ascii="Times New Roman" w:hAnsi="Times New Roman" w:cs="Times New Roman"/>
          <w:sz w:val="24"/>
          <w:szCs w:val="24"/>
        </w:rPr>
        <w:t xml:space="preserve">CFI </w:t>
      </w:r>
      <w:r w:rsidR="006A423C" w:rsidRPr="00C540C5">
        <w:rPr>
          <w:rFonts w:ascii="Times New Roman" w:hAnsi="Times New Roman" w:cs="Times New Roman"/>
          <w:sz w:val="24"/>
          <w:szCs w:val="24"/>
        </w:rPr>
        <w:t>Act</w:t>
      </w:r>
      <w:r w:rsidR="006A423C">
        <w:rPr>
          <w:rFonts w:ascii="Times New Roman" w:hAnsi="Times New Roman" w:cs="Times New Roman"/>
          <w:sz w:val="24"/>
          <w:szCs w:val="24"/>
        </w:rPr>
        <w:t>. The power to revoke a project declaration is contingent on the Regulator having consulted with t</w:t>
      </w:r>
      <w:r w:rsidR="006A423C" w:rsidRPr="00653FBB">
        <w:rPr>
          <w:rFonts w:ascii="Times New Roman" w:hAnsi="Times New Roman" w:cs="Times New Roman"/>
          <w:sz w:val="24"/>
          <w:szCs w:val="24"/>
        </w:rPr>
        <w:t xml:space="preserve">he project proponent </w:t>
      </w:r>
      <w:r w:rsidR="006A423C">
        <w:rPr>
          <w:rFonts w:ascii="Times New Roman" w:hAnsi="Times New Roman" w:cs="Times New Roman"/>
          <w:sz w:val="24"/>
          <w:szCs w:val="24"/>
        </w:rPr>
        <w:t>in accordance with</w:t>
      </w:r>
      <w:r w:rsidR="006A423C" w:rsidRPr="00653FBB">
        <w:rPr>
          <w:rFonts w:ascii="Times New Roman" w:hAnsi="Times New Roman" w:cs="Times New Roman"/>
          <w:sz w:val="24"/>
          <w:szCs w:val="24"/>
        </w:rPr>
        <w:t xml:space="preserve"> section 3</w:t>
      </w:r>
      <w:r w:rsidR="006A423C">
        <w:rPr>
          <w:rFonts w:ascii="Times New Roman" w:hAnsi="Times New Roman" w:cs="Times New Roman"/>
          <w:sz w:val="24"/>
          <w:szCs w:val="24"/>
        </w:rPr>
        <w:t xml:space="preserve">3 of the </w:t>
      </w:r>
      <w:r w:rsidR="006A423C" w:rsidRPr="00653FBB">
        <w:rPr>
          <w:rFonts w:ascii="Times New Roman" w:hAnsi="Times New Roman" w:cs="Times New Roman"/>
          <w:i/>
          <w:iCs/>
          <w:sz w:val="24"/>
          <w:szCs w:val="24"/>
        </w:rPr>
        <w:t>Carbon Credits (Carbon Farming Initiative) Rule 2015</w:t>
      </w:r>
      <w:r w:rsidR="006A423C">
        <w:rPr>
          <w:rFonts w:ascii="Times New Roman" w:hAnsi="Times New Roman" w:cs="Times New Roman"/>
          <w:sz w:val="24"/>
          <w:szCs w:val="24"/>
        </w:rPr>
        <w:t>.</w:t>
      </w:r>
    </w:p>
    <w:p w14:paraId="5581D246" w14:textId="26DC14E4" w:rsidR="006A423C" w:rsidRPr="00C540C5" w:rsidRDefault="006A423C"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Part </w:t>
      </w:r>
      <w:r w:rsidR="00E759FE">
        <w:rPr>
          <w:rFonts w:ascii="Times New Roman" w:hAnsi="Times New Roman" w:cs="Times New Roman"/>
          <w:sz w:val="24"/>
          <w:szCs w:val="24"/>
        </w:rPr>
        <w:t>3</w:t>
      </w:r>
      <w:r>
        <w:rPr>
          <w:rFonts w:ascii="Times New Roman" w:hAnsi="Times New Roman" w:cs="Times New Roman"/>
          <w:sz w:val="24"/>
          <w:szCs w:val="24"/>
        </w:rPr>
        <w:t xml:space="preserve"> of the Determination contains the following eligibility requirements for the purposes of </w:t>
      </w:r>
      <w:r w:rsidR="00416C31">
        <w:rPr>
          <w:rFonts w:ascii="Times New Roman" w:hAnsi="Times New Roman" w:cs="Times New Roman"/>
          <w:sz w:val="24"/>
          <w:szCs w:val="24"/>
        </w:rPr>
        <w:t>sub</w:t>
      </w:r>
      <w:r w:rsidR="000F12A2">
        <w:rPr>
          <w:rFonts w:ascii="Times New Roman" w:hAnsi="Times New Roman" w:cs="Times New Roman"/>
          <w:sz w:val="24"/>
          <w:szCs w:val="24"/>
        </w:rPr>
        <w:t>section</w:t>
      </w:r>
      <w:r w:rsidR="000F12A2" w:rsidRPr="00684B20">
        <w:rPr>
          <w:rFonts w:ascii="Times New Roman" w:hAnsi="Times New Roman" w:cs="Times New Roman"/>
          <w:sz w:val="24"/>
          <w:szCs w:val="24"/>
        </w:rPr>
        <w:t xml:space="preserve"> </w:t>
      </w:r>
      <w:r w:rsidRPr="00684B20">
        <w:rPr>
          <w:rFonts w:ascii="Times New Roman" w:hAnsi="Times New Roman" w:cs="Times New Roman"/>
          <w:sz w:val="24"/>
          <w:szCs w:val="24"/>
        </w:rPr>
        <w:t>106(1)(b) of the CFI Act</w:t>
      </w:r>
      <w:r>
        <w:rPr>
          <w:rFonts w:ascii="Times New Roman" w:hAnsi="Times New Roman" w:cs="Times New Roman"/>
          <w:sz w:val="24"/>
          <w:szCs w:val="24"/>
        </w:rPr>
        <w:t>.</w:t>
      </w:r>
    </w:p>
    <w:p w14:paraId="435E0B36" w14:textId="77FB558D" w:rsidR="00596B3D" w:rsidRPr="00596B3D" w:rsidRDefault="009D2147"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596B3D" w:rsidRPr="00596B3D">
        <w:rPr>
          <w:rFonts w:ascii="Times New Roman" w:hAnsi="Times New Roman" w:cs="Times New Roman"/>
          <w:sz w:val="24"/>
          <w:szCs w:val="24"/>
          <w:u w:val="single"/>
        </w:rPr>
        <w:t xml:space="preserve">9 </w:t>
      </w:r>
      <w:r w:rsidR="00596B3D">
        <w:rPr>
          <w:rFonts w:ascii="Times New Roman" w:hAnsi="Times New Roman" w:cs="Times New Roman"/>
          <w:sz w:val="24"/>
          <w:szCs w:val="24"/>
          <w:u w:val="single"/>
        </w:rPr>
        <w:t xml:space="preserve">– </w:t>
      </w:r>
      <w:r w:rsidR="00596B3D" w:rsidRPr="00596B3D">
        <w:rPr>
          <w:rFonts w:ascii="Times New Roman" w:hAnsi="Times New Roman" w:cs="Times New Roman"/>
          <w:sz w:val="24"/>
          <w:szCs w:val="24"/>
          <w:u w:val="single"/>
        </w:rPr>
        <w:t>Operation of this Part</w:t>
      </w:r>
    </w:p>
    <w:p w14:paraId="493FF173" w14:textId="02AB11D6" w:rsidR="006A423C" w:rsidRPr="00596B3D" w:rsidRDefault="00F341FC"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Section 9 states that</w:t>
      </w:r>
      <w:r w:rsidR="00071861">
        <w:rPr>
          <w:rFonts w:ascii="Times New Roman" w:hAnsi="Times New Roman" w:cs="Times New Roman"/>
          <w:sz w:val="24"/>
          <w:szCs w:val="24"/>
        </w:rPr>
        <w:t xml:space="preserve">, as provided for in </w:t>
      </w:r>
      <w:r w:rsidR="00416C31">
        <w:rPr>
          <w:rFonts w:ascii="Times New Roman" w:hAnsi="Times New Roman" w:cs="Times New Roman"/>
          <w:sz w:val="24"/>
          <w:szCs w:val="24"/>
        </w:rPr>
        <w:t>sub</w:t>
      </w:r>
      <w:r w:rsidR="000F12A2">
        <w:rPr>
          <w:rFonts w:ascii="Times New Roman" w:hAnsi="Times New Roman" w:cs="Times New Roman"/>
          <w:sz w:val="24"/>
          <w:szCs w:val="24"/>
        </w:rPr>
        <w:t>section</w:t>
      </w:r>
      <w:r w:rsidR="000F12A2" w:rsidRPr="00596B3D">
        <w:rPr>
          <w:rFonts w:ascii="Times New Roman" w:hAnsi="Times New Roman" w:cs="Times New Roman"/>
          <w:sz w:val="24"/>
          <w:szCs w:val="24"/>
        </w:rPr>
        <w:t xml:space="preserve"> </w:t>
      </w:r>
      <w:r w:rsidR="00071861" w:rsidRPr="00596B3D">
        <w:rPr>
          <w:rFonts w:ascii="Times New Roman" w:hAnsi="Times New Roman" w:cs="Times New Roman"/>
          <w:sz w:val="24"/>
          <w:szCs w:val="24"/>
        </w:rPr>
        <w:t xml:space="preserve">106(1)(b) of the </w:t>
      </w:r>
      <w:r w:rsidR="00071861">
        <w:rPr>
          <w:rFonts w:ascii="Times New Roman" w:hAnsi="Times New Roman" w:cs="Times New Roman"/>
          <w:sz w:val="24"/>
          <w:szCs w:val="24"/>
        </w:rPr>
        <w:t xml:space="preserve">CFI </w:t>
      </w:r>
      <w:r w:rsidR="00071861" w:rsidRPr="00596B3D">
        <w:rPr>
          <w:rFonts w:ascii="Times New Roman" w:hAnsi="Times New Roman" w:cs="Times New Roman"/>
          <w:sz w:val="24"/>
          <w:szCs w:val="24"/>
        </w:rPr>
        <w:t>Act</w:t>
      </w:r>
      <w:r w:rsidR="00071861">
        <w:rPr>
          <w:rFonts w:ascii="Times New Roman" w:hAnsi="Times New Roman" w:cs="Times New Roman"/>
          <w:sz w:val="24"/>
          <w:szCs w:val="24"/>
        </w:rPr>
        <w:t>,</w:t>
      </w:r>
      <w:r>
        <w:rPr>
          <w:rFonts w:ascii="Times New Roman" w:hAnsi="Times New Roman" w:cs="Times New Roman"/>
          <w:sz w:val="24"/>
          <w:szCs w:val="24"/>
        </w:rPr>
        <w:t xml:space="preserve"> Part 3 of the Determination </w:t>
      </w:r>
      <w:r w:rsidR="00596B3D" w:rsidRPr="00596B3D">
        <w:rPr>
          <w:rFonts w:ascii="Times New Roman" w:hAnsi="Times New Roman" w:cs="Times New Roman"/>
          <w:sz w:val="24"/>
          <w:szCs w:val="24"/>
        </w:rPr>
        <w:t>sets out requirements that must be met for a project to be an eligible offsets project.</w:t>
      </w:r>
      <w:r>
        <w:rPr>
          <w:rFonts w:ascii="Times New Roman" w:hAnsi="Times New Roman" w:cs="Times New Roman"/>
          <w:sz w:val="24"/>
          <w:szCs w:val="24"/>
        </w:rPr>
        <w:t xml:space="preserve"> </w:t>
      </w:r>
    </w:p>
    <w:p w14:paraId="72F55D35" w14:textId="50988FBF" w:rsidR="006A423C" w:rsidRPr="00100689" w:rsidRDefault="00100689" w:rsidP="00DB00CB">
      <w:pPr>
        <w:tabs>
          <w:tab w:val="left" w:pos="3120"/>
        </w:tabs>
        <w:spacing w:before="120" w:after="120" w:line="240" w:lineRule="auto"/>
        <w:outlineLvl w:val="1"/>
        <w:rPr>
          <w:rFonts w:ascii="Times New Roman" w:hAnsi="Times New Roman" w:cs="Times New Roman"/>
          <w:b/>
          <w:bCs/>
          <w:sz w:val="24"/>
          <w:szCs w:val="24"/>
        </w:rPr>
      </w:pPr>
      <w:r w:rsidRPr="00100689">
        <w:rPr>
          <w:rFonts w:ascii="Times New Roman" w:hAnsi="Times New Roman" w:cs="Times New Roman"/>
          <w:b/>
          <w:bCs/>
          <w:sz w:val="24"/>
          <w:szCs w:val="24"/>
        </w:rPr>
        <w:t>Division 3.2—Eligibility requirements</w:t>
      </w:r>
    </w:p>
    <w:p w14:paraId="4444CCBC" w14:textId="384A4A86" w:rsidR="00100689" w:rsidRPr="00700FB2" w:rsidRDefault="009D2147"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700FB2">
        <w:rPr>
          <w:rFonts w:ascii="Times New Roman" w:hAnsi="Times New Roman" w:cs="Times New Roman"/>
          <w:sz w:val="24"/>
          <w:szCs w:val="24"/>
          <w:u w:val="single"/>
        </w:rPr>
        <w:t xml:space="preserve">10 </w:t>
      </w:r>
      <w:r w:rsidR="00752558" w:rsidRPr="00700FB2">
        <w:rPr>
          <w:rFonts w:ascii="Times New Roman" w:hAnsi="Times New Roman" w:cs="Times New Roman"/>
          <w:sz w:val="24"/>
          <w:szCs w:val="24"/>
          <w:u w:val="single"/>
        </w:rPr>
        <w:t>– Designation of public native forests for commercial forestry use</w:t>
      </w:r>
    </w:p>
    <w:p w14:paraId="2D564E03" w14:textId="296C7703" w:rsidR="009D0D80" w:rsidRDefault="00DF430D" w:rsidP="00DB00CB">
      <w:pPr>
        <w:spacing w:before="120" w:after="120" w:line="240" w:lineRule="auto"/>
        <w:rPr>
          <w:rFonts w:ascii="Times New Roman" w:hAnsi="Times New Roman" w:cs="Times New Roman"/>
          <w:sz w:val="24"/>
          <w:szCs w:val="24"/>
        </w:rPr>
      </w:pPr>
      <w:r w:rsidRPr="00DF430D">
        <w:rPr>
          <w:rFonts w:ascii="Times New Roman" w:hAnsi="Times New Roman" w:cs="Times New Roman"/>
          <w:sz w:val="24"/>
          <w:szCs w:val="24"/>
        </w:rPr>
        <w:t xml:space="preserve">Subsection </w:t>
      </w:r>
      <w:r w:rsidR="00415DF5" w:rsidRPr="00DF430D">
        <w:rPr>
          <w:rFonts w:ascii="Times New Roman" w:hAnsi="Times New Roman" w:cs="Times New Roman"/>
          <w:sz w:val="24"/>
          <w:szCs w:val="24"/>
        </w:rPr>
        <w:t xml:space="preserve">10(1) </w:t>
      </w:r>
      <w:r w:rsidR="005E5422" w:rsidRPr="00DF430D">
        <w:rPr>
          <w:rFonts w:ascii="Times New Roman" w:hAnsi="Times New Roman" w:cs="Times New Roman"/>
          <w:sz w:val="24"/>
          <w:szCs w:val="24"/>
        </w:rPr>
        <w:t>provides that</w:t>
      </w:r>
      <w:r w:rsidR="005E5422" w:rsidRPr="005E5422">
        <w:rPr>
          <w:rFonts w:ascii="Times New Roman" w:hAnsi="Times New Roman" w:cs="Times New Roman"/>
          <w:sz w:val="24"/>
          <w:szCs w:val="24"/>
        </w:rPr>
        <w:t xml:space="preserve"> INFM projects must </w:t>
      </w:r>
      <w:r w:rsidR="00CE6CAB" w:rsidRPr="005E5422">
        <w:rPr>
          <w:rFonts w:ascii="Times New Roman" w:hAnsi="Times New Roman" w:cs="Times New Roman"/>
          <w:sz w:val="24"/>
          <w:szCs w:val="24"/>
        </w:rPr>
        <w:t>consist only of public native forests</w:t>
      </w:r>
      <w:r w:rsidR="005E5422" w:rsidRPr="005E5422">
        <w:rPr>
          <w:rFonts w:ascii="Times New Roman" w:hAnsi="Times New Roman" w:cs="Times New Roman"/>
          <w:sz w:val="24"/>
          <w:szCs w:val="24"/>
        </w:rPr>
        <w:t xml:space="preserve">: </w:t>
      </w:r>
    </w:p>
    <w:p w14:paraId="348D4AB4" w14:textId="77777777" w:rsidR="009D0D80" w:rsidRPr="009D0D80" w:rsidRDefault="00CE6CAB" w:rsidP="009D5A62">
      <w:pPr>
        <w:pStyle w:val="ListParagraph"/>
        <w:numPr>
          <w:ilvl w:val="0"/>
          <w:numId w:val="32"/>
        </w:numPr>
        <w:spacing w:before="120" w:after="120" w:line="240" w:lineRule="auto"/>
        <w:ind w:left="714" w:hanging="357"/>
        <w:contextualSpacing w:val="0"/>
        <w:rPr>
          <w:rFonts w:ascii="Times New Roman" w:hAnsi="Times New Roman" w:cs="Times New Roman"/>
          <w:sz w:val="24"/>
          <w:szCs w:val="24"/>
        </w:rPr>
      </w:pPr>
      <w:r w:rsidRPr="009D0D80">
        <w:rPr>
          <w:rFonts w:ascii="Times New Roman" w:hAnsi="Times New Roman" w:cs="Times New Roman"/>
          <w:sz w:val="24"/>
          <w:szCs w:val="24"/>
        </w:rPr>
        <w:lastRenderedPageBreak/>
        <w:t xml:space="preserve">that are designated for commercial forestry use at the time the project is </w:t>
      </w:r>
      <w:r w:rsidR="00634CF6" w:rsidRPr="009D0D80">
        <w:rPr>
          <w:rFonts w:ascii="Times New Roman" w:hAnsi="Times New Roman" w:cs="Times New Roman"/>
          <w:sz w:val="24"/>
          <w:szCs w:val="24"/>
        </w:rPr>
        <w:t xml:space="preserve">registered </w:t>
      </w:r>
      <w:r w:rsidRPr="009D0D80">
        <w:rPr>
          <w:rFonts w:ascii="Times New Roman" w:hAnsi="Times New Roman" w:cs="Times New Roman"/>
          <w:sz w:val="24"/>
          <w:szCs w:val="24"/>
        </w:rPr>
        <w:t>as an eligible offsets project; and</w:t>
      </w:r>
      <w:r w:rsidR="00720634" w:rsidRPr="009D0D80">
        <w:rPr>
          <w:rFonts w:ascii="Times New Roman" w:hAnsi="Times New Roman" w:cs="Times New Roman"/>
          <w:sz w:val="24"/>
          <w:szCs w:val="24"/>
        </w:rPr>
        <w:t xml:space="preserve"> </w:t>
      </w:r>
    </w:p>
    <w:p w14:paraId="27E6C756" w14:textId="77777777" w:rsidR="009D0D80" w:rsidRPr="009D0D80" w:rsidRDefault="00CE6CAB" w:rsidP="009D5A62">
      <w:pPr>
        <w:pStyle w:val="ListParagraph"/>
        <w:numPr>
          <w:ilvl w:val="0"/>
          <w:numId w:val="32"/>
        </w:numPr>
        <w:spacing w:before="120" w:after="120" w:line="240" w:lineRule="auto"/>
        <w:ind w:left="714" w:hanging="357"/>
        <w:contextualSpacing w:val="0"/>
        <w:rPr>
          <w:rFonts w:ascii="Times New Roman" w:hAnsi="Times New Roman" w:cs="Times New Roman"/>
          <w:sz w:val="24"/>
          <w:szCs w:val="24"/>
        </w:rPr>
      </w:pPr>
      <w:r w:rsidRPr="009D0D80">
        <w:rPr>
          <w:rFonts w:ascii="Times New Roman" w:hAnsi="Times New Roman" w:cs="Times New Roman"/>
          <w:sz w:val="24"/>
          <w:szCs w:val="24"/>
        </w:rPr>
        <w:t xml:space="preserve">that were designated for commercial forestry use for at least 10 years before the application was made under the Act for </w:t>
      </w:r>
      <w:r w:rsidR="005A0186" w:rsidRPr="009D0D80">
        <w:rPr>
          <w:rFonts w:ascii="Times New Roman" w:hAnsi="Times New Roman" w:cs="Times New Roman"/>
          <w:sz w:val="24"/>
          <w:szCs w:val="24"/>
        </w:rPr>
        <w:t>registration</w:t>
      </w:r>
      <w:r w:rsidRPr="009D0D80">
        <w:rPr>
          <w:rFonts w:ascii="Times New Roman" w:hAnsi="Times New Roman" w:cs="Times New Roman"/>
          <w:sz w:val="24"/>
          <w:szCs w:val="24"/>
        </w:rPr>
        <w:t>.</w:t>
      </w:r>
      <w:r w:rsidR="00441538" w:rsidRPr="009D0D80">
        <w:rPr>
          <w:rFonts w:ascii="Times New Roman" w:hAnsi="Times New Roman" w:cs="Times New Roman"/>
          <w:sz w:val="24"/>
          <w:szCs w:val="24"/>
        </w:rPr>
        <w:t xml:space="preserve"> </w:t>
      </w:r>
    </w:p>
    <w:p w14:paraId="2C554AF1" w14:textId="2B77A44C" w:rsidR="00441538" w:rsidRDefault="00441538"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There are three important parts of this eligibility requirement. </w:t>
      </w:r>
    </w:p>
    <w:p w14:paraId="10FAAE80" w14:textId="050E32E4" w:rsidR="00441538" w:rsidRPr="00853224" w:rsidRDefault="00BC755C" w:rsidP="009D5A62">
      <w:pPr>
        <w:pStyle w:val="ListParagraph"/>
        <w:numPr>
          <w:ilvl w:val="0"/>
          <w:numId w:val="25"/>
        </w:numPr>
        <w:spacing w:before="120" w:after="120" w:line="240" w:lineRule="auto"/>
        <w:ind w:left="714" w:hanging="357"/>
        <w:contextualSpacing w:val="0"/>
        <w:rPr>
          <w:rFonts w:ascii="Times New Roman" w:hAnsi="Times New Roman" w:cs="Times New Roman"/>
          <w:sz w:val="24"/>
          <w:szCs w:val="24"/>
        </w:rPr>
      </w:pPr>
      <w:r w:rsidRPr="00853224">
        <w:rPr>
          <w:rFonts w:ascii="Times New Roman" w:hAnsi="Times New Roman" w:cs="Times New Roman"/>
          <w:sz w:val="24"/>
          <w:szCs w:val="24"/>
        </w:rPr>
        <w:t xml:space="preserve">It requires the project area to consist exclusively of </w:t>
      </w:r>
      <w:r w:rsidR="002A51DB">
        <w:rPr>
          <w:rFonts w:ascii="Times New Roman" w:hAnsi="Times New Roman" w:cs="Times New Roman"/>
          <w:sz w:val="24"/>
          <w:szCs w:val="24"/>
        </w:rPr>
        <w:t>‘</w:t>
      </w:r>
      <w:r w:rsidR="008A105D" w:rsidRPr="00853224">
        <w:rPr>
          <w:rFonts w:ascii="Times New Roman" w:hAnsi="Times New Roman" w:cs="Times New Roman"/>
          <w:sz w:val="24"/>
          <w:szCs w:val="24"/>
        </w:rPr>
        <w:t>public native forests</w:t>
      </w:r>
      <w:r w:rsidR="002A51DB">
        <w:rPr>
          <w:rFonts w:ascii="Times New Roman" w:hAnsi="Times New Roman" w:cs="Times New Roman"/>
          <w:sz w:val="24"/>
          <w:szCs w:val="24"/>
        </w:rPr>
        <w:t>’</w:t>
      </w:r>
      <w:r w:rsidR="004909AE" w:rsidRPr="00853224">
        <w:rPr>
          <w:rFonts w:ascii="Times New Roman" w:hAnsi="Times New Roman" w:cs="Times New Roman"/>
          <w:sz w:val="24"/>
          <w:szCs w:val="24"/>
        </w:rPr>
        <w:t xml:space="preserve">, being land that satisfies the definition of native forest </w:t>
      </w:r>
      <w:r w:rsidR="00845320" w:rsidRPr="00853224">
        <w:rPr>
          <w:rFonts w:ascii="Times New Roman" w:hAnsi="Times New Roman" w:cs="Times New Roman"/>
          <w:sz w:val="24"/>
          <w:szCs w:val="24"/>
        </w:rPr>
        <w:t xml:space="preserve">that is </w:t>
      </w:r>
      <w:r w:rsidR="00E25D46" w:rsidRPr="00853224">
        <w:rPr>
          <w:rFonts w:ascii="Times New Roman" w:hAnsi="Times New Roman" w:cs="Times New Roman"/>
          <w:sz w:val="24"/>
          <w:szCs w:val="24"/>
        </w:rPr>
        <w:t>on</w:t>
      </w:r>
      <w:r w:rsidR="00E770FA" w:rsidRPr="00853224">
        <w:rPr>
          <w:rFonts w:ascii="Times New Roman" w:hAnsi="Times New Roman" w:cs="Times New Roman"/>
          <w:sz w:val="24"/>
          <w:szCs w:val="24"/>
        </w:rPr>
        <w:t xml:space="preserve"> Crown land</w:t>
      </w:r>
      <w:r w:rsidR="00845320" w:rsidRPr="00853224">
        <w:rPr>
          <w:rFonts w:ascii="Times New Roman" w:hAnsi="Times New Roman" w:cs="Times New Roman"/>
          <w:sz w:val="24"/>
          <w:szCs w:val="24"/>
        </w:rPr>
        <w:t xml:space="preserve">. </w:t>
      </w:r>
      <w:r w:rsidR="00080F65" w:rsidRPr="00853224">
        <w:rPr>
          <w:rFonts w:ascii="Times New Roman" w:hAnsi="Times New Roman" w:cs="Times New Roman"/>
          <w:sz w:val="24"/>
          <w:szCs w:val="24"/>
        </w:rPr>
        <w:t xml:space="preserve">This means that, in </w:t>
      </w:r>
      <w:r w:rsidR="00C46D7B" w:rsidRPr="00853224">
        <w:rPr>
          <w:rFonts w:ascii="Times New Roman" w:hAnsi="Times New Roman" w:cs="Times New Roman"/>
          <w:sz w:val="24"/>
          <w:szCs w:val="24"/>
        </w:rPr>
        <w:t>mapping the project area, all non-forest areas must be excluded.</w:t>
      </w:r>
    </w:p>
    <w:p w14:paraId="3D034AAD" w14:textId="2D0FB460" w:rsidR="00845320" w:rsidRPr="00853224" w:rsidRDefault="00845320" w:rsidP="009D5A62">
      <w:pPr>
        <w:pStyle w:val="ListParagraph"/>
        <w:numPr>
          <w:ilvl w:val="0"/>
          <w:numId w:val="25"/>
        </w:numPr>
        <w:spacing w:before="120" w:after="120" w:line="240" w:lineRule="auto"/>
        <w:ind w:left="714" w:hanging="357"/>
        <w:contextualSpacing w:val="0"/>
        <w:rPr>
          <w:rFonts w:ascii="Times New Roman" w:hAnsi="Times New Roman" w:cs="Times New Roman"/>
          <w:sz w:val="24"/>
          <w:szCs w:val="24"/>
        </w:rPr>
      </w:pPr>
      <w:r w:rsidRPr="00853224">
        <w:rPr>
          <w:rFonts w:ascii="Times New Roman" w:hAnsi="Times New Roman" w:cs="Times New Roman"/>
          <w:sz w:val="24"/>
          <w:szCs w:val="24"/>
        </w:rPr>
        <w:t>It requires the project are</w:t>
      </w:r>
      <w:r w:rsidR="00871CC6" w:rsidRPr="00853224">
        <w:rPr>
          <w:rFonts w:ascii="Times New Roman" w:hAnsi="Times New Roman" w:cs="Times New Roman"/>
          <w:sz w:val="24"/>
          <w:szCs w:val="24"/>
        </w:rPr>
        <w:t>a</w:t>
      </w:r>
      <w:r w:rsidRPr="00853224">
        <w:rPr>
          <w:rFonts w:ascii="Times New Roman" w:hAnsi="Times New Roman" w:cs="Times New Roman"/>
          <w:sz w:val="24"/>
          <w:szCs w:val="24"/>
        </w:rPr>
        <w:t xml:space="preserve"> to </w:t>
      </w:r>
      <w:r w:rsidR="00871CC6" w:rsidRPr="00853224">
        <w:rPr>
          <w:rFonts w:ascii="Times New Roman" w:hAnsi="Times New Roman" w:cs="Times New Roman"/>
          <w:sz w:val="24"/>
          <w:szCs w:val="24"/>
        </w:rPr>
        <w:t>consist exclusively of public native forests that are des</w:t>
      </w:r>
      <w:r w:rsidR="00ED68BC">
        <w:rPr>
          <w:rFonts w:ascii="Times New Roman" w:hAnsi="Times New Roman" w:cs="Times New Roman"/>
          <w:sz w:val="24"/>
          <w:szCs w:val="24"/>
        </w:rPr>
        <w:t>i</w:t>
      </w:r>
      <w:r w:rsidR="00871CC6" w:rsidRPr="00853224">
        <w:rPr>
          <w:rFonts w:ascii="Times New Roman" w:hAnsi="Times New Roman" w:cs="Times New Roman"/>
          <w:sz w:val="24"/>
          <w:szCs w:val="24"/>
        </w:rPr>
        <w:t>gn</w:t>
      </w:r>
      <w:r w:rsidR="00ED68BC">
        <w:rPr>
          <w:rFonts w:ascii="Times New Roman" w:hAnsi="Times New Roman" w:cs="Times New Roman"/>
          <w:sz w:val="24"/>
          <w:szCs w:val="24"/>
        </w:rPr>
        <w:t>at</w:t>
      </w:r>
      <w:r w:rsidR="00871CC6" w:rsidRPr="00853224">
        <w:rPr>
          <w:rFonts w:ascii="Times New Roman" w:hAnsi="Times New Roman" w:cs="Times New Roman"/>
          <w:sz w:val="24"/>
          <w:szCs w:val="24"/>
        </w:rPr>
        <w:t xml:space="preserve">ed for commercial forestry use </w:t>
      </w:r>
      <w:r w:rsidR="00353D6E" w:rsidRPr="00853224">
        <w:rPr>
          <w:rFonts w:ascii="Times New Roman" w:hAnsi="Times New Roman" w:cs="Times New Roman"/>
          <w:sz w:val="24"/>
          <w:szCs w:val="24"/>
        </w:rPr>
        <w:t xml:space="preserve">at the date of the project </w:t>
      </w:r>
      <w:r w:rsidR="00251808">
        <w:rPr>
          <w:rFonts w:ascii="Times New Roman" w:hAnsi="Times New Roman" w:cs="Times New Roman"/>
          <w:sz w:val="24"/>
          <w:szCs w:val="24"/>
        </w:rPr>
        <w:t>registration</w:t>
      </w:r>
      <w:r w:rsidR="00353D6E" w:rsidRPr="00853224">
        <w:rPr>
          <w:rFonts w:ascii="Times New Roman" w:hAnsi="Times New Roman" w:cs="Times New Roman"/>
          <w:sz w:val="24"/>
          <w:szCs w:val="24"/>
        </w:rPr>
        <w:t xml:space="preserve">. </w:t>
      </w:r>
      <w:r w:rsidR="002A51DB">
        <w:rPr>
          <w:rFonts w:ascii="Times New Roman" w:hAnsi="Times New Roman" w:cs="Times New Roman"/>
          <w:sz w:val="24"/>
          <w:szCs w:val="24"/>
        </w:rPr>
        <w:t>‘</w:t>
      </w:r>
      <w:r w:rsidR="009C2237" w:rsidRPr="00853224">
        <w:rPr>
          <w:rFonts w:ascii="Times New Roman" w:hAnsi="Times New Roman" w:cs="Times New Roman"/>
          <w:sz w:val="24"/>
          <w:szCs w:val="24"/>
        </w:rPr>
        <w:t>Commercial forestry use</w:t>
      </w:r>
      <w:r w:rsidR="002A51DB">
        <w:rPr>
          <w:rFonts w:ascii="Times New Roman" w:hAnsi="Times New Roman" w:cs="Times New Roman"/>
          <w:sz w:val="24"/>
          <w:szCs w:val="24"/>
        </w:rPr>
        <w:t>’</w:t>
      </w:r>
      <w:r w:rsidR="009C2237" w:rsidRPr="00853224">
        <w:rPr>
          <w:rFonts w:ascii="Times New Roman" w:hAnsi="Times New Roman" w:cs="Times New Roman"/>
          <w:sz w:val="24"/>
          <w:szCs w:val="24"/>
        </w:rPr>
        <w:t xml:space="preserve"> is defined </w:t>
      </w:r>
      <w:r w:rsidR="00F14ED2" w:rsidRPr="00853224">
        <w:rPr>
          <w:rFonts w:ascii="Times New Roman" w:hAnsi="Times New Roman" w:cs="Times New Roman"/>
          <w:sz w:val="24"/>
          <w:szCs w:val="24"/>
        </w:rPr>
        <w:t xml:space="preserve">for these </w:t>
      </w:r>
      <w:r w:rsidR="00DE41FC">
        <w:rPr>
          <w:rFonts w:ascii="Times New Roman" w:hAnsi="Times New Roman" w:cs="Times New Roman"/>
          <w:sz w:val="24"/>
          <w:szCs w:val="24"/>
        </w:rPr>
        <w:t>purposes</w:t>
      </w:r>
      <w:r w:rsidR="00DE41FC" w:rsidRPr="00853224">
        <w:rPr>
          <w:rFonts w:ascii="Times New Roman" w:hAnsi="Times New Roman" w:cs="Times New Roman"/>
          <w:sz w:val="24"/>
          <w:szCs w:val="24"/>
        </w:rPr>
        <w:t xml:space="preserve"> </w:t>
      </w:r>
      <w:r w:rsidR="00536313" w:rsidRPr="00853224">
        <w:rPr>
          <w:rFonts w:ascii="Times New Roman" w:hAnsi="Times New Roman" w:cs="Times New Roman"/>
          <w:sz w:val="24"/>
          <w:szCs w:val="24"/>
        </w:rPr>
        <w:t>as ‘</w:t>
      </w:r>
      <w:r w:rsidR="009C2237" w:rsidRPr="00853224">
        <w:rPr>
          <w:rFonts w:ascii="Times New Roman" w:hAnsi="Times New Roman" w:cs="Times New Roman"/>
          <w:sz w:val="24"/>
          <w:szCs w:val="24"/>
        </w:rPr>
        <w:t>use of a public native forest for the purposes of obtaining wood for sale</w:t>
      </w:r>
      <w:r w:rsidR="00536313" w:rsidRPr="00853224">
        <w:rPr>
          <w:rFonts w:ascii="Times New Roman" w:hAnsi="Times New Roman" w:cs="Times New Roman"/>
          <w:sz w:val="24"/>
          <w:szCs w:val="24"/>
        </w:rPr>
        <w:t>’ (s 5).</w:t>
      </w:r>
      <w:r w:rsidR="002874DD">
        <w:rPr>
          <w:rFonts w:ascii="Times New Roman" w:hAnsi="Times New Roman" w:cs="Times New Roman"/>
          <w:sz w:val="24"/>
          <w:szCs w:val="24"/>
        </w:rPr>
        <w:t xml:space="preserve"> </w:t>
      </w:r>
      <w:r w:rsidR="00DF430D" w:rsidRPr="00DF430D">
        <w:rPr>
          <w:rFonts w:ascii="Times New Roman" w:hAnsi="Times New Roman" w:cs="Times New Roman"/>
          <w:sz w:val="24"/>
          <w:szCs w:val="24"/>
        </w:rPr>
        <w:t>Subsection</w:t>
      </w:r>
      <w:r w:rsidR="002874DD">
        <w:rPr>
          <w:rFonts w:ascii="Times New Roman" w:hAnsi="Times New Roman" w:cs="Times New Roman"/>
          <w:sz w:val="24"/>
          <w:szCs w:val="24"/>
        </w:rPr>
        <w:t xml:space="preserve"> 10(2) specifies that </w:t>
      </w:r>
      <w:r w:rsidR="002874DD" w:rsidRPr="002874DD">
        <w:rPr>
          <w:rFonts w:ascii="Times New Roman" w:hAnsi="Times New Roman" w:cs="Times New Roman"/>
          <w:sz w:val="24"/>
          <w:szCs w:val="24"/>
        </w:rPr>
        <w:t>a public native forest is designated for commercial forestry use if it is available for commercial forestry use under the applicable law relating to the use of the forest</w:t>
      </w:r>
      <w:r w:rsidR="002874DD">
        <w:rPr>
          <w:rFonts w:ascii="Times New Roman" w:hAnsi="Times New Roman" w:cs="Times New Roman"/>
          <w:sz w:val="24"/>
          <w:szCs w:val="24"/>
        </w:rPr>
        <w:t xml:space="preserve">. </w:t>
      </w:r>
      <w:r w:rsidR="00DF430D" w:rsidRPr="00DF430D">
        <w:rPr>
          <w:rFonts w:ascii="Times New Roman" w:hAnsi="Times New Roman" w:cs="Times New Roman"/>
          <w:sz w:val="24"/>
          <w:szCs w:val="24"/>
        </w:rPr>
        <w:t xml:space="preserve">Subsection </w:t>
      </w:r>
      <w:r w:rsidR="00D016F5">
        <w:rPr>
          <w:rFonts w:ascii="Times New Roman" w:hAnsi="Times New Roman" w:cs="Times New Roman"/>
          <w:sz w:val="24"/>
          <w:szCs w:val="24"/>
        </w:rPr>
        <w:t xml:space="preserve">10(3) clarifies that a public native forest is still </w:t>
      </w:r>
      <w:r w:rsidR="0048671B">
        <w:rPr>
          <w:rFonts w:ascii="Times New Roman" w:hAnsi="Times New Roman" w:cs="Times New Roman"/>
          <w:sz w:val="24"/>
          <w:szCs w:val="24"/>
        </w:rPr>
        <w:t xml:space="preserve">designated for commercial forestry use if it is designated for </w:t>
      </w:r>
      <w:r w:rsidR="00D016F5" w:rsidRPr="00D016F5">
        <w:rPr>
          <w:rFonts w:ascii="Times New Roman" w:hAnsi="Times New Roman" w:cs="Times New Roman"/>
          <w:sz w:val="24"/>
          <w:szCs w:val="24"/>
        </w:rPr>
        <w:t>multi</w:t>
      </w:r>
      <w:r w:rsidR="0048671B">
        <w:rPr>
          <w:rFonts w:ascii="Times New Roman" w:hAnsi="Times New Roman" w:cs="Times New Roman"/>
          <w:sz w:val="24"/>
          <w:szCs w:val="24"/>
        </w:rPr>
        <w:t>ple uses</w:t>
      </w:r>
      <w:r w:rsidR="00BC1452">
        <w:rPr>
          <w:rFonts w:ascii="Times New Roman" w:hAnsi="Times New Roman" w:cs="Times New Roman"/>
          <w:sz w:val="24"/>
          <w:szCs w:val="24"/>
        </w:rPr>
        <w:t xml:space="preserve">, provided that its uses include </w:t>
      </w:r>
      <w:r w:rsidR="00D016F5" w:rsidRPr="00D016F5">
        <w:rPr>
          <w:rFonts w:ascii="Times New Roman" w:hAnsi="Times New Roman" w:cs="Times New Roman"/>
          <w:sz w:val="24"/>
          <w:szCs w:val="24"/>
        </w:rPr>
        <w:t>commercial forestry</w:t>
      </w:r>
      <w:r w:rsidR="00BC1452">
        <w:rPr>
          <w:rFonts w:ascii="Times New Roman" w:hAnsi="Times New Roman" w:cs="Times New Roman"/>
          <w:sz w:val="24"/>
          <w:szCs w:val="24"/>
        </w:rPr>
        <w:t>.</w:t>
      </w:r>
      <w:r w:rsidR="00427A4A">
        <w:rPr>
          <w:rFonts w:ascii="Times New Roman" w:hAnsi="Times New Roman" w:cs="Times New Roman"/>
          <w:sz w:val="24"/>
          <w:szCs w:val="24"/>
        </w:rPr>
        <w:t xml:space="preserve"> </w:t>
      </w:r>
      <w:r w:rsidR="00DF430D" w:rsidRPr="00DF430D">
        <w:rPr>
          <w:rFonts w:ascii="Times New Roman" w:hAnsi="Times New Roman" w:cs="Times New Roman"/>
          <w:sz w:val="24"/>
          <w:szCs w:val="24"/>
        </w:rPr>
        <w:t>Subsection</w:t>
      </w:r>
      <w:r w:rsidR="00427A4A">
        <w:rPr>
          <w:rFonts w:ascii="Times New Roman" w:hAnsi="Times New Roman" w:cs="Times New Roman"/>
          <w:sz w:val="24"/>
          <w:szCs w:val="24"/>
        </w:rPr>
        <w:t xml:space="preserve"> 10(5) clarifies that a public native forest is available for commercial forestry use</w:t>
      </w:r>
      <w:r w:rsidR="00D658D3">
        <w:rPr>
          <w:rFonts w:ascii="Times New Roman" w:hAnsi="Times New Roman" w:cs="Times New Roman"/>
          <w:sz w:val="24"/>
          <w:szCs w:val="24"/>
        </w:rPr>
        <w:t xml:space="preserve"> even though</w:t>
      </w:r>
      <w:r w:rsidR="006D7C9D">
        <w:rPr>
          <w:rFonts w:ascii="Times New Roman" w:hAnsi="Times New Roman" w:cs="Times New Roman"/>
          <w:sz w:val="24"/>
          <w:szCs w:val="24"/>
        </w:rPr>
        <w:t>:</w:t>
      </w:r>
      <w:r w:rsidR="00D658D3">
        <w:rPr>
          <w:rFonts w:ascii="Times New Roman" w:hAnsi="Times New Roman" w:cs="Times New Roman"/>
          <w:sz w:val="24"/>
          <w:szCs w:val="24"/>
        </w:rPr>
        <w:t xml:space="preserve"> </w:t>
      </w:r>
      <w:r w:rsidR="006D7C9D">
        <w:rPr>
          <w:rFonts w:ascii="Times New Roman" w:hAnsi="Times New Roman" w:cs="Times New Roman"/>
          <w:sz w:val="24"/>
          <w:szCs w:val="24"/>
        </w:rPr>
        <w:t xml:space="preserve">(a) </w:t>
      </w:r>
      <w:r w:rsidR="00D658D3" w:rsidRPr="00D658D3">
        <w:rPr>
          <w:rFonts w:ascii="Times New Roman" w:hAnsi="Times New Roman" w:cs="Times New Roman"/>
          <w:sz w:val="24"/>
          <w:szCs w:val="24"/>
        </w:rPr>
        <w:t>a</w:t>
      </w:r>
      <w:r w:rsidR="00D658D3">
        <w:rPr>
          <w:rFonts w:ascii="Times New Roman" w:hAnsi="Times New Roman" w:cs="Times New Roman"/>
          <w:sz w:val="24"/>
          <w:szCs w:val="24"/>
        </w:rPr>
        <w:t xml:space="preserve"> government</w:t>
      </w:r>
      <w:r w:rsidR="00D658D3" w:rsidRPr="00D658D3">
        <w:rPr>
          <w:rFonts w:ascii="Times New Roman" w:hAnsi="Times New Roman" w:cs="Times New Roman"/>
          <w:sz w:val="24"/>
          <w:szCs w:val="24"/>
        </w:rPr>
        <w:t xml:space="preserve"> authority </w:t>
      </w:r>
      <w:r w:rsidR="00D658D3">
        <w:rPr>
          <w:rFonts w:ascii="Times New Roman" w:hAnsi="Times New Roman" w:cs="Times New Roman"/>
          <w:sz w:val="24"/>
          <w:szCs w:val="24"/>
        </w:rPr>
        <w:t xml:space="preserve">may </w:t>
      </w:r>
      <w:proofErr w:type="gramStart"/>
      <w:r w:rsidR="00D658D3">
        <w:rPr>
          <w:rFonts w:ascii="Times New Roman" w:hAnsi="Times New Roman" w:cs="Times New Roman"/>
          <w:sz w:val="24"/>
          <w:szCs w:val="24"/>
        </w:rPr>
        <w:t>be</w:t>
      </w:r>
      <w:r w:rsidR="00D658D3" w:rsidRPr="00D658D3">
        <w:rPr>
          <w:rFonts w:ascii="Times New Roman" w:hAnsi="Times New Roman" w:cs="Times New Roman"/>
          <w:sz w:val="24"/>
          <w:szCs w:val="24"/>
        </w:rPr>
        <w:t xml:space="preserve"> required</w:t>
      </w:r>
      <w:proofErr w:type="gramEnd"/>
      <w:r w:rsidR="00D658D3" w:rsidRPr="00D658D3">
        <w:rPr>
          <w:rFonts w:ascii="Times New Roman" w:hAnsi="Times New Roman" w:cs="Times New Roman"/>
          <w:sz w:val="24"/>
          <w:szCs w:val="24"/>
        </w:rPr>
        <w:t xml:space="preserve"> to carry out timber harvesting operation</w:t>
      </w:r>
      <w:r w:rsidR="00D658D3">
        <w:rPr>
          <w:rFonts w:ascii="Times New Roman" w:hAnsi="Times New Roman" w:cs="Times New Roman"/>
          <w:sz w:val="24"/>
          <w:szCs w:val="24"/>
        </w:rPr>
        <w:t>s</w:t>
      </w:r>
      <w:r w:rsidR="006D7C9D">
        <w:rPr>
          <w:rFonts w:ascii="Times New Roman" w:hAnsi="Times New Roman" w:cs="Times New Roman"/>
          <w:sz w:val="24"/>
          <w:szCs w:val="24"/>
        </w:rPr>
        <w:t xml:space="preserve">; (b) </w:t>
      </w:r>
      <w:r w:rsidR="006D7C9D" w:rsidRPr="006D7C9D">
        <w:rPr>
          <w:rFonts w:ascii="Times New Roman" w:hAnsi="Times New Roman" w:cs="Times New Roman"/>
          <w:sz w:val="24"/>
          <w:szCs w:val="24"/>
        </w:rPr>
        <w:t xml:space="preserve">surveys, plans or other preliminary steps </w:t>
      </w:r>
      <w:r w:rsidR="006D7C9D">
        <w:rPr>
          <w:rFonts w:ascii="Times New Roman" w:hAnsi="Times New Roman" w:cs="Times New Roman"/>
          <w:sz w:val="24"/>
          <w:szCs w:val="24"/>
        </w:rPr>
        <w:t xml:space="preserve">may </w:t>
      </w:r>
      <w:proofErr w:type="gramStart"/>
      <w:r w:rsidR="006D7C9D">
        <w:rPr>
          <w:rFonts w:ascii="Times New Roman" w:hAnsi="Times New Roman" w:cs="Times New Roman"/>
          <w:sz w:val="24"/>
          <w:szCs w:val="24"/>
        </w:rPr>
        <w:t>be</w:t>
      </w:r>
      <w:r w:rsidR="006D7C9D" w:rsidRPr="006D7C9D">
        <w:rPr>
          <w:rFonts w:ascii="Times New Roman" w:hAnsi="Times New Roman" w:cs="Times New Roman"/>
          <w:sz w:val="24"/>
          <w:szCs w:val="24"/>
        </w:rPr>
        <w:t xml:space="preserve"> required</w:t>
      </w:r>
      <w:proofErr w:type="gramEnd"/>
      <w:r w:rsidR="006D7C9D" w:rsidRPr="006D7C9D">
        <w:rPr>
          <w:rFonts w:ascii="Times New Roman" w:hAnsi="Times New Roman" w:cs="Times New Roman"/>
          <w:sz w:val="24"/>
          <w:szCs w:val="24"/>
        </w:rPr>
        <w:t xml:space="preserve"> before timber harvesting can commence</w:t>
      </w:r>
      <w:r w:rsidR="006D7C9D">
        <w:rPr>
          <w:rFonts w:ascii="Times New Roman" w:hAnsi="Times New Roman" w:cs="Times New Roman"/>
          <w:sz w:val="24"/>
          <w:szCs w:val="24"/>
        </w:rPr>
        <w:t xml:space="preserve">; and (c) </w:t>
      </w:r>
      <w:proofErr w:type="gramStart"/>
      <w:r w:rsidR="006D7C9D" w:rsidRPr="006D7C9D">
        <w:rPr>
          <w:rFonts w:ascii="Times New Roman" w:hAnsi="Times New Roman" w:cs="Times New Roman"/>
          <w:sz w:val="24"/>
          <w:szCs w:val="24"/>
        </w:rPr>
        <w:t>particular areas</w:t>
      </w:r>
      <w:proofErr w:type="gramEnd"/>
      <w:r w:rsidR="006D7C9D" w:rsidRPr="006D7C9D">
        <w:rPr>
          <w:rFonts w:ascii="Times New Roman" w:hAnsi="Times New Roman" w:cs="Times New Roman"/>
          <w:sz w:val="24"/>
          <w:szCs w:val="24"/>
        </w:rPr>
        <w:t xml:space="preserve"> or trees </w:t>
      </w:r>
      <w:r w:rsidR="006D7C9D">
        <w:rPr>
          <w:rFonts w:ascii="Times New Roman" w:hAnsi="Times New Roman" w:cs="Times New Roman"/>
          <w:sz w:val="24"/>
          <w:szCs w:val="24"/>
        </w:rPr>
        <w:t xml:space="preserve">must not </w:t>
      </w:r>
      <w:proofErr w:type="gramStart"/>
      <w:r w:rsidR="006D7C9D">
        <w:rPr>
          <w:rFonts w:ascii="Times New Roman" w:hAnsi="Times New Roman" w:cs="Times New Roman"/>
          <w:sz w:val="24"/>
          <w:szCs w:val="24"/>
        </w:rPr>
        <w:t>be harvested</w:t>
      </w:r>
      <w:proofErr w:type="gramEnd"/>
      <w:r w:rsidR="006D7C9D">
        <w:rPr>
          <w:rFonts w:ascii="Times New Roman" w:hAnsi="Times New Roman" w:cs="Times New Roman"/>
          <w:sz w:val="24"/>
          <w:szCs w:val="24"/>
        </w:rPr>
        <w:t xml:space="preserve"> </w:t>
      </w:r>
      <w:r w:rsidR="006D7C9D" w:rsidRPr="006D7C9D">
        <w:rPr>
          <w:rFonts w:ascii="Times New Roman" w:hAnsi="Times New Roman" w:cs="Times New Roman"/>
          <w:sz w:val="24"/>
          <w:szCs w:val="24"/>
        </w:rPr>
        <w:t xml:space="preserve">because of </w:t>
      </w:r>
      <w:r w:rsidR="003A76F2">
        <w:rPr>
          <w:rFonts w:ascii="Times New Roman" w:hAnsi="Times New Roman" w:cs="Times New Roman"/>
          <w:sz w:val="24"/>
          <w:szCs w:val="24"/>
        </w:rPr>
        <w:t>environmental or operational requirements.</w:t>
      </w:r>
    </w:p>
    <w:p w14:paraId="373451DB" w14:textId="2583FF66" w:rsidR="00CE6CAB" w:rsidRDefault="00F14ED2" w:rsidP="009D5A62">
      <w:pPr>
        <w:pStyle w:val="ListParagraph"/>
        <w:numPr>
          <w:ilvl w:val="0"/>
          <w:numId w:val="25"/>
        </w:numPr>
        <w:spacing w:before="120" w:after="120" w:line="240" w:lineRule="auto"/>
        <w:ind w:left="714" w:hanging="357"/>
        <w:contextualSpacing w:val="0"/>
        <w:rPr>
          <w:rFonts w:ascii="Times New Roman" w:hAnsi="Times New Roman" w:cs="Times New Roman"/>
          <w:sz w:val="24"/>
          <w:szCs w:val="24"/>
        </w:rPr>
      </w:pPr>
      <w:r w:rsidRPr="00853224">
        <w:rPr>
          <w:rFonts w:ascii="Times New Roman" w:hAnsi="Times New Roman" w:cs="Times New Roman"/>
          <w:sz w:val="24"/>
          <w:szCs w:val="24"/>
        </w:rPr>
        <w:t xml:space="preserve">It requires the project area </w:t>
      </w:r>
      <w:r w:rsidR="00252144" w:rsidRPr="00853224">
        <w:rPr>
          <w:rFonts w:ascii="Times New Roman" w:hAnsi="Times New Roman" w:cs="Times New Roman"/>
          <w:sz w:val="24"/>
          <w:szCs w:val="24"/>
        </w:rPr>
        <w:t xml:space="preserve">to consist exclusively of public native forests that were </w:t>
      </w:r>
      <w:r w:rsidR="003763A2">
        <w:rPr>
          <w:rFonts w:ascii="Times New Roman" w:hAnsi="Times New Roman" w:cs="Times New Roman"/>
          <w:sz w:val="24"/>
          <w:szCs w:val="24"/>
        </w:rPr>
        <w:t>designated</w:t>
      </w:r>
      <w:r w:rsidR="00252144" w:rsidRPr="00853224">
        <w:rPr>
          <w:rFonts w:ascii="Times New Roman" w:hAnsi="Times New Roman" w:cs="Times New Roman"/>
          <w:sz w:val="24"/>
          <w:szCs w:val="24"/>
        </w:rPr>
        <w:t xml:space="preserve"> for commercial forestry use </w:t>
      </w:r>
      <w:r w:rsidR="00853224" w:rsidRPr="00853224">
        <w:rPr>
          <w:rFonts w:ascii="Times New Roman" w:hAnsi="Times New Roman" w:cs="Times New Roman"/>
          <w:sz w:val="24"/>
          <w:szCs w:val="24"/>
        </w:rPr>
        <w:t>for at least 10 years prior to the date of the submission of the project application.</w:t>
      </w:r>
    </w:p>
    <w:p w14:paraId="62A6ACED" w14:textId="25224447" w:rsidR="009E7A9E" w:rsidRDefault="009E7A9E"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These eligibility requirements perform </w:t>
      </w:r>
      <w:r w:rsidR="00795EA2">
        <w:rPr>
          <w:rFonts w:ascii="Times New Roman" w:hAnsi="Times New Roman" w:cs="Times New Roman"/>
          <w:sz w:val="24"/>
          <w:szCs w:val="24"/>
        </w:rPr>
        <w:t xml:space="preserve">an </w:t>
      </w:r>
      <w:r>
        <w:rPr>
          <w:rFonts w:ascii="Times New Roman" w:hAnsi="Times New Roman" w:cs="Times New Roman"/>
          <w:sz w:val="24"/>
          <w:szCs w:val="24"/>
        </w:rPr>
        <w:t xml:space="preserve">important </w:t>
      </w:r>
      <w:r w:rsidR="00795EA2">
        <w:rPr>
          <w:rFonts w:ascii="Times New Roman" w:hAnsi="Times New Roman" w:cs="Times New Roman"/>
          <w:sz w:val="24"/>
          <w:szCs w:val="24"/>
        </w:rPr>
        <w:t>integrity function by limiting eligible land to public native forests that, in the absence of the project, are likely to be harvested (see Attachment B for further details).</w:t>
      </w:r>
    </w:p>
    <w:p w14:paraId="2B9EF2DE" w14:textId="15494ABA" w:rsidR="00521E49" w:rsidRDefault="00DF430D" w:rsidP="00DB00CB">
      <w:pPr>
        <w:spacing w:before="120" w:after="120" w:line="240" w:lineRule="auto"/>
        <w:rPr>
          <w:rFonts w:ascii="Times New Roman" w:hAnsi="Times New Roman" w:cs="Times New Roman"/>
          <w:sz w:val="24"/>
          <w:szCs w:val="24"/>
        </w:rPr>
      </w:pPr>
      <w:r w:rsidRPr="00DF430D">
        <w:rPr>
          <w:rFonts w:ascii="Times New Roman" w:hAnsi="Times New Roman" w:cs="Times New Roman"/>
          <w:sz w:val="24"/>
          <w:szCs w:val="24"/>
        </w:rPr>
        <w:t>Subsection</w:t>
      </w:r>
      <w:r w:rsidR="00521E49" w:rsidRPr="00646164">
        <w:rPr>
          <w:rFonts w:ascii="Times New Roman" w:hAnsi="Times New Roman" w:cs="Times New Roman"/>
          <w:sz w:val="24"/>
          <w:szCs w:val="24"/>
        </w:rPr>
        <w:t xml:space="preserve"> </w:t>
      </w:r>
      <w:r w:rsidR="00A3620E" w:rsidRPr="00646164">
        <w:rPr>
          <w:rFonts w:ascii="Times New Roman" w:hAnsi="Times New Roman" w:cs="Times New Roman"/>
          <w:sz w:val="24"/>
          <w:szCs w:val="24"/>
        </w:rPr>
        <w:t>10(4) clarifies that</w:t>
      </w:r>
      <w:r w:rsidR="00876CC4">
        <w:rPr>
          <w:rFonts w:ascii="Times New Roman" w:hAnsi="Times New Roman" w:cs="Times New Roman"/>
          <w:sz w:val="24"/>
          <w:szCs w:val="24"/>
        </w:rPr>
        <w:t>,</w:t>
      </w:r>
      <w:r w:rsidR="00521E49" w:rsidRPr="00646164">
        <w:rPr>
          <w:rFonts w:ascii="Times New Roman" w:hAnsi="Times New Roman" w:cs="Times New Roman"/>
          <w:sz w:val="24"/>
          <w:szCs w:val="24"/>
        </w:rPr>
        <w:t xml:space="preserve"> </w:t>
      </w:r>
      <w:r w:rsidR="0020574F" w:rsidRPr="00646164">
        <w:rPr>
          <w:rFonts w:ascii="Times New Roman" w:hAnsi="Times New Roman" w:cs="Times New Roman"/>
          <w:sz w:val="24"/>
          <w:szCs w:val="24"/>
        </w:rPr>
        <w:t xml:space="preserve">if </w:t>
      </w:r>
      <w:r w:rsidR="008941D5" w:rsidRPr="00646164">
        <w:rPr>
          <w:rFonts w:ascii="Times New Roman" w:hAnsi="Times New Roman" w:cs="Times New Roman"/>
          <w:sz w:val="24"/>
          <w:szCs w:val="24"/>
        </w:rPr>
        <w:t xml:space="preserve">a </w:t>
      </w:r>
      <w:r w:rsidR="00521E49" w:rsidRPr="00646164">
        <w:rPr>
          <w:rFonts w:ascii="Times New Roman" w:hAnsi="Times New Roman" w:cs="Times New Roman"/>
          <w:sz w:val="24"/>
          <w:szCs w:val="24"/>
        </w:rPr>
        <w:t xml:space="preserve">carbon protection area becomes a national park or other reserve or subject to any </w:t>
      </w:r>
      <w:r w:rsidR="0020574F" w:rsidRPr="00646164">
        <w:rPr>
          <w:rFonts w:ascii="Times New Roman" w:hAnsi="Times New Roman" w:cs="Times New Roman"/>
          <w:sz w:val="24"/>
          <w:szCs w:val="24"/>
        </w:rPr>
        <w:t xml:space="preserve">laws passed after the </w:t>
      </w:r>
      <w:r w:rsidR="007A264E">
        <w:rPr>
          <w:rFonts w:ascii="Times New Roman" w:hAnsi="Times New Roman" w:cs="Times New Roman"/>
          <w:sz w:val="24"/>
          <w:szCs w:val="24"/>
        </w:rPr>
        <w:t xml:space="preserve">date of </w:t>
      </w:r>
      <w:r w:rsidR="0020574F" w:rsidRPr="00646164">
        <w:rPr>
          <w:rFonts w:ascii="Times New Roman" w:hAnsi="Times New Roman" w:cs="Times New Roman"/>
          <w:sz w:val="24"/>
          <w:szCs w:val="24"/>
        </w:rPr>
        <w:t xml:space="preserve">project </w:t>
      </w:r>
      <w:r w:rsidR="00251808">
        <w:rPr>
          <w:rFonts w:ascii="Times New Roman" w:hAnsi="Times New Roman" w:cs="Times New Roman"/>
          <w:sz w:val="24"/>
          <w:szCs w:val="24"/>
        </w:rPr>
        <w:t>registration</w:t>
      </w:r>
      <w:r w:rsidR="0020574F" w:rsidRPr="00646164">
        <w:rPr>
          <w:rFonts w:ascii="Times New Roman" w:hAnsi="Times New Roman" w:cs="Times New Roman"/>
          <w:sz w:val="24"/>
          <w:szCs w:val="24"/>
        </w:rPr>
        <w:t xml:space="preserve"> that</w:t>
      </w:r>
      <w:r w:rsidR="00521E49" w:rsidRPr="00646164">
        <w:rPr>
          <w:rFonts w:ascii="Times New Roman" w:hAnsi="Times New Roman" w:cs="Times New Roman"/>
          <w:sz w:val="24"/>
          <w:szCs w:val="24"/>
        </w:rPr>
        <w:t xml:space="preserve"> prevent</w:t>
      </w:r>
      <w:r w:rsidR="0020574F" w:rsidRPr="00646164">
        <w:rPr>
          <w:rFonts w:ascii="Times New Roman" w:hAnsi="Times New Roman" w:cs="Times New Roman"/>
          <w:sz w:val="24"/>
          <w:szCs w:val="24"/>
        </w:rPr>
        <w:t xml:space="preserve"> </w:t>
      </w:r>
      <w:r w:rsidR="00521E49" w:rsidRPr="00646164">
        <w:rPr>
          <w:rFonts w:ascii="Times New Roman" w:hAnsi="Times New Roman" w:cs="Times New Roman"/>
          <w:sz w:val="24"/>
          <w:szCs w:val="24"/>
        </w:rPr>
        <w:t>commercial forestry use</w:t>
      </w:r>
      <w:r w:rsidR="0020574F" w:rsidRPr="00646164">
        <w:rPr>
          <w:rFonts w:ascii="Times New Roman" w:hAnsi="Times New Roman" w:cs="Times New Roman"/>
          <w:sz w:val="24"/>
          <w:szCs w:val="24"/>
        </w:rPr>
        <w:t xml:space="preserve"> in the area</w:t>
      </w:r>
      <w:r w:rsidR="00C51E06" w:rsidRPr="00646164">
        <w:rPr>
          <w:rFonts w:ascii="Times New Roman" w:hAnsi="Times New Roman" w:cs="Times New Roman"/>
          <w:sz w:val="24"/>
          <w:szCs w:val="24"/>
        </w:rPr>
        <w:t xml:space="preserve">, </w:t>
      </w:r>
      <w:r w:rsidR="00960CF6" w:rsidRPr="00646164">
        <w:rPr>
          <w:rFonts w:ascii="Times New Roman" w:hAnsi="Times New Roman" w:cs="Times New Roman"/>
          <w:sz w:val="24"/>
          <w:szCs w:val="24"/>
        </w:rPr>
        <w:t xml:space="preserve">it </w:t>
      </w:r>
      <w:proofErr w:type="gramStart"/>
      <w:r w:rsidR="00960CF6" w:rsidRPr="00646164">
        <w:rPr>
          <w:rFonts w:ascii="Times New Roman" w:hAnsi="Times New Roman" w:cs="Times New Roman"/>
          <w:sz w:val="24"/>
          <w:szCs w:val="24"/>
        </w:rPr>
        <w:t>still remains</w:t>
      </w:r>
      <w:proofErr w:type="gramEnd"/>
      <w:r w:rsidR="00960CF6" w:rsidRPr="00646164">
        <w:rPr>
          <w:rFonts w:ascii="Times New Roman" w:hAnsi="Times New Roman" w:cs="Times New Roman"/>
          <w:sz w:val="24"/>
          <w:szCs w:val="24"/>
        </w:rPr>
        <w:t xml:space="preserve"> part of the project area for the Determination. This</w:t>
      </w:r>
      <w:r w:rsidR="00434949" w:rsidRPr="00646164">
        <w:rPr>
          <w:rFonts w:ascii="Times New Roman" w:hAnsi="Times New Roman" w:cs="Times New Roman"/>
          <w:sz w:val="24"/>
          <w:szCs w:val="24"/>
        </w:rPr>
        <w:t xml:space="preserve"> also</w:t>
      </w:r>
      <w:r w:rsidR="00960CF6" w:rsidRPr="00646164">
        <w:rPr>
          <w:rFonts w:ascii="Times New Roman" w:hAnsi="Times New Roman" w:cs="Times New Roman"/>
          <w:sz w:val="24"/>
          <w:szCs w:val="24"/>
        </w:rPr>
        <w:t xml:space="preserve"> </w:t>
      </w:r>
      <w:r w:rsidR="00C11F15" w:rsidRPr="00646164">
        <w:rPr>
          <w:rFonts w:ascii="Times New Roman" w:hAnsi="Times New Roman" w:cs="Times New Roman"/>
          <w:sz w:val="24"/>
          <w:szCs w:val="24"/>
        </w:rPr>
        <w:t>clarifies</w:t>
      </w:r>
      <w:r w:rsidR="00434949" w:rsidRPr="00646164">
        <w:rPr>
          <w:rFonts w:ascii="Times New Roman" w:hAnsi="Times New Roman" w:cs="Times New Roman"/>
          <w:sz w:val="24"/>
          <w:szCs w:val="24"/>
        </w:rPr>
        <w:t xml:space="preserve"> that </w:t>
      </w:r>
      <w:r w:rsidR="00C11F15" w:rsidRPr="00646164">
        <w:rPr>
          <w:rFonts w:ascii="Times New Roman" w:hAnsi="Times New Roman" w:cs="Times New Roman"/>
          <w:sz w:val="24"/>
          <w:szCs w:val="24"/>
        </w:rPr>
        <w:t xml:space="preserve">the eligibility requirement for the land in the project area to be designated for commercial forestry use </w:t>
      </w:r>
      <w:r w:rsidR="003D4A55">
        <w:rPr>
          <w:rFonts w:ascii="Times New Roman" w:hAnsi="Times New Roman" w:cs="Times New Roman"/>
          <w:sz w:val="24"/>
          <w:szCs w:val="24"/>
        </w:rPr>
        <w:t>does not continue to apply after the date of project registration. Consequently,</w:t>
      </w:r>
      <w:r w:rsidR="00C11F15" w:rsidRPr="00646164">
        <w:rPr>
          <w:rFonts w:ascii="Times New Roman" w:hAnsi="Times New Roman" w:cs="Times New Roman"/>
          <w:sz w:val="24"/>
          <w:szCs w:val="24"/>
        </w:rPr>
        <w:t xml:space="preserve"> </w:t>
      </w:r>
      <w:r w:rsidR="00B23A92">
        <w:rPr>
          <w:rFonts w:ascii="Times New Roman" w:hAnsi="Times New Roman" w:cs="Times New Roman"/>
          <w:sz w:val="24"/>
          <w:szCs w:val="24"/>
        </w:rPr>
        <w:t>the Regulator could not</w:t>
      </w:r>
      <w:r w:rsidR="00C11F15" w:rsidRPr="00646164">
        <w:rPr>
          <w:rFonts w:ascii="Times New Roman" w:hAnsi="Times New Roman" w:cs="Times New Roman"/>
          <w:sz w:val="24"/>
          <w:szCs w:val="24"/>
        </w:rPr>
        <w:t xml:space="preserve"> revoke </w:t>
      </w:r>
      <w:r w:rsidR="00B23A92">
        <w:rPr>
          <w:rFonts w:ascii="Times New Roman" w:hAnsi="Times New Roman" w:cs="Times New Roman"/>
          <w:sz w:val="24"/>
          <w:szCs w:val="24"/>
        </w:rPr>
        <w:t>a project declaration on the basis that a</w:t>
      </w:r>
      <w:r w:rsidR="00F42147" w:rsidRPr="00646164">
        <w:rPr>
          <w:rFonts w:ascii="Times New Roman" w:hAnsi="Times New Roman" w:cs="Times New Roman"/>
          <w:sz w:val="24"/>
          <w:szCs w:val="24"/>
        </w:rPr>
        <w:t xml:space="preserve"> carbon protection area </w:t>
      </w:r>
      <w:r w:rsidR="00B23A92">
        <w:rPr>
          <w:rFonts w:ascii="Times New Roman" w:hAnsi="Times New Roman" w:cs="Times New Roman"/>
          <w:sz w:val="24"/>
          <w:szCs w:val="24"/>
        </w:rPr>
        <w:t>is later</w:t>
      </w:r>
      <w:r w:rsidR="00F42147" w:rsidRPr="00646164">
        <w:rPr>
          <w:rFonts w:ascii="Times New Roman" w:hAnsi="Times New Roman" w:cs="Times New Roman"/>
          <w:sz w:val="24"/>
          <w:szCs w:val="24"/>
        </w:rPr>
        <w:t xml:space="preserve"> transferred into a conservation reserve where </w:t>
      </w:r>
      <w:r w:rsidR="00646164" w:rsidRPr="00646164">
        <w:rPr>
          <w:rFonts w:ascii="Times New Roman" w:hAnsi="Times New Roman" w:cs="Times New Roman"/>
          <w:sz w:val="24"/>
          <w:szCs w:val="24"/>
        </w:rPr>
        <w:t xml:space="preserve">commercial </w:t>
      </w:r>
      <w:r w:rsidR="00F42147" w:rsidRPr="00646164">
        <w:rPr>
          <w:rFonts w:ascii="Times New Roman" w:hAnsi="Times New Roman" w:cs="Times New Roman"/>
          <w:sz w:val="24"/>
          <w:szCs w:val="24"/>
        </w:rPr>
        <w:t xml:space="preserve">harvesting </w:t>
      </w:r>
      <w:r w:rsidR="00646164" w:rsidRPr="00646164">
        <w:rPr>
          <w:rFonts w:ascii="Times New Roman" w:hAnsi="Times New Roman" w:cs="Times New Roman"/>
          <w:sz w:val="24"/>
          <w:szCs w:val="24"/>
        </w:rPr>
        <w:t>is prohibited.</w:t>
      </w:r>
    </w:p>
    <w:p w14:paraId="1D73FB41" w14:textId="51F92E83" w:rsidR="00795EA2" w:rsidRPr="008777C6" w:rsidRDefault="00E624E9"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806DD1" w:rsidRPr="00806DD1">
        <w:rPr>
          <w:rFonts w:ascii="Times New Roman" w:hAnsi="Times New Roman" w:cs="Times New Roman"/>
          <w:sz w:val="24"/>
          <w:szCs w:val="24"/>
          <w:u w:val="single"/>
        </w:rPr>
        <w:t xml:space="preserve">11 – No </w:t>
      </w:r>
      <w:r w:rsidR="00806DD1" w:rsidRPr="008777C6">
        <w:rPr>
          <w:rFonts w:ascii="Times New Roman" w:hAnsi="Times New Roman" w:cs="Times New Roman"/>
          <w:sz w:val="24"/>
          <w:szCs w:val="24"/>
          <w:u w:val="single"/>
        </w:rPr>
        <w:t>previous law or decision to stop or reduce timber harvesting</w:t>
      </w:r>
    </w:p>
    <w:p w14:paraId="61C39E19" w14:textId="66CA22B4" w:rsidR="00700FB2" w:rsidRDefault="00DF430D" w:rsidP="00DB00CB">
      <w:pPr>
        <w:spacing w:before="120" w:after="120" w:line="240" w:lineRule="auto"/>
        <w:rPr>
          <w:rFonts w:ascii="Times New Roman" w:hAnsi="Times New Roman" w:cs="Times New Roman"/>
          <w:sz w:val="24"/>
          <w:szCs w:val="24"/>
        </w:rPr>
      </w:pPr>
      <w:r w:rsidRPr="008777C6">
        <w:rPr>
          <w:rFonts w:ascii="Times New Roman" w:hAnsi="Times New Roman" w:cs="Times New Roman"/>
          <w:sz w:val="24"/>
          <w:szCs w:val="24"/>
        </w:rPr>
        <w:t xml:space="preserve">Subsection </w:t>
      </w:r>
      <w:r w:rsidR="008764AA" w:rsidRPr="008777C6">
        <w:rPr>
          <w:rFonts w:ascii="Times New Roman" w:hAnsi="Times New Roman" w:cs="Times New Roman"/>
          <w:sz w:val="24"/>
          <w:szCs w:val="24"/>
        </w:rPr>
        <w:t>11(1)</w:t>
      </w:r>
      <w:r w:rsidR="000D7312" w:rsidRPr="008777C6">
        <w:rPr>
          <w:rFonts w:ascii="Times New Roman" w:hAnsi="Times New Roman" w:cs="Times New Roman"/>
          <w:sz w:val="24"/>
          <w:szCs w:val="24"/>
        </w:rPr>
        <w:t xml:space="preserve"> provides that an area cannot be included in the project area</w:t>
      </w:r>
      <w:r w:rsidR="000D7312" w:rsidRPr="000D7312">
        <w:rPr>
          <w:rFonts w:ascii="Times New Roman" w:hAnsi="Times New Roman" w:cs="Times New Roman"/>
          <w:sz w:val="24"/>
          <w:szCs w:val="24"/>
        </w:rPr>
        <w:t xml:space="preserve"> </w:t>
      </w:r>
      <w:r w:rsidR="000D7312">
        <w:rPr>
          <w:rFonts w:ascii="Times New Roman" w:hAnsi="Times New Roman" w:cs="Times New Roman"/>
          <w:sz w:val="24"/>
          <w:szCs w:val="24"/>
        </w:rPr>
        <w:t xml:space="preserve">of a project </w:t>
      </w:r>
      <w:r w:rsidR="000D7312" w:rsidRPr="000D7312">
        <w:rPr>
          <w:rFonts w:ascii="Times New Roman" w:hAnsi="Times New Roman" w:cs="Times New Roman"/>
          <w:sz w:val="24"/>
          <w:szCs w:val="24"/>
        </w:rPr>
        <w:t xml:space="preserve">if, at any time between 1 January 2000 and the date </w:t>
      </w:r>
      <w:r w:rsidR="000D7312">
        <w:rPr>
          <w:rFonts w:ascii="Times New Roman" w:hAnsi="Times New Roman" w:cs="Times New Roman"/>
          <w:sz w:val="24"/>
          <w:szCs w:val="24"/>
        </w:rPr>
        <w:t xml:space="preserve">of project </w:t>
      </w:r>
      <w:r w:rsidR="005F7D72">
        <w:rPr>
          <w:rFonts w:ascii="Times New Roman" w:hAnsi="Times New Roman" w:cs="Times New Roman"/>
          <w:sz w:val="24"/>
          <w:szCs w:val="24"/>
        </w:rPr>
        <w:t>registration</w:t>
      </w:r>
      <w:r w:rsidR="00B23A92">
        <w:rPr>
          <w:rFonts w:ascii="Times New Roman" w:hAnsi="Times New Roman" w:cs="Times New Roman"/>
          <w:sz w:val="24"/>
          <w:szCs w:val="24"/>
        </w:rPr>
        <w:t>:</w:t>
      </w:r>
      <w:r w:rsidR="000D7312">
        <w:rPr>
          <w:rFonts w:ascii="Times New Roman" w:hAnsi="Times New Roman" w:cs="Times New Roman"/>
          <w:sz w:val="24"/>
          <w:szCs w:val="24"/>
        </w:rPr>
        <w:t xml:space="preserve"> </w:t>
      </w:r>
    </w:p>
    <w:p w14:paraId="1C8E0AFD" w14:textId="77777777" w:rsidR="009B01B4" w:rsidRDefault="005F7D72" w:rsidP="009D5A62">
      <w:pPr>
        <w:pStyle w:val="ListParagraph"/>
        <w:numPr>
          <w:ilvl w:val="0"/>
          <w:numId w:val="33"/>
        </w:numPr>
        <w:spacing w:before="120" w:after="120" w:line="240" w:lineRule="auto"/>
        <w:contextualSpacing w:val="0"/>
        <w:rPr>
          <w:rFonts w:ascii="Times New Roman" w:hAnsi="Times New Roman" w:cs="Times New Roman"/>
          <w:sz w:val="24"/>
          <w:szCs w:val="24"/>
        </w:rPr>
      </w:pPr>
      <w:r w:rsidRPr="00BE2528">
        <w:rPr>
          <w:rFonts w:ascii="Times New Roman" w:hAnsi="Times New Roman" w:cs="Times New Roman"/>
          <w:sz w:val="24"/>
          <w:szCs w:val="24"/>
        </w:rPr>
        <w:t>a law of the Commonwealth or the relevant State stopped timber harvesting in the area (even if the law has since been repealed or amended to remove that prohibition)</w:t>
      </w:r>
      <w:r w:rsidR="009B01B4">
        <w:rPr>
          <w:rFonts w:ascii="Times New Roman" w:hAnsi="Times New Roman" w:cs="Times New Roman"/>
          <w:sz w:val="24"/>
          <w:szCs w:val="24"/>
        </w:rPr>
        <w:t>;</w:t>
      </w:r>
      <w:r w:rsidRPr="00BE2528">
        <w:rPr>
          <w:rFonts w:ascii="Times New Roman" w:hAnsi="Times New Roman" w:cs="Times New Roman"/>
          <w:sz w:val="24"/>
          <w:szCs w:val="24"/>
        </w:rPr>
        <w:t xml:space="preserve"> or </w:t>
      </w:r>
    </w:p>
    <w:p w14:paraId="40FEF041" w14:textId="4FBCAC15" w:rsidR="009B01B4" w:rsidRDefault="005F7D72" w:rsidP="009D5A62">
      <w:pPr>
        <w:pStyle w:val="ListParagraph"/>
        <w:numPr>
          <w:ilvl w:val="0"/>
          <w:numId w:val="33"/>
        </w:numPr>
        <w:spacing w:before="120" w:after="120" w:line="240" w:lineRule="auto"/>
        <w:contextualSpacing w:val="0"/>
        <w:rPr>
          <w:rFonts w:ascii="Times New Roman" w:hAnsi="Times New Roman" w:cs="Times New Roman"/>
          <w:sz w:val="24"/>
          <w:szCs w:val="24"/>
        </w:rPr>
      </w:pPr>
      <w:r w:rsidRPr="00BE2528">
        <w:rPr>
          <w:rFonts w:ascii="Times New Roman" w:hAnsi="Times New Roman" w:cs="Times New Roman"/>
          <w:sz w:val="24"/>
          <w:szCs w:val="24"/>
        </w:rPr>
        <w:t xml:space="preserve">the government of the relevant State </w:t>
      </w:r>
      <w:proofErr w:type="gramStart"/>
      <w:r w:rsidRPr="00BE2528">
        <w:rPr>
          <w:rFonts w:ascii="Times New Roman" w:hAnsi="Times New Roman" w:cs="Times New Roman"/>
          <w:sz w:val="24"/>
          <w:szCs w:val="24"/>
        </w:rPr>
        <w:t>made a decision</w:t>
      </w:r>
      <w:proofErr w:type="gramEnd"/>
      <w:r w:rsidRPr="00BE2528">
        <w:rPr>
          <w:rFonts w:ascii="Times New Roman" w:hAnsi="Times New Roman" w:cs="Times New Roman"/>
          <w:sz w:val="24"/>
          <w:szCs w:val="24"/>
        </w:rPr>
        <w:t xml:space="preserve"> to stop timber harvesting in the area (even if the decision has since </w:t>
      </w:r>
      <w:proofErr w:type="gramStart"/>
      <w:r w:rsidRPr="00BE2528">
        <w:rPr>
          <w:rFonts w:ascii="Times New Roman" w:hAnsi="Times New Roman" w:cs="Times New Roman"/>
          <w:sz w:val="24"/>
          <w:szCs w:val="24"/>
        </w:rPr>
        <w:t>been changed</w:t>
      </w:r>
      <w:proofErr w:type="gramEnd"/>
      <w:r w:rsidRPr="00BE2528">
        <w:rPr>
          <w:rFonts w:ascii="Times New Roman" w:hAnsi="Times New Roman" w:cs="Times New Roman"/>
          <w:sz w:val="24"/>
          <w:szCs w:val="24"/>
        </w:rPr>
        <w:t xml:space="preserve"> to remove that prohibition or the decision </w:t>
      </w:r>
      <w:proofErr w:type="gramStart"/>
      <w:r w:rsidRPr="00BE2528">
        <w:rPr>
          <w:rFonts w:ascii="Times New Roman" w:hAnsi="Times New Roman" w:cs="Times New Roman"/>
          <w:sz w:val="24"/>
          <w:szCs w:val="24"/>
        </w:rPr>
        <w:t>was scheduled</w:t>
      </w:r>
      <w:proofErr w:type="gramEnd"/>
      <w:r w:rsidRPr="00BE2528">
        <w:rPr>
          <w:rFonts w:ascii="Times New Roman" w:hAnsi="Times New Roman" w:cs="Times New Roman"/>
          <w:sz w:val="24"/>
          <w:szCs w:val="24"/>
        </w:rPr>
        <w:t xml:space="preserve"> to take effect after the date this </w:t>
      </w:r>
      <w:r w:rsidR="000C432A">
        <w:rPr>
          <w:rFonts w:ascii="Times New Roman" w:hAnsi="Times New Roman" w:cs="Times New Roman"/>
          <w:sz w:val="24"/>
          <w:szCs w:val="24"/>
        </w:rPr>
        <w:t>D</w:t>
      </w:r>
      <w:r w:rsidRPr="00BE2528">
        <w:rPr>
          <w:rFonts w:ascii="Times New Roman" w:hAnsi="Times New Roman" w:cs="Times New Roman"/>
          <w:sz w:val="24"/>
          <w:szCs w:val="24"/>
        </w:rPr>
        <w:t>etermination commences).</w:t>
      </w:r>
      <w:r>
        <w:rPr>
          <w:rFonts w:ascii="Times New Roman" w:hAnsi="Times New Roman" w:cs="Times New Roman"/>
          <w:sz w:val="24"/>
          <w:szCs w:val="24"/>
        </w:rPr>
        <w:t xml:space="preserve"> </w:t>
      </w:r>
    </w:p>
    <w:p w14:paraId="1028C140" w14:textId="04B738CD" w:rsidR="00635784" w:rsidRDefault="00635784" w:rsidP="0063578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requirement in s</w:t>
      </w:r>
      <w:r w:rsidRPr="00DF430D">
        <w:rPr>
          <w:rFonts w:ascii="Times New Roman" w:hAnsi="Times New Roman" w:cs="Times New Roman"/>
          <w:sz w:val="24"/>
          <w:szCs w:val="24"/>
        </w:rPr>
        <w:t>ubsection</w:t>
      </w:r>
      <w:r>
        <w:rPr>
          <w:rFonts w:ascii="Times New Roman" w:hAnsi="Times New Roman" w:cs="Times New Roman"/>
          <w:sz w:val="24"/>
          <w:szCs w:val="24"/>
        </w:rPr>
        <w:t xml:space="preserve"> 11(1) perform</w:t>
      </w:r>
      <w:r w:rsidR="004C5F34">
        <w:rPr>
          <w:rFonts w:ascii="Times New Roman" w:hAnsi="Times New Roman" w:cs="Times New Roman"/>
          <w:sz w:val="24"/>
          <w:szCs w:val="24"/>
        </w:rPr>
        <w:t>s</w:t>
      </w:r>
      <w:r>
        <w:rPr>
          <w:rFonts w:ascii="Times New Roman" w:hAnsi="Times New Roman" w:cs="Times New Roman"/>
          <w:sz w:val="24"/>
          <w:szCs w:val="24"/>
        </w:rPr>
        <w:t xml:space="preserve"> an important integrity function by </w:t>
      </w:r>
      <w:r w:rsidRPr="00A16AB3">
        <w:rPr>
          <w:rFonts w:ascii="Times New Roman" w:hAnsi="Times New Roman" w:cs="Times New Roman"/>
          <w:sz w:val="24"/>
          <w:szCs w:val="24"/>
        </w:rPr>
        <w:t>exclud</w:t>
      </w:r>
      <w:r>
        <w:rPr>
          <w:rFonts w:ascii="Times New Roman" w:hAnsi="Times New Roman" w:cs="Times New Roman"/>
          <w:sz w:val="24"/>
          <w:szCs w:val="24"/>
        </w:rPr>
        <w:t>ing areas where, if they were able to be included in</w:t>
      </w:r>
      <w:r w:rsidRPr="00A16AB3">
        <w:rPr>
          <w:rFonts w:ascii="Times New Roman" w:hAnsi="Times New Roman" w:cs="Times New Roman"/>
          <w:sz w:val="24"/>
          <w:szCs w:val="24"/>
        </w:rPr>
        <w:t xml:space="preserve"> projects</w:t>
      </w:r>
      <w:r>
        <w:rPr>
          <w:rFonts w:ascii="Times New Roman" w:hAnsi="Times New Roman" w:cs="Times New Roman"/>
          <w:sz w:val="24"/>
          <w:szCs w:val="24"/>
        </w:rPr>
        <w:t>, the project activities</w:t>
      </w:r>
      <w:r w:rsidRPr="00A16AB3">
        <w:rPr>
          <w:rFonts w:ascii="Times New Roman" w:hAnsi="Times New Roman" w:cs="Times New Roman"/>
          <w:sz w:val="24"/>
          <w:szCs w:val="24"/>
        </w:rPr>
        <w:t xml:space="preserve"> </w:t>
      </w:r>
      <w:r>
        <w:rPr>
          <w:rFonts w:ascii="Times New Roman" w:hAnsi="Times New Roman" w:cs="Times New Roman"/>
          <w:sz w:val="24"/>
          <w:szCs w:val="24"/>
        </w:rPr>
        <w:t xml:space="preserve">that generate the </w:t>
      </w:r>
      <w:r>
        <w:rPr>
          <w:rFonts w:ascii="Times New Roman" w:hAnsi="Times New Roman" w:cs="Times New Roman"/>
          <w:sz w:val="24"/>
          <w:szCs w:val="24"/>
        </w:rPr>
        <w:lastRenderedPageBreak/>
        <w:t xml:space="preserve">credited abatement (stopping or reducing harvesting) </w:t>
      </w:r>
      <w:r w:rsidRPr="00A16AB3">
        <w:rPr>
          <w:rFonts w:ascii="Times New Roman" w:hAnsi="Times New Roman" w:cs="Times New Roman"/>
          <w:sz w:val="24"/>
          <w:szCs w:val="24"/>
        </w:rPr>
        <w:t>are likely to have happened anyway because of an existing or previous regulatory requirement</w:t>
      </w:r>
      <w:r>
        <w:rPr>
          <w:rFonts w:ascii="Times New Roman" w:hAnsi="Times New Roman" w:cs="Times New Roman"/>
          <w:sz w:val="24"/>
          <w:szCs w:val="24"/>
        </w:rPr>
        <w:t>s</w:t>
      </w:r>
      <w:r w:rsidRPr="00A16AB3">
        <w:rPr>
          <w:rFonts w:ascii="Times New Roman" w:hAnsi="Times New Roman" w:cs="Times New Roman"/>
          <w:sz w:val="24"/>
          <w:szCs w:val="24"/>
        </w:rPr>
        <w:t>, or a previous decision of a government to stop harvesting in the project area.</w:t>
      </w:r>
    </w:p>
    <w:p w14:paraId="3DF544AC" w14:textId="3FDEA4A0" w:rsidR="009B01B4" w:rsidRDefault="00DF430D" w:rsidP="00DB00CB">
      <w:pPr>
        <w:spacing w:before="120" w:after="120" w:line="240" w:lineRule="auto"/>
        <w:rPr>
          <w:rFonts w:ascii="Times New Roman" w:hAnsi="Times New Roman" w:cs="Times New Roman"/>
          <w:sz w:val="24"/>
          <w:szCs w:val="24"/>
        </w:rPr>
      </w:pPr>
      <w:r w:rsidRPr="00DF430D">
        <w:rPr>
          <w:rFonts w:ascii="Times New Roman" w:hAnsi="Times New Roman" w:cs="Times New Roman"/>
          <w:sz w:val="24"/>
          <w:szCs w:val="24"/>
        </w:rPr>
        <w:t>Subsection</w:t>
      </w:r>
      <w:r w:rsidR="009B01B4">
        <w:rPr>
          <w:rFonts w:ascii="Times New Roman" w:hAnsi="Times New Roman" w:cs="Times New Roman"/>
          <w:sz w:val="24"/>
          <w:szCs w:val="24"/>
        </w:rPr>
        <w:t xml:space="preserve"> 11(2) provides that the</w:t>
      </w:r>
      <w:r w:rsidR="009B01B4" w:rsidRPr="00BA4B7D">
        <w:rPr>
          <w:rFonts w:ascii="Times New Roman" w:hAnsi="Times New Roman" w:cs="Times New Roman"/>
          <w:sz w:val="24"/>
          <w:szCs w:val="24"/>
        </w:rPr>
        <w:t xml:space="preserve"> eligibility requirement </w:t>
      </w:r>
      <w:r w:rsidR="009B01B4">
        <w:rPr>
          <w:rFonts w:ascii="Times New Roman" w:hAnsi="Times New Roman" w:cs="Times New Roman"/>
          <w:sz w:val="24"/>
          <w:szCs w:val="24"/>
        </w:rPr>
        <w:t xml:space="preserve">in </w:t>
      </w:r>
      <w:r>
        <w:rPr>
          <w:rFonts w:ascii="Times New Roman" w:hAnsi="Times New Roman" w:cs="Times New Roman"/>
          <w:sz w:val="24"/>
          <w:szCs w:val="24"/>
        </w:rPr>
        <w:t>s</w:t>
      </w:r>
      <w:r w:rsidRPr="00DF430D">
        <w:rPr>
          <w:rFonts w:ascii="Times New Roman" w:hAnsi="Times New Roman" w:cs="Times New Roman"/>
          <w:sz w:val="24"/>
          <w:szCs w:val="24"/>
        </w:rPr>
        <w:t xml:space="preserve">ubsection </w:t>
      </w:r>
      <w:r w:rsidR="009B01B4">
        <w:rPr>
          <w:rFonts w:ascii="Times New Roman" w:hAnsi="Times New Roman" w:cs="Times New Roman"/>
          <w:sz w:val="24"/>
          <w:szCs w:val="24"/>
        </w:rPr>
        <w:t xml:space="preserve">11(1) </w:t>
      </w:r>
      <w:r w:rsidR="009B01B4" w:rsidRPr="00BA4B7D">
        <w:rPr>
          <w:rFonts w:ascii="Times New Roman" w:hAnsi="Times New Roman" w:cs="Times New Roman"/>
          <w:sz w:val="24"/>
          <w:szCs w:val="24"/>
        </w:rPr>
        <w:t xml:space="preserve">does not apply if the </w:t>
      </w:r>
      <w:r w:rsidR="009B01B4">
        <w:rPr>
          <w:rFonts w:ascii="Times New Roman" w:hAnsi="Times New Roman" w:cs="Times New Roman"/>
          <w:sz w:val="24"/>
          <w:szCs w:val="24"/>
        </w:rPr>
        <w:t xml:space="preserve">relevant </w:t>
      </w:r>
      <w:r w:rsidR="009B01B4" w:rsidRPr="00BA4B7D">
        <w:rPr>
          <w:rFonts w:ascii="Times New Roman" w:hAnsi="Times New Roman" w:cs="Times New Roman"/>
          <w:sz w:val="24"/>
          <w:szCs w:val="24"/>
        </w:rPr>
        <w:t>law stopping timber harvesting</w:t>
      </w:r>
      <w:r w:rsidR="009B01B4">
        <w:rPr>
          <w:rFonts w:ascii="Times New Roman" w:hAnsi="Times New Roman" w:cs="Times New Roman"/>
          <w:sz w:val="24"/>
          <w:szCs w:val="24"/>
        </w:rPr>
        <w:t>, or the decision to stop timber harvesting,</w:t>
      </w:r>
      <w:r w:rsidR="009B01B4" w:rsidRPr="00BA4B7D">
        <w:rPr>
          <w:rFonts w:ascii="Times New Roman" w:hAnsi="Times New Roman" w:cs="Times New Roman"/>
          <w:sz w:val="24"/>
          <w:szCs w:val="24"/>
        </w:rPr>
        <w:t xml:space="preserve"> was an interim or temporary measure to enable an assessment of the suitability of all or any part of the area for inclusion in an eligible offsets project or conservation reserve</w:t>
      </w:r>
      <w:r w:rsidR="009B01B4">
        <w:rPr>
          <w:rFonts w:ascii="Times New Roman" w:hAnsi="Times New Roman" w:cs="Times New Roman"/>
          <w:sz w:val="24"/>
          <w:szCs w:val="24"/>
        </w:rPr>
        <w:t xml:space="preserve"> or it was </w:t>
      </w:r>
      <w:r w:rsidR="009B01B4" w:rsidRPr="002B2BE4">
        <w:rPr>
          <w:rFonts w:ascii="Times New Roman" w:hAnsi="Times New Roman" w:cs="Times New Roman"/>
          <w:sz w:val="24"/>
          <w:szCs w:val="24"/>
        </w:rPr>
        <w:t>imposed on condition that the area is included in an eligible offsets project</w:t>
      </w:r>
      <w:r w:rsidR="009B01B4" w:rsidRPr="00BA4B7D">
        <w:rPr>
          <w:rFonts w:ascii="Times New Roman" w:hAnsi="Times New Roman" w:cs="Times New Roman"/>
          <w:sz w:val="24"/>
          <w:szCs w:val="24"/>
        </w:rPr>
        <w:t>.</w:t>
      </w:r>
      <w:r w:rsidR="009B01B4">
        <w:rPr>
          <w:rFonts w:ascii="Times New Roman" w:hAnsi="Times New Roman" w:cs="Times New Roman"/>
          <w:sz w:val="24"/>
          <w:szCs w:val="24"/>
        </w:rPr>
        <w:t xml:space="preserve"> </w:t>
      </w:r>
    </w:p>
    <w:p w14:paraId="4B2589C8" w14:textId="14EF75A8" w:rsidR="00E70D7B" w:rsidRDefault="00DF430D" w:rsidP="00DB00CB">
      <w:pPr>
        <w:spacing w:before="120" w:after="120" w:line="240" w:lineRule="auto"/>
        <w:rPr>
          <w:rFonts w:ascii="Times New Roman" w:hAnsi="Times New Roman" w:cs="Times New Roman"/>
          <w:sz w:val="24"/>
          <w:szCs w:val="24"/>
        </w:rPr>
      </w:pPr>
      <w:r w:rsidRPr="00DF430D">
        <w:rPr>
          <w:rFonts w:ascii="Times New Roman" w:hAnsi="Times New Roman" w:cs="Times New Roman"/>
          <w:sz w:val="24"/>
          <w:szCs w:val="24"/>
        </w:rPr>
        <w:t xml:space="preserve">Subsection </w:t>
      </w:r>
      <w:r w:rsidR="00CB575C">
        <w:rPr>
          <w:rFonts w:ascii="Times New Roman" w:hAnsi="Times New Roman" w:cs="Times New Roman"/>
          <w:sz w:val="24"/>
          <w:szCs w:val="24"/>
        </w:rPr>
        <w:t xml:space="preserve">11(3) </w:t>
      </w:r>
      <w:r w:rsidR="002F093E">
        <w:rPr>
          <w:rFonts w:ascii="Times New Roman" w:hAnsi="Times New Roman" w:cs="Times New Roman"/>
          <w:sz w:val="24"/>
          <w:szCs w:val="24"/>
        </w:rPr>
        <w:t>provides that</w:t>
      </w:r>
      <w:r w:rsidR="00D22AA2">
        <w:rPr>
          <w:rFonts w:ascii="Times New Roman" w:hAnsi="Times New Roman" w:cs="Times New Roman"/>
          <w:sz w:val="24"/>
          <w:szCs w:val="24"/>
        </w:rPr>
        <w:t xml:space="preserve">, for a project to be eligible </w:t>
      </w:r>
      <w:r w:rsidR="00E6145C">
        <w:rPr>
          <w:rFonts w:ascii="Times New Roman" w:hAnsi="Times New Roman" w:cs="Times New Roman"/>
          <w:sz w:val="24"/>
          <w:szCs w:val="24"/>
        </w:rPr>
        <w:t xml:space="preserve">for registration </w:t>
      </w:r>
      <w:r w:rsidR="00321D84">
        <w:rPr>
          <w:rFonts w:ascii="Times New Roman" w:hAnsi="Times New Roman" w:cs="Times New Roman"/>
          <w:sz w:val="24"/>
          <w:szCs w:val="24"/>
        </w:rPr>
        <w:t>under the Determination</w:t>
      </w:r>
      <w:r w:rsidR="00D22AA2">
        <w:rPr>
          <w:rFonts w:ascii="Times New Roman" w:hAnsi="Times New Roman" w:cs="Times New Roman"/>
          <w:sz w:val="24"/>
          <w:szCs w:val="24"/>
        </w:rPr>
        <w:t xml:space="preserve">, </w:t>
      </w:r>
      <w:r w:rsidR="00D22AA2" w:rsidRPr="00D22AA2">
        <w:rPr>
          <w:rFonts w:ascii="Times New Roman" w:hAnsi="Times New Roman" w:cs="Times New Roman"/>
          <w:sz w:val="24"/>
          <w:szCs w:val="24"/>
        </w:rPr>
        <w:t xml:space="preserve">the stopping or reduction of timber harvesting that is the basis of the </w:t>
      </w:r>
      <w:r w:rsidR="00D22AA2">
        <w:rPr>
          <w:rFonts w:ascii="Times New Roman" w:hAnsi="Times New Roman" w:cs="Times New Roman"/>
          <w:sz w:val="24"/>
          <w:szCs w:val="24"/>
        </w:rPr>
        <w:t xml:space="preserve">project </w:t>
      </w:r>
      <w:r w:rsidR="00D22AA2" w:rsidRPr="00D22AA2">
        <w:rPr>
          <w:rFonts w:ascii="Times New Roman" w:hAnsi="Times New Roman" w:cs="Times New Roman"/>
          <w:sz w:val="24"/>
          <w:szCs w:val="24"/>
        </w:rPr>
        <w:t>declaration</w:t>
      </w:r>
      <w:r w:rsidR="00D22AA2">
        <w:rPr>
          <w:rFonts w:ascii="Times New Roman" w:hAnsi="Times New Roman" w:cs="Times New Roman"/>
          <w:sz w:val="24"/>
          <w:szCs w:val="24"/>
        </w:rPr>
        <w:t xml:space="preserve"> </w:t>
      </w:r>
      <w:r w:rsidR="00F72A13" w:rsidRPr="00F72A13">
        <w:rPr>
          <w:rFonts w:ascii="Times New Roman" w:hAnsi="Times New Roman" w:cs="Times New Roman"/>
          <w:sz w:val="24"/>
          <w:szCs w:val="24"/>
        </w:rPr>
        <w:t>must not be required under a law of the Commonwealth or a State</w:t>
      </w:r>
      <w:r w:rsidR="00E70D7B">
        <w:rPr>
          <w:rFonts w:ascii="Times New Roman" w:hAnsi="Times New Roman" w:cs="Times New Roman"/>
          <w:sz w:val="24"/>
          <w:szCs w:val="24"/>
        </w:rPr>
        <w:t>:</w:t>
      </w:r>
    </w:p>
    <w:p w14:paraId="5251088B" w14:textId="77777777" w:rsidR="00691F54" w:rsidRPr="00691F54" w:rsidRDefault="00F72A13" w:rsidP="009D5A62">
      <w:pPr>
        <w:pStyle w:val="ListParagraph"/>
        <w:numPr>
          <w:ilvl w:val="0"/>
          <w:numId w:val="34"/>
        </w:numPr>
        <w:spacing w:before="120" w:after="120" w:line="240" w:lineRule="auto"/>
        <w:ind w:left="714" w:hanging="357"/>
        <w:contextualSpacing w:val="0"/>
        <w:rPr>
          <w:rFonts w:ascii="Times New Roman" w:hAnsi="Times New Roman" w:cs="Times New Roman"/>
          <w:sz w:val="24"/>
          <w:szCs w:val="24"/>
        </w:rPr>
      </w:pPr>
      <w:r w:rsidRPr="00691F54">
        <w:rPr>
          <w:rFonts w:ascii="Times New Roman" w:hAnsi="Times New Roman" w:cs="Times New Roman"/>
          <w:sz w:val="24"/>
          <w:szCs w:val="24"/>
        </w:rPr>
        <w:t>that is in force at the date of the declaration</w:t>
      </w:r>
      <w:r w:rsidR="00691F54" w:rsidRPr="00691F54">
        <w:rPr>
          <w:rFonts w:ascii="Times New Roman" w:hAnsi="Times New Roman" w:cs="Times New Roman"/>
          <w:sz w:val="24"/>
          <w:szCs w:val="24"/>
        </w:rPr>
        <w:t>;</w:t>
      </w:r>
      <w:r w:rsidRPr="00691F54">
        <w:rPr>
          <w:rFonts w:ascii="Times New Roman" w:hAnsi="Times New Roman" w:cs="Times New Roman"/>
          <w:sz w:val="24"/>
          <w:szCs w:val="24"/>
        </w:rPr>
        <w:t xml:space="preserve"> or </w:t>
      </w:r>
    </w:p>
    <w:p w14:paraId="0D212C09" w14:textId="7B49E55E" w:rsidR="005B2E68" w:rsidRPr="005B2E68" w:rsidRDefault="00F72A13" w:rsidP="009D5A62">
      <w:pPr>
        <w:pStyle w:val="ListParagraph"/>
        <w:numPr>
          <w:ilvl w:val="0"/>
          <w:numId w:val="34"/>
        </w:numPr>
        <w:spacing w:before="120" w:after="120" w:line="240" w:lineRule="auto"/>
        <w:ind w:left="714" w:hanging="357"/>
        <w:contextualSpacing w:val="0"/>
        <w:rPr>
          <w:rFonts w:ascii="Times New Roman" w:hAnsi="Times New Roman" w:cs="Times New Roman"/>
          <w:sz w:val="24"/>
          <w:szCs w:val="24"/>
        </w:rPr>
      </w:pPr>
      <w:r w:rsidRPr="00691F54">
        <w:rPr>
          <w:rFonts w:ascii="Times New Roman" w:hAnsi="Times New Roman" w:cs="Times New Roman"/>
          <w:sz w:val="24"/>
          <w:szCs w:val="24"/>
        </w:rPr>
        <w:t xml:space="preserve">that was in force at any time between 1 January 2000 and the date </w:t>
      </w:r>
      <w:r w:rsidR="008777C6">
        <w:rPr>
          <w:rFonts w:ascii="Times New Roman" w:hAnsi="Times New Roman" w:cs="Times New Roman"/>
          <w:sz w:val="24"/>
          <w:szCs w:val="24"/>
        </w:rPr>
        <w:t xml:space="preserve">of </w:t>
      </w:r>
      <w:r w:rsidR="007A264E">
        <w:rPr>
          <w:rFonts w:ascii="Times New Roman" w:hAnsi="Times New Roman" w:cs="Times New Roman"/>
          <w:sz w:val="24"/>
          <w:szCs w:val="24"/>
        </w:rPr>
        <w:t xml:space="preserve">project </w:t>
      </w:r>
      <w:r w:rsidR="008777C6">
        <w:rPr>
          <w:rFonts w:ascii="Times New Roman" w:hAnsi="Times New Roman" w:cs="Times New Roman"/>
          <w:sz w:val="24"/>
          <w:szCs w:val="24"/>
        </w:rPr>
        <w:t>registration</w:t>
      </w:r>
      <w:r w:rsidRPr="00691F54">
        <w:rPr>
          <w:rFonts w:ascii="Times New Roman" w:hAnsi="Times New Roman" w:cs="Times New Roman"/>
          <w:sz w:val="24"/>
          <w:szCs w:val="24"/>
        </w:rPr>
        <w:t xml:space="preserve"> (even if was not in force at the date of </w:t>
      </w:r>
      <w:r w:rsidR="008777C6">
        <w:rPr>
          <w:rFonts w:ascii="Times New Roman" w:hAnsi="Times New Roman" w:cs="Times New Roman"/>
          <w:sz w:val="24"/>
          <w:szCs w:val="24"/>
        </w:rPr>
        <w:t>registration</w:t>
      </w:r>
      <w:r w:rsidRPr="00691F54">
        <w:rPr>
          <w:rFonts w:ascii="Times New Roman" w:hAnsi="Times New Roman" w:cs="Times New Roman"/>
          <w:sz w:val="24"/>
          <w:szCs w:val="24"/>
        </w:rPr>
        <w:t>).</w:t>
      </w:r>
    </w:p>
    <w:p w14:paraId="1FCA257A" w14:textId="2AB32278" w:rsidR="005B2E68" w:rsidRDefault="005B2E68" w:rsidP="00DB00CB">
      <w:pPr>
        <w:spacing w:before="120" w:after="120" w:line="240" w:lineRule="auto"/>
        <w:rPr>
          <w:rFonts w:ascii="Times New Roman" w:hAnsi="Times New Roman" w:cs="Times New Roman"/>
          <w:sz w:val="24"/>
          <w:szCs w:val="24"/>
        </w:rPr>
      </w:pPr>
      <w:r w:rsidRPr="00F72A13">
        <w:rPr>
          <w:rFonts w:ascii="Times New Roman" w:hAnsi="Times New Roman" w:cs="Times New Roman"/>
          <w:sz w:val="24"/>
          <w:szCs w:val="24"/>
        </w:rPr>
        <w:t>Th</w:t>
      </w:r>
      <w:r>
        <w:rPr>
          <w:rFonts w:ascii="Times New Roman" w:hAnsi="Times New Roman" w:cs="Times New Roman"/>
          <w:sz w:val="24"/>
          <w:szCs w:val="24"/>
        </w:rPr>
        <w:t>e</w:t>
      </w:r>
      <w:r w:rsidRPr="00F72A13">
        <w:rPr>
          <w:rFonts w:ascii="Times New Roman" w:hAnsi="Times New Roman" w:cs="Times New Roman"/>
          <w:sz w:val="24"/>
          <w:szCs w:val="24"/>
        </w:rPr>
        <w:t xml:space="preserve"> </w:t>
      </w:r>
      <w:r>
        <w:rPr>
          <w:rFonts w:ascii="Times New Roman" w:hAnsi="Times New Roman" w:cs="Times New Roman"/>
          <w:sz w:val="24"/>
          <w:szCs w:val="24"/>
        </w:rPr>
        <w:t>requirement in s</w:t>
      </w:r>
      <w:r w:rsidRPr="00DF430D">
        <w:rPr>
          <w:rFonts w:ascii="Times New Roman" w:hAnsi="Times New Roman" w:cs="Times New Roman"/>
          <w:sz w:val="24"/>
          <w:szCs w:val="24"/>
        </w:rPr>
        <w:t>ubsection</w:t>
      </w:r>
      <w:r>
        <w:rPr>
          <w:rFonts w:ascii="Times New Roman" w:hAnsi="Times New Roman" w:cs="Times New Roman"/>
          <w:sz w:val="24"/>
          <w:szCs w:val="24"/>
        </w:rPr>
        <w:t xml:space="preserve"> 11(3) perform</w:t>
      </w:r>
      <w:r w:rsidR="004C5F34">
        <w:rPr>
          <w:rFonts w:ascii="Times New Roman" w:hAnsi="Times New Roman" w:cs="Times New Roman"/>
          <w:sz w:val="24"/>
          <w:szCs w:val="24"/>
        </w:rPr>
        <w:t>s</w:t>
      </w:r>
      <w:r>
        <w:rPr>
          <w:rFonts w:ascii="Times New Roman" w:hAnsi="Times New Roman" w:cs="Times New Roman"/>
          <w:sz w:val="24"/>
          <w:szCs w:val="24"/>
        </w:rPr>
        <w:t xml:space="preserve"> an important integrity function by </w:t>
      </w:r>
      <w:r w:rsidRPr="00F72A13">
        <w:rPr>
          <w:rFonts w:ascii="Times New Roman" w:hAnsi="Times New Roman" w:cs="Times New Roman"/>
          <w:sz w:val="24"/>
          <w:szCs w:val="24"/>
        </w:rPr>
        <w:t>exclud</w:t>
      </w:r>
      <w:r>
        <w:rPr>
          <w:rFonts w:ascii="Times New Roman" w:hAnsi="Times New Roman" w:cs="Times New Roman"/>
          <w:sz w:val="24"/>
          <w:szCs w:val="24"/>
        </w:rPr>
        <w:t>ing</w:t>
      </w:r>
      <w:r w:rsidRPr="00F72A13">
        <w:rPr>
          <w:rFonts w:ascii="Times New Roman" w:hAnsi="Times New Roman" w:cs="Times New Roman"/>
          <w:sz w:val="24"/>
          <w:szCs w:val="24"/>
        </w:rPr>
        <w:t xml:space="preserve"> projects that are likely to have happened anyway because of an existing or previous regulatory requirement. It also reduces the potential for gaming, whereby a State might change its laws </w:t>
      </w:r>
      <w:proofErr w:type="gramStart"/>
      <w:r w:rsidRPr="00F72A13">
        <w:rPr>
          <w:rFonts w:ascii="Times New Roman" w:hAnsi="Times New Roman" w:cs="Times New Roman"/>
          <w:sz w:val="24"/>
          <w:szCs w:val="24"/>
        </w:rPr>
        <w:t>in an attempt to</w:t>
      </w:r>
      <w:proofErr w:type="gramEnd"/>
      <w:r w:rsidRPr="00F72A13">
        <w:rPr>
          <w:rFonts w:ascii="Times New Roman" w:hAnsi="Times New Roman" w:cs="Times New Roman"/>
          <w:sz w:val="24"/>
          <w:szCs w:val="24"/>
        </w:rPr>
        <w:t xml:space="preserve"> register a project. </w:t>
      </w:r>
    </w:p>
    <w:p w14:paraId="33A11FEB" w14:textId="2D9748A1" w:rsidR="001355A2" w:rsidRDefault="00DF430D" w:rsidP="00DB00CB">
      <w:pPr>
        <w:spacing w:before="120" w:after="120" w:line="240" w:lineRule="auto"/>
        <w:rPr>
          <w:rFonts w:ascii="Times New Roman" w:hAnsi="Times New Roman" w:cs="Times New Roman"/>
          <w:sz w:val="24"/>
          <w:szCs w:val="24"/>
        </w:rPr>
      </w:pPr>
      <w:r w:rsidRPr="00DF430D">
        <w:rPr>
          <w:rFonts w:ascii="Times New Roman" w:hAnsi="Times New Roman" w:cs="Times New Roman"/>
          <w:sz w:val="24"/>
          <w:szCs w:val="24"/>
        </w:rPr>
        <w:t>Subsection</w:t>
      </w:r>
      <w:r w:rsidR="001355A2">
        <w:rPr>
          <w:rFonts w:ascii="Times New Roman" w:hAnsi="Times New Roman" w:cs="Times New Roman"/>
          <w:sz w:val="24"/>
          <w:szCs w:val="24"/>
        </w:rPr>
        <w:t xml:space="preserve"> </w:t>
      </w:r>
      <w:r w:rsidR="00173F02">
        <w:rPr>
          <w:rFonts w:ascii="Times New Roman" w:hAnsi="Times New Roman" w:cs="Times New Roman"/>
          <w:sz w:val="24"/>
          <w:szCs w:val="24"/>
        </w:rPr>
        <w:t xml:space="preserve">11(4) provides that the eligibility requirement in </w:t>
      </w:r>
      <w:r>
        <w:rPr>
          <w:rFonts w:ascii="Times New Roman" w:hAnsi="Times New Roman" w:cs="Times New Roman"/>
          <w:sz w:val="24"/>
          <w:szCs w:val="24"/>
        </w:rPr>
        <w:t>s</w:t>
      </w:r>
      <w:r w:rsidRPr="00DF430D">
        <w:rPr>
          <w:rFonts w:ascii="Times New Roman" w:hAnsi="Times New Roman" w:cs="Times New Roman"/>
          <w:sz w:val="24"/>
          <w:szCs w:val="24"/>
        </w:rPr>
        <w:t>ubsection</w:t>
      </w:r>
      <w:r w:rsidR="00173F02">
        <w:rPr>
          <w:rFonts w:ascii="Times New Roman" w:hAnsi="Times New Roman" w:cs="Times New Roman"/>
          <w:sz w:val="24"/>
          <w:szCs w:val="24"/>
        </w:rPr>
        <w:t xml:space="preserve"> 11(</w:t>
      </w:r>
      <w:r w:rsidR="00C444E4">
        <w:rPr>
          <w:rFonts w:ascii="Times New Roman" w:hAnsi="Times New Roman" w:cs="Times New Roman"/>
          <w:sz w:val="24"/>
          <w:szCs w:val="24"/>
        </w:rPr>
        <w:t>3</w:t>
      </w:r>
      <w:r w:rsidR="00173F02">
        <w:rPr>
          <w:rFonts w:ascii="Times New Roman" w:hAnsi="Times New Roman" w:cs="Times New Roman"/>
          <w:sz w:val="24"/>
          <w:szCs w:val="24"/>
        </w:rPr>
        <w:t xml:space="preserve">) </w:t>
      </w:r>
      <w:r w:rsidR="00173F02" w:rsidRPr="00173F02">
        <w:rPr>
          <w:rFonts w:ascii="Times New Roman" w:hAnsi="Times New Roman" w:cs="Times New Roman"/>
          <w:sz w:val="24"/>
          <w:szCs w:val="24"/>
        </w:rPr>
        <w:t xml:space="preserve">does not apply if the </w:t>
      </w:r>
      <w:r w:rsidR="00173F02">
        <w:rPr>
          <w:rFonts w:ascii="Times New Roman" w:hAnsi="Times New Roman" w:cs="Times New Roman"/>
          <w:sz w:val="24"/>
          <w:szCs w:val="24"/>
        </w:rPr>
        <w:t xml:space="preserve">relevant </w:t>
      </w:r>
      <w:r w:rsidR="00173F02" w:rsidRPr="00173F02">
        <w:rPr>
          <w:rFonts w:ascii="Times New Roman" w:hAnsi="Times New Roman" w:cs="Times New Roman"/>
          <w:sz w:val="24"/>
          <w:szCs w:val="24"/>
        </w:rPr>
        <w:t>law requiring the stopping or reduction of timber harvesting in the area was an interim or temporary measure to enable an assessment of the suitability of all or any part of the area for inclusion in an eligible offsets project or conservation reserve and the law has since been repealed or amended to remove the requirement to stop or reduce timber harvesting.</w:t>
      </w:r>
      <w:r w:rsidR="00702019">
        <w:rPr>
          <w:rFonts w:ascii="Times New Roman" w:hAnsi="Times New Roman" w:cs="Times New Roman"/>
          <w:sz w:val="24"/>
          <w:szCs w:val="24"/>
        </w:rPr>
        <w:t xml:space="preserve"> This is intended to enable relevant State Governments </w:t>
      </w:r>
      <w:r w:rsidR="004903CF">
        <w:rPr>
          <w:rFonts w:ascii="Times New Roman" w:hAnsi="Times New Roman" w:cs="Times New Roman"/>
          <w:sz w:val="24"/>
          <w:szCs w:val="24"/>
        </w:rPr>
        <w:t xml:space="preserve">to prevent harvesting while </w:t>
      </w:r>
      <w:r w:rsidR="00E9206B">
        <w:rPr>
          <w:rFonts w:ascii="Times New Roman" w:hAnsi="Times New Roman" w:cs="Times New Roman"/>
          <w:sz w:val="24"/>
          <w:szCs w:val="24"/>
        </w:rPr>
        <w:t xml:space="preserve">public native forest </w:t>
      </w:r>
      <w:r w:rsidR="004903CF">
        <w:rPr>
          <w:rFonts w:ascii="Times New Roman" w:hAnsi="Times New Roman" w:cs="Times New Roman"/>
          <w:sz w:val="24"/>
          <w:szCs w:val="24"/>
        </w:rPr>
        <w:t xml:space="preserve">areas are assessed for suitability for inclusion in an INFM project or conservation reserve </w:t>
      </w:r>
      <w:r w:rsidR="00E9206B">
        <w:rPr>
          <w:rFonts w:ascii="Times New Roman" w:hAnsi="Times New Roman" w:cs="Times New Roman"/>
          <w:sz w:val="24"/>
          <w:szCs w:val="24"/>
        </w:rPr>
        <w:t>without jeopardising their eligibility under the Determination.</w:t>
      </w:r>
      <w:r w:rsidR="004903CF">
        <w:rPr>
          <w:rFonts w:ascii="Times New Roman" w:hAnsi="Times New Roman" w:cs="Times New Roman"/>
          <w:sz w:val="24"/>
          <w:szCs w:val="24"/>
        </w:rPr>
        <w:t xml:space="preserve"> </w:t>
      </w:r>
    </w:p>
    <w:p w14:paraId="17A9C3D4" w14:textId="11B80474" w:rsidR="00F72A13" w:rsidRPr="00F72A13" w:rsidRDefault="00BF75DE" w:rsidP="00DB00C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By virtue of </w:t>
      </w:r>
      <w:r w:rsidR="00DF430D">
        <w:rPr>
          <w:rFonts w:ascii="Times New Roman" w:hAnsi="Times New Roman" w:cs="Times New Roman"/>
          <w:sz w:val="24"/>
          <w:szCs w:val="24"/>
        </w:rPr>
        <w:t>s</w:t>
      </w:r>
      <w:r w:rsidR="00DF430D" w:rsidRPr="00DF430D">
        <w:rPr>
          <w:rFonts w:ascii="Times New Roman" w:hAnsi="Times New Roman" w:cs="Times New Roman"/>
          <w:sz w:val="24"/>
          <w:szCs w:val="24"/>
        </w:rPr>
        <w:t xml:space="preserve">ubsection </w:t>
      </w:r>
      <w:r>
        <w:rPr>
          <w:rFonts w:ascii="Times New Roman" w:hAnsi="Times New Roman" w:cs="Times New Roman"/>
          <w:sz w:val="24"/>
          <w:szCs w:val="24"/>
        </w:rPr>
        <w:t>11(5), t</w:t>
      </w:r>
      <w:r w:rsidR="00F72A13" w:rsidRPr="00F72A13">
        <w:rPr>
          <w:rFonts w:ascii="Times New Roman" w:hAnsi="Times New Roman" w:cs="Times New Roman"/>
          <w:sz w:val="24"/>
          <w:szCs w:val="24"/>
        </w:rPr>
        <w:t>he</w:t>
      </w:r>
      <w:r w:rsidR="00E43863">
        <w:rPr>
          <w:rFonts w:ascii="Times New Roman" w:hAnsi="Times New Roman" w:cs="Times New Roman"/>
          <w:sz w:val="24"/>
          <w:szCs w:val="24"/>
        </w:rPr>
        <w:t xml:space="preserve"> eligibility</w:t>
      </w:r>
      <w:r w:rsidR="00F72A13" w:rsidRPr="00F72A13">
        <w:rPr>
          <w:rFonts w:ascii="Times New Roman" w:hAnsi="Times New Roman" w:cs="Times New Roman"/>
          <w:sz w:val="24"/>
          <w:szCs w:val="24"/>
        </w:rPr>
        <w:t xml:space="preserve"> </w:t>
      </w:r>
      <w:r w:rsidR="000809D3">
        <w:rPr>
          <w:rFonts w:ascii="Times New Roman" w:hAnsi="Times New Roman" w:cs="Times New Roman"/>
          <w:sz w:val="24"/>
          <w:szCs w:val="24"/>
        </w:rPr>
        <w:t>requirement</w:t>
      </w:r>
      <w:r w:rsidR="00E43863">
        <w:rPr>
          <w:rFonts w:ascii="Times New Roman" w:hAnsi="Times New Roman" w:cs="Times New Roman"/>
          <w:sz w:val="24"/>
          <w:szCs w:val="24"/>
        </w:rPr>
        <w:t>s</w:t>
      </w:r>
      <w:r w:rsidR="000809D3">
        <w:rPr>
          <w:rFonts w:ascii="Times New Roman" w:hAnsi="Times New Roman" w:cs="Times New Roman"/>
          <w:sz w:val="24"/>
          <w:szCs w:val="24"/>
        </w:rPr>
        <w:t xml:space="preserve"> </w:t>
      </w:r>
      <w:r w:rsidR="00E43863">
        <w:rPr>
          <w:rFonts w:ascii="Times New Roman" w:hAnsi="Times New Roman" w:cs="Times New Roman"/>
          <w:sz w:val="24"/>
          <w:szCs w:val="24"/>
        </w:rPr>
        <w:t>in the section</w:t>
      </w:r>
      <w:r w:rsidR="000809D3">
        <w:rPr>
          <w:rFonts w:ascii="Times New Roman" w:hAnsi="Times New Roman" w:cs="Times New Roman"/>
          <w:sz w:val="24"/>
          <w:szCs w:val="24"/>
        </w:rPr>
        <w:t xml:space="preserve"> </w:t>
      </w:r>
      <w:r w:rsidR="00F72A13" w:rsidRPr="00F72A13">
        <w:rPr>
          <w:rFonts w:ascii="Times New Roman" w:hAnsi="Times New Roman" w:cs="Times New Roman"/>
          <w:sz w:val="24"/>
          <w:szCs w:val="24"/>
        </w:rPr>
        <w:t>operate in lieu of the regulatory additionality requirement in s</w:t>
      </w:r>
      <w:r w:rsidR="00A1641F">
        <w:rPr>
          <w:rFonts w:ascii="Times New Roman" w:hAnsi="Times New Roman" w:cs="Times New Roman"/>
          <w:sz w:val="24"/>
          <w:szCs w:val="24"/>
        </w:rPr>
        <w:t>ub</w:t>
      </w:r>
      <w:r w:rsidR="007A264E">
        <w:rPr>
          <w:rFonts w:ascii="Times New Roman" w:hAnsi="Times New Roman" w:cs="Times New Roman"/>
          <w:sz w:val="24"/>
          <w:szCs w:val="24"/>
        </w:rPr>
        <w:t>s</w:t>
      </w:r>
      <w:r w:rsidR="0073025E">
        <w:rPr>
          <w:rFonts w:ascii="Times New Roman" w:hAnsi="Times New Roman" w:cs="Times New Roman"/>
          <w:sz w:val="24"/>
          <w:szCs w:val="24"/>
        </w:rPr>
        <w:t>ection</w:t>
      </w:r>
      <w:r w:rsidR="00F72A13" w:rsidRPr="00F72A13">
        <w:rPr>
          <w:rFonts w:ascii="Times New Roman" w:hAnsi="Times New Roman" w:cs="Times New Roman"/>
          <w:sz w:val="24"/>
          <w:szCs w:val="24"/>
        </w:rPr>
        <w:t xml:space="preserve"> 27(4</w:t>
      </w:r>
      <w:proofErr w:type="gramStart"/>
      <w:r w:rsidR="00F72A13" w:rsidRPr="00F72A13">
        <w:rPr>
          <w:rFonts w:ascii="Times New Roman" w:hAnsi="Times New Roman" w:cs="Times New Roman"/>
          <w:sz w:val="24"/>
          <w:szCs w:val="24"/>
        </w:rPr>
        <w:t>A)(</w:t>
      </w:r>
      <w:proofErr w:type="gramEnd"/>
      <w:r w:rsidR="00F72A13" w:rsidRPr="00F72A13">
        <w:rPr>
          <w:rFonts w:ascii="Times New Roman" w:hAnsi="Times New Roman" w:cs="Times New Roman"/>
          <w:sz w:val="24"/>
          <w:szCs w:val="24"/>
        </w:rPr>
        <w:t xml:space="preserve">b) of the CFI Act. It is </w:t>
      </w:r>
      <w:proofErr w:type="gramStart"/>
      <w:r w:rsidR="00F72A13" w:rsidRPr="00F72A13">
        <w:rPr>
          <w:rFonts w:ascii="Times New Roman" w:hAnsi="Times New Roman" w:cs="Times New Roman"/>
          <w:sz w:val="24"/>
          <w:szCs w:val="24"/>
        </w:rPr>
        <w:t>similar to</w:t>
      </w:r>
      <w:proofErr w:type="gramEnd"/>
      <w:r w:rsidR="00F72A13" w:rsidRPr="00F72A13">
        <w:rPr>
          <w:rFonts w:ascii="Times New Roman" w:hAnsi="Times New Roman" w:cs="Times New Roman"/>
          <w:sz w:val="24"/>
          <w:szCs w:val="24"/>
        </w:rPr>
        <w:t xml:space="preserve"> s</w:t>
      </w:r>
      <w:r w:rsidR="00A1641F">
        <w:rPr>
          <w:rFonts w:ascii="Times New Roman" w:hAnsi="Times New Roman" w:cs="Times New Roman"/>
          <w:sz w:val="24"/>
          <w:szCs w:val="24"/>
        </w:rPr>
        <w:t>ubsection</w:t>
      </w:r>
      <w:r w:rsidR="00F72A13" w:rsidRPr="00F72A13">
        <w:rPr>
          <w:rFonts w:ascii="Times New Roman" w:hAnsi="Times New Roman" w:cs="Times New Roman"/>
          <w:sz w:val="24"/>
          <w:szCs w:val="24"/>
        </w:rPr>
        <w:t xml:space="preserve"> 20</w:t>
      </w:r>
      <w:proofErr w:type="gramStart"/>
      <w:r w:rsidR="00F72A13" w:rsidRPr="00F72A13">
        <w:rPr>
          <w:rFonts w:ascii="Times New Roman" w:hAnsi="Times New Roman" w:cs="Times New Roman"/>
          <w:sz w:val="24"/>
          <w:szCs w:val="24"/>
        </w:rPr>
        <w:t>AA(</w:t>
      </w:r>
      <w:proofErr w:type="gramEnd"/>
      <w:r w:rsidR="00F72A13" w:rsidRPr="00F72A13">
        <w:rPr>
          <w:rFonts w:ascii="Times New Roman" w:hAnsi="Times New Roman" w:cs="Times New Roman"/>
          <w:sz w:val="24"/>
          <w:szCs w:val="24"/>
        </w:rPr>
        <w:t xml:space="preserve">1) of the </w:t>
      </w:r>
      <w:r w:rsidR="00F72A13" w:rsidRPr="001355A2">
        <w:rPr>
          <w:rFonts w:ascii="Times New Roman" w:hAnsi="Times New Roman" w:cs="Times New Roman"/>
          <w:i/>
          <w:iCs/>
          <w:sz w:val="24"/>
          <w:szCs w:val="24"/>
        </w:rPr>
        <w:t>Carbon Credits (Carbon Farming Initiative) Rule 2015</w:t>
      </w:r>
      <w:r w:rsidR="00F72A13" w:rsidRPr="00F72A13">
        <w:rPr>
          <w:rFonts w:ascii="Times New Roman" w:hAnsi="Times New Roman" w:cs="Times New Roman"/>
          <w:sz w:val="24"/>
          <w:szCs w:val="24"/>
        </w:rPr>
        <w:t>.</w:t>
      </w:r>
    </w:p>
    <w:p w14:paraId="797FB8D2" w14:textId="28DF91B5" w:rsidR="00700FB2" w:rsidRPr="00905275" w:rsidRDefault="00E624E9"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905275" w:rsidRPr="00905275">
        <w:rPr>
          <w:rFonts w:ascii="Times New Roman" w:hAnsi="Times New Roman" w:cs="Times New Roman"/>
          <w:sz w:val="24"/>
          <w:szCs w:val="24"/>
          <w:u w:val="single"/>
        </w:rPr>
        <w:t>12 – Minimum size of project area</w:t>
      </w:r>
    </w:p>
    <w:p w14:paraId="300BB055" w14:textId="7A246A76" w:rsidR="00905275" w:rsidRPr="00893D79" w:rsidRDefault="00DF430D" w:rsidP="00DB00CB">
      <w:pPr>
        <w:pStyle w:val="subsection"/>
        <w:spacing w:before="120" w:after="120"/>
        <w:ind w:left="0" w:firstLine="0"/>
        <w:rPr>
          <w:sz w:val="24"/>
          <w:szCs w:val="24"/>
        </w:rPr>
      </w:pPr>
      <w:r w:rsidRPr="00DF430D">
        <w:rPr>
          <w:sz w:val="24"/>
          <w:szCs w:val="24"/>
        </w:rPr>
        <w:t>Subsection</w:t>
      </w:r>
      <w:r w:rsidR="005B157C" w:rsidRPr="00893D79">
        <w:rPr>
          <w:sz w:val="24"/>
          <w:szCs w:val="24"/>
        </w:rPr>
        <w:t xml:space="preserve"> 12(1) specifies </w:t>
      </w:r>
      <w:r w:rsidR="00CC48D8" w:rsidRPr="00893D79">
        <w:rPr>
          <w:sz w:val="24"/>
          <w:szCs w:val="24"/>
        </w:rPr>
        <w:t xml:space="preserve">that the project area for an INFM project </w:t>
      </w:r>
      <w:r w:rsidR="00905275" w:rsidRPr="00893D79">
        <w:rPr>
          <w:sz w:val="24"/>
          <w:szCs w:val="24"/>
        </w:rPr>
        <w:t>must consist of all public native forests designated for commercial forestry use (as provided by section 10) in at least one whole forestry region.</w:t>
      </w:r>
    </w:p>
    <w:p w14:paraId="53B63F23" w14:textId="77777777" w:rsidR="008373A2" w:rsidRPr="00893D79" w:rsidRDefault="008373A2" w:rsidP="00DB00CB">
      <w:pPr>
        <w:pStyle w:val="subsection"/>
        <w:spacing w:before="120" w:after="120"/>
        <w:ind w:left="0" w:firstLine="0"/>
        <w:rPr>
          <w:sz w:val="24"/>
          <w:szCs w:val="24"/>
        </w:rPr>
      </w:pPr>
      <w:r w:rsidRPr="00893D79">
        <w:rPr>
          <w:sz w:val="24"/>
          <w:szCs w:val="24"/>
        </w:rPr>
        <w:t xml:space="preserve">A ‘forestry region’ is defined for these purposes as (s 5): </w:t>
      </w:r>
    </w:p>
    <w:p w14:paraId="6740471C" w14:textId="033A6E98" w:rsidR="008373A2" w:rsidRPr="00893D79" w:rsidRDefault="008373A2" w:rsidP="009D5A62">
      <w:pPr>
        <w:pStyle w:val="subsection"/>
        <w:numPr>
          <w:ilvl w:val="0"/>
          <w:numId w:val="26"/>
        </w:numPr>
        <w:spacing w:before="120" w:after="120"/>
        <w:rPr>
          <w:sz w:val="24"/>
          <w:szCs w:val="24"/>
        </w:rPr>
      </w:pPr>
      <w:r w:rsidRPr="00893D79">
        <w:rPr>
          <w:sz w:val="24"/>
          <w:szCs w:val="24"/>
        </w:rPr>
        <w:t xml:space="preserve">a region </w:t>
      </w:r>
      <w:r w:rsidR="00D659E6" w:rsidRPr="00D659E6">
        <w:rPr>
          <w:sz w:val="24"/>
          <w:szCs w:val="24"/>
        </w:rPr>
        <w:t xml:space="preserve">or regions covered by </w:t>
      </w:r>
      <w:r w:rsidRPr="00893D79">
        <w:rPr>
          <w:sz w:val="24"/>
          <w:szCs w:val="24"/>
        </w:rPr>
        <w:t xml:space="preserve">a regional forest agreement under the </w:t>
      </w:r>
      <w:r w:rsidRPr="00641159">
        <w:rPr>
          <w:i/>
          <w:iCs/>
          <w:sz w:val="24"/>
          <w:szCs w:val="24"/>
        </w:rPr>
        <w:t>Regional Forest Agreements Act 2002</w:t>
      </w:r>
      <w:r w:rsidRPr="00893D79">
        <w:rPr>
          <w:sz w:val="24"/>
          <w:szCs w:val="24"/>
        </w:rPr>
        <w:t xml:space="preserve"> applied on 1 July 2024; or</w:t>
      </w:r>
    </w:p>
    <w:p w14:paraId="68871144" w14:textId="1D73318A" w:rsidR="008373A2" w:rsidRPr="00893D79" w:rsidRDefault="008373A2" w:rsidP="009D5A62">
      <w:pPr>
        <w:pStyle w:val="subsection"/>
        <w:numPr>
          <w:ilvl w:val="0"/>
          <w:numId w:val="26"/>
        </w:numPr>
        <w:spacing w:before="120" w:after="120"/>
        <w:rPr>
          <w:sz w:val="24"/>
          <w:szCs w:val="24"/>
        </w:rPr>
      </w:pPr>
      <w:r w:rsidRPr="00893D79">
        <w:rPr>
          <w:sz w:val="24"/>
          <w:szCs w:val="24"/>
        </w:rPr>
        <w:t xml:space="preserve">in the case of public native forests that </w:t>
      </w:r>
      <w:proofErr w:type="gramStart"/>
      <w:r w:rsidRPr="00893D79">
        <w:rPr>
          <w:sz w:val="24"/>
          <w:szCs w:val="24"/>
        </w:rPr>
        <w:t>are not covered</w:t>
      </w:r>
      <w:proofErr w:type="gramEnd"/>
      <w:r w:rsidRPr="00893D79">
        <w:rPr>
          <w:sz w:val="24"/>
          <w:szCs w:val="24"/>
        </w:rPr>
        <w:t xml:space="preserve"> by any such regional forest agreement - an area of those forests that is not less than 1.5 million hectares and that </w:t>
      </w:r>
      <w:proofErr w:type="gramStart"/>
      <w:r w:rsidRPr="00893D79">
        <w:rPr>
          <w:sz w:val="24"/>
          <w:szCs w:val="24"/>
        </w:rPr>
        <w:t>is designated</w:t>
      </w:r>
      <w:proofErr w:type="gramEnd"/>
      <w:r w:rsidRPr="00893D79">
        <w:rPr>
          <w:sz w:val="24"/>
          <w:szCs w:val="24"/>
        </w:rPr>
        <w:t xml:space="preserve"> by the government of the relevant State as </w:t>
      </w:r>
      <w:proofErr w:type="gramStart"/>
      <w:r w:rsidRPr="00893D79">
        <w:rPr>
          <w:sz w:val="24"/>
          <w:szCs w:val="24"/>
        </w:rPr>
        <w:t>at</w:t>
      </w:r>
      <w:proofErr w:type="gramEnd"/>
      <w:r w:rsidRPr="00893D79">
        <w:rPr>
          <w:sz w:val="24"/>
          <w:szCs w:val="24"/>
        </w:rPr>
        <w:t xml:space="preserve"> 1 July 2024 as an applicable area for the purposes of the management of those forests.</w:t>
      </w:r>
    </w:p>
    <w:p w14:paraId="78A1F552" w14:textId="09A53E04" w:rsidR="00D659E6" w:rsidRDefault="00D659E6" w:rsidP="00DB00CB">
      <w:pPr>
        <w:pStyle w:val="subsection"/>
        <w:spacing w:before="120" w:after="120"/>
        <w:ind w:left="0" w:firstLine="0"/>
        <w:rPr>
          <w:sz w:val="24"/>
          <w:szCs w:val="24"/>
        </w:rPr>
      </w:pPr>
      <w:r>
        <w:rPr>
          <w:sz w:val="24"/>
          <w:szCs w:val="24"/>
        </w:rPr>
        <w:t>This definition</w:t>
      </w:r>
      <w:r w:rsidRPr="00D659E6">
        <w:rPr>
          <w:sz w:val="24"/>
          <w:szCs w:val="24"/>
        </w:rPr>
        <w:t xml:space="preserve"> requires that, where a regional forest agreement applies to two or more regions or sub-regions, the regions or sub-regions covered by the agreement must be treated as a single region for the purposes of the Determination.</w:t>
      </w:r>
    </w:p>
    <w:p w14:paraId="71F7A685" w14:textId="73B16CA5" w:rsidR="00403998" w:rsidRPr="00402679" w:rsidRDefault="00962DCA" w:rsidP="00DB00CB">
      <w:pPr>
        <w:pStyle w:val="subsection"/>
        <w:spacing w:before="120" w:after="120"/>
        <w:ind w:left="0" w:firstLine="0"/>
        <w:rPr>
          <w:sz w:val="24"/>
          <w:szCs w:val="24"/>
        </w:rPr>
      </w:pPr>
      <w:r w:rsidRPr="00402679">
        <w:rPr>
          <w:sz w:val="24"/>
          <w:szCs w:val="24"/>
        </w:rPr>
        <w:lastRenderedPageBreak/>
        <w:t>The requirement for INFM project areas to encompass at least one whole forestry region performs an important integrity function by</w:t>
      </w:r>
      <w:r w:rsidR="008373A2" w:rsidRPr="00402679">
        <w:rPr>
          <w:sz w:val="24"/>
          <w:szCs w:val="24"/>
        </w:rPr>
        <w:t xml:space="preserve"> </w:t>
      </w:r>
      <w:r w:rsidR="00CB5DB8" w:rsidRPr="00402679">
        <w:rPr>
          <w:sz w:val="24"/>
          <w:szCs w:val="24"/>
        </w:rPr>
        <w:t xml:space="preserve">reducing additionality and leakage risks. </w:t>
      </w:r>
      <w:r w:rsidR="00FC4CA1" w:rsidRPr="00402679">
        <w:rPr>
          <w:sz w:val="24"/>
          <w:szCs w:val="24"/>
        </w:rPr>
        <w:t xml:space="preserve">If project areas were allowed to be defined as a smaller scale, proponents could selectively </w:t>
      </w:r>
      <w:r w:rsidR="002B5171" w:rsidRPr="00402679">
        <w:rPr>
          <w:sz w:val="24"/>
          <w:szCs w:val="24"/>
        </w:rPr>
        <w:t xml:space="preserve">identify </w:t>
      </w:r>
      <w:r w:rsidR="00FC4CA1" w:rsidRPr="00402679">
        <w:rPr>
          <w:sz w:val="24"/>
          <w:szCs w:val="24"/>
        </w:rPr>
        <w:t xml:space="preserve">those parts of </w:t>
      </w:r>
      <w:r w:rsidR="002B5171" w:rsidRPr="00402679">
        <w:rPr>
          <w:sz w:val="24"/>
          <w:szCs w:val="24"/>
        </w:rPr>
        <w:t xml:space="preserve">the public native forest estate that are unlikely to be harvested and include them in a project, without necessarily </w:t>
      </w:r>
      <w:r w:rsidR="00FF6C29" w:rsidRPr="00402679">
        <w:rPr>
          <w:sz w:val="24"/>
          <w:szCs w:val="24"/>
        </w:rPr>
        <w:t>reducing harvesting</w:t>
      </w:r>
      <w:r w:rsidR="00E45EEE" w:rsidRPr="00402679">
        <w:rPr>
          <w:sz w:val="24"/>
          <w:szCs w:val="24"/>
        </w:rPr>
        <w:t xml:space="preserve"> and thereby reducing net emissions</w:t>
      </w:r>
      <w:r w:rsidR="00FF6C29" w:rsidRPr="00402679">
        <w:rPr>
          <w:sz w:val="24"/>
          <w:szCs w:val="24"/>
        </w:rPr>
        <w:t xml:space="preserve">. </w:t>
      </w:r>
      <w:r w:rsidR="00E45EEE" w:rsidRPr="00402679">
        <w:rPr>
          <w:sz w:val="24"/>
          <w:szCs w:val="24"/>
        </w:rPr>
        <w:t>By requiring project areas to cover whole forest regions, the Determination increases confidence that</w:t>
      </w:r>
      <w:r w:rsidR="00E520BE" w:rsidRPr="00402679">
        <w:rPr>
          <w:sz w:val="24"/>
          <w:szCs w:val="24"/>
        </w:rPr>
        <w:t xml:space="preserve">, in the absence </w:t>
      </w:r>
      <w:r w:rsidR="0041217A">
        <w:rPr>
          <w:sz w:val="24"/>
          <w:szCs w:val="24"/>
        </w:rPr>
        <w:t>o</w:t>
      </w:r>
      <w:r w:rsidR="00E520BE" w:rsidRPr="00402679">
        <w:rPr>
          <w:sz w:val="24"/>
          <w:szCs w:val="24"/>
        </w:rPr>
        <w:t xml:space="preserve">f the project, </w:t>
      </w:r>
      <w:r w:rsidR="00C20ED1" w:rsidRPr="00402679">
        <w:rPr>
          <w:sz w:val="24"/>
          <w:szCs w:val="24"/>
        </w:rPr>
        <w:t>the</w:t>
      </w:r>
      <w:r w:rsidR="00E520BE" w:rsidRPr="00402679">
        <w:rPr>
          <w:sz w:val="24"/>
          <w:szCs w:val="24"/>
        </w:rPr>
        <w:t xml:space="preserve"> </w:t>
      </w:r>
      <w:r w:rsidR="00822EB2" w:rsidRPr="00402679">
        <w:rPr>
          <w:sz w:val="24"/>
          <w:szCs w:val="24"/>
        </w:rPr>
        <w:t xml:space="preserve">forests </w:t>
      </w:r>
      <w:r w:rsidR="00C20ED1" w:rsidRPr="00402679">
        <w:rPr>
          <w:sz w:val="24"/>
          <w:szCs w:val="24"/>
        </w:rPr>
        <w:t xml:space="preserve">in the region </w:t>
      </w:r>
      <w:r w:rsidR="00822EB2" w:rsidRPr="00402679">
        <w:rPr>
          <w:sz w:val="24"/>
          <w:szCs w:val="24"/>
        </w:rPr>
        <w:t xml:space="preserve">will </w:t>
      </w:r>
      <w:proofErr w:type="gramStart"/>
      <w:r w:rsidR="00822EB2" w:rsidRPr="00402679">
        <w:rPr>
          <w:sz w:val="24"/>
          <w:szCs w:val="24"/>
        </w:rPr>
        <w:t>be harvested</w:t>
      </w:r>
      <w:proofErr w:type="gramEnd"/>
      <w:r w:rsidR="00C20ED1" w:rsidRPr="00402679">
        <w:rPr>
          <w:sz w:val="24"/>
          <w:szCs w:val="24"/>
        </w:rPr>
        <w:t xml:space="preserve"> in line with the baseline harvest levels</w:t>
      </w:r>
      <w:r w:rsidR="001651E9">
        <w:rPr>
          <w:sz w:val="24"/>
          <w:szCs w:val="24"/>
        </w:rPr>
        <w:t xml:space="preserve"> for the duration of the crediting period</w:t>
      </w:r>
      <w:r w:rsidR="00822EB2" w:rsidRPr="00402679">
        <w:rPr>
          <w:sz w:val="24"/>
          <w:szCs w:val="24"/>
        </w:rPr>
        <w:t xml:space="preserve">, even if it is not possible to determine which </w:t>
      </w:r>
      <w:proofErr w:type="gramStart"/>
      <w:r w:rsidR="00822EB2" w:rsidRPr="00402679">
        <w:rPr>
          <w:sz w:val="24"/>
          <w:szCs w:val="24"/>
        </w:rPr>
        <w:t xml:space="preserve">particular </w:t>
      </w:r>
      <w:r w:rsidR="004A7AF0" w:rsidRPr="00402679">
        <w:rPr>
          <w:sz w:val="24"/>
          <w:szCs w:val="24"/>
        </w:rPr>
        <w:t>forests</w:t>
      </w:r>
      <w:proofErr w:type="gramEnd"/>
      <w:r w:rsidR="004A7AF0" w:rsidRPr="00402679">
        <w:rPr>
          <w:sz w:val="24"/>
          <w:szCs w:val="24"/>
        </w:rPr>
        <w:t xml:space="preserve"> would </w:t>
      </w:r>
      <w:proofErr w:type="gramStart"/>
      <w:r w:rsidR="004A7AF0" w:rsidRPr="00402679">
        <w:rPr>
          <w:sz w:val="24"/>
          <w:szCs w:val="24"/>
        </w:rPr>
        <w:t>be harvested</w:t>
      </w:r>
      <w:proofErr w:type="gramEnd"/>
      <w:r w:rsidR="004A7AF0" w:rsidRPr="00402679">
        <w:rPr>
          <w:sz w:val="24"/>
          <w:szCs w:val="24"/>
        </w:rPr>
        <w:t xml:space="preserve">. Further, by requiring projects to cover whole forestry regions, it reduces the scope for activity shifting (direct leakage) </w:t>
      </w:r>
      <w:r w:rsidR="00ED62E3" w:rsidRPr="00402679">
        <w:rPr>
          <w:sz w:val="24"/>
          <w:szCs w:val="24"/>
        </w:rPr>
        <w:t xml:space="preserve">– any movement of harvesting within the region is captured within the boundaries of the project and </w:t>
      </w:r>
      <w:r w:rsidR="006914CB">
        <w:rPr>
          <w:sz w:val="24"/>
          <w:szCs w:val="24"/>
        </w:rPr>
        <w:t xml:space="preserve">is </w:t>
      </w:r>
      <w:r w:rsidR="00ED62E3" w:rsidRPr="00402679">
        <w:rPr>
          <w:sz w:val="24"/>
          <w:szCs w:val="24"/>
        </w:rPr>
        <w:t>required to be accounted for in the calculation of the net abatement amount</w:t>
      </w:r>
      <w:r w:rsidR="00507F74" w:rsidRPr="00402679">
        <w:rPr>
          <w:sz w:val="24"/>
          <w:szCs w:val="24"/>
        </w:rPr>
        <w:t>.</w:t>
      </w:r>
    </w:p>
    <w:p w14:paraId="7A1631E3" w14:textId="630DE597" w:rsidR="00067AC4" w:rsidRDefault="00905275" w:rsidP="00DB00CB">
      <w:pPr>
        <w:pStyle w:val="subsection"/>
        <w:spacing w:before="120" w:after="120"/>
        <w:ind w:left="0" w:firstLine="0"/>
        <w:rPr>
          <w:sz w:val="24"/>
          <w:szCs w:val="24"/>
        </w:rPr>
      </w:pPr>
      <w:r w:rsidRPr="00402679">
        <w:rPr>
          <w:sz w:val="24"/>
          <w:szCs w:val="24"/>
        </w:rPr>
        <w:tab/>
      </w:r>
      <w:r w:rsidR="00DF430D" w:rsidRPr="00DF430D">
        <w:rPr>
          <w:sz w:val="24"/>
          <w:szCs w:val="24"/>
        </w:rPr>
        <w:t>Subsection</w:t>
      </w:r>
      <w:r w:rsidR="0094339C" w:rsidRPr="00402679">
        <w:rPr>
          <w:sz w:val="24"/>
          <w:szCs w:val="24"/>
        </w:rPr>
        <w:t xml:space="preserve"> 12(2) </w:t>
      </w:r>
      <w:r w:rsidR="0077785F" w:rsidRPr="00402679">
        <w:rPr>
          <w:sz w:val="24"/>
          <w:szCs w:val="24"/>
        </w:rPr>
        <w:t>specifies that t</w:t>
      </w:r>
      <w:r w:rsidRPr="00402679">
        <w:rPr>
          <w:sz w:val="24"/>
          <w:szCs w:val="24"/>
        </w:rPr>
        <w:t>he project area must not include any area</w:t>
      </w:r>
      <w:r w:rsidR="00067AC4">
        <w:rPr>
          <w:sz w:val="24"/>
          <w:szCs w:val="24"/>
        </w:rPr>
        <w:t>:</w:t>
      </w:r>
    </w:p>
    <w:p w14:paraId="5FE2E1A8" w14:textId="77777777" w:rsidR="00067AC4" w:rsidRDefault="00067AC4" w:rsidP="009D5A62">
      <w:pPr>
        <w:pStyle w:val="subsection"/>
        <w:numPr>
          <w:ilvl w:val="0"/>
          <w:numId w:val="35"/>
        </w:numPr>
        <w:spacing w:before="120" w:after="120"/>
        <w:rPr>
          <w:sz w:val="24"/>
          <w:szCs w:val="24"/>
        </w:rPr>
      </w:pPr>
      <w:r w:rsidRPr="00067AC4">
        <w:rPr>
          <w:sz w:val="24"/>
          <w:szCs w:val="24"/>
        </w:rPr>
        <w:t xml:space="preserve">that is excluded by </w:t>
      </w:r>
      <w:r>
        <w:rPr>
          <w:sz w:val="24"/>
          <w:szCs w:val="24"/>
        </w:rPr>
        <w:t>the</w:t>
      </w:r>
      <w:r w:rsidRPr="00067AC4">
        <w:rPr>
          <w:sz w:val="24"/>
          <w:szCs w:val="24"/>
        </w:rPr>
        <w:t xml:space="preserve"> </w:t>
      </w:r>
      <w:r>
        <w:rPr>
          <w:sz w:val="24"/>
          <w:szCs w:val="24"/>
        </w:rPr>
        <w:t>D</w:t>
      </w:r>
      <w:r w:rsidRPr="00067AC4">
        <w:rPr>
          <w:sz w:val="24"/>
          <w:szCs w:val="24"/>
        </w:rPr>
        <w:t>etermination from being included in the project area; or</w:t>
      </w:r>
    </w:p>
    <w:p w14:paraId="34054040" w14:textId="759572E1" w:rsidR="00067AC4" w:rsidRDefault="00067AC4" w:rsidP="009D5A62">
      <w:pPr>
        <w:pStyle w:val="subsection"/>
        <w:numPr>
          <w:ilvl w:val="0"/>
          <w:numId w:val="35"/>
        </w:numPr>
        <w:spacing w:before="120" w:after="120"/>
        <w:rPr>
          <w:sz w:val="24"/>
          <w:szCs w:val="24"/>
        </w:rPr>
      </w:pPr>
      <w:r w:rsidRPr="00067AC4">
        <w:rPr>
          <w:sz w:val="24"/>
          <w:szCs w:val="24"/>
        </w:rPr>
        <w:t xml:space="preserve">that is included in the project area for another </w:t>
      </w:r>
      <w:r>
        <w:rPr>
          <w:sz w:val="24"/>
          <w:szCs w:val="24"/>
        </w:rPr>
        <w:t>INFM project</w:t>
      </w:r>
      <w:r w:rsidRPr="00067AC4">
        <w:rPr>
          <w:sz w:val="24"/>
          <w:szCs w:val="24"/>
        </w:rPr>
        <w:t>.</w:t>
      </w:r>
    </w:p>
    <w:p w14:paraId="44FD2151" w14:textId="0AB88533" w:rsidR="00905275" w:rsidRDefault="00B2435C" w:rsidP="00DB00CB">
      <w:pPr>
        <w:pStyle w:val="subsection"/>
        <w:spacing w:before="120" w:after="120"/>
        <w:ind w:left="0" w:firstLine="0"/>
        <w:rPr>
          <w:sz w:val="24"/>
          <w:szCs w:val="24"/>
        </w:rPr>
      </w:pPr>
      <w:r w:rsidRPr="00402679">
        <w:rPr>
          <w:sz w:val="24"/>
          <w:szCs w:val="24"/>
        </w:rPr>
        <w:t xml:space="preserve">Section 77A of the CFI Act allows </w:t>
      </w:r>
      <w:r w:rsidR="00944701" w:rsidRPr="00402679">
        <w:rPr>
          <w:sz w:val="24"/>
          <w:szCs w:val="24"/>
        </w:rPr>
        <w:t>project proponents to divide projects into two or more parts and for each part to be treated as separate project</w:t>
      </w:r>
      <w:r w:rsidR="008F61BF" w:rsidRPr="00402679">
        <w:rPr>
          <w:sz w:val="24"/>
          <w:szCs w:val="24"/>
        </w:rPr>
        <w:t>. Subsect</w:t>
      </w:r>
      <w:r w:rsidR="0041217A">
        <w:rPr>
          <w:sz w:val="24"/>
          <w:szCs w:val="24"/>
        </w:rPr>
        <w:t>ion</w:t>
      </w:r>
      <w:r w:rsidR="008F61BF" w:rsidRPr="00402679">
        <w:rPr>
          <w:sz w:val="24"/>
          <w:szCs w:val="24"/>
        </w:rPr>
        <w:t xml:space="preserve"> 77</w:t>
      </w:r>
      <w:proofErr w:type="gramStart"/>
      <w:r w:rsidR="008F61BF" w:rsidRPr="00402679">
        <w:rPr>
          <w:sz w:val="24"/>
          <w:szCs w:val="24"/>
        </w:rPr>
        <w:t>A(</w:t>
      </w:r>
      <w:proofErr w:type="gramEnd"/>
      <w:r w:rsidR="008F61BF" w:rsidRPr="00402679">
        <w:rPr>
          <w:sz w:val="24"/>
          <w:szCs w:val="24"/>
        </w:rPr>
        <w:t xml:space="preserve">2) </w:t>
      </w:r>
      <w:r w:rsidR="00B6233D" w:rsidRPr="00402679">
        <w:rPr>
          <w:sz w:val="24"/>
          <w:szCs w:val="24"/>
        </w:rPr>
        <w:t xml:space="preserve">specifies that the division of a project must comply with any relevant requirements set out in the applicable methodology determination. For these purposes, </w:t>
      </w:r>
      <w:r w:rsidR="00DF430D">
        <w:rPr>
          <w:sz w:val="24"/>
          <w:szCs w:val="24"/>
        </w:rPr>
        <w:t>s</w:t>
      </w:r>
      <w:r w:rsidR="00DF430D" w:rsidRPr="00DF430D">
        <w:rPr>
          <w:sz w:val="24"/>
          <w:szCs w:val="24"/>
        </w:rPr>
        <w:t>ubsection</w:t>
      </w:r>
      <w:r w:rsidR="0077785F" w:rsidRPr="00402679">
        <w:rPr>
          <w:sz w:val="24"/>
          <w:szCs w:val="24"/>
        </w:rPr>
        <w:t xml:space="preserve"> 12(</w:t>
      </w:r>
      <w:r w:rsidR="00B6233D" w:rsidRPr="00402679">
        <w:rPr>
          <w:sz w:val="24"/>
          <w:szCs w:val="24"/>
        </w:rPr>
        <w:t>3</w:t>
      </w:r>
      <w:r w:rsidR="0077785F" w:rsidRPr="00402679">
        <w:rPr>
          <w:sz w:val="24"/>
          <w:szCs w:val="24"/>
        </w:rPr>
        <w:t xml:space="preserve">) </w:t>
      </w:r>
      <w:r w:rsidR="002B5141" w:rsidRPr="00402679">
        <w:rPr>
          <w:sz w:val="24"/>
          <w:szCs w:val="24"/>
        </w:rPr>
        <w:t>provides that, f</w:t>
      </w:r>
      <w:r w:rsidR="00905275" w:rsidRPr="00402679">
        <w:rPr>
          <w:sz w:val="24"/>
          <w:szCs w:val="24"/>
        </w:rPr>
        <w:t xml:space="preserve">or </w:t>
      </w:r>
      <w:r w:rsidR="002B5141" w:rsidRPr="00402679">
        <w:rPr>
          <w:sz w:val="24"/>
          <w:szCs w:val="24"/>
        </w:rPr>
        <w:t xml:space="preserve">the purposes of </w:t>
      </w:r>
      <w:r w:rsidR="00905275" w:rsidRPr="00402679">
        <w:rPr>
          <w:sz w:val="24"/>
          <w:szCs w:val="24"/>
        </w:rPr>
        <w:t>subsection 77</w:t>
      </w:r>
      <w:proofErr w:type="gramStart"/>
      <w:r w:rsidR="00905275" w:rsidRPr="00402679">
        <w:rPr>
          <w:sz w:val="24"/>
          <w:szCs w:val="24"/>
        </w:rPr>
        <w:t>A(</w:t>
      </w:r>
      <w:proofErr w:type="gramEnd"/>
      <w:r w:rsidR="00905275" w:rsidRPr="00402679">
        <w:rPr>
          <w:sz w:val="24"/>
          <w:szCs w:val="24"/>
        </w:rPr>
        <w:t xml:space="preserve">2), a division of </w:t>
      </w:r>
      <w:r w:rsidR="002B5141" w:rsidRPr="00402679">
        <w:rPr>
          <w:sz w:val="24"/>
          <w:szCs w:val="24"/>
        </w:rPr>
        <w:t>an INFM</w:t>
      </w:r>
      <w:r w:rsidR="00905275" w:rsidRPr="00402679">
        <w:rPr>
          <w:sz w:val="24"/>
          <w:szCs w:val="24"/>
        </w:rPr>
        <w:t xml:space="preserve"> project must not result in the creation of a part of the project area that is not at least one whole forestry region or take effect during a reporting period for the project.</w:t>
      </w:r>
    </w:p>
    <w:p w14:paraId="3A6F60F8" w14:textId="21F75546" w:rsidR="0060656E" w:rsidRPr="0060656E" w:rsidRDefault="00CC78A0"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60656E" w:rsidRPr="0060656E">
        <w:rPr>
          <w:rFonts w:ascii="Times New Roman" w:hAnsi="Times New Roman" w:cs="Times New Roman"/>
          <w:sz w:val="24"/>
          <w:szCs w:val="24"/>
          <w:u w:val="single"/>
        </w:rPr>
        <w:t xml:space="preserve">13 </w:t>
      </w:r>
      <w:r w:rsidR="00780137">
        <w:rPr>
          <w:rFonts w:ascii="Times New Roman" w:hAnsi="Times New Roman" w:cs="Times New Roman"/>
          <w:sz w:val="24"/>
          <w:szCs w:val="24"/>
          <w:u w:val="single"/>
        </w:rPr>
        <w:t>–</w:t>
      </w:r>
      <w:r w:rsidR="0060656E" w:rsidRPr="0060656E">
        <w:rPr>
          <w:rFonts w:ascii="Times New Roman" w:hAnsi="Times New Roman" w:cs="Times New Roman"/>
          <w:sz w:val="24"/>
          <w:szCs w:val="24"/>
          <w:u w:val="single"/>
        </w:rPr>
        <w:t xml:space="preserve"> Minimum reduction in volume of wood extracted from project area</w:t>
      </w:r>
    </w:p>
    <w:p w14:paraId="722523FD" w14:textId="452045B2" w:rsidR="004864EE" w:rsidRDefault="00051DE6" w:rsidP="00DB00CB">
      <w:pPr>
        <w:pStyle w:val="subsection"/>
        <w:spacing w:before="120" w:after="120"/>
        <w:ind w:left="0" w:firstLine="0"/>
        <w:rPr>
          <w:sz w:val="24"/>
          <w:szCs w:val="24"/>
        </w:rPr>
      </w:pPr>
      <w:r>
        <w:rPr>
          <w:sz w:val="24"/>
          <w:szCs w:val="24"/>
        </w:rPr>
        <w:t>Section 13 provides that t</w:t>
      </w:r>
      <w:r w:rsidR="00AE6EB4" w:rsidRPr="00AE6EB4">
        <w:rPr>
          <w:sz w:val="24"/>
          <w:szCs w:val="24"/>
        </w:rPr>
        <w:t xml:space="preserve">he stopping of, or reduction in, timber harvesting that constitute the project activities must be likely to achieve a reduction in the volume of wood extracted from the project area, during each 12 months of the crediting period, that meets the hurdle requirement in </w:t>
      </w:r>
      <w:r w:rsidR="00CC78A0">
        <w:rPr>
          <w:sz w:val="24"/>
          <w:szCs w:val="24"/>
        </w:rPr>
        <w:t>sub</w:t>
      </w:r>
      <w:r w:rsidR="00AE6EB4" w:rsidRPr="00AE6EB4">
        <w:rPr>
          <w:sz w:val="24"/>
          <w:szCs w:val="24"/>
        </w:rPr>
        <w:t>section 4</w:t>
      </w:r>
      <w:r w:rsidR="00C13D4D">
        <w:rPr>
          <w:sz w:val="24"/>
          <w:szCs w:val="24"/>
        </w:rPr>
        <w:t>5</w:t>
      </w:r>
      <w:r w:rsidR="00AE6EB4" w:rsidRPr="00AE6EB4">
        <w:rPr>
          <w:sz w:val="24"/>
          <w:szCs w:val="24"/>
        </w:rPr>
        <w:t xml:space="preserve">(1). </w:t>
      </w:r>
    </w:p>
    <w:p w14:paraId="4E988B05" w14:textId="46B8D5E5" w:rsidR="00313911" w:rsidRDefault="00AE6EB4" w:rsidP="00DB00CB">
      <w:pPr>
        <w:pStyle w:val="subsection"/>
        <w:spacing w:before="120" w:after="120"/>
        <w:ind w:left="0" w:firstLine="0"/>
        <w:rPr>
          <w:sz w:val="24"/>
          <w:szCs w:val="24"/>
        </w:rPr>
      </w:pPr>
      <w:r w:rsidRPr="00AE6EB4">
        <w:rPr>
          <w:sz w:val="24"/>
          <w:szCs w:val="24"/>
        </w:rPr>
        <w:t>The hur</w:t>
      </w:r>
      <w:r w:rsidR="0041217A">
        <w:rPr>
          <w:sz w:val="24"/>
          <w:szCs w:val="24"/>
        </w:rPr>
        <w:t>d</w:t>
      </w:r>
      <w:r w:rsidRPr="00AE6EB4">
        <w:rPr>
          <w:sz w:val="24"/>
          <w:szCs w:val="24"/>
        </w:rPr>
        <w:t xml:space="preserve">le requirement in </w:t>
      </w:r>
      <w:r w:rsidR="00CC78A0">
        <w:rPr>
          <w:sz w:val="24"/>
          <w:szCs w:val="24"/>
        </w:rPr>
        <w:t>sub</w:t>
      </w:r>
      <w:r w:rsidRPr="00AE6EB4">
        <w:rPr>
          <w:sz w:val="24"/>
          <w:szCs w:val="24"/>
        </w:rPr>
        <w:t>section 4</w:t>
      </w:r>
      <w:r w:rsidR="007D4238">
        <w:rPr>
          <w:sz w:val="24"/>
          <w:szCs w:val="24"/>
        </w:rPr>
        <w:t>5</w:t>
      </w:r>
      <w:r w:rsidRPr="00AE6EB4">
        <w:rPr>
          <w:sz w:val="24"/>
          <w:szCs w:val="24"/>
        </w:rPr>
        <w:t>(1) specifies that the net abatement amount for a reporting period is zero (i.e. the project does not receive any ACCUs) unless the volume of wood extracted from the project area during each 12 month period (or part thereof</w:t>
      </w:r>
      <w:r w:rsidR="00065A5D">
        <w:rPr>
          <w:sz w:val="24"/>
          <w:szCs w:val="24"/>
        </w:rPr>
        <w:t xml:space="preserve"> </w:t>
      </w:r>
      <w:r w:rsidR="00065A5D" w:rsidRPr="001F5568">
        <w:rPr>
          <w:bCs/>
          <w:sz w:val="24"/>
          <w:szCs w:val="24"/>
        </w:rPr>
        <w:t xml:space="preserve">if the final part of the reporting period is less than </w:t>
      </w:r>
      <w:r w:rsidR="00065A5D">
        <w:rPr>
          <w:bCs/>
          <w:sz w:val="24"/>
          <w:szCs w:val="24"/>
        </w:rPr>
        <w:t>12</w:t>
      </w:r>
      <w:r w:rsidR="00065A5D" w:rsidRPr="001F5568">
        <w:rPr>
          <w:bCs/>
          <w:sz w:val="24"/>
          <w:szCs w:val="24"/>
        </w:rPr>
        <w:t xml:space="preserve"> months</w:t>
      </w:r>
      <w:r w:rsidRPr="00AE6EB4">
        <w:rPr>
          <w:sz w:val="24"/>
          <w:szCs w:val="24"/>
        </w:rPr>
        <w:t>) of the reporting period is at least 20% less than the levels in the baseline scenario for that 12 month period. The periods that are used for these purposes are sequential and start from the date of project registration or the commencement of the relevant reporting period. For example, if a project had a 2½ year reporting period, the hurdle requirement would be evaluated for three periods: months 1 to 12 (period 1); months 13 to 24 (period 2); and months 25 to 30 (period 3).</w:t>
      </w:r>
    </w:p>
    <w:p w14:paraId="66348163" w14:textId="2B0D8804" w:rsidR="00EA2DA9" w:rsidRDefault="00EA2DA9" w:rsidP="00DB00CB">
      <w:pPr>
        <w:pStyle w:val="subsection"/>
        <w:spacing w:before="120" w:after="120"/>
        <w:ind w:left="0" w:firstLine="0"/>
        <w:rPr>
          <w:bCs/>
          <w:sz w:val="24"/>
          <w:szCs w:val="24"/>
        </w:rPr>
      </w:pPr>
      <w:r>
        <w:rPr>
          <w:bCs/>
          <w:sz w:val="24"/>
          <w:szCs w:val="24"/>
        </w:rPr>
        <w:t>The hurdle performs an important function in mitigating additional</w:t>
      </w:r>
      <w:r w:rsidR="004E4001">
        <w:rPr>
          <w:bCs/>
          <w:sz w:val="24"/>
          <w:szCs w:val="24"/>
        </w:rPr>
        <w:t>ity</w:t>
      </w:r>
      <w:r>
        <w:rPr>
          <w:bCs/>
          <w:sz w:val="24"/>
          <w:szCs w:val="24"/>
        </w:rPr>
        <w:t xml:space="preserve"> and leakage risks. </w:t>
      </w:r>
      <w:r w:rsidR="007D0060">
        <w:rPr>
          <w:bCs/>
          <w:sz w:val="24"/>
          <w:szCs w:val="24"/>
        </w:rPr>
        <w:t xml:space="preserve">It </w:t>
      </w:r>
      <w:r w:rsidR="007D0060" w:rsidRPr="007D0060">
        <w:rPr>
          <w:bCs/>
          <w:sz w:val="24"/>
          <w:szCs w:val="24"/>
        </w:rPr>
        <w:t>mitigate</w:t>
      </w:r>
      <w:r w:rsidR="007D0060">
        <w:rPr>
          <w:bCs/>
          <w:sz w:val="24"/>
          <w:szCs w:val="24"/>
        </w:rPr>
        <w:t xml:space="preserve">s </w:t>
      </w:r>
      <w:r w:rsidR="007D0060" w:rsidRPr="007D0060">
        <w:rPr>
          <w:bCs/>
          <w:sz w:val="24"/>
          <w:szCs w:val="24"/>
        </w:rPr>
        <w:t>the risk of crediting minor, short-term fluctuations in harvesting associated with market or other business-as-usual conditions</w:t>
      </w:r>
      <w:r w:rsidR="007D0060">
        <w:rPr>
          <w:bCs/>
          <w:sz w:val="24"/>
          <w:szCs w:val="24"/>
        </w:rPr>
        <w:t xml:space="preserve"> that would have occurred anyway, without the incentive provided by the scheme</w:t>
      </w:r>
      <w:r w:rsidR="007D0060" w:rsidRPr="007D0060">
        <w:rPr>
          <w:bCs/>
          <w:sz w:val="24"/>
          <w:szCs w:val="24"/>
        </w:rPr>
        <w:t>. For credits to be issued, there must be a significant reduction in harvesting that goes beyond normal interannual variability</w:t>
      </w:r>
      <w:r w:rsidR="007D0060">
        <w:rPr>
          <w:bCs/>
          <w:sz w:val="24"/>
          <w:szCs w:val="24"/>
        </w:rPr>
        <w:t xml:space="preserve">. The hurdle also </w:t>
      </w:r>
      <w:r w:rsidR="007D0060" w:rsidRPr="007D0060">
        <w:rPr>
          <w:bCs/>
          <w:sz w:val="24"/>
          <w:szCs w:val="24"/>
        </w:rPr>
        <w:t>mitigate</w:t>
      </w:r>
      <w:r w:rsidR="007D0060">
        <w:rPr>
          <w:bCs/>
          <w:sz w:val="24"/>
          <w:szCs w:val="24"/>
        </w:rPr>
        <w:t>s</w:t>
      </w:r>
      <w:r w:rsidR="007D0060" w:rsidRPr="007D0060">
        <w:rPr>
          <w:bCs/>
          <w:sz w:val="24"/>
          <w:szCs w:val="24"/>
        </w:rPr>
        <w:t xml:space="preserve"> the risk of leakage through cross-subsidisation by ensuring there is a structural shift in the native forest industry in the relevant region.</w:t>
      </w:r>
    </w:p>
    <w:p w14:paraId="47304E40" w14:textId="66627003" w:rsidR="006E2ECD" w:rsidRPr="0060656E" w:rsidRDefault="00CC78A0"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6E2ECD" w:rsidRPr="0060656E">
        <w:rPr>
          <w:rFonts w:ascii="Times New Roman" w:hAnsi="Times New Roman" w:cs="Times New Roman"/>
          <w:sz w:val="24"/>
          <w:szCs w:val="24"/>
          <w:u w:val="single"/>
        </w:rPr>
        <w:t>1</w:t>
      </w:r>
      <w:r w:rsidR="006E2ECD">
        <w:rPr>
          <w:rFonts w:ascii="Times New Roman" w:hAnsi="Times New Roman" w:cs="Times New Roman"/>
          <w:sz w:val="24"/>
          <w:szCs w:val="24"/>
          <w:u w:val="single"/>
        </w:rPr>
        <w:t>4</w:t>
      </w:r>
      <w:r w:rsidR="006E2ECD" w:rsidRPr="0060656E">
        <w:rPr>
          <w:rFonts w:ascii="Times New Roman" w:hAnsi="Times New Roman" w:cs="Times New Roman"/>
          <w:sz w:val="24"/>
          <w:szCs w:val="24"/>
          <w:u w:val="single"/>
        </w:rPr>
        <w:t xml:space="preserve"> </w:t>
      </w:r>
      <w:r w:rsidR="006E2ECD">
        <w:rPr>
          <w:rFonts w:ascii="Times New Roman" w:hAnsi="Times New Roman" w:cs="Times New Roman"/>
          <w:sz w:val="24"/>
          <w:szCs w:val="24"/>
          <w:u w:val="single"/>
        </w:rPr>
        <w:t>–</w:t>
      </w:r>
      <w:r w:rsidR="006E2ECD" w:rsidRPr="0060656E">
        <w:rPr>
          <w:rFonts w:ascii="Times New Roman" w:hAnsi="Times New Roman" w:cs="Times New Roman"/>
          <w:sz w:val="24"/>
          <w:szCs w:val="24"/>
          <w:u w:val="single"/>
        </w:rPr>
        <w:t xml:space="preserve"> </w:t>
      </w:r>
      <w:r w:rsidR="0086275A" w:rsidRPr="0086275A">
        <w:rPr>
          <w:rFonts w:ascii="Times New Roman" w:hAnsi="Times New Roman" w:cs="Times New Roman"/>
          <w:sz w:val="24"/>
          <w:szCs w:val="24"/>
          <w:u w:val="single"/>
        </w:rPr>
        <w:t>Published sustainable yield for public native forests</w:t>
      </w:r>
    </w:p>
    <w:p w14:paraId="0FAD2F1D" w14:textId="44C35620" w:rsidR="00DB0A31" w:rsidRDefault="00066A79" w:rsidP="00DB00CB">
      <w:pPr>
        <w:pStyle w:val="subsection"/>
        <w:spacing w:before="120" w:after="120"/>
        <w:ind w:left="0" w:firstLine="0"/>
        <w:rPr>
          <w:bCs/>
          <w:sz w:val="24"/>
          <w:szCs w:val="24"/>
        </w:rPr>
      </w:pPr>
      <w:r>
        <w:rPr>
          <w:bCs/>
          <w:sz w:val="24"/>
          <w:szCs w:val="24"/>
        </w:rPr>
        <w:lastRenderedPageBreak/>
        <w:t xml:space="preserve">The integrity of the Determination depends on ensuring the </w:t>
      </w:r>
      <w:r w:rsidR="00287F6D">
        <w:rPr>
          <w:bCs/>
          <w:sz w:val="24"/>
          <w:szCs w:val="24"/>
        </w:rPr>
        <w:t xml:space="preserve">projection of harvesting in the baseline scenario is </w:t>
      </w:r>
      <w:r w:rsidR="00B27431">
        <w:rPr>
          <w:bCs/>
          <w:sz w:val="24"/>
          <w:szCs w:val="24"/>
        </w:rPr>
        <w:t xml:space="preserve">conservative, in the sense of being more likely to underestimate than overestimate the level of harvesting in the project area in the absence of the project. </w:t>
      </w:r>
      <w:r w:rsidR="00855479">
        <w:rPr>
          <w:bCs/>
          <w:sz w:val="24"/>
          <w:szCs w:val="24"/>
        </w:rPr>
        <w:t>Th</w:t>
      </w:r>
      <w:r w:rsidR="009719BF">
        <w:rPr>
          <w:bCs/>
          <w:sz w:val="24"/>
          <w:szCs w:val="24"/>
        </w:rPr>
        <w:t>e Determi</w:t>
      </w:r>
      <w:r w:rsidR="00B106C2">
        <w:rPr>
          <w:bCs/>
          <w:sz w:val="24"/>
          <w:szCs w:val="24"/>
        </w:rPr>
        <w:t>na</w:t>
      </w:r>
      <w:r w:rsidR="009719BF">
        <w:rPr>
          <w:bCs/>
          <w:sz w:val="24"/>
          <w:szCs w:val="24"/>
        </w:rPr>
        <w:t xml:space="preserve">tion achieves this by using a two-part test </w:t>
      </w:r>
      <w:r w:rsidR="000252ED">
        <w:rPr>
          <w:bCs/>
          <w:sz w:val="24"/>
          <w:szCs w:val="24"/>
        </w:rPr>
        <w:t xml:space="preserve">to </w:t>
      </w:r>
      <w:r w:rsidR="009719BF">
        <w:rPr>
          <w:bCs/>
          <w:sz w:val="24"/>
          <w:szCs w:val="24"/>
        </w:rPr>
        <w:t>determine th</w:t>
      </w:r>
      <w:r w:rsidR="000252ED">
        <w:rPr>
          <w:bCs/>
          <w:sz w:val="24"/>
          <w:szCs w:val="24"/>
        </w:rPr>
        <w:t xml:space="preserve">e </w:t>
      </w:r>
      <w:r w:rsidR="008E0A10">
        <w:rPr>
          <w:bCs/>
          <w:sz w:val="24"/>
          <w:szCs w:val="24"/>
        </w:rPr>
        <w:t xml:space="preserve">unmodified </w:t>
      </w:r>
      <w:r w:rsidR="00C309C1">
        <w:rPr>
          <w:bCs/>
          <w:sz w:val="24"/>
          <w:szCs w:val="24"/>
        </w:rPr>
        <w:t xml:space="preserve">sustainable yield </w:t>
      </w:r>
      <w:r w:rsidR="008E0A10">
        <w:rPr>
          <w:bCs/>
          <w:sz w:val="24"/>
          <w:szCs w:val="24"/>
        </w:rPr>
        <w:t xml:space="preserve">that is used to calculate the </w:t>
      </w:r>
      <w:r w:rsidR="000252ED">
        <w:rPr>
          <w:bCs/>
          <w:sz w:val="24"/>
          <w:szCs w:val="24"/>
        </w:rPr>
        <w:t>baseline harvest levels</w:t>
      </w:r>
      <w:r w:rsidR="008E0A10">
        <w:rPr>
          <w:bCs/>
          <w:sz w:val="24"/>
          <w:szCs w:val="24"/>
        </w:rPr>
        <w:t xml:space="preserve"> (modified sustainable yield)</w:t>
      </w:r>
      <w:r w:rsidR="000252ED">
        <w:rPr>
          <w:bCs/>
          <w:sz w:val="24"/>
          <w:szCs w:val="24"/>
        </w:rPr>
        <w:t xml:space="preserve">, whereby the </w:t>
      </w:r>
      <w:r w:rsidR="008E0A10">
        <w:rPr>
          <w:bCs/>
          <w:sz w:val="24"/>
          <w:szCs w:val="24"/>
        </w:rPr>
        <w:t>unmodified sustainable yield</w:t>
      </w:r>
      <w:r w:rsidR="000252ED">
        <w:rPr>
          <w:bCs/>
          <w:sz w:val="24"/>
          <w:szCs w:val="24"/>
        </w:rPr>
        <w:t xml:space="preserve"> is the lower of</w:t>
      </w:r>
      <w:r w:rsidR="00DB0A31">
        <w:rPr>
          <w:bCs/>
          <w:sz w:val="24"/>
          <w:szCs w:val="24"/>
        </w:rPr>
        <w:t>:</w:t>
      </w:r>
      <w:r w:rsidR="000252ED">
        <w:rPr>
          <w:bCs/>
          <w:sz w:val="24"/>
          <w:szCs w:val="24"/>
        </w:rPr>
        <w:t xml:space="preserve"> </w:t>
      </w:r>
    </w:p>
    <w:p w14:paraId="084253B9" w14:textId="77777777" w:rsidR="00D94273" w:rsidRDefault="00D94273" w:rsidP="009D5A62">
      <w:pPr>
        <w:pStyle w:val="subsection"/>
        <w:numPr>
          <w:ilvl w:val="0"/>
          <w:numId w:val="36"/>
        </w:numPr>
        <w:spacing w:before="120" w:after="120"/>
        <w:rPr>
          <w:bCs/>
          <w:sz w:val="24"/>
          <w:szCs w:val="24"/>
        </w:rPr>
      </w:pPr>
      <w:r>
        <w:rPr>
          <w:bCs/>
          <w:sz w:val="24"/>
          <w:szCs w:val="24"/>
        </w:rPr>
        <w:t>the unmodified sustainable yield calculated in accordance with subsections 28(2)(a)-(f); and</w:t>
      </w:r>
    </w:p>
    <w:p w14:paraId="7A7BBD57" w14:textId="36E93A24" w:rsidR="006E2ECD" w:rsidRPr="00D94273" w:rsidRDefault="000252ED" w:rsidP="00D94273">
      <w:pPr>
        <w:pStyle w:val="subsection"/>
        <w:numPr>
          <w:ilvl w:val="0"/>
          <w:numId w:val="36"/>
        </w:numPr>
        <w:spacing w:before="120" w:after="120"/>
        <w:rPr>
          <w:bCs/>
          <w:sz w:val="24"/>
          <w:szCs w:val="24"/>
        </w:rPr>
      </w:pPr>
      <w:r>
        <w:rPr>
          <w:bCs/>
          <w:sz w:val="24"/>
          <w:szCs w:val="24"/>
        </w:rPr>
        <w:t xml:space="preserve">the </w:t>
      </w:r>
      <w:r w:rsidR="004934B4">
        <w:rPr>
          <w:bCs/>
          <w:sz w:val="24"/>
          <w:szCs w:val="24"/>
        </w:rPr>
        <w:t>last sustainable yield published by the responsible State government agency for the project area</w:t>
      </w:r>
      <w:r w:rsidR="00904D53">
        <w:rPr>
          <w:bCs/>
          <w:sz w:val="24"/>
          <w:szCs w:val="24"/>
        </w:rPr>
        <w:t xml:space="preserve"> over the period </w:t>
      </w:r>
      <w:r w:rsidR="00305FF2" w:rsidRPr="00305FF2">
        <w:rPr>
          <w:bCs/>
          <w:sz w:val="24"/>
          <w:szCs w:val="24"/>
        </w:rPr>
        <w:t>1 July 2014 to 30 June 2024</w:t>
      </w:r>
      <w:r w:rsidR="00D94273">
        <w:rPr>
          <w:bCs/>
          <w:sz w:val="24"/>
          <w:szCs w:val="24"/>
        </w:rPr>
        <w:t>.</w:t>
      </w:r>
    </w:p>
    <w:p w14:paraId="75DCF2F0" w14:textId="120C0714" w:rsidR="00A22721" w:rsidRDefault="00DF430D" w:rsidP="00DB00CB">
      <w:pPr>
        <w:pStyle w:val="subsection"/>
        <w:spacing w:before="120" w:after="120"/>
        <w:ind w:left="0" w:firstLine="0"/>
        <w:rPr>
          <w:bCs/>
          <w:sz w:val="24"/>
          <w:szCs w:val="24"/>
        </w:rPr>
      </w:pPr>
      <w:r w:rsidRPr="00DF430D">
        <w:rPr>
          <w:sz w:val="24"/>
          <w:szCs w:val="24"/>
        </w:rPr>
        <w:t>Subsection</w:t>
      </w:r>
      <w:r w:rsidR="00B106C2">
        <w:rPr>
          <w:bCs/>
          <w:sz w:val="24"/>
          <w:szCs w:val="24"/>
        </w:rPr>
        <w:t xml:space="preserve"> 14(1) facilitates the application of this test by making </w:t>
      </w:r>
      <w:r w:rsidR="00953110">
        <w:rPr>
          <w:bCs/>
          <w:sz w:val="24"/>
          <w:szCs w:val="24"/>
        </w:rPr>
        <w:t xml:space="preserve">eligibility contingent on the existence of a </w:t>
      </w:r>
      <w:r w:rsidR="00953110" w:rsidRPr="00904D53">
        <w:rPr>
          <w:bCs/>
          <w:sz w:val="24"/>
          <w:szCs w:val="24"/>
        </w:rPr>
        <w:t xml:space="preserve">sustainable yield </w:t>
      </w:r>
      <w:r w:rsidR="00801CC3">
        <w:rPr>
          <w:bCs/>
          <w:sz w:val="24"/>
          <w:szCs w:val="24"/>
        </w:rPr>
        <w:t xml:space="preserve">for the public native forests in the project area </w:t>
      </w:r>
      <w:r w:rsidR="00953110">
        <w:rPr>
          <w:bCs/>
          <w:sz w:val="24"/>
          <w:szCs w:val="24"/>
        </w:rPr>
        <w:t xml:space="preserve">that </w:t>
      </w:r>
      <w:r w:rsidR="00305FF2">
        <w:rPr>
          <w:bCs/>
          <w:sz w:val="24"/>
          <w:szCs w:val="24"/>
        </w:rPr>
        <w:t>was published</w:t>
      </w:r>
      <w:r w:rsidR="00801CC3">
        <w:rPr>
          <w:bCs/>
          <w:sz w:val="24"/>
          <w:szCs w:val="24"/>
        </w:rPr>
        <w:t xml:space="preserve"> by the </w:t>
      </w:r>
      <w:r w:rsidR="00A22721" w:rsidRPr="00A22721">
        <w:rPr>
          <w:bCs/>
          <w:sz w:val="24"/>
          <w:szCs w:val="24"/>
        </w:rPr>
        <w:t>relevant State government agency</w:t>
      </w:r>
      <w:r w:rsidR="00305FF2">
        <w:rPr>
          <w:bCs/>
          <w:sz w:val="24"/>
          <w:szCs w:val="24"/>
        </w:rPr>
        <w:t xml:space="preserve"> </w:t>
      </w:r>
      <w:r w:rsidR="00305FF2" w:rsidRPr="00305FF2">
        <w:rPr>
          <w:bCs/>
          <w:sz w:val="24"/>
          <w:szCs w:val="24"/>
        </w:rPr>
        <w:t>over the period 1 July 2014 to 30 June 2024</w:t>
      </w:r>
      <w:r w:rsidR="00953110">
        <w:rPr>
          <w:bCs/>
          <w:sz w:val="24"/>
          <w:szCs w:val="24"/>
        </w:rPr>
        <w:t xml:space="preserve">. </w:t>
      </w:r>
    </w:p>
    <w:p w14:paraId="6E479804" w14:textId="72785292" w:rsidR="00A22721" w:rsidRDefault="00DF430D" w:rsidP="00DB00CB">
      <w:pPr>
        <w:pStyle w:val="subsection"/>
        <w:spacing w:before="120" w:after="120"/>
        <w:ind w:left="0" w:firstLine="0"/>
        <w:rPr>
          <w:bCs/>
          <w:sz w:val="24"/>
          <w:szCs w:val="24"/>
        </w:rPr>
      </w:pPr>
      <w:r w:rsidRPr="00DF430D">
        <w:rPr>
          <w:sz w:val="24"/>
          <w:szCs w:val="24"/>
        </w:rPr>
        <w:t>Subsection</w:t>
      </w:r>
      <w:r w:rsidR="00EA6AD5">
        <w:rPr>
          <w:bCs/>
          <w:sz w:val="24"/>
          <w:szCs w:val="24"/>
        </w:rPr>
        <w:t xml:space="preserve"> 14(2) requires the </w:t>
      </w:r>
      <w:r w:rsidR="00EA6AD5" w:rsidRPr="00904D53">
        <w:rPr>
          <w:bCs/>
          <w:sz w:val="24"/>
          <w:szCs w:val="24"/>
        </w:rPr>
        <w:t xml:space="preserve">sustainable yield </w:t>
      </w:r>
      <w:r w:rsidR="00EA6AD5">
        <w:rPr>
          <w:bCs/>
          <w:sz w:val="24"/>
          <w:szCs w:val="24"/>
        </w:rPr>
        <w:t xml:space="preserve">to </w:t>
      </w:r>
      <w:r w:rsidR="00EA6AD5" w:rsidRPr="00EA6AD5">
        <w:rPr>
          <w:bCs/>
          <w:sz w:val="24"/>
          <w:szCs w:val="24"/>
        </w:rPr>
        <w:t xml:space="preserve">cover the sustainable yield for each financial year in the period of 15 years from the </w:t>
      </w:r>
      <w:r w:rsidR="00A22721">
        <w:rPr>
          <w:bCs/>
          <w:sz w:val="24"/>
          <w:szCs w:val="24"/>
        </w:rPr>
        <w:t>date of project registration.</w:t>
      </w:r>
    </w:p>
    <w:p w14:paraId="47F17844" w14:textId="0D048FBF" w:rsidR="00B106C2" w:rsidRPr="002A6D5D" w:rsidRDefault="00953110" w:rsidP="00DB00CB">
      <w:pPr>
        <w:pStyle w:val="subsection"/>
        <w:spacing w:before="120" w:after="120"/>
        <w:ind w:left="0" w:firstLine="0"/>
        <w:rPr>
          <w:bCs/>
          <w:sz w:val="24"/>
          <w:szCs w:val="24"/>
        </w:rPr>
      </w:pPr>
      <w:r w:rsidRPr="002A6D5D">
        <w:rPr>
          <w:bCs/>
          <w:sz w:val="24"/>
          <w:szCs w:val="24"/>
        </w:rPr>
        <w:t xml:space="preserve">If there is no </w:t>
      </w:r>
      <w:r w:rsidR="00193968">
        <w:rPr>
          <w:bCs/>
          <w:sz w:val="24"/>
          <w:szCs w:val="24"/>
        </w:rPr>
        <w:t xml:space="preserve">published </w:t>
      </w:r>
      <w:r w:rsidRPr="002A6D5D">
        <w:rPr>
          <w:bCs/>
          <w:sz w:val="24"/>
          <w:szCs w:val="24"/>
        </w:rPr>
        <w:t xml:space="preserve">sustainable yield </w:t>
      </w:r>
      <w:r w:rsidR="009A36AF" w:rsidRPr="002A6D5D">
        <w:rPr>
          <w:bCs/>
          <w:sz w:val="24"/>
          <w:szCs w:val="24"/>
        </w:rPr>
        <w:t>that meets these requirements for the relevant public native forests</w:t>
      </w:r>
      <w:r w:rsidRPr="002A6D5D">
        <w:rPr>
          <w:bCs/>
          <w:sz w:val="24"/>
          <w:szCs w:val="24"/>
        </w:rPr>
        <w:t xml:space="preserve">, the </w:t>
      </w:r>
      <w:r w:rsidR="00C2319F" w:rsidRPr="002A6D5D">
        <w:rPr>
          <w:bCs/>
          <w:sz w:val="24"/>
          <w:szCs w:val="24"/>
        </w:rPr>
        <w:t>forests cannot be included in an INFM project.</w:t>
      </w:r>
    </w:p>
    <w:p w14:paraId="4AE0EA27" w14:textId="1B5B1D57" w:rsidR="00FF77BF" w:rsidRPr="002A6D5D" w:rsidRDefault="00DF430D" w:rsidP="00DB00CB">
      <w:pPr>
        <w:pStyle w:val="subsection"/>
        <w:spacing w:before="120" w:after="120"/>
        <w:ind w:left="0" w:firstLine="0"/>
        <w:rPr>
          <w:sz w:val="24"/>
          <w:szCs w:val="24"/>
        </w:rPr>
      </w:pPr>
      <w:r w:rsidRPr="00DF430D">
        <w:rPr>
          <w:sz w:val="24"/>
          <w:szCs w:val="24"/>
        </w:rPr>
        <w:t xml:space="preserve">Subsection </w:t>
      </w:r>
      <w:r w:rsidR="009A36AF" w:rsidRPr="00183C96">
        <w:rPr>
          <w:sz w:val="24"/>
          <w:szCs w:val="24"/>
        </w:rPr>
        <w:t xml:space="preserve">14(3) </w:t>
      </w:r>
      <w:r w:rsidR="002A6D5D" w:rsidRPr="00183C96">
        <w:rPr>
          <w:sz w:val="24"/>
          <w:szCs w:val="24"/>
        </w:rPr>
        <w:t>clarifies that, i</w:t>
      </w:r>
      <w:r w:rsidR="00FF77BF" w:rsidRPr="00183C96">
        <w:rPr>
          <w:sz w:val="24"/>
          <w:szCs w:val="24"/>
        </w:rPr>
        <w:t xml:space="preserve">f more than one </w:t>
      </w:r>
      <w:r w:rsidR="00F07728">
        <w:rPr>
          <w:sz w:val="24"/>
          <w:szCs w:val="24"/>
        </w:rPr>
        <w:t xml:space="preserve">relevant </w:t>
      </w:r>
      <w:r w:rsidR="00FF77BF" w:rsidRPr="00183C96">
        <w:rPr>
          <w:sz w:val="24"/>
          <w:szCs w:val="24"/>
        </w:rPr>
        <w:t xml:space="preserve">sustainable yield was published by the relevant State government agency over the period 1 July 2014 to 30 June 2024, the most recent estimate is to be used </w:t>
      </w:r>
      <w:r w:rsidR="002A6D5D" w:rsidRPr="00183C96">
        <w:rPr>
          <w:sz w:val="24"/>
          <w:szCs w:val="24"/>
        </w:rPr>
        <w:t>for the purposes of the Determ</w:t>
      </w:r>
      <w:r w:rsidR="00703EE2">
        <w:rPr>
          <w:sz w:val="24"/>
          <w:szCs w:val="24"/>
        </w:rPr>
        <w:t>in</w:t>
      </w:r>
      <w:r w:rsidR="002A6D5D" w:rsidRPr="00183C96">
        <w:rPr>
          <w:sz w:val="24"/>
          <w:szCs w:val="24"/>
        </w:rPr>
        <w:t>ation</w:t>
      </w:r>
      <w:r w:rsidR="00024238">
        <w:rPr>
          <w:sz w:val="24"/>
          <w:szCs w:val="24"/>
        </w:rPr>
        <w:t xml:space="preserve"> (i.e. in setting the baseline harvest level)</w:t>
      </w:r>
      <w:r w:rsidR="00FF77BF" w:rsidRPr="00183C96">
        <w:rPr>
          <w:sz w:val="24"/>
          <w:szCs w:val="24"/>
        </w:rPr>
        <w:t>.</w:t>
      </w:r>
    </w:p>
    <w:p w14:paraId="755EDFF2" w14:textId="1E911DE3" w:rsidR="002A6D5D" w:rsidRPr="0060656E" w:rsidRDefault="00CC78A0"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2A6D5D" w:rsidRPr="0060656E">
        <w:rPr>
          <w:rFonts w:ascii="Times New Roman" w:hAnsi="Times New Roman" w:cs="Times New Roman"/>
          <w:sz w:val="24"/>
          <w:szCs w:val="24"/>
          <w:u w:val="single"/>
        </w:rPr>
        <w:t>1</w:t>
      </w:r>
      <w:r w:rsidR="002A6D5D">
        <w:rPr>
          <w:rFonts w:ascii="Times New Roman" w:hAnsi="Times New Roman" w:cs="Times New Roman"/>
          <w:sz w:val="24"/>
          <w:szCs w:val="24"/>
          <w:u w:val="single"/>
        </w:rPr>
        <w:t>5</w:t>
      </w:r>
      <w:r w:rsidR="002A6D5D" w:rsidRPr="0060656E">
        <w:rPr>
          <w:rFonts w:ascii="Times New Roman" w:hAnsi="Times New Roman" w:cs="Times New Roman"/>
          <w:sz w:val="24"/>
          <w:szCs w:val="24"/>
          <w:u w:val="single"/>
        </w:rPr>
        <w:t xml:space="preserve"> </w:t>
      </w:r>
      <w:r w:rsidR="002A6D5D">
        <w:rPr>
          <w:rFonts w:ascii="Times New Roman" w:hAnsi="Times New Roman" w:cs="Times New Roman"/>
          <w:sz w:val="24"/>
          <w:szCs w:val="24"/>
          <w:u w:val="single"/>
        </w:rPr>
        <w:t>–</w:t>
      </w:r>
      <w:r w:rsidR="002A6D5D" w:rsidRPr="0060656E">
        <w:rPr>
          <w:rFonts w:ascii="Times New Roman" w:hAnsi="Times New Roman" w:cs="Times New Roman"/>
          <w:sz w:val="24"/>
          <w:szCs w:val="24"/>
          <w:u w:val="single"/>
        </w:rPr>
        <w:t xml:space="preserve"> </w:t>
      </w:r>
      <w:r w:rsidR="003F0D40" w:rsidRPr="003F0D40">
        <w:rPr>
          <w:rFonts w:ascii="Times New Roman" w:hAnsi="Times New Roman" w:cs="Times New Roman"/>
          <w:sz w:val="24"/>
          <w:szCs w:val="24"/>
          <w:u w:val="single"/>
        </w:rPr>
        <w:t>Project area mapping</w:t>
      </w:r>
    </w:p>
    <w:p w14:paraId="3B0B452A" w14:textId="77777777" w:rsidR="00D72880" w:rsidRPr="00514B10" w:rsidRDefault="00997351" w:rsidP="00DB00CB">
      <w:pPr>
        <w:pStyle w:val="subsection"/>
        <w:spacing w:before="120" w:after="120"/>
        <w:ind w:left="0" w:firstLine="0"/>
        <w:rPr>
          <w:sz w:val="24"/>
          <w:szCs w:val="24"/>
        </w:rPr>
      </w:pPr>
      <w:r w:rsidRPr="00514B10">
        <w:rPr>
          <w:bCs/>
          <w:sz w:val="24"/>
          <w:szCs w:val="24"/>
        </w:rPr>
        <w:t xml:space="preserve">Section 15 requires </w:t>
      </w:r>
      <w:r w:rsidR="00DB5B2D" w:rsidRPr="00514B10">
        <w:rPr>
          <w:bCs/>
          <w:sz w:val="24"/>
          <w:szCs w:val="24"/>
        </w:rPr>
        <w:t xml:space="preserve">an application for the registration of a INFM project to be accompanied </w:t>
      </w:r>
      <w:r w:rsidR="000D35A1" w:rsidRPr="00514B10">
        <w:rPr>
          <w:bCs/>
          <w:sz w:val="24"/>
          <w:szCs w:val="24"/>
        </w:rPr>
        <w:t xml:space="preserve">by a </w:t>
      </w:r>
      <w:r w:rsidR="000D35A1" w:rsidRPr="00514B10">
        <w:rPr>
          <w:sz w:val="24"/>
          <w:szCs w:val="24"/>
        </w:rPr>
        <w:t>geospatial map of the project area that includes the</w:t>
      </w:r>
      <w:r w:rsidR="00D72880" w:rsidRPr="00514B10">
        <w:rPr>
          <w:sz w:val="24"/>
          <w:szCs w:val="24"/>
        </w:rPr>
        <w:t>:</w:t>
      </w:r>
      <w:r w:rsidR="000D35A1" w:rsidRPr="00514B10">
        <w:rPr>
          <w:sz w:val="24"/>
          <w:szCs w:val="24"/>
        </w:rPr>
        <w:t xml:space="preserve"> </w:t>
      </w:r>
    </w:p>
    <w:p w14:paraId="141B3AB3" w14:textId="304A0C52" w:rsidR="00FF77BF" w:rsidRPr="00514B10" w:rsidRDefault="004F0740" w:rsidP="009D5A62">
      <w:pPr>
        <w:pStyle w:val="subsection"/>
        <w:numPr>
          <w:ilvl w:val="0"/>
          <w:numId w:val="27"/>
        </w:numPr>
        <w:spacing w:before="120" w:after="120"/>
        <w:rPr>
          <w:bCs/>
          <w:sz w:val="24"/>
          <w:szCs w:val="24"/>
        </w:rPr>
      </w:pPr>
      <w:r w:rsidRPr="00514B10">
        <w:rPr>
          <w:sz w:val="24"/>
          <w:szCs w:val="24"/>
        </w:rPr>
        <w:t>boundaries of the project area, the forestry region(s) in which the project area is located</w:t>
      </w:r>
      <w:r w:rsidR="00D72880" w:rsidRPr="00514B10">
        <w:rPr>
          <w:sz w:val="24"/>
          <w:szCs w:val="24"/>
        </w:rPr>
        <w:t xml:space="preserve"> and </w:t>
      </w:r>
      <w:r w:rsidR="00257E6F" w:rsidRPr="00514B10">
        <w:rPr>
          <w:sz w:val="24"/>
          <w:szCs w:val="24"/>
        </w:rPr>
        <w:t xml:space="preserve">any proposed carbon protection </w:t>
      </w:r>
      <w:proofErr w:type="gramStart"/>
      <w:r w:rsidR="00257E6F" w:rsidRPr="00514B10">
        <w:rPr>
          <w:sz w:val="24"/>
          <w:szCs w:val="24"/>
        </w:rPr>
        <w:t>area</w:t>
      </w:r>
      <w:r w:rsidR="00D72880" w:rsidRPr="00514B10">
        <w:rPr>
          <w:sz w:val="24"/>
          <w:szCs w:val="24"/>
        </w:rPr>
        <w:t>;</w:t>
      </w:r>
      <w:proofErr w:type="gramEnd"/>
      <w:r w:rsidR="00D72880" w:rsidRPr="00514B10">
        <w:rPr>
          <w:sz w:val="24"/>
          <w:szCs w:val="24"/>
        </w:rPr>
        <w:t xml:space="preserve"> </w:t>
      </w:r>
    </w:p>
    <w:p w14:paraId="36529F56" w14:textId="77777777" w:rsidR="00D72880" w:rsidRPr="00514B10" w:rsidRDefault="00262D12" w:rsidP="009D5A62">
      <w:pPr>
        <w:pStyle w:val="subsection"/>
        <w:numPr>
          <w:ilvl w:val="0"/>
          <w:numId w:val="27"/>
        </w:numPr>
        <w:spacing w:before="120" w:after="120"/>
        <w:rPr>
          <w:sz w:val="24"/>
          <w:szCs w:val="24"/>
        </w:rPr>
      </w:pPr>
      <w:r w:rsidRPr="00514B10">
        <w:rPr>
          <w:sz w:val="24"/>
          <w:szCs w:val="24"/>
        </w:rPr>
        <w:t xml:space="preserve">the </w:t>
      </w:r>
      <w:r w:rsidR="00D72880" w:rsidRPr="00514B10">
        <w:rPr>
          <w:sz w:val="24"/>
          <w:szCs w:val="24"/>
        </w:rPr>
        <w:t xml:space="preserve">spatial distribution of </w:t>
      </w:r>
      <w:r w:rsidRPr="00514B10">
        <w:rPr>
          <w:sz w:val="24"/>
          <w:szCs w:val="24"/>
        </w:rPr>
        <w:t>major vegetation groups in the project area</w:t>
      </w:r>
      <w:r w:rsidR="00D72880" w:rsidRPr="00514B10">
        <w:rPr>
          <w:sz w:val="24"/>
          <w:szCs w:val="24"/>
        </w:rPr>
        <w:t xml:space="preserve">; and </w:t>
      </w:r>
    </w:p>
    <w:p w14:paraId="79F36739" w14:textId="75859FE5" w:rsidR="0060656E" w:rsidRPr="00514B10" w:rsidRDefault="00262D12" w:rsidP="009D5A62">
      <w:pPr>
        <w:pStyle w:val="subsection"/>
        <w:numPr>
          <w:ilvl w:val="0"/>
          <w:numId w:val="27"/>
        </w:numPr>
        <w:spacing w:before="120" w:after="120"/>
        <w:rPr>
          <w:sz w:val="24"/>
          <w:szCs w:val="24"/>
        </w:rPr>
      </w:pPr>
      <w:r w:rsidRPr="00514B10">
        <w:rPr>
          <w:sz w:val="24"/>
          <w:szCs w:val="24"/>
        </w:rPr>
        <w:t>the age class of the public native forests in the project area</w:t>
      </w:r>
      <w:r w:rsidR="00D72880" w:rsidRPr="00514B10">
        <w:rPr>
          <w:sz w:val="24"/>
          <w:szCs w:val="24"/>
        </w:rPr>
        <w:t>,</w:t>
      </w:r>
      <w:r w:rsidRPr="00514B10">
        <w:rPr>
          <w:sz w:val="24"/>
          <w:szCs w:val="24"/>
        </w:rPr>
        <w:t xml:space="preserve"> by major vegetation groups (set out separately for carbon protection areas and other areas)</w:t>
      </w:r>
      <w:r w:rsidR="00D72880" w:rsidRPr="00514B10">
        <w:rPr>
          <w:sz w:val="24"/>
          <w:szCs w:val="24"/>
        </w:rPr>
        <w:t xml:space="preserve">. </w:t>
      </w:r>
    </w:p>
    <w:p w14:paraId="18CCBF22" w14:textId="230F8371" w:rsidR="00514B10" w:rsidRPr="00514B10" w:rsidRDefault="00DF430D" w:rsidP="00DB00CB">
      <w:pPr>
        <w:pStyle w:val="subsection"/>
        <w:spacing w:before="120" w:after="120"/>
        <w:ind w:left="0" w:firstLine="0"/>
        <w:rPr>
          <w:sz w:val="24"/>
          <w:szCs w:val="24"/>
        </w:rPr>
      </w:pPr>
      <w:r w:rsidRPr="00DF430D">
        <w:rPr>
          <w:sz w:val="24"/>
          <w:szCs w:val="24"/>
        </w:rPr>
        <w:t>Subsection</w:t>
      </w:r>
      <w:r w:rsidR="00514B10" w:rsidRPr="00514B10">
        <w:rPr>
          <w:sz w:val="24"/>
          <w:szCs w:val="24"/>
        </w:rPr>
        <w:t xml:space="preserve"> 15(</w:t>
      </w:r>
      <w:r w:rsidR="006462DB">
        <w:rPr>
          <w:sz w:val="24"/>
          <w:szCs w:val="24"/>
        </w:rPr>
        <w:t>6</w:t>
      </w:r>
      <w:r w:rsidR="00514B10" w:rsidRPr="00514B10">
        <w:rPr>
          <w:sz w:val="24"/>
          <w:szCs w:val="24"/>
        </w:rPr>
        <w:t xml:space="preserve">) requires the </w:t>
      </w:r>
      <w:r w:rsidR="00A5754D" w:rsidRPr="00514B10">
        <w:rPr>
          <w:sz w:val="24"/>
          <w:szCs w:val="24"/>
        </w:rPr>
        <w:t xml:space="preserve">project map </w:t>
      </w:r>
      <w:r w:rsidR="00514B10" w:rsidRPr="00514B10">
        <w:rPr>
          <w:sz w:val="24"/>
          <w:szCs w:val="24"/>
        </w:rPr>
        <w:t>to</w:t>
      </w:r>
      <w:r w:rsidR="00A5754D" w:rsidRPr="00514B10">
        <w:rPr>
          <w:sz w:val="24"/>
          <w:szCs w:val="24"/>
        </w:rPr>
        <w:t xml:space="preserve"> be revised </w:t>
      </w:r>
      <w:r w:rsidR="00514B10" w:rsidRPr="00514B10">
        <w:rPr>
          <w:sz w:val="24"/>
          <w:szCs w:val="24"/>
        </w:rPr>
        <w:t xml:space="preserve">if the </w:t>
      </w:r>
      <w:r w:rsidR="00A5754D" w:rsidRPr="00514B10">
        <w:rPr>
          <w:sz w:val="24"/>
          <w:szCs w:val="24"/>
        </w:rPr>
        <w:t xml:space="preserve">project area </w:t>
      </w:r>
      <w:r w:rsidR="00514B10" w:rsidRPr="00514B10">
        <w:rPr>
          <w:sz w:val="24"/>
          <w:szCs w:val="24"/>
        </w:rPr>
        <w:t>i</w:t>
      </w:r>
      <w:r w:rsidR="001D159C">
        <w:rPr>
          <w:sz w:val="24"/>
          <w:szCs w:val="24"/>
        </w:rPr>
        <w:t>s</w:t>
      </w:r>
      <w:r w:rsidR="00514B10" w:rsidRPr="00514B10">
        <w:rPr>
          <w:sz w:val="24"/>
          <w:szCs w:val="24"/>
        </w:rPr>
        <w:t xml:space="preserve"> </w:t>
      </w:r>
      <w:r w:rsidR="001D159C">
        <w:rPr>
          <w:sz w:val="24"/>
          <w:szCs w:val="24"/>
        </w:rPr>
        <w:t>varied</w:t>
      </w:r>
      <w:r w:rsidR="00A5754D" w:rsidRPr="00514B10">
        <w:rPr>
          <w:sz w:val="24"/>
          <w:szCs w:val="24"/>
        </w:rPr>
        <w:t>.</w:t>
      </w:r>
    </w:p>
    <w:p w14:paraId="6744895A" w14:textId="2D442654" w:rsidR="00132744" w:rsidRDefault="00DF430D" w:rsidP="00DB00CB">
      <w:pPr>
        <w:pStyle w:val="subsection"/>
        <w:spacing w:before="120" w:after="120"/>
        <w:ind w:left="0" w:firstLine="0"/>
        <w:rPr>
          <w:sz w:val="24"/>
          <w:szCs w:val="24"/>
        </w:rPr>
      </w:pPr>
      <w:r w:rsidRPr="00DF430D">
        <w:rPr>
          <w:sz w:val="24"/>
          <w:szCs w:val="24"/>
        </w:rPr>
        <w:t>Subsection</w:t>
      </w:r>
      <w:r w:rsidR="00514B10" w:rsidRPr="00514B10">
        <w:rPr>
          <w:sz w:val="24"/>
          <w:szCs w:val="24"/>
        </w:rPr>
        <w:t xml:space="preserve"> 15(</w:t>
      </w:r>
      <w:r w:rsidR="006462DB">
        <w:rPr>
          <w:sz w:val="24"/>
          <w:szCs w:val="24"/>
        </w:rPr>
        <w:t>7</w:t>
      </w:r>
      <w:r w:rsidR="00514B10" w:rsidRPr="00514B10">
        <w:rPr>
          <w:sz w:val="24"/>
          <w:szCs w:val="24"/>
        </w:rPr>
        <w:t>) provides that t</w:t>
      </w:r>
      <w:r w:rsidR="00A5754D" w:rsidRPr="00514B10">
        <w:rPr>
          <w:sz w:val="24"/>
          <w:szCs w:val="24"/>
        </w:rPr>
        <w:t>he project map must be prepared in accordance with the Mapping Guidelines, as published from time to time on the Department’s website.</w:t>
      </w:r>
    </w:p>
    <w:p w14:paraId="4BCB4B12" w14:textId="26D70FCA" w:rsidR="00732F7D" w:rsidRPr="0060656E" w:rsidRDefault="00CC78A0"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732F7D" w:rsidRPr="0060656E">
        <w:rPr>
          <w:rFonts w:ascii="Times New Roman" w:hAnsi="Times New Roman" w:cs="Times New Roman"/>
          <w:sz w:val="24"/>
          <w:szCs w:val="24"/>
          <w:u w:val="single"/>
        </w:rPr>
        <w:t>1</w:t>
      </w:r>
      <w:r w:rsidR="00732F7D">
        <w:rPr>
          <w:rFonts w:ascii="Times New Roman" w:hAnsi="Times New Roman" w:cs="Times New Roman"/>
          <w:sz w:val="24"/>
          <w:szCs w:val="24"/>
          <w:u w:val="single"/>
        </w:rPr>
        <w:t>6</w:t>
      </w:r>
      <w:r w:rsidR="00732F7D" w:rsidRPr="0060656E">
        <w:rPr>
          <w:rFonts w:ascii="Times New Roman" w:hAnsi="Times New Roman" w:cs="Times New Roman"/>
          <w:sz w:val="24"/>
          <w:szCs w:val="24"/>
          <w:u w:val="single"/>
        </w:rPr>
        <w:t xml:space="preserve"> </w:t>
      </w:r>
      <w:r w:rsidR="00732F7D">
        <w:rPr>
          <w:rFonts w:ascii="Times New Roman" w:hAnsi="Times New Roman" w:cs="Times New Roman"/>
          <w:sz w:val="24"/>
          <w:szCs w:val="24"/>
          <w:u w:val="single"/>
        </w:rPr>
        <w:t>–</w:t>
      </w:r>
      <w:r w:rsidR="00732F7D" w:rsidRPr="0060656E">
        <w:rPr>
          <w:rFonts w:ascii="Times New Roman" w:hAnsi="Times New Roman" w:cs="Times New Roman"/>
          <w:sz w:val="24"/>
          <w:szCs w:val="24"/>
          <w:u w:val="single"/>
        </w:rPr>
        <w:t xml:space="preserve"> </w:t>
      </w:r>
      <w:r w:rsidR="00732F7D" w:rsidRPr="003F0D40">
        <w:rPr>
          <w:rFonts w:ascii="Times New Roman" w:hAnsi="Times New Roman" w:cs="Times New Roman"/>
          <w:sz w:val="24"/>
          <w:szCs w:val="24"/>
          <w:u w:val="single"/>
        </w:rPr>
        <w:t xml:space="preserve">Project </w:t>
      </w:r>
      <w:r w:rsidR="00732F7D">
        <w:rPr>
          <w:rFonts w:ascii="Times New Roman" w:hAnsi="Times New Roman" w:cs="Times New Roman"/>
          <w:sz w:val="24"/>
          <w:szCs w:val="24"/>
          <w:u w:val="single"/>
        </w:rPr>
        <w:t>proponent</w:t>
      </w:r>
    </w:p>
    <w:p w14:paraId="15E9A74D" w14:textId="1948F5FD" w:rsidR="00732F7D" w:rsidRDefault="008A521E" w:rsidP="00DB00CB">
      <w:pPr>
        <w:pStyle w:val="subsection"/>
        <w:spacing w:before="120" w:after="120"/>
        <w:ind w:left="0" w:firstLine="0"/>
        <w:rPr>
          <w:sz w:val="24"/>
          <w:szCs w:val="24"/>
        </w:rPr>
      </w:pPr>
      <w:r w:rsidRPr="005E19FA">
        <w:rPr>
          <w:sz w:val="24"/>
          <w:szCs w:val="24"/>
        </w:rPr>
        <w:t xml:space="preserve">Section 16 provides that the proponent of an INFM project must be the </w:t>
      </w:r>
      <w:r w:rsidR="00732F7D" w:rsidRPr="005E19FA">
        <w:rPr>
          <w:sz w:val="24"/>
          <w:szCs w:val="24"/>
        </w:rPr>
        <w:t xml:space="preserve">government of the State in which the public native forests </w:t>
      </w:r>
      <w:r w:rsidR="001A3CFC" w:rsidRPr="005E19FA">
        <w:rPr>
          <w:sz w:val="24"/>
          <w:szCs w:val="24"/>
        </w:rPr>
        <w:t xml:space="preserve">in the project area </w:t>
      </w:r>
      <w:r w:rsidR="00732F7D" w:rsidRPr="005E19FA">
        <w:rPr>
          <w:sz w:val="24"/>
          <w:szCs w:val="24"/>
        </w:rPr>
        <w:t>are located or an authority of the State designated by that government</w:t>
      </w:r>
      <w:r w:rsidR="0041217A">
        <w:rPr>
          <w:sz w:val="24"/>
          <w:szCs w:val="24"/>
        </w:rPr>
        <w:t xml:space="preserve"> – for example, if the project involves carbon protection areas, this could be the authority responsible for national park management. </w:t>
      </w:r>
    </w:p>
    <w:p w14:paraId="4C082230" w14:textId="1A17A8B8" w:rsidR="000E7C54" w:rsidRPr="000E7C54" w:rsidRDefault="00CC78A0"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0E7C54" w:rsidRPr="000E7C54">
        <w:rPr>
          <w:rFonts w:ascii="Times New Roman" w:hAnsi="Times New Roman" w:cs="Times New Roman"/>
          <w:sz w:val="24"/>
          <w:szCs w:val="24"/>
          <w:u w:val="single"/>
        </w:rPr>
        <w:t>17 – Permanence period for project of 100 years</w:t>
      </w:r>
    </w:p>
    <w:p w14:paraId="753A6811" w14:textId="4E49BB4F" w:rsidR="00383BCB" w:rsidRDefault="004B4A58" w:rsidP="00DB00CB">
      <w:pPr>
        <w:pStyle w:val="subsection"/>
        <w:spacing w:before="120" w:after="120"/>
        <w:ind w:left="0" w:firstLine="0"/>
        <w:rPr>
          <w:sz w:val="24"/>
          <w:szCs w:val="24"/>
        </w:rPr>
      </w:pPr>
      <w:r>
        <w:rPr>
          <w:sz w:val="24"/>
          <w:szCs w:val="24"/>
        </w:rPr>
        <w:t xml:space="preserve">Under section 23 of the CFI Act, an application for the registration of a sequestration offsets project </w:t>
      </w:r>
      <w:r w:rsidR="00004FDD">
        <w:rPr>
          <w:sz w:val="24"/>
          <w:szCs w:val="24"/>
        </w:rPr>
        <w:t xml:space="preserve">must request the project be treated as either a 100-year or 25-year permanence </w:t>
      </w:r>
      <w:r w:rsidR="00383BCB">
        <w:rPr>
          <w:sz w:val="24"/>
          <w:szCs w:val="24"/>
        </w:rPr>
        <w:t xml:space="preserve">period </w:t>
      </w:r>
      <w:r w:rsidR="00004FDD">
        <w:rPr>
          <w:sz w:val="24"/>
          <w:szCs w:val="24"/>
        </w:rPr>
        <w:t>project</w:t>
      </w:r>
      <w:r w:rsidR="00383BCB">
        <w:rPr>
          <w:sz w:val="24"/>
          <w:szCs w:val="24"/>
        </w:rPr>
        <w:t xml:space="preserve">. Under </w:t>
      </w:r>
      <w:r w:rsidR="00CC78A0">
        <w:rPr>
          <w:sz w:val="24"/>
          <w:szCs w:val="24"/>
        </w:rPr>
        <w:t>sub</w:t>
      </w:r>
      <w:r w:rsidR="00383BCB">
        <w:rPr>
          <w:sz w:val="24"/>
          <w:szCs w:val="24"/>
        </w:rPr>
        <w:t xml:space="preserve">section 27(3) </w:t>
      </w:r>
      <w:r w:rsidR="00116F21">
        <w:rPr>
          <w:sz w:val="24"/>
          <w:szCs w:val="24"/>
        </w:rPr>
        <w:t xml:space="preserve">of the CFI Act, when the Regulator </w:t>
      </w:r>
      <w:r w:rsidR="004B2B09">
        <w:rPr>
          <w:sz w:val="24"/>
          <w:szCs w:val="24"/>
        </w:rPr>
        <w:t xml:space="preserve">registers </w:t>
      </w:r>
      <w:r w:rsidR="00116F21">
        <w:rPr>
          <w:sz w:val="24"/>
          <w:szCs w:val="24"/>
        </w:rPr>
        <w:t xml:space="preserve">a </w:t>
      </w:r>
      <w:r w:rsidR="008F3C4C">
        <w:rPr>
          <w:sz w:val="24"/>
          <w:szCs w:val="24"/>
        </w:rPr>
        <w:t xml:space="preserve">sequestration </w:t>
      </w:r>
      <w:r w:rsidR="008F3C4C">
        <w:rPr>
          <w:sz w:val="24"/>
          <w:szCs w:val="24"/>
        </w:rPr>
        <w:lastRenderedPageBreak/>
        <w:t xml:space="preserve">offsets project, </w:t>
      </w:r>
      <w:r w:rsidR="00216FAC">
        <w:rPr>
          <w:sz w:val="24"/>
          <w:szCs w:val="24"/>
        </w:rPr>
        <w:t>it must</w:t>
      </w:r>
      <w:r w:rsidR="008F3C4C">
        <w:rPr>
          <w:sz w:val="24"/>
          <w:szCs w:val="24"/>
        </w:rPr>
        <w:t xml:space="preserve"> declare the project to be either a 100-year or 25-year permanence period project, based on the </w:t>
      </w:r>
      <w:r w:rsidR="00AA2092">
        <w:rPr>
          <w:sz w:val="24"/>
          <w:szCs w:val="24"/>
        </w:rPr>
        <w:t xml:space="preserve">project </w:t>
      </w:r>
      <w:proofErr w:type="gramStart"/>
      <w:r w:rsidR="00AA2092">
        <w:rPr>
          <w:sz w:val="24"/>
          <w:szCs w:val="24"/>
        </w:rPr>
        <w:t>proponents</w:t>
      </w:r>
      <w:proofErr w:type="gramEnd"/>
      <w:r w:rsidR="00AA2092">
        <w:rPr>
          <w:sz w:val="24"/>
          <w:szCs w:val="24"/>
        </w:rPr>
        <w:t xml:space="preserve"> request.</w:t>
      </w:r>
    </w:p>
    <w:p w14:paraId="7332BC42" w14:textId="729E104E" w:rsidR="00AA2092" w:rsidRPr="002B7FD2" w:rsidRDefault="00AA2092" w:rsidP="00DB00CB">
      <w:pPr>
        <w:pStyle w:val="subsection"/>
        <w:spacing w:before="120" w:after="120"/>
        <w:ind w:left="0" w:firstLine="0"/>
        <w:rPr>
          <w:sz w:val="24"/>
          <w:szCs w:val="24"/>
        </w:rPr>
      </w:pPr>
      <w:r>
        <w:rPr>
          <w:sz w:val="24"/>
          <w:szCs w:val="24"/>
        </w:rPr>
        <w:t xml:space="preserve">An important integrity element of the Determination is the requirement for all INFM projects to be 100-year permanence period projects. </w:t>
      </w:r>
      <w:r w:rsidR="008D5246">
        <w:rPr>
          <w:sz w:val="24"/>
          <w:szCs w:val="24"/>
        </w:rPr>
        <w:t xml:space="preserve">This </w:t>
      </w:r>
      <w:r w:rsidR="00165C92">
        <w:rPr>
          <w:sz w:val="24"/>
          <w:szCs w:val="24"/>
        </w:rPr>
        <w:t>assures the credited carbon stocks persist for at least 100 years</w:t>
      </w:r>
      <w:r w:rsidR="006D17F0">
        <w:rPr>
          <w:sz w:val="24"/>
          <w:szCs w:val="24"/>
        </w:rPr>
        <w:t xml:space="preserve">. The 100-year permanence period, in combination with the </w:t>
      </w:r>
      <w:r w:rsidR="006D17F0" w:rsidRPr="006D17F0">
        <w:rPr>
          <w:sz w:val="24"/>
          <w:szCs w:val="24"/>
        </w:rPr>
        <w:t>15-year crediting period</w:t>
      </w:r>
      <w:r w:rsidR="006D17F0">
        <w:rPr>
          <w:sz w:val="24"/>
          <w:szCs w:val="24"/>
        </w:rPr>
        <w:t>, also</w:t>
      </w:r>
      <w:r w:rsidR="006D17F0" w:rsidRPr="006D17F0">
        <w:rPr>
          <w:sz w:val="24"/>
          <w:szCs w:val="24"/>
        </w:rPr>
        <w:t xml:space="preserve"> provide </w:t>
      </w:r>
      <w:r w:rsidR="00F8282C">
        <w:rPr>
          <w:sz w:val="24"/>
          <w:szCs w:val="24"/>
        </w:rPr>
        <w:t xml:space="preserve">further </w:t>
      </w:r>
      <w:r w:rsidR="00F8282C" w:rsidRPr="002B7FD2">
        <w:rPr>
          <w:sz w:val="24"/>
          <w:szCs w:val="24"/>
        </w:rPr>
        <w:t>assurance of additionality</w:t>
      </w:r>
      <w:r w:rsidR="002B7FD2" w:rsidRPr="002B7FD2">
        <w:rPr>
          <w:sz w:val="24"/>
          <w:szCs w:val="24"/>
        </w:rPr>
        <w:t xml:space="preserve"> </w:t>
      </w:r>
      <w:r w:rsidR="002B7FD2" w:rsidRPr="002B7FD2">
        <w:rPr>
          <w:bCs/>
          <w:sz w:val="24"/>
          <w:szCs w:val="24"/>
          <w:shd w:val="clear" w:color="auto" w:fill="FFFFFF"/>
        </w:rPr>
        <w:t xml:space="preserve">(e.g. the 100-year permanence period avoids any potential resumption of harvesting, while the 15-year crediting period ensures this </w:t>
      </w:r>
      <w:r w:rsidR="00632C87">
        <w:rPr>
          <w:bCs/>
          <w:sz w:val="24"/>
          <w:szCs w:val="24"/>
          <w:shd w:val="clear" w:color="auto" w:fill="FFFFFF"/>
        </w:rPr>
        <w:t xml:space="preserve">future </w:t>
      </w:r>
      <w:r w:rsidR="002B7FD2" w:rsidRPr="002B7FD2">
        <w:rPr>
          <w:bCs/>
          <w:sz w:val="24"/>
          <w:szCs w:val="24"/>
          <w:shd w:val="clear" w:color="auto" w:fill="FFFFFF"/>
        </w:rPr>
        <w:t>avoided harvesting is not credited)</w:t>
      </w:r>
      <w:r w:rsidR="00F8282C" w:rsidRPr="002B7FD2">
        <w:rPr>
          <w:sz w:val="24"/>
          <w:szCs w:val="24"/>
        </w:rPr>
        <w:t>.</w:t>
      </w:r>
    </w:p>
    <w:p w14:paraId="5951DA1B" w14:textId="678CB1FE" w:rsidR="00732F7D" w:rsidRDefault="00732F7D" w:rsidP="00DB00CB">
      <w:pPr>
        <w:pStyle w:val="subsection"/>
        <w:spacing w:before="120" w:after="120"/>
        <w:ind w:left="0" w:firstLine="0"/>
        <w:rPr>
          <w:sz w:val="24"/>
          <w:szCs w:val="24"/>
        </w:rPr>
      </w:pPr>
      <w:r w:rsidRPr="00F12791">
        <w:rPr>
          <w:sz w:val="24"/>
          <w:szCs w:val="24"/>
        </w:rPr>
        <w:t xml:space="preserve">The </w:t>
      </w:r>
      <w:r w:rsidR="00632C87">
        <w:rPr>
          <w:sz w:val="24"/>
          <w:szCs w:val="24"/>
        </w:rPr>
        <w:t xml:space="preserve">requirement for INFM projects to have 100-year </w:t>
      </w:r>
      <w:r w:rsidR="006509E0">
        <w:rPr>
          <w:sz w:val="24"/>
          <w:szCs w:val="24"/>
        </w:rPr>
        <w:t xml:space="preserve">permanence periods is given effect through section 17, which requires an </w:t>
      </w:r>
      <w:r w:rsidRPr="00F12791">
        <w:rPr>
          <w:sz w:val="24"/>
          <w:szCs w:val="24"/>
        </w:rPr>
        <w:t xml:space="preserve">applicant for </w:t>
      </w:r>
      <w:r w:rsidR="006509E0">
        <w:rPr>
          <w:sz w:val="24"/>
          <w:szCs w:val="24"/>
        </w:rPr>
        <w:t xml:space="preserve">the registration of an INFM to </w:t>
      </w:r>
      <w:r w:rsidRPr="00F12791">
        <w:rPr>
          <w:sz w:val="24"/>
          <w:szCs w:val="24"/>
        </w:rPr>
        <w:t>request the Regulator to treat the project as a 100-year permanence period project.</w:t>
      </w:r>
    </w:p>
    <w:p w14:paraId="4587F1F0" w14:textId="23C1DC2C" w:rsidR="004F4E45" w:rsidRPr="004F4E45" w:rsidRDefault="00F21892"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4F4E45" w:rsidRPr="004F4E45">
        <w:rPr>
          <w:rFonts w:ascii="Times New Roman" w:hAnsi="Times New Roman" w:cs="Times New Roman"/>
          <w:sz w:val="24"/>
          <w:szCs w:val="24"/>
          <w:u w:val="single"/>
        </w:rPr>
        <w:t>18 – Relinquishment of carbon credits if harvesting resumed during permanence period</w:t>
      </w:r>
    </w:p>
    <w:p w14:paraId="6F6B5E6F" w14:textId="2CF7045F" w:rsidR="004F4E45" w:rsidRDefault="00B8591F" w:rsidP="00DB00CB">
      <w:pPr>
        <w:pStyle w:val="subsection"/>
        <w:spacing w:before="120" w:after="120"/>
        <w:ind w:left="0" w:firstLine="0"/>
        <w:rPr>
          <w:sz w:val="24"/>
          <w:szCs w:val="24"/>
        </w:rPr>
      </w:pPr>
      <w:r>
        <w:rPr>
          <w:sz w:val="24"/>
          <w:szCs w:val="24"/>
        </w:rPr>
        <w:t xml:space="preserve">INFM projects are </w:t>
      </w:r>
      <w:r w:rsidR="00B36962">
        <w:rPr>
          <w:sz w:val="24"/>
          <w:szCs w:val="24"/>
        </w:rPr>
        <w:t>different from most other sequestration offset project types because the</w:t>
      </w:r>
      <w:r w:rsidR="007E4508">
        <w:rPr>
          <w:sz w:val="24"/>
          <w:szCs w:val="24"/>
        </w:rPr>
        <w:t xml:space="preserve"> credited carbon stocks </w:t>
      </w:r>
      <w:r w:rsidR="004649E3">
        <w:rPr>
          <w:sz w:val="24"/>
          <w:szCs w:val="24"/>
        </w:rPr>
        <w:t xml:space="preserve">can be harvested, triggering the release of </w:t>
      </w:r>
      <w:r w:rsidR="00766AAC">
        <w:rPr>
          <w:sz w:val="24"/>
          <w:szCs w:val="24"/>
        </w:rPr>
        <w:t>greenhouse gases</w:t>
      </w:r>
      <w:r w:rsidR="002B3603">
        <w:rPr>
          <w:sz w:val="24"/>
          <w:szCs w:val="24"/>
        </w:rPr>
        <w:t xml:space="preserve"> into the atmosphere</w:t>
      </w:r>
      <w:r w:rsidR="00766AAC">
        <w:rPr>
          <w:sz w:val="24"/>
          <w:szCs w:val="24"/>
        </w:rPr>
        <w:t xml:space="preserve">. In this respect, they are </w:t>
      </w:r>
      <w:proofErr w:type="gramStart"/>
      <w:r w:rsidR="00766AAC">
        <w:rPr>
          <w:sz w:val="24"/>
          <w:szCs w:val="24"/>
        </w:rPr>
        <w:t>similar to</w:t>
      </w:r>
      <w:proofErr w:type="gramEnd"/>
      <w:r w:rsidR="00766AAC">
        <w:rPr>
          <w:sz w:val="24"/>
          <w:szCs w:val="24"/>
        </w:rPr>
        <w:t xml:space="preserve"> plantation offset projects under the </w:t>
      </w:r>
      <w:r w:rsidR="007903C1" w:rsidRPr="007903C1">
        <w:rPr>
          <w:i/>
          <w:iCs/>
          <w:sz w:val="24"/>
          <w:szCs w:val="24"/>
        </w:rPr>
        <w:t>Carbon Credits (Carbon Farming Initiative—Plantation Forestry) Methodology Determination 2022</w:t>
      </w:r>
      <w:r w:rsidR="007903C1">
        <w:rPr>
          <w:sz w:val="24"/>
          <w:szCs w:val="24"/>
        </w:rPr>
        <w:t xml:space="preserve">. </w:t>
      </w:r>
      <w:r w:rsidR="00D767BD">
        <w:rPr>
          <w:sz w:val="24"/>
          <w:szCs w:val="24"/>
        </w:rPr>
        <w:t xml:space="preserve">The CFI Act’s permanence obligations </w:t>
      </w:r>
      <w:r w:rsidR="00CC5312">
        <w:rPr>
          <w:sz w:val="24"/>
          <w:szCs w:val="24"/>
        </w:rPr>
        <w:t xml:space="preserve">and associated regulatory powers </w:t>
      </w:r>
      <w:r w:rsidR="0004083A">
        <w:rPr>
          <w:sz w:val="24"/>
          <w:szCs w:val="24"/>
        </w:rPr>
        <w:t>revolve around there being a reversal of credited removals</w:t>
      </w:r>
      <w:r w:rsidR="00DB5391">
        <w:rPr>
          <w:sz w:val="24"/>
          <w:szCs w:val="24"/>
        </w:rPr>
        <w:t xml:space="preserve"> (see </w:t>
      </w:r>
      <w:r w:rsidR="009268FE">
        <w:rPr>
          <w:sz w:val="24"/>
          <w:szCs w:val="24"/>
        </w:rPr>
        <w:t>ss 81</w:t>
      </w:r>
      <w:r w:rsidR="00AA05B1">
        <w:rPr>
          <w:sz w:val="24"/>
          <w:szCs w:val="24"/>
        </w:rPr>
        <w:t>, 82, 90</w:t>
      </w:r>
      <w:r w:rsidR="00CC5312">
        <w:rPr>
          <w:sz w:val="24"/>
          <w:szCs w:val="24"/>
        </w:rPr>
        <w:t>, 91 and 97)</w:t>
      </w:r>
      <w:r w:rsidR="00DB5391">
        <w:rPr>
          <w:sz w:val="24"/>
          <w:szCs w:val="24"/>
        </w:rPr>
        <w:t>. With INFM project</w:t>
      </w:r>
      <w:r w:rsidR="00CC5312">
        <w:rPr>
          <w:sz w:val="24"/>
          <w:szCs w:val="24"/>
        </w:rPr>
        <w:t xml:space="preserve">s, </w:t>
      </w:r>
      <w:r w:rsidR="00992AE8">
        <w:rPr>
          <w:sz w:val="24"/>
          <w:szCs w:val="24"/>
        </w:rPr>
        <w:t xml:space="preserve">in the absence of specific requirements under the Determination, there could be ambiguity </w:t>
      </w:r>
      <w:r w:rsidR="00595579">
        <w:rPr>
          <w:sz w:val="24"/>
          <w:szCs w:val="24"/>
        </w:rPr>
        <w:t xml:space="preserve">about whether there has been a relevant reversal of credited removals </w:t>
      </w:r>
      <w:proofErr w:type="gramStart"/>
      <w:r w:rsidR="00595579">
        <w:rPr>
          <w:sz w:val="24"/>
          <w:szCs w:val="24"/>
        </w:rPr>
        <w:t>in the event that</w:t>
      </w:r>
      <w:proofErr w:type="gramEnd"/>
      <w:r w:rsidR="00595579">
        <w:rPr>
          <w:sz w:val="24"/>
          <w:szCs w:val="24"/>
        </w:rPr>
        <w:t xml:space="preserve"> </w:t>
      </w:r>
      <w:r w:rsidR="00E21D71">
        <w:rPr>
          <w:sz w:val="24"/>
          <w:szCs w:val="24"/>
        </w:rPr>
        <w:t>a State Government decide</w:t>
      </w:r>
      <w:r w:rsidR="006B11EB">
        <w:rPr>
          <w:sz w:val="24"/>
          <w:szCs w:val="24"/>
        </w:rPr>
        <w:t>d</w:t>
      </w:r>
      <w:r w:rsidR="00E21D71">
        <w:rPr>
          <w:sz w:val="24"/>
          <w:szCs w:val="24"/>
        </w:rPr>
        <w:t xml:space="preserve"> to resume harvesting </w:t>
      </w:r>
      <w:r w:rsidR="00AD105C">
        <w:rPr>
          <w:sz w:val="24"/>
          <w:szCs w:val="24"/>
        </w:rPr>
        <w:t xml:space="preserve">in the project area </w:t>
      </w:r>
      <w:r w:rsidR="00E21D71">
        <w:rPr>
          <w:sz w:val="24"/>
          <w:szCs w:val="24"/>
        </w:rPr>
        <w:t>after the end of the crediting period but prior to the end of the 100-year permanence period.</w:t>
      </w:r>
      <w:r w:rsidR="00AD105C">
        <w:rPr>
          <w:sz w:val="24"/>
          <w:szCs w:val="24"/>
        </w:rPr>
        <w:t xml:space="preserve"> The abatement </w:t>
      </w:r>
      <w:r w:rsidR="009135A6">
        <w:rPr>
          <w:sz w:val="24"/>
          <w:szCs w:val="24"/>
        </w:rPr>
        <w:t>benefits of INFM projects could also be undermined if, after the end of the crediting period but prior to the end of the 100-year permanence period</w:t>
      </w:r>
      <w:r w:rsidR="00623CA5">
        <w:rPr>
          <w:sz w:val="24"/>
          <w:szCs w:val="24"/>
        </w:rPr>
        <w:t xml:space="preserve">, </w:t>
      </w:r>
      <w:r w:rsidR="00D60433">
        <w:rPr>
          <w:sz w:val="24"/>
          <w:szCs w:val="24"/>
        </w:rPr>
        <w:t xml:space="preserve">there was an increase in harvesting </w:t>
      </w:r>
      <w:r w:rsidR="00623CA5">
        <w:rPr>
          <w:sz w:val="24"/>
          <w:szCs w:val="24"/>
        </w:rPr>
        <w:t xml:space="preserve">in </w:t>
      </w:r>
      <w:r w:rsidR="00D60433">
        <w:rPr>
          <w:sz w:val="24"/>
          <w:szCs w:val="24"/>
        </w:rPr>
        <w:t xml:space="preserve">other native forests in the </w:t>
      </w:r>
      <w:r w:rsidR="008B638A">
        <w:rPr>
          <w:sz w:val="24"/>
          <w:szCs w:val="24"/>
        </w:rPr>
        <w:t xml:space="preserve">state in which the project is located </w:t>
      </w:r>
      <w:r w:rsidR="00204BA2">
        <w:rPr>
          <w:sz w:val="24"/>
          <w:szCs w:val="24"/>
        </w:rPr>
        <w:t xml:space="preserve">to compensate for the restrictions on extracting timber from the project area. </w:t>
      </w:r>
    </w:p>
    <w:p w14:paraId="06C7D5AB" w14:textId="77777777" w:rsidR="00BF7CBF" w:rsidRDefault="00E21D71" w:rsidP="00DB00CB">
      <w:pPr>
        <w:pStyle w:val="subsection"/>
        <w:spacing w:before="120" w:after="120"/>
        <w:ind w:left="0" w:firstLine="0"/>
        <w:rPr>
          <w:sz w:val="24"/>
          <w:szCs w:val="24"/>
        </w:rPr>
      </w:pPr>
      <w:r>
        <w:rPr>
          <w:sz w:val="24"/>
          <w:szCs w:val="24"/>
        </w:rPr>
        <w:t>To address th</w:t>
      </w:r>
      <w:r w:rsidR="00E12E4C">
        <w:rPr>
          <w:sz w:val="24"/>
          <w:szCs w:val="24"/>
        </w:rPr>
        <w:t>ese issues</w:t>
      </w:r>
      <w:r>
        <w:rPr>
          <w:sz w:val="24"/>
          <w:szCs w:val="24"/>
        </w:rPr>
        <w:t xml:space="preserve">, </w:t>
      </w:r>
      <w:r w:rsidR="00AA3BBD">
        <w:rPr>
          <w:sz w:val="24"/>
          <w:szCs w:val="24"/>
        </w:rPr>
        <w:t xml:space="preserve">it is intended that </w:t>
      </w:r>
      <w:r w:rsidRPr="00E21D71">
        <w:rPr>
          <w:sz w:val="24"/>
          <w:szCs w:val="24"/>
        </w:rPr>
        <w:t>proponent</w:t>
      </w:r>
      <w:r w:rsidR="00C65141">
        <w:rPr>
          <w:sz w:val="24"/>
          <w:szCs w:val="24"/>
        </w:rPr>
        <w:t>s of INFM projects</w:t>
      </w:r>
      <w:r w:rsidRPr="00E21D71">
        <w:rPr>
          <w:sz w:val="24"/>
          <w:szCs w:val="24"/>
        </w:rPr>
        <w:t xml:space="preserve"> relinquish ACCUs if, after the end of the 15-year crediting period but before the end of the 100-year permanence period</w:t>
      </w:r>
      <w:r w:rsidR="00BF7CBF">
        <w:rPr>
          <w:sz w:val="24"/>
          <w:szCs w:val="24"/>
        </w:rPr>
        <w:t>:</w:t>
      </w:r>
    </w:p>
    <w:p w14:paraId="3DBFB218" w14:textId="77777777" w:rsidR="00BF7CBF" w:rsidRDefault="00926B14" w:rsidP="009D5A62">
      <w:pPr>
        <w:pStyle w:val="subsection"/>
        <w:numPr>
          <w:ilvl w:val="0"/>
          <w:numId w:val="75"/>
        </w:numPr>
        <w:spacing w:before="120" w:after="120"/>
        <w:rPr>
          <w:sz w:val="24"/>
          <w:szCs w:val="24"/>
        </w:rPr>
      </w:pPr>
      <w:r>
        <w:rPr>
          <w:sz w:val="24"/>
          <w:szCs w:val="24"/>
        </w:rPr>
        <w:t>harvesting resumes in any carbon protection area</w:t>
      </w:r>
      <w:r w:rsidR="00BF7CBF">
        <w:rPr>
          <w:sz w:val="24"/>
          <w:szCs w:val="24"/>
        </w:rPr>
        <w:t>;</w:t>
      </w:r>
      <w:r>
        <w:rPr>
          <w:sz w:val="24"/>
          <w:szCs w:val="24"/>
        </w:rPr>
        <w:t xml:space="preserve"> or </w:t>
      </w:r>
    </w:p>
    <w:p w14:paraId="30D1ED2D" w14:textId="4B4351F7" w:rsidR="00BF7CBF" w:rsidRDefault="00E21D71" w:rsidP="009D5A62">
      <w:pPr>
        <w:pStyle w:val="subsection"/>
        <w:numPr>
          <w:ilvl w:val="0"/>
          <w:numId w:val="75"/>
        </w:numPr>
        <w:spacing w:before="120" w:after="120"/>
        <w:rPr>
          <w:sz w:val="24"/>
          <w:szCs w:val="24"/>
        </w:rPr>
      </w:pPr>
      <w:r w:rsidRPr="00E21D71">
        <w:rPr>
          <w:sz w:val="24"/>
          <w:szCs w:val="24"/>
        </w:rPr>
        <w:t xml:space="preserve">the </w:t>
      </w:r>
      <w:r w:rsidR="009D76CE" w:rsidRPr="009D76CE">
        <w:rPr>
          <w:sz w:val="24"/>
          <w:szCs w:val="24"/>
        </w:rPr>
        <w:t xml:space="preserve">volume of wood extracted from the project area, excluded sections of the proponent’s native forest estate </w:t>
      </w:r>
      <w:r w:rsidR="00A43398" w:rsidRPr="00831AFB">
        <w:rPr>
          <w:sz w:val="24"/>
          <w:szCs w:val="24"/>
        </w:rPr>
        <w:t>(i.e. those parts of the public native forest</w:t>
      </w:r>
      <w:r w:rsidR="00A43398">
        <w:rPr>
          <w:sz w:val="24"/>
          <w:szCs w:val="24"/>
        </w:rPr>
        <w:t xml:space="preserve"> estate</w:t>
      </w:r>
      <w:r w:rsidR="00A43398" w:rsidRPr="00831AFB">
        <w:rPr>
          <w:sz w:val="24"/>
          <w:szCs w:val="24"/>
        </w:rPr>
        <w:t xml:space="preserve"> in the </w:t>
      </w:r>
      <w:r w:rsidR="00A43398">
        <w:rPr>
          <w:sz w:val="24"/>
          <w:szCs w:val="24"/>
        </w:rPr>
        <w:t xml:space="preserve">jurisdiction </w:t>
      </w:r>
      <w:r w:rsidR="00A43398" w:rsidRPr="00831AFB">
        <w:rPr>
          <w:sz w:val="24"/>
          <w:szCs w:val="24"/>
        </w:rPr>
        <w:t>in which the project is located</w:t>
      </w:r>
      <w:r w:rsidR="00A43398">
        <w:rPr>
          <w:sz w:val="24"/>
          <w:szCs w:val="24"/>
        </w:rPr>
        <w:t xml:space="preserve"> that are not included in an INFM project)</w:t>
      </w:r>
      <w:r w:rsidR="00A43398" w:rsidRPr="00515F6C">
        <w:rPr>
          <w:sz w:val="24"/>
          <w:szCs w:val="24"/>
        </w:rPr>
        <w:t xml:space="preserve"> </w:t>
      </w:r>
      <w:r w:rsidR="009D76CE" w:rsidRPr="009D76CE">
        <w:rPr>
          <w:sz w:val="24"/>
          <w:szCs w:val="24"/>
        </w:rPr>
        <w:t>or the private native forest estate in the same jurisdiction exceed prescribed levels</w:t>
      </w:r>
      <w:r w:rsidRPr="00E21D71">
        <w:rPr>
          <w:sz w:val="24"/>
          <w:szCs w:val="24"/>
        </w:rPr>
        <w:t xml:space="preserve">. </w:t>
      </w:r>
    </w:p>
    <w:p w14:paraId="69A32456" w14:textId="7E201BA8" w:rsidR="00E21D71" w:rsidRDefault="00E21D71" w:rsidP="00DB00CB">
      <w:pPr>
        <w:pStyle w:val="subsection"/>
        <w:spacing w:before="120" w:after="120"/>
        <w:ind w:left="0" w:firstLine="0"/>
        <w:rPr>
          <w:sz w:val="24"/>
          <w:szCs w:val="24"/>
        </w:rPr>
      </w:pPr>
      <w:r w:rsidRPr="00E21D71">
        <w:rPr>
          <w:sz w:val="24"/>
          <w:szCs w:val="24"/>
        </w:rPr>
        <w:t>For the project area, the volume of wood extracted must not exceed the levels in the baseline scenario for the project. For the excluded sections of the proponent’s public native forest estate, the volume of wood extracted must not exceed the direct leakage baseline harvest levels.</w:t>
      </w:r>
      <w:r w:rsidR="009D76CE">
        <w:rPr>
          <w:sz w:val="24"/>
          <w:szCs w:val="24"/>
        </w:rPr>
        <w:t xml:space="preserve"> </w:t>
      </w:r>
      <w:r w:rsidR="009D76CE" w:rsidRPr="00E21D71">
        <w:rPr>
          <w:sz w:val="24"/>
          <w:szCs w:val="24"/>
        </w:rPr>
        <w:t xml:space="preserve">For </w:t>
      </w:r>
      <w:r w:rsidR="009D76CE" w:rsidRPr="009D76CE">
        <w:rPr>
          <w:sz w:val="24"/>
          <w:szCs w:val="24"/>
        </w:rPr>
        <w:t>private native forest</w:t>
      </w:r>
      <w:r w:rsidR="001C399C">
        <w:rPr>
          <w:sz w:val="24"/>
          <w:szCs w:val="24"/>
        </w:rPr>
        <w:t>s</w:t>
      </w:r>
      <w:r w:rsidR="009D76CE" w:rsidRPr="00E21D71">
        <w:rPr>
          <w:sz w:val="24"/>
          <w:szCs w:val="24"/>
        </w:rPr>
        <w:t xml:space="preserve">, the volume of wood extracted must not exceed the </w:t>
      </w:r>
      <w:r w:rsidR="00741FD7" w:rsidRPr="00741FD7">
        <w:rPr>
          <w:sz w:val="24"/>
          <w:szCs w:val="24"/>
        </w:rPr>
        <w:t>private native forests leakage baseline harvest level</w:t>
      </w:r>
      <w:r w:rsidR="00A24E25">
        <w:rPr>
          <w:sz w:val="24"/>
          <w:szCs w:val="24"/>
        </w:rPr>
        <w:t>s</w:t>
      </w:r>
      <w:r w:rsidR="009D76CE" w:rsidRPr="00E21D71">
        <w:rPr>
          <w:sz w:val="24"/>
          <w:szCs w:val="24"/>
        </w:rPr>
        <w:t>.</w:t>
      </w:r>
    </w:p>
    <w:p w14:paraId="2C669C97" w14:textId="5AA99011" w:rsidR="00FF6ED3" w:rsidRDefault="00BC5E1C" w:rsidP="00DB00CB">
      <w:pPr>
        <w:pStyle w:val="subsection"/>
        <w:spacing w:before="120" w:after="120"/>
        <w:ind w:left="0" w:firstLine="0"/>
        <w:rPr>
          <w:sz w:val="24"/>
          <w:szCs w:val="24"/>
        </w:rPr>
      </w:pPr>
      <w:r w:rsidRPr="000A40DC">
        <w:rPr>
          <w:sz w:val="24"/>
          <w:szCs w:val="24"/>
        </w:rPr>
        <w:t xml:space="preserve">This </w:t>
      </w:r>
      <w:r w:rsidR="00AA3BBD" w:rsidRPr="000A40DC">
        <w:rPr>
          <w:sz w:val="24"/>
          <w:szCs w:val="24"/>
        </w:rPr>
        <w:t>design feature</w:t>
      </w:r>
      <w:r w:rsidRPr="000A40DC">
        <w:rPr>
          <w:sz w:val="24"/>
          <w:szCs w:val="24"/>
        </w:rPr>
        <w:t xml:space="preserve"> </w:t>
      </w:r>
      <w:proofErr w:type="gramStart"/>
      <w:r w:rsidRPr="000A40DC">
        <w:rPr>
          <w:sz w:val="24"/>
          <w:szCs w:val="24"/>
        </w:rPr>
        <w:t>is given</w:t>
      </w:r>
      <w:proofErr w:type="gramEnd"/>
      <w:r w:rsidRPr="000A40DC">
        <w:rPr>
          <w:sz w:val="24"/>
          <w:szCs w:val="24"/>
        </w:rPr>
        <w:t xml:space="preserve"> effect </w:t>
      </w:r>
      <w:r w:rsidR="00C62CB5" w:rsidRPr="000A40DC">
        <w:rPr>
          <w:sz w:val="24"/>
          <w:szCs w:val="24"/>
        </w:rPr>
        <w:t xml:space="preserve">via the requirement in </w:t>
      </w:r>
      <w:r w:rsidR="00DF430D">
        <w:rPr>
          <w:sz w:val="24"/>
          <w:szCs w:val="24"/>
        </w:rPr>
        <w:t>s</w:t>
      </w:r>
      <w:r w:rsidR="00DF430D" w:rsidRPr="00DF430D">
        <w:rPr>
          <w:sz w:val="24"/>
          <w:szCs w:val="24"/>
        </w:rPr>
        <w:t xml:space="preserve">ubsection </w:t>
      </w:r>
      <w:r w:rsidR="00C62CB5" w:rsidRPr="000A40DC">
        <w:rPr>
          <w:sz w:val="24"/>
          <w:szCs w:val="24"/>
        </w:rPr>
        <w:t>18</w:t>
      </w:r>
      <w:r w:rsidR="00AA3BBD" w:rsidRPr="000A40DC">
        <w:rPr>
          <w:sz w:val="24"/>
          <w:szCs w:val="24"/>
        </w:rPr>
        <w:t>(1)</w:t>
      </w:r>
      <w:r w:rsidR="00C62CB5" w:rsidRPr="000A40DC">
        <w:rPr>
          <w:sz w:val="24"/>
          <w:szCs w:val="24"/>
        </w:rPr>
        <w:t xml:space="preserve"> for proponents to </w:t>
      </w:r>
      <w:proofErr w:type="gramStart"/>
      <w:r w:rsidR="00C62CB5" w:rsidRPr="000A40DC">
        <w:rPr>
          <w:sz w:val="24"/>
          <w:szCs w:val="24"/>
        </w:rPr>
        <w:t>enter into</w:t>
      </w:r>
      <w:proofErr w:type="gramEnd"/>
      <w:r w:rsidR="00C62CB5" w:rsidRPr="000A40DC">
        <w:rPr>
          <w:sz w:val="24"/>
          <w:szCs w:val="24"/>
        </w:rPr>
        <w:t xml:space="preserve"> an </w:t>
      </w:r>
      <w:r w:rsidR="00E91A11">
        <w:rPr>
          <w:sz w:val="24"/>
          <w:szCs w:val="24"/>
        </w:rPr>
        <w:t>en</w:t>
      </w:r>
      <w:r w:rsidR="00262F57">
        <w:rPr>
          <w:sz w:val="24"/>
          <w:szCs w:val="24"/>
        </w:rPr>
        <w:t>forceable undertaking</w:t>
      </w:r>
      <w:r w:rsidR="002D53F7">
        <w:rPr>
          <w:sz w:val="24"/>
          <w:szCs w:val="24"/>
        </w:rPr>
        <w:t xml:space="preserve"> </w:t>
      </w:r>
      <w:r w:rsidR="00732F7D" w:rsidRPr="000A40DC">
        <w:rPr>
          <w:sz w:val="24"/>
          <w:szCs w:val="24"/>
        </w:rPr>
        <w:t xml:space="preserve">to address the risk of a resumption of timber harvesting </w:t>
      </w:r>
      <w:r w:rsidR="00732F7D" w:rsidRPr="00C637E5">
        <w:rPr>
          <w:sz w:val="24"/>
          <w:szCs w:val="24"/>
        </w:rPr>
        <w:t xml:space="preserve">after the end of the crediting period. </w:t>
      </w:r>
    </w:p>
    <w:p w14:paraId="4F05278E" w14:textId="614EBFE2" w:rsidR="00C637E5" w:rsidRPr="00C637E5" w:rsidRDefault="00DF430D" w:rsidP="00DB00CB">
      <w:pPr>
        <w:pStyle w:val="subsection"/>
        <w:spacing w:before="120" w:after="120"/>
        <w:ind w:left="0" w:firstLine="0"/>
        <w:rPr>
          <w:sz w:val="24"/>
          <w:szCs w:val="24"/>
        </w:rPr>
      </w:pPr>
      <w:r w:rsidRPr="00DF430D">
        <w:rPr>
          <w:sz w:val="24"/>
          <w:szCs w:val="24"/>
        </w:rPr>
        <w:t xml:space="preserve">Subsection </w:t>
      </w:r>
      <w:r w:rsidR="00D1128D" w:rsidRPr="00C637E5">
        <w:rPr>
          <w:sz w:val="24"/>
          <w:szCs w:val="24"/>
        </w:rPr>
        <w:t>18(</w:t>
      </w:r>
      <w:r w:rsidR="00AA3BBD" w:rsidRPr="00C637E5">
        <w:rPr>
          <w:sz w:val="24"/>
          <w:szCs w:val="24"/>
        </w:rPr>
        <w:t>2</w:t>
      </w:r>
      <w:r w:rsidR="00D1128D" w:rsidRPr="00C637E5">
        <w:rPr>
          <w:sz w:val="24"/>
          <w:szCs w:val="24"/>
        </w:rPr>
        <w:t xml:space="preserve">) </w:t>
      </w:r>
      <w:r w:rsidR="00AA3BBD" w:rsidRPr="00C637E5">
        <w:rPr>
          <w:sz w:val="24"/>
          <w:szCs w:val="24"/>
        </w:rPr>
        <w:t xml:space="preserve">clarifies that the </w:t>
      </w:r>
      <w:r w:rsidR="00C637E5" w:rsidRPr="00C637E5">
        <w:rPr>
          <w:sz w:val="24"/>
          <w:szCs w:val="24"/>
        </w:rPr>
        <w:t xml:space="preserve">enforceable undertaking is a binding undertaking given by the project proponent to the Regulator (whether by deed poll or other written instrument) to </w:t>
      </w:r>
      <w:r w:rsidR="00C637E5" w:rsidRPr="00C637E5">
        <w:rPr>
          <w:sz w:val="24"/>
          <w:szCs w:val="24"/>
        </w:rPr>
        <w:lastRenderedPageBreak/>
        <w:t xml:space="preserve">relinquish </w:t>
      </w:r>
      <w:r w:rsidR="00FF6ED3">
        <w:rPr>
          <w:sz w:val="24"/>
          <w:szCs w:val="24"/>
        </w:rPr>
        <w:t>ACCUs</w:t>
      </w:r>
      <w:r w:rsidR="00C637E5" w:rsidRPr="00C637E5">
        <w:rPr>
          <w:sz w:val="24"/>
          <w:szCs w:val="24"/>
        </w:rPr>
        <w:t xml:space="preserve"> in the event of a resumption of timber harvesting after the end of the crediting period for the project and before the end of the 100-year permanence period</w:t>
      </w:r>
      <w:r w:rsidR="00FF6ED3">
        <w:rPr>
          <w:sz w:val="24"/>
          <w:szCs w:val="24"/>
        </w:rPr>
        <w:t>.</w:t>
      </w:r>
    </w:p>
    <w:p w14:paraId="26CF3432" w14:textId="7A3AC6E5" w:rsidR="00847135" w:rsidRPr="00847135" w:rsidRDefault="00DF430D" w:rsidP="00DB00CB">
      <w:pPr>
        <w:pStyle w:val="subsection"/>
        <w:spacing w:before="120" w:after="120"/>
        <w:ind w:left="0" w:firstLine="0"/>
        <w:rPr>
          <w:sz w:val="24"/>
          <w:szCs w:val="24"/>
        </w:rPr>
      </w:pPr>
      <w:r w:rsidRPr="00DF430D">
        <w:rPr>
          <w:sz w:val="24"/>
          <w:szCs w:val="24"/>
        </w:rPr>
        <w:t>Subsection</w:t>
      </w:r>
      <w:r w:rsidR="00F53E14" w:rsidRPr="00847135">
        <w:rPr>
          <w:sz w:val="24"/>
          <w:szCs w:val="24"/>
        </w:rPr>
        <w:t xml:space="preserve"> 18(3) </w:t>
      </w:r>
      <w:r w:rsidR="00642DA1" w:rsidRPr="00847135">
        <w:rPr>
          <w:sz w:val="24"/>
          <w:szCs w:val="24"/>
        </w:rPr>
        <w:t xml:space="preserve">specifies that </w:t>
      </w:r>
      <w:r w:rsidR="00732F7D" w:rsidRPr="00847135">
        <w:rPr>
          <w:sz w:val="24"/>
          <w:szCs w:val="24"/>
        </w:rPr>
        <w:t xml:space="preserve">a resumption of timber harvesting </w:t>
      </w:r>
      <w:r w:rsidR="00642DA1" w:rsidRPr="00847135">
        <w:rPr>
          <w:sz w:val="24"/>
          <w:szCs w:val="24"/>
        </w:rPr>
        <w:t xml:space="preserve">is taken to </w:t>
      </w:r>
      <w:r w:rsidR="00732F7D" w:rsidRPr="00847135">
        <w:rPr>
          <w:sz w:val="24"/>
          <w:szCs w:val="24"/>
        </w:rPr>
        <w:t>occur if:</w:t>
      </w:r>
    </w:p>
    <w:p w14:paraId="243D125B" w14:textId="77777777" w:rsidR="00847135" w:rsidRDefault="003A237E" w:rsidP="009D5A62">
      <w:pPr>
        <w:pStyle w:val="subsection"/>
        <w:numPr>
          <w:ilvl w:val="0"/>
          <w:numId w:val="37"/>
        </w:numPr>
        <w:spacing w:before="120" w:after="120"/>
        <w:rPr>
          <w:sz w:val="24"/>
          <w:szCs w:val="24"/>
        </w:rPr>
      </w:pPr>
      <w:r w:rsidRPr="00847135">
        <w:rPr>
          <w:sz w:val="24"/>
          <w:szCs w:val="24"/>
        </w:rPr>
        <w:t>timber harvesting resumes in any part of a carbon protection area for the project; or</w:t>
      </w:r>
    </w:p>
    <w:p w14:paraId="087E62F9" w14:textId="37B9118B" w:rsidR="00847135" w:rsidRPr="00847135" w:rsidRDefault="003A237E" w:rsidP="009D5A62">
      <w:pPr>
        <w:pStyle w:val="subsection"/>
        <w:numPr>
          <w:ilvl w:val="0"/>
          <w:numId w:val="37"/>
        </w:numPr>
        <w:spacing w:before="120" w:after="120"/>
        <w:rPr>
          <w:sz w:val="24"/>
          <w:szCs w:val="24"/>
        </w:rPr>
      </w:pPr>
      <w:r w:rsidRPr="00847135">
        <w:rPr>
          <w:sz w:val="24"/>
          <w:szCs w:val="24"/>
        </w:rPr>
        <w:t xml:space="preserve">in accordance with the modelling procedures set out in the </w:t>
      </w:r>
      <w:r w:rsidR="00556250">
        <w:rPr>
          <w:sz w:val="24"/>
          <w:szCs w:val="24"/>
        </w:rPr>
        <w:t>undertaking</w:t>
      </w:r>
      <w:r w:rsidRPr="00847135">
        <w:rPr>
          <w:sz w:val="24"/>
          <w:szCs w:val="24"/>
        </w:rPr>
        <w:t xml:space="preserve">, during any 2-year period: </w:t>
      </w:r>
    </w:p>
    <w:p w14:paraId="7ECF75A8" w14:textId="77777777" w:rsidR="00847135" w:rsidRPr="00847135" w:rsidRDefault="003A237E" w:rsidP="009D5A62">
      <w:pPr>
        <w:pStyle w:val="subsection"/>
        <w:numPr>
          <w:ilvl w:val="0"/>
          <w:numId w:val="38"/>
        </w:numPr>
        <w:spacing w:before="120" w:after="120"/>
        <w:rPr>
          <w:sz w:val="24"/>
          <w:szCs w:val="24"/>
        </w:rPr>
      </w:pPr>
      <w:r w:rsidRPr="00847135">
        <w:rPr>
          <w:sz w:val="24"/>
          <w:szCs w:val="24"/>
        </w:rPr>
        <w:t>the volume of wood extracted from the project area exceeds the levels in the baseline scenario for the project; o</w:t>
      </w:r>
      <w:r w:rsidR="00847135" w:rsidRPr="00847135">
        <w:rPr>
          <w:sz w:val="24"/>
          <w:szCs w:val="24"/>
        </w:rPr>
        <w:t>r</w:t>
      </w:r>
    </w:p>
    <w:p w14:paraId="03499DB4" w14:textId="1841DEE3" w:rsidR="00847135" w:rsidRPr="00847135" w:rsidRDefault="003A237E" w:rsidP="009D5A62">
      <w:pPr>
        <w:pStyle w:val="subsection"/>
        <w:numPr>
          <w:ilvl w:val="0"/>
          <w:numId w:val="38"/>
        </w:numPr>
        <w:spacing w:before="120" w:after="120"/>
        <w:rPr>
          <w:sz w:val="24"/>
          <w:szCs w:val="24"/>
        </w:rPr>
      </w:pPr>
      <w:r w:rsidRPr="00847135">
        <w:rPr>
          <w:sz w:val="24"/>
          <w:szCs w:val="24"/>
        </w:rPr>
        <w:t>the volume of wood extracted from the public native forests in the State in which the eligible offsets project is located (other than those in the project area for the project or in the project area for any other eligible offsets project) exceeds the direct leakage baseline harvest level under section 4</w:t>
      </w:r>
      <w:r w:rsidR="00FD2A86">
        <w:rPr>
          <w:sz w:val="24"/>
          <w:szCs w:val="24"/>
        </w:rPr>
        <w:t>2</w:t>
      </w:r>
      <w:r w:rsidRPr="00847135">
        <w:rPr>
          <w:sz w:val="24"/>
          <w:szCs w:val="24"/>
        </w:rPr>
        <w:t>; or</w:t>
      </w:r>
    </w:p>
    <w:p w14:paraId="1B24AF9D" w14:textId="3AFBE0B0" w:rsidR="003A237E" w:rsidRPr="00847135" w:rsidRDefault="003A237E" w:rsidP="009D5A62">
      <w:pPr>
        <w:pStyle w:val="subsection"/>
        <w:numPr>
          <w:ilvl w:val="0"/>
          <w:numId w:val="38"/>
        </w:numPr>
        <w:spacing w:before="120" w:after="120"/>
        <w:rPr>
          <w:sz w:val="24"/>
          <w:szCs w:val="24"/>
        </w:rPr>
      </w:pPr>
      <w:r w:rsidRPr="00847135">
        <w:rPr>
          <w:sz w:val="24"/>
          <w:szCs w:val="24"/>
        </w:rPr>
        <w:t>the volume of wood extracted from native forests in the State in which the project is located (other than from public native forests) exceeds the private native forests leakage baseline harvest level under section 4</w:t>
      </w:r>
      <w:r w:rsidR="00FD2A86">
        <w:rPr>
          <w:sz w:val="24"/>
          <w:szCs w:val="24"/>
        </w:rPr>
        <w:t>3</w:t>
      </w:r>
      <w:r w:rsidRPr="00847135">
        <w:rPr>
          <w:sz w:val="24"/>
          <w:szCs w:val="24"/>
        </w:rPr>
        <w:t>.</w:t>
      </w:r>
    </w:p>
    <w:p w14:paraId="6552558C" w14:textId="3BAC662E" w:rsidR="00732F7D" w:rsidRDefault="00DF430D" w:rsidP="00DB00CB">
      <w:pPr>
        <w:pStyle w:val="subsection"/>
        <w:spacing w:before="120" w:after="120"/>
        <w:ind w:left="0" w:firstLine="0"/>
        <w:rPr>
          <w:sz w:val="24"/>
          <w:szCs w:val="24"/>
        </w:rPr>
      </w:pPr>
      <w:r w:rsidRPr="00DF430D">
        <w:rPr>
          <w:sz w:val="24"/>
          <w:szCs w:val="24"/>
        </w:rPr>
        <w:t>Subsection</w:t>
      </w:r>
      <w:r w:rsidR="000B2EEF" w:rsidRPr="000A40DC">
        <w:rPr>
          <w:sz w:val="24"/>
          <w:szCs w:val="24"/>
        </w:rPr>
        <w:t xml:space="preserve"> 18(4)</w:t>
      </w:r>
      <w:r w:rsidR="002D749F">
        <w:rPr>
          <w:sz w:val="24"/>
          <w:szCs w:val="24"/>
        </w:rPr>
        <w:t xml:space="preserve">(a) </w:t>
      </w:r>
      <w:r w:rsidR="000B2EEF" w:rsidRPr="000A40DC">
        <w:rPr>
          <w:sz w:val="24"/>
          <w:szCs w:val="24"/>
        </w:rPr>
        <w:t xml:space="preserve">specifies that the enforceable undertaking must require the number of ACCUs to be surrendered in the event of a resumption of timber harvesting to be calculated in a manner consistent with the procedures for calculating the </w:t>
      </w:r>
      <w:r w:rsidR="000B2EEF" w:rsidRPr="000A40DC" w:rsidDel="003A5507">
        <w:rPr>
          <w:sz w:val="24"/>
          <w:szCs w:val="24"/>
        </w:rPr>
        <w:t>direct leakage deduction</w:t>
      </w:r>
      <w:r w:rsidR="000B2EEF" w:rsidRPr="000A40DC">
        <w:rPr>
          <w:sz w:val="24"/>
          <w:szCs w:val="24"/>
        </w:rPr>
        <w:t xml:space="preserve"> in section 4</w:t>
      </w:r>
      <w:r w:rsidR="008733F3">
        <w:rPr>
          <w:sz w:val="24"/>
          <w:szCs w:val="24"/>
        </w:rPr>
        <w:t>2</w:t>
      </w:r>
      <w:r w:rsidR="006C0F94">
        <w:rPr>
          <w:sz w:val="24"/>
          <w:szCs w:val="24"/>
        </w:rPr>
        <w:t xml:space="preserve">, </w:t>
      </w:r>
      <w:r w:rsidR="001532B5" w:rsidRPr="001532B5">
        <w:rPr>
          <w:sz w:val="24"/>
          <w:szCs w:val="24"/>
        </w:rPr>
        <w:t xml:space="preserve">substituting </w:t>
      </w:r>
      <w:r w:rsidR="001532B5">
        <w:rPr>
          <w:sz w:val="24"/>
          <w:szCs w:val="24"/>
        </w:rPr>
        <w:t>‘</w:t>
      </w:r>
      <w:r w:rsidR="001532B5" w:rsidRPr="001532B5">
        <w:rPr>
          <w:sz w:val="24"/>
          <w:szCs w:val="24"/>
        </w:rPr>
        <w:t>baseline harvest level</w:t>
      </w:r>
      <w:r w:rsidR="001532B5">
        <w:rPr>
          <w:sz w:val="24"/>
          <w:szCs w:val="24"/>
        </w:rPr>
        <w:t>’</w:t>
      </w:r>
      <w:r w:rsidR="001532B5" w:rsidRPr="001532B5">
        <w:rPr>
          <w:sz w:val="24"/>
          <w:szCs w:val="24"/>
        </w:rPr>
        <w:t xml:space="preserve"> or </w:t>
      </w:r>
      <w:r w:rsidR="001532B5">
        <w:rPr>
          <w:sz w:val="24"/>
          <w:szCs w:val="24"/>
        </w:rPr>
        <w:t>‘</w:t>
      </w:r>
      <w:r w:rsidR="001532B5" w:rsidRPr="001532B5">
        <w:rPr>
          <w:sz w:val="24"/>
          <w:szCs w:val="24"/>
        </w:rPr>
        <w:t>private native forests leakage baseline harvest level</w:t>
      </w:r>
      <w:r w:rsidR="001532B5">
        <w:rPr>
          <w:sz w:val="24"/>
          <w:szCs w:val="24"/>
        </w:rPr>
        <w:t>’</w:t>
      </w:r>
      <w:r w:rsidR="001532B5" w:rsidRPr="001532B5">
        <w:rPr>
          <w:sz w:val="24"/>
          <w:szCs w:val="24"/>
        </w:rPr>
        <w:t xml:space="preserve"> where appropriate for the references to the </w:t>
      </w:r>
      <w:r w:rsidR="001532B5">
        <w:rPr>
          <w:sz w:val="24"/>
          <w:szCs w:val="24"/>
        </w:rPr>
        <w:t>‘</w:t>
      </w:r>
      <w:r w:rsidR="001532B5" w:rsidRPr="001532B5">
        <w:rPr>
          <w:sz w:val="24"/>
          <w:szCs w:val="24"/>
        </w:rPr>
        <w:t>direct leakage baseline harvest level</w:t>
      </w:r>
      <w:r w:rsidR="001532B5">
        <w:rPr>
          <w:sz w:val="24"/>
          <w:szCs w:val="24"/>
        </w:rPr>
        <w:t>’</w:t>
      </w:r>
      <w:r w:rsidR="0065772C">
        <w:rPr>
          <w:sz w:val="24"/>
          <w:szCs w:val="24"/>
        </w:rPr>
        <w:t xml:space="preserve"> in section 4</w:t>
      </w:r>
      <w:r w:rsidR="008733F3">
        <w:rPr>
          <w:sz w:val="24"/>
          <w:szCs w:val="24"/>
        </w:rPr>
        <w:t>2</w:t>
      </w:r>
      <w:r w:rsidR="001532B5" w:rsidRPr="001532B5">
        <w:rPr>
          <w:sz w:val="24"/>
          <w:szCs w:val="24"/>
        </w:rPr>
        <w:t xml:space="preserve"> and </w:t>
      </w:r>
      <w:r w:rsidR="001058C5">
        <w:rPr>
          <w:sz w:val="24"/>
          <w:szCs w:val="24"/>
        </w:rPr>
        <w:t xml:space="preserve">using </w:t>
      </w:r>
      <w:r w:rsidR="002D749F">
        <w:rPr>
          <w:sz w:val="24"/>
          <w:szCs w:val="24"/>
        </w:rPr>
        <w:t>a 1</w:t>
      </w:r>
      <w:r w:rsidR="006C0F94" w:rsidRPr="006C0F94">
        <w:rPr>
          <w:sz w:val="24"/>
          <w:szCs w:val="24"/>
        </w:rPr>
        <w:t xml:space="preserve">0-year </w:t>
      </w:r>
      <w:r w:rsidR="00302DA7">
        <w:rPr>
          <w:sz w:val="24"/>
          <w:szCs w:val="24"/>
        </w:rPr>
        <w:t xml:space="preserve">(rather than a 5-year) </w:t>
      </w:r>
      <w:r w:rsidR="006C0F94" w:rsidRPr="006C0F94">
        <w:rPr>
          <w:sz w:val="24"/>
          <w:szCs w:val="24"/>
        </w:rPr>
        <w:t>simulation period</w:t>
      </w:r>
      <w:r w:rsidR="00302DA7">
        <w:rPr>
          <w:sz w:val="24"/>
          <w:szCs w:val="24"/>
        </w:rPr>
        <w:t xml:space="preserve"> </w:t>
      </w:r>
      <w:r w:rsidR="00302DA7" w:rsidRPr="00302DA7">
        <w:rPr>
          <w:sz w:val="24"/>
          <w:szCs w:val="24"/>
        </w:rPr>
        <w:t>to estimate the difference in net emissions between the no harvest and harvest scenarios</w:t>
      </w:r>
      <w:r w:rsidR="000B2EEF" w:rsidRPr="000A40DC">
        <w:rPr>
          <w:sz w:val="24"/>
          <w:szCs w:val="24"/>
        </w:rPr>
        <w:t>.</w:t>
      </w:r>
      <w:r w:rsidR="000B2EEF">
        <w:rPr>
          <w:sz w:val="24"/>
          <w:szCs w:val="24"/>
        </w:rPr>
        <w:t xml:space="preserve"> </w:t>
      </w:r>
      <w:r w:rsidR="001307A7" w:rsidRPr="001307A7">
        <w:rPr>
          <w:sz w:val="24"/>
          <w:szCs w:val="24"/>
        </w:rPr>
        <w:t>The</w:t>
      </w:r>
      <w:r w:rsidR="0053393A">
        <w:rPr>
          <w:sz w:val="24"/>
          <w:szCs w:val="24"/>
        </w:rPr>
        <w:t xml:space="preserve"> effect of this </w:t>
      </w:r>
      <w:r w:rsidR="009E326E">
        <w:rPr>
          <w:sz w:val="24"/>
          <w:szCs w:val="24"/>
        </w:rPr>
        <w:t xml:space="preserve">provision </w:t>
      </w:r>
      <w:r w:rsidR="0053393A">
        <w:rPr>
          <w:sz w:val="24"/>
          <w:szCs w:val="24"/>
        </w:rPr>
        <w:t>is to require the</w:t>
      </w:r>
      <w:r w:rsidR="001307A7" w:rsidRPr="001307A7">
        <w:rPr>
          <w:sz w:val="24"/>
          <w:szCs w:val="24"/>
        </w:rPr>
        <w:t xml:space="preserve"> relinquishment obligation </w:t>
      </w:r>
      <w:r w:rsidR="0053393A">
        <w:rPr>
          <w:sz w:val="24"/>
          <w:szCs w:val="24"/>
        </w:rPr>
        <w:t>to be</w:t>
      </w:r>
      <w:r w:rsidR="001307A7" w:rsidRPr="001307A7">
        <w:rPr>
          <w:sz w:val="24"/>
          <w:szCs w:val="24"/>
        </w:rPr>
        <w:t xml:space="preserve"> calculated using a </w:t>
      </w:r>
      <w:proofErr w:type="spellStart"/>
      <w:r w:rsidR="001307A7" w:rsidRPr="001307A7">
        <w:rPr>
          <w:sz w:val="24"/>
          <w:szCs w:val="24"/>
        </w:rPr>
        <w:t>FullCAM</w:t>
      </w:r>
      <w:proofErr w:type="spellEnd"/>
      <w:r w:rsidR="001307A7" w:rsidRPr="001307A7">
        <w:rPr>
          <w:sz w:val="24"/>
          <w:szCs w:val="24"/>
        </w:rPr>
        <w:t xml:space="preserve"> model harvest plot that represents the average emissions-intensity of harvesting from the project area, calculated over </w:t>
      </w:r>
      <w:r w:rsidR="0053393A">
        <w:rPr>
          <w:sz w:val="24"/>
          <w:szCs w:val="24"/>
        </w:rPr>
        <w:t xml:space="preserve">the </w:t>
      </w:r>
      <w:r w:rsidR="001307A7" w:rsidRPr="001307A7">
        <w:rPr>
          <w:sz w:val="24"/>
          <w:szCs w:val="24"/>
        </w:rPr>
        <w:t>5</w:t>
      </w:r>
      <w:r w:rsidR="008A37B2">
        <w:rPr>
          <w:sz w:val="24"/>
          <w:szCs w:val="24"/>
        </w:rPr>
        <w:t>-</w:t>
      </w:r>
      <w:r w:rsidR="001307A7" w:rsidRPr="001307A7">
        <w:rPr>
          <w:sz w:val="24"/>
          <w:szCs w:val="24"/>
        </w:rPr>
        <w:t>year</w:t>
      </w:r>
      <w:r w:rsidR="0053393A">
        <w:rPr>
          <w:sz w:val="24"/>
          <w:szCs w:val="24"/>
        </w:rPr>
        <w:t xml:space="preserve"> period prior to project registration</w:t>
      </w:r>
      <w:r w:rsidR="001307A7" w:rsidRPr="001307A7">
        <w:rPr>
          <w:sz w:val="24"/>
          <w:szCs w:val="24"/>
        </w:rPr>
        <w:t>. The exceedance volume is converted to a harvest area using the representative model harvest plot</w:t>
      </w:r>
      <w:r w:rsidR="00375588">
        <w:rPr>
          <w:sz w:val="24"/>
          <w:szCs w:val="24"/>
        </w:rPr>
        <w:t xml:space="preserve"> in accordance with </w:t>
      </w:r>
      <w:r w:rsidR="00F07D1D">
        <w:rPr>
          <w:sz w:val="24"/>
          <w:szCs w:val="24"/>
        </w:rPr>
        <w:t>subsection</w:t>
      </w:r>
      <w:r w:rsidR="00375588" w:rsidRPr="00AB00BA">
        <w:rPr>
          <w:sz w:val="24"/>
          <w:szCs w:val="24"/>
        </w:rPr>
        <w:t xml:space="preserve"> 4</w:t>
      </w:r>
      <w:r w:rsidR="00964377">
        <w:rPr>
          <w:sz w:val="24"/>
          <w:szCs w:val="24"/>
        </w:rPr>
        <w:t>2</w:t>
      </w:r>
      <w:r w:rsidR="00375588" w:rsidRPr="00AB00BA">
        <w:rPr>
          <w:sz w:val="24"/>
          <w:szCs w:val="24"/>
        </w:rPr>
        <w:t>(4)(b)</w:t>
      </w:r>
      <w:r w:rsidR="001307A7" w:rsidRPr="001307A7">
        <w:rPr>
          <w:sz w:val="24"/>
          <w:szCs w:val="24"/>
        </w:rPr>
        <w:t xml:space="preserve">. The </w:t>
      </w:r>
      <w:r w:rsidR="005925E7">
        <w:rPr>
          <w:sz w:val="24"/>
          <w:szCs w:val="24"/>
        </w:rPr>
        <w:t xml:space="preserve">derived </w:t>
      </w:r>
      <w:r w:rsidR="001307A7" w:rsidRPr="001307A7">
        <w:rPr>
          <w:sz w:val="24"/>
          <w:szCs w:val="24"/>
        </w:rPr>
        <w:t>harvest</w:t>
      </w:r>
      <w:r w:rsidR="005925E7">
        <w:rPr>
          <w:sz w:val="24"/>
          <w:szCs w:val="24"/>
        </w:rPr>
        <w:t xml:space="preserve"> area</w:t>
      </w:r>
      <w:r w:rsidR="001307A7" w:rsidRPr="001307A7">
        <w:rPr>
          <w:sz w:val="24"/>
          <w:szCs w:val="24"/>
        </w:rPr>
        <w:t xml:space="preserve"> is then modelled in a 10-year quasi-project scenario, while a no-harvest version of the same model plot is included in a de facto 10-year quasi-baseline scenario. The relinquishment obligation is calculated as the difference between net emissions in the quasi-project scenario and net emissions in the quasi-baseline scenario</w:t>
      </w:r>
      <w:r w:rsidR="005968DE">
        <w:rPr>
          <w:sz w:val="24"/>
          <w:szCs w:val="24"/>
        </w:rPr>
        <w:t xml:space="preserve"> over the 10-year period</w:t>
      </w:r>
      <w:r w:rsidR="001307A7" w:rsidRPr="001307A7">
        <w:rPr>
          <w:sz w:val="24"/>
          <w:szCs w:val="24"/>
        </w:rPr>
        <w:t>.</w:t>
      </w:r>
    </w:p>
    <w:p w14:paraId="1E3F461C" w14:textId="49803C93" w:rsidR="002D749F" w:rsidRPr="000A40DC" w:rsidRDefault="002D749F" w:rsidP="00DB00CB">
      <w:pPr>
        <w:pStyle w:val="subsection"/>
        <w:spacing w:before="120" w:after="120"/>
        <w:ind w:left="0" w:firstLine="0"/>
        <w:rPr>
          <w:sz w:val="24"/>
          <w:szCs w:val="24"/>
        </w:rPr>
      </w:pPr>
      <w:r>
        <w:rPr>
          <w:sz w:val="24"/>
          <w:szCs w:val="24"/>
        </w:rPr>
        <w:t>Subsection 18(4)(b) specifies that</w:t>
      </w:r>
      <w:r w:rsidR="00373758">
        <w:rPr>
          <w:sz w:val="24"/>
          <w:szCs w:val="24"/>
        </w:rPr>
        <w:t>, if there is a resumption of timber harvesting in a carbon protection area</w:t>
      </w:r>
      <w:r w:rsidR="00C76002">
        <w:rPr>
          <w:sz w:val="24"/>
          <w:szCs w:val="24"/>
        </w:rPr>
        <w:t xml:space="preserve">, </w:t>
      </w:r>
      <w:r w:rsidR="00C12EB7" w:rsidRPr="000A40DC">
        <w:rPr>
          <w:sz w:val="24"/>
          <w:szCs w:val="24"/>
        </w:rPr>
        <w:t xml:space="preserve">the number of ACCUs to be surrendered </w:t>
      </w:r>
      <w:r w:rsidR="00C12EB7">
        <w:rPr>
          <w:sz w:val="24"/>
          <w:szCs w:val="24"/>
        </w:rPr>
        <w:t xml:space="preserve">must be </w:t>
      </w:r>
      <w:r w:rsidR="00EC7C0F">
        <w:rPr>
          <w:sz w:val="24"/>
          <w:szCs w:val="24"/>
        </w:rPr>
        <w:t>calculated as double the number derived using the method described in subsection 18(4)(a).</w:t>
      </w:r>
    </w:p>
    <w:p w14:paraId="07CF69FB" w14:textId="77777777" w:rsidR="00A656D9" w:rsidRPr="00A656D9" w:rsidRDefault="00EC595A" w:rsidP="00DB00CB">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Division 3.3—Management plan for project area</w:t>
      </w:r>
    </w:p>
    <w:p w14:paraId="053056ED" w14:textId="17FC9D0C" w:rsidR="004B5D66" w:rsidRDefault="00F020E1" w:rsidP="00DB00CB">
      <w:pPr>
        <w:pStyle w:val="subsection"/>
        <w:spacing w:before="120" w:after="120"/>
        <w:ind w:left="0" w:firstLine="0"/>
        <w:rPr>
          <w:sz w:val="24"/>
          <w:szCs w:val="24"/>
        </w:rPr>
      </w:pPr>
      <w:r>
        <w:rPr>
          <w:sz w:val="24"/>
          <w:szCs w:val="24"/>
        </w:rPr>
        <w:t xml:space="preserve">The Determination requires project proponents to prepare and maintain a management plan for the project area and to manage the public native forests in the project area in accordance with the management plan. </w:t>
      </w:r>
      <w:r w:rsidR="00113171">
        <w:rPr>
          <w:sz w:val="24"/>
          <w:szCs w:val="24"/>
        </w:rPr>
        <w:t>The management plan can be amended over the course of the project</w:t>
      </w:r>
      <w:r w:rsidR="00CF0674">
        <w:rPr>
          <w:sz w:val="24"/>
          <w:szCs w:val="24"/>
        </w:rPr>
        <w:t>, provided the amendment</w:t>
      </w:r>
      <w:r w:rsidR="00956A5C">
        <w:rPr>
          <w:sz w:val="24"/>
          <w:szCs w:val="24"/>
        </w:rPr>
        <w:t>s</w:t>
      </w:r>
      <w:r w:rsidR="00CF0674">
        <w:rPr>
          <w:sz w:val="24"/>
          <w:szCs w:val="24"/>
        </w:rPr>
        <w:t xml:space="preserve"> do not </w:t>
      </w:r>
      <w:r w:rsidR="0070426F" w:rsidRPr="0070426F">
        <w:rPr>
          <w:sz w:val="24"/>
          <w:szCs w:val="24"/>
        </w:rPr>
        <w:t>increase the volume of wood proposed to be extracted from the project area during each 12 months of the crediting period</w:t>
      </w:r>
      <w:r w:rsidR="00113171">
        <w:rPr>
          <w:sz w:val="24"/>
          <w:szCs w:val="24"/>
        </w:rPr>
        <w:t xml:space="preserve">. </w:t>
      </w:r>
      <w:r w:rsidR="00956A5C">
        <w:rPr>
          <w:sz w:val="24"/>
          <w:szCs w:val="24"/>
        </w:rPr>
        <w:t>To promote transparency, t</w:t>
      </w:r>
      <w:r w:rsidR="00113171">
        <w:rPr>
          <w:sz w:val="24"/>
          <w:szCs w:val="24"/>
        </w:rPr>
        <w:t xml:space="preserve">he </w:t>
      </w:r>
      <w:r w:rsidR="00956A5C">
        <w:rPr>
          <w:sz w:val="24"/>
          <w:szCs w:val="24"/>
        </w:rPr>
        <w:t xml:space="preserve">current version of the </w:t>
      </w:r>
      <w:r w:rsidR="00113171">
        <w:rPr>
          <w:sz w:val="24"/>
          <w:szCs w:val="24"/>
        </w:rPr>
        <w:t xml:space="preserve">management plan must be </w:t>
      </w:r>
      <w:proofErr w:type="gramStart"/>
      <w:r w:rsidR="00113171">
        <w:rPr>
          <w:sz w:val="24"/>
          <w:szCs w:val="24"/>
        </w:rPr>
        <w:t>published on the proponent’s website</w:t>
      </w:r>
      <w:r w:rsidR="00BD261D">
        <w:rPr>
          <w:sz w:val="24"/>
          <w:szCs w:val="24"/>
        </w:rPr>
        <w:t xml:space="preserve"> at all times</w:t>
      </w:r>
      <w:proofErr w:type="gramEnd"/>
      <w:r w:rsidR="00BD261D">
        <w:rPr>
          <w:sz w:val="24"/>
          <w:szCs w:val="24"/>
        </w:rPr>
        <w:t xml:space="preserve"> over the life of the project</w:t>
      </w:r>
      <w:r w:rsidR="004B5D66">
        <w:rPr>
          <w:sz w:val="24"/>
          <w:szCs w:val="24"/>
        </w:rPr>
        <w:t>.</w:t>
      </w:r>
    </w:p>
    <w:p w14:paraId="111CD040" w14:textId="292E5390" w:rsidR="004B5D66" w:rsidRDefault="00BD261D" w:rsidP="00DB00CB">
      <w:pPr>
        <w:pStyle w:val="subsection"/>
        <w:spacing w:before="120" w:after="120"/>
        <w:ind w:left="0" w:firstLine="0"/>
        <w:rPr>
          <w:sz w:val="24"/>
          <w:szCs w:val="24"/>
        </w:rPr>
      </w:pPr>
      <w:r>
        <w:rPr>
          <w:sz w:val="24"/>
          <w:szCs w:val="24"/>
        </w:rPr>
        <w:t xml:space="preserve">The management plan </w:t>
      </w:r>
      <w:r w:rsidR="000B3F7F">
        <w:rPr>
          <w:sz w:val="24"/>
          <w:szCs w:val="24"/>
        </w:rPr>
        <w:t>enables the Regulator to assess the project against the eligibility requirements</w:t>
      </w:r>
      <w:r w:rsidR="00492DBD">
        <w:rPr>
          <w:sz w:val="24"/>
          <w:szCs w:val="24"/>
        </w:rPr>
        <w:t xml:space="preserve"> and ensures transparency in key integrity measures, including the </w:t>
      </w:r>
      <w:r w:rsidR="00492DBD" w:rsidRPr="00492DBD">
        <w:rPr>
          <w:sz w:val="24"/>
          <w:szCs w:val="24"/>
        </w:rPr>
        <w:t xml:space="preserve">harvest level </w:t>
      </w:r>
      <w:r w:rsidR="00492DBD" w:rsidRPr="00492DBD">
        <w:rPr>
          <w:sz w:val="24"/>
          <w:szCs w:val="24"/>
        </w:rPr>
        <w:lastRenderedPageBreak/>
        <w:t>in the baseline scenario</w:t>
      </w:r>
      <w:r w:rsidR="00492DBD">
        <w:rPr>
          <w:sz w:val="24"/>
          <w:szCs w:val="24"/>
        </w:rPr>
        <w:t xml:space="preserve">, </w:t>
      </w:r>
      <w:r w:rsidR="00492DBD" w:rsidRPr="00492DBD">
        <w:rPr>
          <w:sz w:val="24"/>
          <w:szCs w:val="24"/>
        </w:rPr>
        <w:t>the direct leakage baseline harvest level and the private native forests leakage baseline harvest level</w:t>
      </w:r>
      <w:r w:rsidR="00492DBD">
        <w:rPr>
          <w:sz w:val="24"/>
          <w:szCs w:val="24"/>
        </w:rPr>
        <w:t xml:space="preserve">. </w:t>
      </w:r>
      <w:r w:rsidR="00D70751">
        <w:rPr>
          <w:sz w:val="24"/>
          <w:szCs w:val="24"/>
        </w:rPr>
        <w:t xml:space="preserve">It also </w:t>
      </w:r>
      <w:r w:rsidR="00BE3657">
        <w:rPr>
          <w:sz w:val="24"/>
          <w:szCs w:val="24"/>
        </w:rPr>
        <w:t xml:space="preserve">mitigates integrity risks by </w:t>
      </w:r>
      <w:r w:rsidR="005C6305">
        <w:rPr>
          <w:sz w:val="24"/>
          <w:szCs w:val="24"/>
        </w:rPr>
        <w:t xml:space="preserve">ensuring the </w:t>
      </w:r>
      <w:r w:rsidR="00281FB0">
        <w:rPr>
          <w:sz w:val="24"/>
          <w:szCs w:val="24"/>
        </w:rPr>
        <w:t>proponent adheres to the planned reduction in harvesting</w:t>
      </w:r>
      <w:r w:rsidR="00AD7678">
        <w:rPr>
          <w:sz w:val="24"/>
          <w:szCs w:val="24"/>
        </w:rPr>
        <w:t xml:space="preserve"> and preventing increases in harvesting after </w:t>
      </w:r>
      <w:r w:rsidR="00FD23AA">
        <w:rPr>
          <w:sz w:val="24"/>
          <w:szCs w:val="24"/>
        </w:rPr>
        <w:t>the project has commenced</w:t>
      </w:r>
      <w:r w:rsidR="00281FB0">
        <w:rPr>
          <w:sz w:val="24"/>
          <w:szCs w:val="24"/>
        </w:rPr>
        <w:t xml:space="preserve">. </w:t>
      </w:r>
      <w:r w:rsidR="00AD7678">
        <w:rPr>
          <w:sz w:val="24"/>
          <w:szCs w:val="24"/>
        </w:rPr>
        <w:t>Notably, failure to comply with the management plan</w:t>
      </w:r>
      <w:r w:rsidR="00FD23AA">
        <w:rPr>
          <w:sz w:val="24"/>
          <w:szCs w:val="24"/>
        </w:rPr>
        <w:t xml:space="preserve"> provides a basis for the Regulator to unilaterally revoke a project’s </w:t>
      </w:r>
      <w:r w:rsidR="00A058BA">
        <w:rPr>
          <w:sz w:val="24"/>
          <w:szCs w:val="24"/>
        </w:rPr>
        <w:t xml:space="preserve">declaration as an eligible offsets project under </w:t>
      </w:r>
      <w:r w:rsidR="00A058BA" w:rsidRPr="00A058BA">
        <w:rPr>
          <w:sz w:val="24"/>
          <w:szCs w:val="24"/>
        </w:rPr>
        <w:t xml:space="preserve">section 32 of the </w:t>
      </w:r>
      <w:r w:rsidR="00A058BA" w:rsidRPr="00127583">
        <w:rPr>
          <w:i/>
          <w:iCs/>
          <w:sz w:val="24"/>
          <w:szCs w:val="24"/>
        </w:rPr>
        <w:t>Carbon Credits (Carbon Farming Initiative) Rule 2015</w:t>
      </w:r>
      <w:r w:rsidR="00A058BA">
        <w:rPr>
          <w:sz w:val="24"/>
          <w:szCs w:val="24"/>
        </w:rPr>
        <w:t>.</w:t>
      </w:r>
    </w:p>
    <w:p w14:paraId="4CCDC403" w14:textId="2A837B45" w:rsidR="00F020E1" w:rsidRPr="000A40DC" w:rsidRDefault="00F020E1" w:rsidP="00DB00CB">
      <w:pPr>
        <w:pStyle w:val="subsection"/>
        <w:spacing w:before="120" w:after="120"/>
        <w:ind w:left="0" w:firstLine="0"/>
        <w:rPr>
          <w:sz w:val="24"/>
          <w:szCs w:val="24"/>
        </w:rPr>
      </w:pPr>
      <w:r>
        <w:rPr>
          <w:sz w:val="24"/>
          <w:szCs w:val="24"/>
        </w:rPr>
        <w:t xml:space="preserve">The obligations regarding </w:t>
      </w:r>
      <w:r w:rsidR="00103309">
        <w:rPr>
          <w:sz w:val="24"/>
          <w:szCs w:val="24"/>
        </w:rPr>
        <w:t>the preparation, maintenance and implementation of management plans for INFM projects are contained in sections 19, 20 and 21.</w:t>
      </w:r>
    </w:p>
    <w:p w14:paraId="0595DB0B" w14:textId="03C8231A" w:rsidR="00A656D9" w:rsidRPr="00310D38" w:rsidRDefault="00F21892"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310D38" w:rsidRPr="00310D38">
        <w:rPr>
          <w:rFonts w:ascii="Times New Roman" w:hAnsi="Times New Roman" w:cs="Times New Roman"/>
          <w:sz w:val="24"/>
          <w:szCs w:val="24"/>
          <w:u w:val="single"/>
        </w:rPr>
        <w:t xml:space="preserve">19 – </w:t>
      </w:r>
      <w:r w:rsidR="00A656D9" w:rsidRPr="00310D38">
        <w:rPr>
          <w:rFonts w:ascii="Times New Roman" w:hAnsi="Times New Roman" w:cs="Times New Roman"/>
          <w:sz w:val="24"/>
          <w:szCs w:val="24"/>
          <w:u w:val="single"/>
        </w:rPr>
        <w:t>Preparation of management plan</w:t>
      </w:r>
    </w:p>
    <w:p w14:paraId="67985FB6" w14:textId="2B804181" w:rsidR="00C02593" w:rsidRPr="00F33008" w:rsidRDefault="00F07D1D" w:rsidP="00DB00CB">
      <w:pPr>
        <w:pStyle w:val="subsection"/>
        <w:spacing w:before="120" w:after="120"/>
        <w:ind w:left="0" w:firstLine="0"/>
        <w:rPr>
          <w:sz w:val="24"/>
          <w:szCs w:val="24"/>
        </w:rPr>
      </w:pPr>
      <w:r w:rsidRPr="00DF430D">
        <w:rPr>
          <w:sz w:val="24"/>
          <w:szCs w:val="24"/>
        </w:rPr>
        <w:t>Subsection</w:t>
      </w:r>
      <w:r w:rsidR="00F547C6" w:rsidRPr="00F33008">
        <w:rPr>
          <w:sz w:val="24"/>
          <w:szCs w:val="24"/>
        </w:rPr>
        <w:t xml:space="preserve"> </w:t>
      </w:r>
      <w:r w:rsidR="0058223E" w:rsidRPr="00F33008">
        <w:rPr>
          <w:sz w:val="24"/>
          <w:szCs w:val="24"/>
        </w:rPr>
        <w:t>19(1</w:t>
      </w:r>
      <w:r w:rsidR="00C02593" w:rsidRPr="00F33008">
        <w:rPr>
          <w:sz w:val="24"/>
          <w:szCs w:val="24"/>
        </w:rPr>
        <w:t xml:space="preserve">) requires the project proponent to prepare </w:t>
      </w:r>
      <w:r w:rsidR="0058223E" w:rsidRPr="00F33008">
        <w:rPr>
          <w:sz w:val="24"/>
          <w:szCs w:val="24"/>
        </w:rPr>
        <w:t>a management plan for the project area.</w:t>
      </w:r>
      <w:r w:rsidR="00C02593" w:rsidRPr="00F33008">
        <w:rPr>
          <w:sz w:val="24"/>
          <w:szCs w:val="24"/>
        </w:rPr>
        <w:t xml:space="preserve"> </w:t>
      </w:r>
    </w:p>
    <w:p w14:paraId="621CABFB" w14:textId="22E92F28" w:rsidR="001A44C8" w:rsidRPr="00F33008" w:rsidRDefault="00F07D1D" w:rsidP="00DB00CB">
      <w:pPr>
        <w:pStyle w:val="subsection"/>
        <w:spacing w:before="120" w:after="120"/>
        <w:ind w:left="0" w:firstLine="0"/>
        <w:rPr>
          <w:sz w:val="24"/>
          <w:szCs w:val="24"/>
        </w:rPr>
      </w:pPr>
      <w:r w:rsidRPr="00DF430D">
        <w:rPr>
          <w:sz w:val="24"/>
          <w:szCs w:val="24"/>
        </w:rPr>
        <w:t>Subsection</w:t>
      </w:r>
      <w:r w:rsidR="00C02593" w:rsidRPr="00F33008">
        <w:rPr>
          <w:sz w:val="24"/>
          <w:szCs w:val="24"/>
        </w:rPr>
        <w:t xml:space="preserve"> 19(2) requires </w:t>
      </w:r>
      <w:r w:rsidR="001A44C8" w:rsidRPr="00F33008">
        <w:rPr>
          <w:sz w:val="24"/>
          <w:szCs w:val="24"/>
        </w:rPr>
        <w:t>an application for registration of an INFM project to include the management plan.</w:t>
      </w:r>
    </w:p>
    <w:p w14:paraId="5B72D9AA" w14:textId="59462CD0" w:rsidR="00714779" w:rsidRPr="00F33008" w:rsidRDefault="00F07D1D" w:rsidP="00DB00CB">
      <w:pPr>
        <w:pStyle w:val="subsection"/>
        <w:spacing w:before="120" w:after="120"/>
        <w:ind w:left="0" w:firstLine="0"/>
        <w:rPr>
          <w:sz w:val="24"/>
          <w:szCs w:val="24"/>
        </w:rPr>
      </w:pPr>
      <w:r w:rsidRPr="00DF430D">
        <w:rPr>
          <w:sz w:val="24"/>
          <w:szCs w:val="24"/>
        </w:rPr>
        <w:t>Subsection</w:t>
      </w:r>
      <w:r w:rsidR="00714779" w:rsidRPr="00F33008">
        <w:rPr>
          <w:sz w:val="24"/>
          <w:szCs w:val="24"/>
        </w:rPr>
        <w:t xml:space="preserve"> 19</w:t>
      </w:r>
      <w:r w:rsidR="0058223E" w:rsidRPr="00F33008">
        <w:rPr>
          <w:sz w:val="24"/>
          <w:szCs w:val="24"/>
        </w:rPr>
        <w:t>(3)</w:t>
      </w:r>
      <w:r w:rsidR="00714779" w:rsidRPr="00F33008">
        <w:rPr>
          <w:sz w:val="24"/>
          <w:szCs w:val="24"/>
        </w:rPr>
        <w:t xml:space="preserve"> specifies that the management plan must include: </w:t>
      </w:r>
    </w:p>
    <w:p w14:paraId="13278EA4" w14:textId="77777777" w:rsidR="00714779" w:rsidRPr="00F33008" w:rsidRDefault="00714779" w:rsidP="009D5A62">
      <w:pPr>
        <w:pStyle w:val="subsection"/>
        <w:numPr>
          <w:ilvl w:val="0"/>
          <w:numId w:val="39"/>
        </w:numPr>
        <w:spacing w:before="120" w:after="120"/>
        <w:rPr>
          <w:sz w:val="24"/>
          <w:szCs w:val="24"/>
        </w:rPr>
      </w:pPr>
      <w:r w:rsidRPr="00F33008">
        <w:rPr>
          <w:sz w:val="24"/>
          <w:szCs w:val="24"/>
        </w:rPr>
        <w:t xml:space="preserve">the project </w:t>
      </w:r>
      <w:proofErr w:type="gramStart"/>
      <w:r w:rsidRPr="00F33008">
        <w:rPr>
          <w:sz w:val="24"/>
          <w:szCs w:val="24"/>
        </w:rPr>
        <w:t>map;</w:t>
      </w:r>
      <w:proofErr w:type="gramEnd"/>
      <w:r w:rsidRPr="00F33008">
        <w:rPr>
          <w:sz w:val="24"/>
          <w:szCs w:val="24"/>
        </w:rPr>
        <w:t xml:space="preserve"> </w:t>
      </w:r>
    </w:p>
    <w:p w14:paraId="46891EC0" w14:textId="1B7CC804" w:rsidR="00E97E5E" w:rsidRPr="00F33008" w:rsidRDefault="0058223E" w:rsidP="009D5A62">
      <w:pPr>
        <w:pStyle w:val="subsection"/>
        <w:numPr>
          <w:ilvl w:val="0"/>
          <w:numId w:val="39"/>
        </w:numPr>
        <w:spacing w:before="120" w:after="120"/>
        <w:rPr>
          <w:sz w:val="24"/>
          <w:szCs w:val="24"/>
        </w:rPr>
      </w:pPr>
      <w:r w:rsidRPr="00F33008">
        <w:rPr>
          <w:sz w:val="24"/>
          <w:szCs w:val="24"/>
        </w:rPr>
        <w:t>the harvest level in the baseline scenario for the project area (in cubic metres of logs produced and hectares harvested</w:t>
      </w:r>
      <w:proofErr w:type="gramStart"/>
      <w:r w:rsidRPr="00F33008">
        <w:rPr>
          <w:sz w:val="24"/>
          <w:szCs w:val="24"/>
        </w:rPr>
        <w:t>);</w:t>
      </w:r>
      <w:proofErr w:type="gramEnd"/>
      <w:r w:rsidRPr="00F33008">
        <w:rPr>
          <w:sz w:val="24"/>
          <w:szCs w:val="24"/>
        </w:rPr>
        <w:t xml:space="preserve"> </w:t>
      </w:r>
    </w:p>
    <w:p w14:paraId="3DCF0A80" w14:textId="0807A71F" w:rsidR="00175310" w:rsidRPr="00F33008" w:rsidRDefault="00175310" w:rsidP="009D5A62">
      <w:pPr>
        <w:pStyle w:val="subsection"/>
        <w:numPr>
          <w:ilvl w:val="0"/>
          <w:numId w:val="39"/>
        </w:numPr>
        <w:spacing w:before="120" w:after="120"/>
        <w:rPr>
          <w:sz w:val="24"/>
          <w:szCs w:val="24"/>
        </w:rPr>
      </w:pPr>
      <w:r w:rsidRPr="00F33008">
        <w:rPr>
          <w:sz w:val="24"/>
          <w:szCs w:val="24"/>
        </w:rPr>
        <w:t>the direct leakage baseline harvest level and the private native forests leakage baseline harvest level for the project (in cubic metres of logs produced</w:t>
      </w:r>
      <w:proofErr w:type="gramStart"/>
      <w:r w:rsidRPr="00F33008">
        <w:rPr>
          <w:sz w:val="24"/>
          <w:szCs w:val="24"/>
        </w:rPr>
        <w:t>);</w:t>
      </w:r>
      <w:proofErr w:type="gramEnd"/>
    </w:p>
    <w:p w14:paraId="6EAED768" w14:textId="28A30889" w:rsidR="00E97E5E" w:rsidRPr="00F33008" w:rsidRDefault="0058223E" w:rsidP="009D5A62">
      <w:pPr>
        <w:pStyle w:val="subsection"/>
        <w:numPr>
          <w:ilvl w:val="0"/>
          <w:numId w:val="39"/>
        </w:numPr>
        <w:spacing w:before="120" w:after="120"/>
        <w:rPr>
          <w:sz w:val="24"/>
          <w:szCs w:val="24"/>
        </w:rPr>
      </w:pPr>
      <w:r w:rsidRPr="00F33008">
        <w:rPr>
          <w:sz w:val="24"/>
          <w:szCs w:val="24"/>
        </w:rPr>
        <w:t xml:space="preserve">the volume of wood proposed to be extracted from the project area during each 12 months of the whole 15-year crediting period; </w:t>
      </w:r>
      <w:r w:rsidR="00E97E5E" w:rsidRPr="00F33008">
        <w:rPr>
          <w:sz w:val="24"/>
          <w:szCs w:val="24"/>
        </w:rPr>
        <w:t>and</w:t>
      </w:r>
    </w:p>
    <w:p w14:paraId="56D96568" w14:textId="06082A16" w:rsidR="00B91F1B" w:rsidRPr="00F33008" w:rsidRDefault="0058223E" w:rsidP="009D5A62">
      <w:pPr>
        <w:pStyle w:val="subsection"/>
        <w:numPr>
          <w:ilvl w:val="0"/>
          <w:numId w:val="39"/>
        </w:numPr>
        <w:spacing w:before="120" w:after="120"/>
        <w:rPr>
          <w:sz w:val="24"/>
          <w:szCs w:val="24"/>
        </w:rPr>
      </w:pPr>
      <w:r w:rsidRPr="00F33008">
        <w:rPr>
          <w:sz w:val="24"/>
          <w:szCs w:val="24"/>
        </w:rPr>
        <w:t>details on how th</w:t>
      </w:r>
      <w:r w:rsidR="00E97E5E" w:rsidRPr="00F33008">
        <w:rPr>
          <w:sz w:val="24"/>
          <w:szCs w:val="24"/>
        </w:rPr>
        <w:t>e</w:t>
      </w:r>
      <w:r w:rsidRPr="00F33008">
        <w:rPr>
          <w:sz w:val="24"/>
          <w:szCs w:val="24"/>
        </w:rPr>
        <w:t xml:space="preserve"> </w:t>
      </w:r>
      <w:r w:rsidR="00E97E5E" w:rsidRPr="00F33008">
        <w:rPr>
          <w:sz w:val="24"/>
          <w:szCs w:val="24"/>
        </w:rPr>
        <w:t xml:space="preserve">proposed </w:t>
      </w:r>
      <w:r w:rsidRPr="00F33008">
        <w:rPr>
          <w:sz w:val="24"/>
          <w:szCs w:val="24"/>
        </w:rPr>
        <w:t>reduction in the volume of wood to be extracted will be achieved.</w:t>
      </w:r>
    </w:p>
    <w:p w14:paraId="4DE8885B" w14:textId="113EA090" w:rsidR="00D42825" w:rsidRPr="00310D38" w:rsidRDefault="00F21892"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D42825">
        <w:rPr>
          <w:rFonts w:ascii="Times New Roman" w:hAnsi="Times New Roman" w:cs="Times New Roman"/>
          <w:sz w:val="24"/>
          <w:szCs w:val="24"/>
          <w:u w:val="single"/>
        </w:rPr>
        <w:t>20</w:t>
      </w:r>
      <w:r w:rsidR="00D42825" w:rsidRPr="00310D38">
        <w:rPr>
          <w:rFonts w:ascii="Times New Roman" w:hAnsi="Times New Roman" w:cs="Times New Roman"/>
          <w:sz w:val="24"/>
          <w:szCs w:val="24"/>
          <w:u w:val="single"/>
        </w:rPr>
        <w:t xml:space="preserve"> – </w:t>
      </w:r>
      <w:r w:rsidR="00C30613" w:rsidRPr="00C30613">
        <w:rPr>
          <w:rFonts w:ascii="Times New Roman" w:hAnsi="Times New Roman" w:cs="Times New Roman"/>
          <w:sz w:val="24"/>
          <w:szCs w:val="24"/>
          <w:u w:val="single"/>
        </w:rPr>
        <w:t>Amendment and publication of management plan</w:t>
      </w:r>
    </w:p>
    <w:p w14:paraId="14BF3A9D" w14:textId="793297E7" w:rsidR="00A87348" w:rsidRDefault="00F07D1D" w:rsidP="009A5D1D">
      <w:pPr>
        <w:pStyle w:val="subsection"/>
        <w:spacing w:before="120" w:after="120"/>
        <w:ind w:left="0" w:firstLine="0"/>
        <w:rPr>
          <w:sz w:val="24"/>
          <w:szCs w:val="24"/>
        </w:rPr>
      </w:pPr>
      <w:r w:rsidRPr="00DF430D">
        <w:rPr>
          <w:sz w:val="24"/>
          <w:szCs w:val="24"/>
        </w:rPr>
        <w:t>Subsection</w:t>
      </w:r>
      <w:r w:rsidR="00D75897">
        <w:rPr>
          <w:sz w:val="24"/>
          <w:szCs w:val="24"/>
        </w:rPr>
        <w:t xml:space="preserve"> </w:t>
      </w:r>
      <w:r w:rsidR="009879E6">
        <w:rPr>
          <w:sz w:val="24"/>
          <w:szCs w:val="24"/>
        </w:rPr>
        <w:t xml:space="preserve">20(1) </w:t>
      </w:r>
      <w:r w:rsidR="005B1965">
        <w:rPr>
          <w:sz w:val="24"/>
          <w:szCs w:val="24"/>
        </w:rPr>
        <w:t xml:space="preserve">provides that </w:t>
      </w:r>
      <w:r w:rsidR="009A5D1D">
        <w:rPr>
          <w:sz w:val="24"/>
          <w:szCs w:val="24"/>
        </w:rPr>
        <w:t xml:space="preserve">a project proponent may amend the management </w:t>
      </w:r>
      <w:r w:rsidR="00DD3974">
        <w:rPr>
          <w:sz w:val="24"/>
          <w:szCs w:val="24"/>
        </w:rPr>
        <w:t xml:space="preserve">plan </w:t>
      </w:r>
      <w:r w:rsidR="009A5D1D">
        <w:rPr>
          <w:sz w:val="24"/>
          <w:szCs w:val="24"/>
        </w:rPr>
        <w:t>and pr</w:t>
      </w:r>
      <w:r w:rsidR="00DD3974">
        <w:rPr>
          <w:sz w:val="24"/>
          <w:szCs w:val="24"/>
        </w:rPr>
        <w:t>ovide</w:t>
      </w:r>
      <w:r w:rsidR="009A5D1D">
        <w:rPr>
          <w:sz w:val="24"/>
          <w:szCs w:val="24"/>
        </w:rPr>
        <w:t xml:space="preserve"> it to the Regulator. </w:t>
      </w:r>
    </w:p>
    <w:p w14:paraId="18A7CF10" w14:textId="19B309FD" w:rsidR="00A87348" w:rsidRDefault="00F07D1D" w:rsidP="009A5D1D">
      <w:pPr>
        <w:pStyle w:val="subsection"/>
        <w:spacing w:before="120" w:after="120"/>
        <w:ind w:left="0" w:firstLine="0"/>
        <w:rPr>
          <w:sz w:val="24"/>
          <w:szCs w:val="24"/>
        </w:rPr>
      </w:pPr>
      <w:r w:rsidRPr="00DF430D">
        <w:rPr>
          <w:sz w:val="24"/>
          <w:szCs w:val="24"/>
        </w:rPr>
        <w:t>Subsection</w:t>
      </w:r>
      <w:r w:rsidR="009A5D1D">
        <w:rPr>
          <w:sz w:val="24"/>
          <w:szCs w:val="24"/>
        </w:rPr>
        <w:t xml:space="preserve"> 20(2) clarifies that </w:t>
      </w:r>
      <w:r w:rsidR="00911231">
        <w:rPr>
          <w:sz w:val="24"/>
          <w:szCs w:val="24"/>
        </w:rPr>
        <w:t xml:space="preserve">the </w:t>
      </w:r>
      <w:r w:rsidR="002334B0" w:rsidRPr="002334B0">
        <w:rPr>
          <w:sz w:val="24"/>
          <w:szCs w:val="24"/>
        </w:rPr>
        <w:t xml:space="preserve">management plan may be amended at any time before or after the </w:t>
      </w:r>
      <w:r w:rsidR="00911231">
        <w:rPr>
          <w:sz w:val="24"/>
          <w:szCs w:val="24"/>
        </w:rPr>
        <w:t>project’s registration</w:t>
      </w:r>
      <w:r w:rsidR="002334B0" w:rsidRPr="002334B0">
        <w:rPr>
          <w:sz w:val="24"/>
          <w:szCs w:val="24"/>
        </w:rPr>
        <w:t>.</w:t>
      </w:r>
      <w:r w:rsidR="00911231">
        <w:rPr>
          <w:sz w:val="24"/>
          <w:szCs w:val="24"/>
        </w:rPr>
        <w:t xml:space="preserve"> </w:t>
      </w:r>
    </w:p>
    <w:p w14:paraId="64B7A494" w14:textId="79870EF4" w:rsidR="007E6B47" w:rsidRDefault="00F07D1D" w:rsidP="007E6B47">
      <w:pPr>
        <w:pStyle w:val="subsection"/>
        <w:spacing w:before="120" w:after="120"/>
        <w:ind w:left="0" w:firstLine="0"/>
        <w:rPr>
          <w:sz w:val="24"/>
          <w:szCs w:val="24"/>
        </w:rPr>
      </w:pPr>
      <w:r w:rsidRPr="00DF430D">
        <w:rPr>
          <w:sz w:val="24"/>
          <w:szCs w:val="24"/>
        </w:rPr>
        <w:t>Subsection</w:t>
      </w:r>
      <w:r w:rsidR="00911231">
        <w:rPr>
          <w:sz w:val="24"/>
          <w:szCs w:val="24"/>
        </w:rPr>
        <w:t xml:space="preserve"> 20(3) </w:t>
      </w:r>
      <w:r w:rsidR="00A87348">
        <w:rPr>
          <w:sz w:val="24"/>
          <w:szCs w:val="24"/>
        </w:rPr>
        <w:t>clarifies that an amended management plan must include the information required under Division 3.3</w:t>
      </w:r>
      <w:r w:rsidR="007E6B47">
        <w:rPr>
          <w:sz w:val="24"/>
          <w:szCs w:val="24"/>
        </w:rPr>
        <w:t xml:space="preserve">, which includes the information detailed in </w:t>
      </w:r>
      <w:r w:rsidR="00573DF0">
        <w:rPr>
          <w:sz w:val="24"/>
          <w:szCs w:val="24"/>
        </w:rPr>
        <w:t>subsection</w:t>
      </w:r>
      <w:r w:rsidR="000F12A2">
        <w:rPr>
          <w:sz w:val="24"/>
          <w:szCs w:val="24"/>
        </w:rPr>
        <w:t xml:space="preserve"> </w:t>
      </w:r>
      <w:r w:rsidR="007E6B47">
        <w:rPr>
          <w:sz w:val="24"/>
          <w:szCs w:val="24"/>
        </w:rPr>
        <w:t>19(3).</w:t>
      </w:r>
    </w:p>
    <w:p w14:paraId="3B43B947" w14:textId="74749F89" w:rsidR="00DA513B" w:rsidRDefault="00F07D1D" w:rsidP="00DB00CB">
      <w:pPr>
        <w:pStyle w:val="subsection"/>
        <w:spacing w:before="120" w:after="120"/>
        <w:ind w:left="0" w:firstLine="0"/>
        <w:rPr>
          <w:sz w:val="24"/>
          <w:szCs w:val="24"/>
        </w:rPr>
      </w:pPr>
      <w:r w:rsidRPr="00DF430D">
        <w:rPr>
          <w:sz w:val="24"/>
          <w:szCs w:val="24"/>
        </w:rPr>
        <w:t>Subsection</w:t>
      </w:r>
      <w:r w:rsidR="006F4C41">
        <w:rPr>
          <w:sz w:val="24"/>
          <w:szCs w:val="24"/>
        </w:rPr>
        <w:t xml:space="preserve"> 20(4) prevents an amended</w:t>
      </w:r>
      <w:r w:rsidR="002334B0" w:rsidRPr="002334B0">
        <w:rPr>
          <w:sz w:val="24"/>
          <w:szCs w:val="24"/>
        </w:rPr>
        <w:t xml:space="preserve"> management plan </w:t>
      </w:r>
      <w:r w:rsidR="006F4C41">
        <w:rPr>
          <w:sz w:val="24"/>
          <w:szCs w:val="24"/>
        </w:rPr>
        <w:t xml:space="preserve">from increasing </w:t>
      </w:r>
      <w:r w:rsidR="002334B0" w:rsidRPr="002334B0">
        <w:rPr>
          <w:sz w:val="24"/>
          <w:szCs w:val="24"/>
        </w:rPr>
        <w:t>the volume of wood proposed to be extracted from the project area during each 12 months of the crediting period.</w:t>
      </w:r>
      <w:r w:rsidR="00FE52F4">
        <w:rPr>
          <w:sz w:val="24"/>
          <w:szCs w:val="24"/>
        </w:rPr>
        <w:t xml:space="preserve"> This means that the first management plan </w:t>
      </w:r>
      <w:r w:rsidR="00F2131D">
        <w:rPr>
          <w:sz w:val="24"/>
          <w:szCs w:val="24"/>
        </w:rPr>
        <w:t xml:space="preserve">that is submitted sets a </w:t>
      </w:r>
      <w:r w:rsidR="00FB1523">
        <w:rPr>
          <w:sz w:val="24"/>
          <w:szCs w:val="24"/>
        </w:rPr>
        <w:t>limit</w:t>
      </w:r>
      <w:r w:rsidR="00F2131D">
        <w:rPr>
          <w:sz w:val="24"/>
          <w:szCs w:val="24"/>
        </w:rPr>
        <w:t xml:space="preserve"> on the volume of wood that can be extracted from the project area. Any subsequent amendments to the </w:t>
      </w:r>
      <w:r w:rsidR="000B257D">
        <w:rPr>
          <w:sz w:val="24"/>
          <w:szCs w:val="24"/>
        </w:rPr>
        <w:t xml:space="preserve">management </w:t>
      </w:r>
      <w:r w:rsidR="00F2131D">
        <w:rPr>
          <w:sz w:val="24"/>
          <w:szCs w:val="24"/>
        </w:rPr>
        <w:t xml:space="preserve">plan </w:t>
      </w:r>
      <w:r w:rsidR="000B257D">
        <w:rPr>
          <w:sz w:val="24"/>
          <w:szCs w:val="24"/>
        </w:rPr>
        <w:t>can only maintain this volume or further reduce it.</w:t>
      </w:r>
    </w:p>
    <w:p w14:paraId="3759CF43" w14:textId="2AA3AD10" w:rsidR="00B91F1B" w:rsidRDefault="00F07D1D" w:rsidP="00DB00CB">
      <w:pPr>
        <w:pStyle w:val="subsection"/>
        <w:spacing w:before="120" w:after="120"/>
        <w:ind w:left="0" w:firstLine="0"/>
        <w:rPr>
          <w:sz w:val="24"/>
          <w:szCs w:val="24"/>
        </w:rPr>
      </w:pPr>
      <w:r w:rsidRPr="00DF430D">
        <w:rPr>
          <w:sz w:val="24"/>
          <w:szCs w:val="24"/>
        </w:rPr>
        <w:t xml:space="preserve">Subsection </w:t>
      </w:r>
      <w:r w:rsidR="00DA513B">
        <w:rPr>
          <w:sz w:val="24"/>
          <w:szCs w:val="24"/>
        </w:rPr>
        <w:t>20</w:t>
      </w:r>
      <w:r w:rsidR="008064C8">
        <w:rPr>
          <w:sz w:val="24"/>
          <w:szCs w:val="24"/>
        </w:rPr>
        <w:t>(</w:t>
      </w:r>
      <w:r w:rsidR="002334B0" w:rsidRPr="002334B0">
        <w:rPr>
          <w:sz w:val="24"/>
          <w:szCs w:val="24"/>
        </w:rPr>
        <w:t xml:space="preserve">5) </w:t>
      </w:r>
      <w:r w:rsidR="008064C8">
        <w:rPr>
          <w:sz w:val="24"/>
          <w:szCs w:val="24"/>
        </w:rPr>
        <w:t xml:space="preserve">requires </w:t>
      </w:r>
      <w:r w:rsidR="008064C8" w:rsidRPr="008064C8">
        <w:rPr>
          <w:sz w:val="24"/>
          <w:szCs w:val="24"/>
        </w:rPr>
        <w:t xml:space="preserve">the current version of the management plan </w:t>
      </w:r>
      <w:r w:rsidR="008064C8">
        <w:rPr>
          <w:sz w:val="24"/>
          <w:szCs w:val="24"/>
        </w:rPr>
        <w:t>to</w:t>
      </w:r>
      <w:r w:rsidR="008064C8" w:rsidRPr="008064C8">
        <w:rPr>
          <w:sz w:val="24"/>
          <w:szCs w:val="24"/>
        </w:rPr>
        <w:t xml:space="preserve"> be </w:t>
      </w:r>
      <w:proofErr w:type="gramStart"/>
      <w:r w:rsidR="008064C8" w:rsidRPr="008064C8">
        <w:rPr>
          <w:sz w:val="24"/>
          <w:szCs w:val="24"/>
        </w:rPr>
        <w:t>published on the proponent’s website at all times</w:t>
      </w:r>
      <w:proofErr w:type="gramEnd"/>
      <w:r w:rsidR="008064C8" w:rsidRPr="008064C8">
        <w:rPr>
          <w:sz w:val="24"/>
          <w:szCs w:val="24"/>
        </w:rPr>
        <w:t xml:space="preserve"> over the life of the project</w:t>
      </w:r>
      <w:r w:rsidR="002334B0" w:rsidRPr="002334B0">
        <w:rPr>
          <w:sz w:val="24"/>
          <w:szCs w:val="24"/>
        </w:rPr>
        <w:t>.</w:t>
      </w:r>
    </w:p>
    <w:p w14:paraId="0ECEC3E2" w14:textId="22930AFC" w:rsidR="004B5D66" w:rsidRPr="00310D38" w:rsidRDefault="00F21892" w:rsidP="00DB00C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4B5D66">
        <w:rPr>
          <w:rFonts w:ascii="Times New Roman" w:hAnsi="Times New Roman" w:cs="Times New Roman"/>
          <w:sz w:val="24"/>
          <w:szCs w:val="24"/>
          <w:u w:val="single"/>
        </w:rPr>
        <w:t>21</w:t>
      </w:r>
      <w:r w:rsidR="004B5D66" w:rsidRPr="00310D38">
        <w:rPr>
          <w:rFonts w:ascii="Times New Roman" w:hAnsi="Times New Roman" w:cs="Times New Roman"/>
          <w:sz w:val="24"/>
          <w:szCs w:val="24"/>
          <w:u w:val="single"/>
        </w:rPr>
        <w:t xml:space="preserve"> – </w:t>
      </w:r>
      <w:r w:rsidR="006517D3" w:rsidRPr="006517D3">
        <w:rPr>
          <w:rFonts w:ascii="Times New Roman" w:hAnsi="Times New Roman" w:cs="Times New Roman"/>
          <w:sz w:val="24"/>
          <w:szCs w:val="24"/>
          <w:u w:val="single"/>
        </w:rPr>
        <w:t>Compliance with management plan</w:t>
      </w:r>
    </w:p>
    <w:p w14:paraId="3634310B" w14:textId="0845111D" w:rsidR="00DB00CB" w:rsidRDefault="008064C8" w:rsidP="008064C8">
      <w:pPr>
        <w:pStyle w:val="subsection"/>
        <w:spacing w:before="120" w:after="120"/>
        <w:ind w:left="0" w:firstLine="0"/>
        <w:rPr>
          <w:sz w:val="24"/>
          <w:szCs w:val="24"/>
        </w:rPr>
      </w:pPr>
      <w:r>
        <w:rPr>
          <w:sz w:val="24"/>
          <w:szCs w:val="24"/>
        </w:rPr>
        <w:t xml:space="preserve">Section 21 provides that </w:t>
      </w:r>
      <w:r w:rsidR="006374AD">
        <w:rPr>
          <w:sz w:val="24"/>
          <w:szCs w:val="24"/>
        </w:rPr>
        <w:t xml:space="preserve">the </w:t>
      </w:r>
      <w:r w:rsidR="006374AD" w:rsidRPr="005445E2">
        <w:rPr>
          <w:sz w:val="24"/>
          <w:szCs w:val="24"/>
        </w:rPr>
        <w:t xml:space="preserve">eligibility requirements </w:t>
      </w:r>
      <w:r w:rsidR="006374AD">
        <w:rPr>
          <w:sz w:val="24"/>
          <w:szCs w:val="24"/>
        </w:rPr>
        <w:t xml:space="preserve">for registration as an INFM project include </w:t>
      </w:r>
      <w:r w:rsidR="00DB00CB" w:rsidRPr="00DB00CB">
        <w:rPr>
          <w:sz w:val="24"/>
          <w:szCs w:val="24"/>
        </w:rPr>
        <w:t>the requirement that the public native forests in the project area are managed in accordance with the management plan.</w:t>
      </w:r>
      <w:r w:rsidR="00C142EF">
        <w:rPr>
          <w:sz w:val="24"/>
          <w:szCs w:val="24"/>
        </w:rPr>
        <w:t xml:space="preserve"> Making the implementation of the management plan an eligibility requirement for registration means the Regulator can </w:t>
      </w:r>
      <w:r w:rsidR="00FE5A8B">
        <w:rPr>
          <w:sz w:val="24"/>
          <w:szCs w:val="24"/>
        </w:rPr>
        <w:t xml:space="preserve">unilaterally </w:t>
      </w:r>
      <w:r w:rsidR="00C142EF">
        <w:rPr>
          <w:sz w:val="24"/>
          <w:szCs w:val="24"/>
        </w:rPr>
        <w:t xml:space="preserve">revoke </w:t>
      </w:r>
      <w:r w:rsidR="00897824">
        <w:rPr>
          <w:sz w:val="24"/>
          <w:szCs w:val="24"/>
        </w:rPr>
        <w:t xml:space="preserve">a </w:t>
      </w:r>
      <w:r w:rsidR="00897824">
        <w:rPr>
          <w:sz w:val="24"/>
          <w:szCs w:val="24"/>
        </w:rPr>
        <w:lastRenderedPageBreak/>
        <w:t xml:space="preserve">project </w:t>
      </w:r>
      <w:r w:rsidR="00FE5A8B">
        <w:rPr>
          <w:sz w:val="24"/>
          <w:szCs w:val="24"/>
        </w:rPr>
        <w:t>declaration</w:t>
      </w:r>
      <w:r w:rsidR="00897824">
        <w:rPr>
          <w:sz w:val="24"/>
          <w:szCs w:val="24"/>
        </w:rPr>
        <w:t xml:space="preserve"> in the event of non-compliance</w:t>
      </w:r>
      <w:r w:rsidR="00FE5A8B">
        <w:rPr>
          <w:sz w:val="24"/>
          <w:szCs w:val="24"/>
        </w:rPr>
        <w:t xml:space="preserve"> with the plan</w:t>
      </w:r>
      <w:r w:rsidR="00897824">
        <w:rPr>
          <w:sz w:val="24"/>
          <w:szCs w:val="24"/>
        </w:rPr>
        <w:t xml:space="preserve">. </w:t>
      </w:r>
      <w:r w:rsidR="00FE5A8B">
        <w:rPr>
          <w:sz w:val="24"/>
          <w:szCs w:val="24"/>
        </w:rPr>
        <w:t>If a project declaration is unilaterally revoked</w:t>
      </w:r>
      <w:r w:rsidR="000B5C41">
        <w:rPr>
          <w:sz w:val="24"/>
          <w:szCs w:val="24"/>
        </w:rPr>
        <w:t>, the Regulator can require the proponent to relin</w:t>
      </w:r>
      <w:r w:rsidR="00CE401F">
        <w:rPr>
          <w:sz w:val="24"/>
          <w:szCs w:val="24"/>
        </w:rPr>
        <w:t>q</w:t>
      </w:r>
      <w:r w:rsidR="000B5C41">
        <w:rPr>
          <w:sz w:val="24"/>
          <w:szCs w:val="24"/>
        </w:rPr>
        <w:t xml:space="preserve">uish ACCUs under section </w:t>
      </w:r>
      <w:r w:rsidR="00816AC2">
        <w:rPr>
          <w:sz w:val="24"/>
          <w:szCs w:val="24"/>
        </w:rPr>
        <w:t>89 of the CFI Act.</w:t>
      </w:r>
    </w:p>
    <w:p w14:paraId="072BF7A1" w14:textId="57A0BA47" w:rsidR="0025148E" w:rsidRPr="0025148E" w:rsidRDefault="0025148E" w:rsidP="0025148E">
      <w:pPr>
        <w:tabs>
          <w:tab w:val="left" w:pos="3120"/>
        </w:tabs>
        <w:spacing w:before="120" w:after="120" w:line="240" w:lineRule="auto"/>
        <w:outlineLvl w:val="1"/>
        <w:rPr>
          <w:rFonts w:ascii="Times New Roman" w:hAnsi="Times New Roman" w:cs="Times New Roman"/>
          <w:b/>
          <w:bCs/>
          <w:sz w:val="26"/>
          <w:szCs w:val="26"/>
        </w:rPr>
      </w:pPr>
      <w:r w:rsidRPr="0025148E">
        <w:rPr>
          <w:rFonts w:ascii="Times New Roman" w:hAnsi="Times New Roman" w:cs="Times New Roman"/>
          <w:b/>
          <w:bCs/>
          <w:sz w:val="26"/>
          <w:szCs w:val="26"/>
        </w:rPr>
        <w:t xml:space="preserve">Part </w:t>
      </w:r>
      <w:r>
        <w:rPr>
          <w:rFonts w:ascii="Times New Roman" w:hAnsi="Times New Roman" w:cs="Times New Roman"/>
          <w:b/>
          <w:bCs/>
          <w:sz w:val="26"/>
          <w:szCs w:val="26"/>
        </w:rPr>
        <w:t>4</w:t>
      </w:r>
      <w:r w:rsidRPr="0025148E">
        <w:rPr>
          <w:rFonts w:ascii="Times New Roman" w:hAnsi="Times New Roman" w:cs="Times New Roman"/>
          <w:b/>
          <w:bCs/>
          <w:sz w:val="26"/>
          <w:szCs w:val="26"/>
        </w:rPr>
        <w:t>—</w:t>
      </w:r>
      <w:r w:rsidR="000C1D58" w:rsidRPr="000C1D58">
        <w:rPr>
          <w:rFonts w:ascii="Times New Roman" w:hAnsi="Times New Roman" w:cs="Times New Roman"/>
          <w:b/>
          <w:bCs/>
          <w:sz w:val="26"/>
          <w:szCs w:val="26"/>
        </w:rPr>
        <w:t>Crediting period for projects</w:t>
      </w:r>
    </w:p>
    <w:p w14:paraId="004BF8D2" w14:textId="27DD7E1D" w:rsidR="00D65729" w:rsidRPr="00310D38" w:rsidRDefault="00FA0383" w:rsidP="00D65729">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D65729">
        <w:rPr>
          <w:rFonts w:ascii="Times New Roman" w:hAnsi="Times New Roman" w:cs="Times New Roman"/>
          <w:sz w:val="24"/>
          <w:szCs w:val="24"/>
          <w:u w:val="single"/>
        </w:rPr>
        <w:t>22</w:t>
      </w:r>
      <w:r w:rsidR="00D65729" w:rsidRPr="00310D38">
        <w:rPr>
          <w:rFonts w:ascii="Times New Roman" w:hAnsi="Times New Roman" w:cs="Times New Roman"/>
          <w:sz w:val="24"/>
          <w:szCs w:val="24"/>
          <w:u w:val="single"/>
        </w:rPr>
        <w:t xml:space="preserve"> – </w:t>
      </w:r>
      <w:r w:rsidR="00D65729" w:rsidRPr="00D65729">
        <w:rPr>
          <w:rFonts w:ascii="Times New Roman" w:hAnsi="Times New Roman" w:cs="Times New Roman"/>
          <w:sz w:val="24"/>
          <w:szCs w:val="24"/>
          <w:u w:val="single"/>
        </w:rPr>
        <w:t>Crediting period for projects of 15 years</w:t>
      </w:r>
    </w:p>
    <w:p w14:paraId="63A1500D" w14:textId="76A2046C" w:rsidR="00E33E53" w:rsidRDefault="003807D7" w:rsidP="008064C8">
      <w:pPr>
        <w:pStyle w:val="subsection"/>
        <w:spacing w:before="120" w:after="120"/>
        <w:ind w:left="0" w:firstLine="0"/>
        <w:rPr>
          <w:sz w:val="24"/>
          <w:szCs w:val="24"/>
        </w:rPr>
      </w:pPr>
      <w:r>
        <w:rPr>
          <w:sz w:val="24"/>
          <w:szCs w:val="24"/>
        </w:rPr>
        <w:t xml:space="preserve">Subsection </w:t>
      </w:r>
      <w:r w:rsidRPr="003807D7">
        <w:rPr>
          <w:sz w:val="24"/>
          <w:szCs w:val="24"/>
        </w:rPr>
        <w:t xml:space="preserve">69(2) of the </w:t>
      </w:r>
      <w:r>
        <w:rPr>
          <w:sz w:val="24"/>
          <w:szCs w:val="24"/>
        </w:rPr>
        <w:t xml:space="preserve">CFI </w:t>
      </w:r>
      <w:r w:rsidRPr="003807D7">
        <w:rPr>
          <w:sz w:val="24"/>
          <w:szCs w:val="24"/>
        </w:rPr>
        <w:t>Act</w:t>
      </w:r>
      <w:r>
        <w:rPr>
          <w:sz w:val="24"/>
          <w:szCs w:val="24"/>
        </w:rPr>
        <w:t xml:space="preserve"> </w:t>
      </w:r>
      <w:r w:rsidR="00526331">
        <w:rPr>
          <w:sz w:val="24"/>
          <w:szCs w:val="24"/>
        </w:rPr>
        <w:t xml:space="preserve">provides that the crediting period of a sequestration project </w:t>
      </w:r>
      <w:r w:rsidR="00E33E53">
        <w:rPr>
          <w:sz w:val="24"/>
          <w:szCs w:val="24"/>
        </w:rPr>
        <w:t xml:space="preserve">(or designated savanna project) can be either 25 </w:t>
      </w:r>
      <w:proofErr w:type="gramStart"/>
      <w:r w:rsidR="00E33E53">
        <w:rPr>
          <w:sz w:val="24"/>
          <w:szCs w:val="24"/>
        </w:rPr>
        <w:t>years</w:t>
      </w:r>
      <w:proofErr w:type="gramEnd"/>
      <w:r w:rsidR="00E33E53">
        <w:rPr>
          <w:sz w:val="24"/>
          <w:szCs w:val="24"/>
        </w:rPr>
        <w:t xml:space="preserve"> or another period specified in the applicable methodology determination</w:t>
      </w:r>
      <w:r w:rsidR="00CD302F">
        <w:rPr>
          <w:sz w:val="24"/>
          <w:szCs w:val="24"/>
        </w:rPr>
        <w:t>.</w:t>
      </w:r>
    </w:p>
    <w:p w14:paraId="63E93266" w14:textId="5614DABB" w:rsidR="001F7260" w:rsidRDefault="00CD302F" w:rsidP="008064C8">
      <w:pPr>
        <w:pStyle w:val="subsection"/>
        <w:spacing w:before="120" w:after="120"/>
        <w:ind w:left="0" w:firstLine="0"/>
        <w:rPr>
          <w:sz w:val="24"/>
          <w:szCs w:val="24"/>
        </w:rPr>
      </w:pPr>
      <w:r>
        <w:rPr>
          <w:sz w:val="24"/>
          <w:szCs w:val="24"/>
        </w:rPr>
        <w:t>Section 22 of the Determination specifies that</w:t>
      </w:r>
      <w:r w:rsidR="003807D7" w:rsidRPr="003807D7">
        <w:rPr>
          <w:sz w:val="24"/>
          <w:szCs w:val="24"/>
        </w:rPr>
        <w:t xml:space="preserve"> the crediting period for </w:t>
      </w:r>
      <w:r>
        <w:rPr>
          <w:sz w:val="24"/>
          <w:szCs w:val="24"/>
        </w:rPr>
        <w:t xml:space="preserve">INFM projects is </w:t>
      </w:r>
      <w:r w:rsidR="003807D7" w:rsidRPr="003807D7">
        <w:rPr>
          <w:sz w:val="24"/>
          <w:szCs w:val="24"/>
        </w:rPr>
        <w:t>15 years</w:t>
      </w:r>
      <w:r>
        <w:rPr>
          <w:sz w:val="24"/>
          <w:szCs w:val="24"/>
        </w:rPr>
        <w:t>.</w:t>
      </w:r>
    </w:p>
    <w:p w14:paraId="0B983D51" w14:textId="2992BD48" w:rsidR="001F7260" w:rsidRDefault="00CE011C" w:rsidP="008064C8">
      <w:pPr>
        <w:pStyle w:val="subsection"/>
        <w:spacing w:before="120" w:after="120"/>
        <w:ind w:left="0" w:firstLine="0"/>
        <w:rPr>
          <w:sz w:val="24"/>
          <w:szCs w:val="24"/>
        </w:rPr>
      </w:pPr>
      <w:r>
        <w:rPr>
          <w:sz w:val="24"/>
          <w:szCs w:val="24"/>
        </w:rPr>
        <w:t xml:space="preserve">Shortening the crediting period to 15 years </w:t>
      </w:r>
      <w:r w:rsidR="00DD5BF9">
        <w:rPr>
          <w:sz w:val="24"/>
          <w:szCs w:val="24"/>
        </w:rPr>
        <w:t>is intended to</w:t>
      </w:r>
      <w:r w:rsidR="003A5B85" w:rsidRPr="003A5B85">
        <w:rPr>
          <w:sz w:val="24"/>
          <w:szCs w:val="24"/>
        </w:rPr>
        <w:t xml:space="preserve"> </w:t>
      </w:r>
      <w:r w:rsidR="0019029C" w:rsidRPr="0019029C">
        <w:rPr>
          <w:sz w:val="24"/>
          <w:szCs w:val="24"/>
        </w:rPr>
        <w:t>mitigate</w:t>
      </w:r>
      <w:r w:rsidR="00991290">
        <w:rPr>
          <w:sz w:val="24"/>
          <w:szCs w:val="24"/>
        </w:rPr>
        <w:t xml:space="preserve"> </w:t>
      </w:r>
      <w:r w:rsidR="0019029C" w:rsidRPr="0019029C">
        <w:rPr>
          <w:sz w:val="24"/>
          <w:szCs w:val="24"/>
        </w:rPr>
        <w:t xml:space="preserve">the risk that, in the absence of the registration of an INFM project, there could have been future declines in harvesting </w:t>
      </w:r>
      <w:r w:rsidR="00991290">
        <w:rPr>
          <w:sz w:val="24"/>
          <w:szCs w:val="24"/>
        </w:rPr>
        <w:t xml:space="preserve">in the project area </w:t>
      </w:r>
      <w:r w:rsidR="0019029C" w:rsidRPr="0019029C">
        <w:rPr>
          <w:sz w:val="24"/>
          <w:szCs w:val="24"/>
        </w:rPr>
        <w:t>due to policy or other changes</w:t>
      </w:r>
      <w:r w:rsidR="003A5B85" w:rsidRPr="003A5B85">
        <w:rPr>
          <w:sz w:val="24"/>
          <w:szCs w:val="24"/>
        </w:rPr>
        <w:t>.</w:t>
      </w:r>
      <w:r w:rsidR="00B45153">
        <w:rPr>
          <w:sz w:val="24"/>
          <w:szCs w:val="24"/>
        </w:rPr>
        <w:t xml:space="preserve"> </w:t>
      </w:r>
    </w:p>
    <w:p w14:paraId="2D822B63" w14:textId="26D8F75E" w:rsidR="00E4317A" w:rsidRPr="0025148E" w:rsidRDefault="00E4317A" w:rsidP="00E4317A">
      <w:pPr>
        <w:tabs>
          <w:tab w:val="left" w:pos="3120"/>
        </w:tabs>
        <w:spacing w:before="120" w:after="120" w:line="240" w:lineRule="auto"/>
        <w:outlineLvl w:val="1"/>
        <w:rPr>
          <w:rFonts w:ascii="Times New Roman" w:hAnsi="Times New Roman" w:cs="Times New Roman"/>
          <w:b/>
          <w:bCs/>
          <w:sz w:val="26"/>
          <w:szCs w:val="26"/>
        </w:rPr>
      </w:pPr>
      <w:r w:rsidRPr="0025148E">
        <w:rPr>
          <w:rFonts w:ascii="Times New Roman" w:hAnsi="Times New Roman" w:cs="Times New Roman"/>
          <w:b/>
          <w:bCs/>
          <w:sz w:val="26"/>
          <w:szCs w:val="26"/>
        </w:rPr>
        <w:t xml:space="preserve">Part </w:t>
      </w:r>
      <w:r>
        <w:rPr>
          <w:rFonts w:ascii="Times New Roman" w:hAnsi="Times New Roman" w:cs="Times New Roman"/>
          <w:b/>
          <w:bCs/>
          <w:sz w:val="26"/>
          <w:szCs w:val="26"/>
        </w:rPr>
        <w:t>5</w:t>
      </w:r>
      <w:r w:rsidRPr="0025148E">
        <w:rPr>
          <w:rFonts w:ascii="Times New Roman" w:hAnsi="Times New Roman" w:cs="Times New Roman"/>
          <w:b/>
          <w:bCs/>
          <w:sz w:val="26"/>
          <w:szCs w:val="26"/>
        </w:rPr>
        <w:t>—</w:t>
      </w:r>
      <w:r w:rsidRPr="00E4317A">
        <w:rPr>
          <w:rFonts w:ascii="Times New Roman" w:hAnsi="Times New Roman" w:cs="Times New Roman"/>
          <w:b/>
          <w:bCs/>
          <w:sz w:val="26"/>
          <w:szCs w:val="26"/>
        </w:rPr>
        <w:t>Net abatement amount</w:t>
      </w:r>
    </w:p>
    <w:p w14:paraId="6AD420C4" w14:textId="238455B6" w:rsidR="00E4317A" w:rsidRPr="00A656D9" w:rsidRDefault="00E4317A" w:rsidP="00E4317A">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Pr>
          <w:rFonts w:ascii="Times New Roman" w:hAnsi="Times New Roman" w:cs="Times New Roman"/>
          <w:b/>
          <w:bCs/>
          <w:sz w:val="24"/>
          <w:szCs w:val="24"/>
        </w:rPr>
        <w:t>1</w:t>
      </w:r>
      <w:r w:rsidRPr="00A656D9">
        <w:rPr>
          <w:rFonts w:ascii="Times New Roman" w:hAnsi="Times New Roman" w:cs="Times New Roman"/>
          <w:b/>
          <w:bCs/>
          <w:sz w:val="24"/>
          <w:szCs w:val="24"/>
        </w:rPr>
        <w:t>—</w:t>
      </w:r>
      <w:r w:rsidRPr="00E4317A">
        <w:rPr>
          <w:rFonts w:ascii="Times New Roman" w:hAnsi="Times New Roman" w:cs="Times New Roman"/>
          <w:b/>
          <w:bCs/>
          <w:sz w:val="24"/>
          <w:szCs w:val="24"/>
        </w:rPr>
        <w:t>Preliminary</w:t>
      </w:r>
    </w:p>
    <w:p w14:paraId="08A66B4D" w14:textId="61ACEBCB" w:rsidR="00D65729" w:rsidRPr="00310D38" w:rsidRDefault="00FA0383" w:rsidP="00D65729">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D65729">
        <w:rPr>
          <w:rFonts w:ascii="Times New Roman" w:hAnsi="Times New Roman" w:cs="Times New Roman"/>
          <w:sz w:val="24"/>
          <w:szCs w:val="24"/>
          <w:u w:val="single"/>
        </w:rPr>
        <w:t>23</w:t>
      </w:r>
      <w:r w:rsidR="00D65729" w:rsidRPr="00310D38">
        <w:rPr>
          <w:rFonts w:ascii="Times New Roman" w:hAnsi="Times New Roman" w:cs="Times New Roman"/>
          <w:sz w:val="24"/>
          <w:szCs w:val="24"/>
          <w:u w:val="single"/>
        </w:rPr>
        <w:t xml:space="preserve"> – </w:t>
      </w:r>
      <w:r w:rsidR="00D65729" w:rsidRPr="00E4317A">
        <w:rPr>
          <w:rFonts w:ascii="Times New Roman" w:hAnsi="Times New Roman" w:cs="Times New Roman"/>
          <w:sz w:val="24"/>
          <w:szCs w:val="24"/>
          <w:u w:val="single"/>
        </w:rPr>
        <w:t>Operation of this Part</w:t>
      </w:r>
    </w:p>
    <w:p w14:paraId="5A0E5042" w14:textId="08125693" w:rsidR="00E4317A" w:rsidRDefault="00C71CA7" w:rsidP="00E4317A">
      <w:pPr>
        <w:pStyle w:val="subsection"/>
        <w:spacing w:before="120" w:after="120"/>
        <w:ind w:left="0" w:firstLine="0"/>
        <w:rPr>
          <w:sz w:val="24"/>
          <w:szCs w:val="24"/>
        </w:rPr>
      </w:pPr>
      <w:r>
        <w:rPr>
          <w:sz w:val="24"/>
          <w:szCs w:val="24"/>
        </w:rPr>
        <w:t>Section 23 provides that, f</w:t>
      </w:r>
      <w:r w:rsidR="00E4317A" w:rsidRPr="00E4317A">
        <w:rPr>
          <w:sz w:val="24"/>
          <w:szCs w:val="24"/>
        </w:rPr>
        <w:t xml:space="preserve">or </w:t>
      </w:r>
      <w:r>
        <w:rPr>
          <w:sz w:val="24"/>
          <w:szCs w:val="24"/>
        </w:rPr>
        <w:t xml:space="preserve">the purposes of </w:t>
      </w:r>
      <w:r w:rsidR="00556A07">
        <w:rPr>
          <w:sz w:val="24"/>
          <w:szCs w:val="24"/>
        </w:rPr>
        <w:t>sub</w:t>
      </w:r>
      <w:r w:rsidR="00573DF0">
        <w:rPr>
          <w:sz w:val="24"/>
          <w:szCs w:val="24"/>
        </w:rPr>
        <w:t>section</w:t>
      </w:r>
      <w:r w:rsidR="00573DF0" w:rsidRPr="00E4317A">
        <w:rPr>
          <w:sz w:val="24"/>
          <w:szCs w:val="24"/>
        </w:rPr>
        <w:t xml:space="preserve"> </w:t>
      </w:r>
      <w:r w:rsidR="00E4317A" w:rsidRPr="00E4317A">
        <w:rPr>
          <w:sz w:val="24"/>
          <w:szCs w:val="24"/>
        </w:rPr>
        <w:t xml:space="preserve">106(1)(c) of the </w:t>
      </w:r>
      <w:r>
        <w:rPr>
          <w:sz w:val="24"/>
          <w:szCs w:val="24"/>
        </w:rPr>
        <w:t xml:space="preserve">CFI </w:t>
      </w:r>
      <w:r w:rsidR="00E4317A" w:rsidRPr="00E4317A">
        <w:rPr>
          <w:sz w:val="24"/>
          <w:szCs w:val="24"/>
        </w:rPr>
        <w:t xml:space="preserve">Act, Part </w:t>
      </w:r>
      <w:r>
        <w:rPr>
          <w:sz w:val="24"/>
          <w:szCs w:val="24"/>
        </w:rPr>
        <w:t xml:space="preserve">5 of the Determination </w:t>
      </w:r>
      <w:r w:rsidR="00E4317A" w:rsidRPr="00E4317A">
        <w:rPr>
          <w:sz w:val="24"/>
          <w:szCs w:val="24"/>
        </w:rPr>
        <w:t xml:space="preserve">specifies the method for calculating the carbon dioxide equivalent net abatement amount for </w:t>
      </w:r>
      <w:r>
        <w:rPr>
          <w:sz w:val="24"/>
          <w:szCs w:val="24"/>
        </w:rPr>
        <w:t>INFM projects</w:t>
      </w:r>
      <w:r w:rsidR="00E4317A" w:rsidRPr="00E4317A">
        <w:rPr>
          <w:sz w:val="24"/>
          <w:szCs w:val="24"/>
        </w:rPr>
        <w:t xml:space="preserve"> in relation to a reporting period.</w:t>
      </w:r>
    </w:p>
    <w:p w14:paraId="651AD54B" w14:textId="01DBD6E1" w:rsidR="00452533" w:rsidRPr="00310D38" w:rsidRDefault="00FA0383" w:rsidP="00452533">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452533">
        <w:rPr>
          <w:rFonts w:ascii="Times New Roman" w:hAnsi="Times New Roman" w:cs="Times New Roman"/>
          <w:sz w:val="24"/>
          <w:szCs w:val="24"/>
          <w:u w:val="single"/>
        </w:rPr>
        <w:t>2</w:t>
      </w:r>
      <w:r w:rsidR="00C35BA0">
        <w:rPr>
          <w:rFonts w:ascii="Times New Roman" w:hAnsi="Times New Roman" w:cs="Times New Roman"/>
          <w:sz w:val="24"/>
          <w:szCs w:val="24"/>
          <w:u w:val="single"/>
        </w:rPr>
        <w:t>4</w:t>
      </w:r>
      <w:r w:rsidR="00452533" w:rsidRPr="00310D38">
        <w:rPr>
          <w:rFonts w:ascii="Times New Roman" w:hAnsi="Times New Roman" w:cs="Times New Roman"/>
          <w:sz w:val="24"/>
          <w:szCs w:val="24"/>
          <w:u w:val="single"/>
        </w:rPr>
        <w:t xml:space="preserve"> – </w:t>
      </w:r>
      <w:r w:rsidR="00C35BA0" w:rsidRPr="00C35BA0">
        <w:rPr>
          <w:rFonts w:ascii="Times New Roman" w:hAnsi="Times New Roman" w:cs="Times New Roman"/>
          <w:sz w:val="24"/>
          <w:szCs w:val="24"/>
          <w:u w:val="single"/>
        </w:rPr>
        <w:t>Carbon pools and emission sources relevant to calculating net abatement amount</w:t>
      </w:r>
    </w:p>
    <w:p w14:paraId="369E62ED" w14:textId="32CAFD5F" w:rsidR="00C71CA7" w:rsidRDefault="005D00D2" w:rsidP="005D00D2">
      <w:pPr>
        <w:pStyle w:val="subsection"/>
        <w:spacing w:before="120" w:after="120"/>
        <w:ind w:left="0" w:firstLine="0"/>
        <w:rPr>
          <w:sz w:val="24"/>
          <w:szCs w:val="24"/>
        </w:rPr>
      </w:pPr>
      <w:r>
        <w:rPr>
          <w:sz w:val="24"/>
          <w:szCs w:val="24"/>
        </w:rPr>
        <w:t>Section 24 contains the details of</w:t>
      </w:r>
      <w:r w:rsidRPr="005D00D2">
        <w:rPr>
          <w:sz w:val="24"/>
          <w:szCs w:val="24"/>
        </w:rPr>
        <w:t xml:space="preserve"> the carbon pools, emissions sources and greenhouse gases that are relevant to calculating the net abatement amount.</w:t>
      </w:r>
      <w:r w:rsidR="00C35BA0">
        <w:rPr>
          <w:sz w:val="24"/>
          <w:szCs w:val="24"/>
        </w:rPr>
        <w:t xml:space="preserve"> These are summarised in the table in </w:t>
      </w:r>
      <w:r w:rsidR="00F07D1D">
        <w:rPr>
          <w:sz w:val="24"/>
          <w:szCs w:val="24"/>
        </w:rPr>
        <w:t>s</w:t>
      </w:r>
      <w:r w:rsidR="00F07D1D" w:rsidRPr="00DF430D">
        <w:rPr>
          <w:sz w:val="24"/>
          <w:szCs w:val="24"/>
        </w:rPr>
        <w:t xml:space="preserve">ubsection </w:t>
      </w:r>
      <w:r w:rsidR="0032584E">
        <w:rPr>
          <w:sz w:val="24"/>
          <w:szCs w:val="24"/>
        </w:rPr>
        <w:t xml:space="preserve">24(1) (see Table 1 on page 7 above). </w:t>
      </w:r>
    </w:p>
    <w:p w14:paraId="3793C596" w14:textId="1E460E56" w:rsidR="00145955" w:rsidRDefault="00F07D1D" w:rsidP="00034E22">
      <w:pPr>
        <w:pStyle w:val="subsection"/>
        <w:spacing w:before="120" w:after="120"/>
        <w:ind w:left="0" w:firstLine="0"/>
        <w:rPr>
          <w:sz w:val="24"/>
          <w:szCs w:val="24"/>
        </w:rPr>
      </w:pPr>
      <w:r w:rsidRPr="00DF430D">
        <w:rPr>
          <w:sz w:val="24"/>
          <w:szCs w:val="24"/>
        </w:rPr>
        <w:t>Subsection</w:t>
      </w:r>
      <w:r w:rsidR="0032584E">
        <w:rPr>
          <w:sz w:val="24"/>
          <w:szCs w:val="24"/>
        </w:rPr>
        <w:t xml:space="preserve"> 24(2) </w:t>
      </w:r>
      <w:r w:rsidR="00034E22">
        <w:rPr>
          <w:sz w:val="24"/>
          <w:szCs w:val="24"/>
        </w:rPr>
        <w:t xml:space="preserve">clarifies that the following </w:t>
      </w:r>
      <w:r w:rsidR="001F3A11" w:rsidRPr="001F3A11">
        <w:rPr>
          <w:sz w:val="24"/>
          <w:szCs w:val="24"/>
        </w:rPr>
        <w:t xml:space="preserve">carbon pools and emissions sources </w:t>
      </w:r>
      <w:r w:rsidR="00034E22">
        <w:rPr>
          <w:sz w:val="24"/>
          <w:szCs w:val="24"/>
        </w:rPr>
        <w:t>are</w:t>
      </w:r>
      <w:r w:rsidR="00145955" w:rsidRPr="00145955">
        <w:t xml:space="preserve"> </w:t>
      </w:r>
      <w:r w:rsidR="00145955" w:rsidRPr="00145955">
        <w:rPr>
          <w:sz w:val="24"/>
          <w:szCs w:val="24"/>
        </w:rPr>
        <w:t>excluded in calculating the net abatement amount</w:t>
      </w:r>
      <w:r w:rsidR="00145955">
        <w:rPr>
          <w:sz w:val="24"/>
          <w:szCs w:val="24"/>
        </w:rPr>
        <w:t xml:space="preserve"> for INFM projects</w:t>
      </w:r>
      <w:r w:rsidR="008A5A67">
        <w:rPr>
          <w:sz w:val="24"/>
          <w:szCs w:val="24"/>
        </w:rPr>
        <w:t>.</w:t>
      </w:r>
    </w:p>
    <w:p w14:paraId="1DD16A65" w14:textId="0A122C47" w:rsidR="00145955" w:rsidRDefault="008A5A67" w:rsidP="009D5A62">
      <w:pPr>
        <w:pStyle w:val="subsection"/>
        <w:numPr>
          <w:ilvl w:val="0"/>
          <w:numId w:val="40"/>
        </w:numPr>
        <w:spacing w:before="120" w:after="120"/>
        <w:rPr>
          <w:sz w:val="24"/>
          <w:szCs w:val="24"/>
        </w:rPr>
      </w:pPr>
      <w:r>
        <w:rPr>
          <w:sz w:val="24"/>
          <w:szCs w:val="24"/>
        </w:rPr>
        <w:t>S</w:t>
      </w:r>
      <w:r w:rsidR="00034E22" w:rsidRPr="00034E22">
        <w:rPr>
          <w:sz w:val="24"/>
          <w:szCs w:val="24"/>
        </w:rPr>
        <w:t>oil organic carbon</w:t>
      </w:r>
      <w:r>
        <w:rPr>
          <w:sz w:val="24"/>
          <w:szCs w:val="24"/>
        </w:rPr>
        <w:t>.</w:t>
      </w:r>
    </w:p>
    <w:p w14:paraId="1D70ECF1" w14:textId="085F7E49" w:rsidR="00145955" w:rsidRDefault="00034E22" w:rsidP="009D5A62">
      <w:pPr>
        <w:pStyle w:val="subsection"/>
        <w:numPr>
          <w:ilvl w:val="0"/>
          <w:numId w:val="40"/>
        </w:numPr>
        <w:spacing w:before="120" w:after="120"/>
        <w:rPr>
          <w:sz w:val="24"/>
          <w:szCs w:val="24"/>
        </w:rPr>
      </w:pPr>
      <w:r w:rsidRPr="00034E22">
        <w:rPr>
          <w:sz w:val="24"/>
          <w:szCs w:val="24"/>
        </w:rPr>
        <w:t>CH</w:t>
      </w:r>
      <w:r w:rsidRPr="00502F18">
        <w:rPr>
          <w:sz w:val="24"/>
          <w:szCs w:val="24"/>
          <w:vertAlign w:val="subscript"/>
        </w:rPr>
        <w:t>4</w:t>
      </w:r>
      <w:r w:rsidRPr="00034E22">
        <w:rPr>
          <w:sz w:val="24"/>
          <w:szCs w:val="24"/>
        </w:rPr>
        <w:t xml:space="preserve"> and N</w:t>
      </w:r>
      <w:r w:rsidRPr="00502F18">
        <w:rPr>
          <w:sz w:val="24"/>
          <w:szCs w:val="24"/>
          <w:vertAlign w:val="subscript"/>
        </w:rPr>
        <w:t>2</w:t>
      </w:r>
      <w:r w:rsidRPr="00034E22">
        <w:rPr>
          <w:sz w:val="24"/>
          <w:szCs w:val="24"/>
        </w:rPr>
        <w:t xml:space="preserve">O emissions from wildfires </w:t>
      </w:r>
      <w:r w:rsidR="00423CE9">
        <w:rPr>
          <w:sz w:val="24"/>
          <w:szCs w:val="24"/>
        </w:rPr>
        <w:t>and</w:t>
      </w:r>
      <w:r w:rsidRPr="00034E22">
        <w:rPr>
          <w:sz w:val="24"/>
          <w:szCs w:val="24"/>
        </w:rPr>
        <w:t xml:space="preserve"> non-harvest related prescribed burn</w:t>
      </w:r>
      <w:r>
        <w:rPr>
          <w:sz w:val="24"/>
          <w:szCs w:val="24"/>
        </w:rPr>
        <w:t>s</w:t>
      </w:r>
      <w:r w:rsidR="008A5A67">
        <w:rPr>
          <w:sz w:val="24"/>
          <w:szCs w:val="24"/>
        </w:rPr>
        <w:t>.</w:t>
      </w:r>
    </w:p>
    <w:p w14:paraId="67570268" w14:textId="2D63F184" w:rsidR="00145955" w:rsidRDefault="008A5A67" w:rsidP="009D5A62">
      <w:pPr>
        <w:pStyle w:val="subsection"/>
        <w:numPr>
          <w:ilvl w:val="0"/>
          <w:numId w:val="40"/>
        </w:numPr>
        <w:spacing w:before="120" w:after="120"/>
        <w:rPr>
          <w:sz w:val="24"/>
          <w:szCs w:val="24"/>
        </w:rPr>
      </w:pPr>
      <w:r>
        <w:rPr>
          <w:sz w:val="24"/>
          <w:szCs w:val="24"/>
        </w:rPr>
        <w:t>E</w:t>
      </w:r>
      <w:r w:rsidR="00034E22" w:rsidRPr="00034E22">
        <w:rPr>
          <w:sz w:val="24"/>
          <w:szCs w:val="24"/>
        </w:rPr>
        <w:t>missions from the combustion of fossil fuels in connection with forest management</w:t>
      </w:r>
      <w:r w:rsidR="00034E22">
        <w:rPr>
          <w:sz w:val="24"/>
          <w:szCs w:val="24"/>
        </w:rPr>
        <w:t xml:space="preserve"> (</w:t>
      </w:r>
      <w:r w:rsidR="00034E22" w:rsidRPr="00034E22">
        <w:rPr>
          <w:sz w:val="24"/>
          <w:szCs w:val="24"/>
        </w:rPr>
        <w:t>other than timber harvesting or haulage operations</w:t>
      </w:r>
      <w:r w:rsidR="00034E22">
        <w:rPr>
          <w:sz w:val="24"/>
          <w:szCs w:val="24"/>
        </w:rPr>
        <w:t>)</w:t>
      </w:r>
      <w:r>
        <w:rPr>
          <w:sz w:val="24"/>
          <w:szCs w:val="24"/>
        </w:rPr>
        <w:t>.</w:t>
      </w:r>
    </w:p>
    <w:p w14:paraId="6D06F91F" w14:textId="40B13755" w:rsidR="00034E22" w:rsidRDefault="008A5A67" w:rsidP="009D5A62">
      <w:pPr>
        <w:pStyle w:val="subsection"/>
        <w:numPr>
          <w:ilvl w:val="0"/>
          <w:numId w:val="40"/>
        </w:numPr>
        <w:spacing w:before="120" w:after="120"/>
        <w:rPr>
          <w:sz w:val="24"/>
          <w:szCs w:val="24"/>
        </w:rPr>
      </w:pPr>
      <w:r>
        <w:rPr>
          <w:sz w:val="24"/>
          <w:szCs w:val="24"/>
        </w:rPr>
        <w:t>E</w:t>
      </w:r>
      <w:r w:rsidR="00034E22" w:rsidRPr="00034E22">
        <w:rPr>
          <w:sz w:val="24"/>
          <w:szCs w:val="24"/>
        </w:rPr>
        <w:t>missions from the combustion of fossil fuels in connection with the processing of harvested logs, the production of woodchips or the manufacture of solid wood products.</w:t>
      </w:r>
    </w:p>
    <w:p w14:paraId="14826DEE" w14:textId="389F7B09" w:rsidR="00034E22" w:rsidRDefault="00C33951" w:rsidP="005D00D2">
      <w:pPr>
        <w:pStyle w:val="subsection"/>
        <w:spacing w:before="120" w:after="120"/>
        <w:ind w:left="0" w:firstLine="0"/>
        <w:rPr>
          <w:sz w:val="24"/>
          <w:szCs w:val="24"/>
        </w:rPr>
      </w:pPr>
      <w:r>
        <w:rPr>
          <w:sz w:val="24"/>
          <w:szCs w:val="24"/>
        </w:rPr>
        <w:t xml:space="preserve">The </w:t>
      </w:r>
      <w:r w:rsidRPr="00C33951">
        <w:rPr>
          <w:sz w:val="24"/>
          <w:szCs w:val="24"/>
        </w:rPr>
        <w:t>soil organic carbon pool</w:t>
      </w:r>
      <w:r>
        <w:rPr>
          <w:sz w:val="24"/>
          <w:szCs w:val="24"/>
        </w:rPr>
        <w:t xml:space="preserve"> is excluded because there is a high degree of uncertainty about the effects of harvesting, and </w:t>
      </w:r>
      <w:r w:rsidR="006B61C5">
        <w:rPr>
          <w:sz w:val="24"/>
          <w:szCs w:val="24"/>
        </w:rPr>
        <w:t xml:space="preserve">stopping or reducing harvesting, on soil organic carbon stocks. </w:t>
      </w:r>
      <w:r w:rsidR="00A665DC">
        <w:rPr>
          <w:sz w:val="24"/>
          <w:szCs w:val="24"/>
        </w:rPr>
        <w:t xml:space="preserve">In most cases, </w:t>
      </w:r>
      <w:r w:rsidR="006B61C5">
        <w:rPr>
          <w:sz w:val="24"/>
          <w:szCs w:val="24"/>
        </w:rPr>
        <w:t xml:space="preserve">stopping or reducing </w:t>
      </w:r>
      <w:r w:rsidR="006B61C5" w:rsidRPr="00D378BD">
        <w:rPr>
          <w:sz w:val="24"/>
          <w:szCs w:val="24"/>
        </w:rPr>
        <w:t xml:space="preserve">harvesting </w:t>
      </w:r>
      <w:r w:rsidR="00121A0A">
        <w:rPr>
          <w:sz w:val="24"/>
          <w:szCs w:val="24"/>
        </w:rPr>
        <w:t xml:space="preserve">in public native forests </w:t>
      </w:r>
      <w:r w:rsidR="00A665DC">
        <w:rPr>
          <w:sz w:val="24"/>
          <w:szCs w:val="24"/>
        </w:rPr>
        <w:t>should</w:t>
      </w:r>
      <w:r w:rsidR="006B61C5" w:rsidRPr="00D378BD">
        <w:rPr>
          <w:sz w:val="24"/>
          <w:szCs w:val="24"/>
        </w:rPr>
        <w:t xml:space="preserve"> increase soil organic carbon stocks</w:t>
      </w:r>
      <w:r w:rsidR="006B61C5">
        <w:rPr>
          <w:sz w:val="24"/>
          <w:szCs w:val="24"/>
        </w:rPr>
        <w:t>.</w:t>
      </w:r>
      <w:r w:rsidR="00A665DC">
        <w:rPr>
          <w:sz w:val="24"/>
          <w:szCs w:val="24"/>
        </w:rPr>
        <w:t xml:space="preserve"> However, </w:t>
      </w:r>
      <w:r w:rsidR="00121A0A">
        <w:rPr>
          <w:sz w:val="24"/>
          <w:szCs w:val="24"/>
        </w:rPr>
        <w:t xml:space="preserve">whether and the </w:t>
      </w:r>
      <w:r w:rsidR="00A665DC">
        <w:rPr>
          <w:sz w:val="24"/>
          <w:szCs w:val="24"/>
        </w:rPr>
        <w:t xml:space="preserve">extent to which this </w:t>
      </w:r>
      <w:r w:rsidR="00121A0A">
        <w:rPr>
          <w:sz w:val="24"/>
          <w:szCs w:val="24"/>
        </w:rPr>
        <w:t xml:space="preserve">occurs is uncertain. </w:t>
      </w:r>
      <w:r w:rsidR="008F68C2">
        <w:rPr>
          <w:sz w:val="24"/>
          <w:szCs w:val="24"/>
        </w:rPr>
        <w:t>Due to this, the exclusion of the soil organic carbon pool promotes conservativism in the calculation of the net abatement amount.</w:t>
      </w:r>
    </w:p>
    <w:p w14:paraId="10925DCD" w14:textId="7076D0C9" w:rsidR="00D13654" w:rsidRDefault="00F7785C" w:rsidP="005D00D2">
      <w:pPr>
        <w:pStyle w:val="subsection"/>
        <w:spacing w:before="120" w:after="120"/>
        <w:ind w:left="0" w:firstLine="0"/>
        <w:rPr>
          <w:sz w:val="24"/>
          <w:szCs w:val="24"/>
        </w:rPr>
      </w:pPr>
      <w:r>
        <w:rPr>
          <w:sz w:val="24"/>
          <w:szCs w:val="24"/>
        </w:rPr>
        <w:t xml:space="preserve">The exclusion of </w:t>
      </w:r>
      <w:r w:rsidRPr="00F7785C">
        <w:rPr>
          <w:sz w:val="24"/>
          <w:szCs w:val="24"/>
        </w:rPr>
        <w:t>CH</w:t>
      </w:r>
      <w:r w:rsidRPr="00F7785C">
        <w:rPr>
          <w:sz w:val="24"/>
          <w:szCs w:val="24"/>
          <w:vertAlign w:val="subscript"/>
        </w:rPr>
        <w:t>4</w:t>
      </w:r>
      <w:r w:rsidRPr="00F7785C">
        <w:rPr>
          <w:sz w:val="24"/>
          <w:szCs w:val="24"/>
        </w:rPr>
        <w:t xml:space="preserve"> and N</w:t>
      </w:r>
      <w:r w:rsidRPr="00F7785C">
        <w:rPr>
          <w:sz w:val="24"/>
          <w:szCs w:val="24"/>
          <w:vertAlign w:val="subscript"/>
        </w:rPr>
        <w:t>2</w:t>
      </w:r>
      <w:r w:rsidRPr="00F7785C">
        <w:rPr>
          <w:sz w:val="24"/>
          <w:szCs w:val="24"/>
        </w:rPr>
        <w:t>O emissions from wildfires and non-harvest related prescribed burns</w:t>
      </w:r>
      <w:r w:rsidR="00C73112">
        <w:rPr>
          <w:sz w:val="24"/>
          <w:szCs w:val="24"/>
        </w:rPr>
        <w:t xml:space="preserve"> is based on the </w:t>
      </w:r>
      <w:r w:rsidR="00F81789">
        <w:rPr>
          <w:sz w:val="24"/>
          <w:szCs w:val="24"/>
        </w:rPr>
        <w:t xml:space="preserve">conservative </w:t>
      </w:r>
      <w:r w:rsidR="00C73112">
        <w:rPr>
          <w:sz w:val="24"/>
          <w:szCs w:val="24"/>
        </w:rPr>
        <w:t xml:space="preserve">assumption </w:t>
      </w:r>
      <w:r w:rsidR="00F81789">
        <w:rPr>
          <w:sz w:val="24"/>
          <w:szCs w:val="24"/>
        </w:rPr>
        <w:t xml:space="preserve">that </w:t>
      </w:r>
      <w:r w:rsidR="00A97BAC">
        <w:rPr>
          <w:sz w:val="24"/>
          <w:szCs w:val="24"/>
        </w:rPr>
        <w:t xml:space="preserve">the extent and severity of these fires are unaffected by </w:t>
      </w:r>
      <w:r w:rsidR="00A6127C">
        <w:rPr>
          <w:sz w:val="24"/>
          <w:szCs w:val="24"/>
        </w:rPr>
        <w:t>harvesting</w:t>
      </w:r>
      <w:r w:rsidR="009B79F6">
        <w:rPr>
          <w:sz w:val="24"/>
          <w:szCs w:val="24"/>
        </w:rPr>
        <w:t>. Due to this, it is conservatively assumed that</w:t>
      </w:r>
      <w:r w:rsidR="00D13654">
        <w:rPr>
          <w:sz w:val="24"/>
          <w:szCs w:val="24"/>
        </w:rPr>
        <w:t xml:space="preserve">, in the absence of the </w:t>
      </w:r>
      <w:r w:rsidR="00D13654">
        <w:rPr>
          <w:sz w:val="24"/>
          <w:szCs w:val="24"/>
        </w:rPr>
        <w:lastRenderedPageBreak/>
        <w:t>INFM project (and the associated reduction in harvesting), the extent and severity of wildfires and non-harvest related prescribed burns would be the same as in the project scenario.</w:t>
      </w:r>
    </w:p>
    <w:p w14:paraId="6FEF7951" w14:textId="295B4CCE" w:rsidR="000945E2" w:rsidRDefault="00125954" w:rsidP="005D00D2">
      <w:pPr>
        <w:pStyle w:val="subsection"/>
        <w:spacing w:before="120" w:after="120"/>
        <w:ind w:left="0" w:firstLine="0"/>
        <w:rPr>
          <w:sz w:val="24"/>
          <w:szCs w:val="24"/>
        </w:rPr>
      </w:pPr>
      <w:r w:rsidRPr="00125954">
        <w:rPr>
          <w:sz w:val="24"/>
          <w:szCs w:val="24"/>
        </w:rPr>
        <w:t xml:space="preserve">The exclusion of emissions from the combustion of fossil fuels associated with forest management </w:t>
      </w:r>
      <w:r w:rsidR="00C1630D">
        <w:rPr>
          <w:sz w:val="24"/>
          <w:szCs w:val="24"/>
        </w:rPr>
        <w:t>(</w:t>
      </w:r>
      <w:r w:rsidR="00C1630D" w:rsidRPr="00034E22">
        <w:rPr>
          <w:sz w:val="24"/>
          <w:szCs w:val="24"/>
        </w:rPr>
        <w:t>other than timber harvesting or haulage operations</w:t>
      </w:r>
      <w:r w:rsidR="00C1630D">
        <w:rPr>
          <w:sz w:val="24"/>
          <w:szCs w:val="24"/>
        </w:rPr>
        <w:t xml:space="preserve">) </w:t>
      </w:r>
      <w:proofErr w:type="gramStart"/>
      <w:r w:rsidRPr="00125954">
        <w:rPr>
          <w:sz w:val="24"/>
          <w:szCs w:val="24"/>
        </w:rPr>
        <w:t>is based on the assumption</w:t>
      </w:r>
      <w:proofErr w:type="gramEnd"/>
      <w:r w:rsidRPr="00125954">
        <w:rPr>
          <w:sz w:val="24"/>
          <w:szCs w:val="24"/>
        </w:rPr>
        <w:t xml:space="preserve"> they are likely to be the same in both scenarios, </w:t>
      </w:r>
      <w:proofErr w:type="gramStart"/>
      <w:r w:rsidRPr="00125954">
        <w:rPr>
          <w:sz w:val="24"/>
          <w:szCs w:val="24"/>
        </w:rPr>
        <w:t>or</w:t>
      </w:r>
      <w:proofErr w:type="gramEnd"/>
      <w:r w:rsidRPr="00125954">
        <w:rPr>
          <w:sz w:val="24"/>
          <w:szCs w:val="24"/>
        </w:rPr>
        <w:t xml:space="preserve"> higher in the baseline than the project scenario</w:t>
      </w:r>
      <w:r w:rsidR="00C1630D">
        <w:rPr>
          <w:sz w:val="24"/>
          <w:szCs w:val="24"/>
        </w:rPr>
        <w:t xml:space="preserve"> (meaning </w:t>
      </w:r>
      <w:r w:rsidR="009C2E09">
        <w:rPr>
          <w:sz w:val="24"/>
          <w:szCs w:val="24"/>
        </w:rPr>
        <w:t>their exclusion is conservative).</w:t>
      </w:r>
    </w:p>
    <w:p w14:paraId="081565B3" w14:textId="263A0416" w:rsidR="009C2E09" w:rsidRDefault="009C2E09" w:rsidP="005D00D2">
      <w:pPr>
        <w:pStyle w:val="subsection"/>
        <w:spacing w:before="120" w:after="120"/>
        <w:ind w:left="0" w:firstLine="0"/>
        <w:rPr>
          <w:sz w:val="24"/>
          <w:szCs w:val="24"/>
        </w:rPr>
      </w:pPr>
      <w:r>
        <w:rPr>
          <w:sz w:val="24"/>
          <w:szCs w:val="24"/>
        </w:rPr>
        <w:t xml:space="preserve">The exclusion of </w:t>
      </w:r>
      <w:r w:rsidRPr="00034E22">
        <w:rPr>
          <w:sz w:val="24"/>
          <w:szCs w:val="24"/>
        </w:rPr>
        <w:t>emissions from the combustion of fossil fuels in connection with the processing of harvested logs, the production of woodchips or the manufacture of solid wood products</w:t>
      </w:r>
      <w:r>
        <w:rPr>
          <w:sz w:val="24"/>
          <w:szCs w:val="24"/>
        </w:rPr>
        <w:t xml:space="preserve"> is </w:t>
      </w:r>
      <w:r w:rsidR="002C1FFC">
        <w:rPr>
          <w:sz w:val="24"/>
          <w:szCs w:val="24"/>
        </w:rPr>
        <w:t>conservative.</w:t>
      </w:r>
    </w:p>
    <w:p w14:paraId="03B70CC0" w14:textId="49A277BE" w:rsidR="002C1FFC" w:rsidRPr="00310D38" w:rsidRDefault="005B0969" w:rsidP="002C1FFC">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2C1FFC">
        <w:rPr>
          <w:rFonts w:ascii="Times New Roman" w:hAnsi="Times New Roman" w:cs="Times New Roman"/>
          <w:sz w:val="24"/>
          <w:szCs w:val="24"/>
          <w:u w:val="single"/>
        </w:rPr>
        <w:t>25</w:t>
      </w:r>
      <w:r w:rsidR="002C1FFC" w:rsidRPr="00310D38">
        <w:rPr>
          <w:rFonts w:ascii="Times New Roman" w:hAnsi="Times New Roman" w:cs="Times New Roman"/>
          <w:sz w:val="24"/>
          <w:szCs w:val="24"/>
          <w:u w:val="single"/>
        </w:rPr>
        <w:t xml:space="preserve"> – </w:t>
      </w:r>
      <w:r w:rsidR="00C25BCA" w:rsidRPr="00C25BCA">
        <w:rPr>
          <w:rFonts w:ascii="Times New Roman" w:hAnsi="Times New Roman" w:cs="Times New Roman"/>
          <w:sz w:val="24"/>
          <w:szCs w:val="24"/>
          <w:u w:val="single"/>
        </w:rPr>
        <w:t>Summary of method for calculating net abatement amount</w:t>
      </w:r>
    </w:p>
    <w:p w14:paraId="28C76089" w14:textId="27EC4BCD" w:rsidR="002C1FFC" w:rsidRDefault="001A630A" w:rsidP="005D00D2">
      <w:pPr>
        <w:pStyle w:val="subsection"/>
        <w:spacing w:before="120" w:after="120"/>
        <w:ind w:left="0" w:firstLine="0"/>
        <w:rPr>
          <w:sz w:val="24"/>
          <w:szCs w:val="24"/>
        </w:rPr>
      </w:pPr>
      <w:r>
        <w:rPr>
          <w:sz w:val="24"/>
          <w:szCs w:val="24"/>
        </w:rPr>
        <w:t>Section 25 summarises the method for calculating the net abatement amount for INFM projects.</w:t>
      </w:r>
    </w:p>
    <w:p w14:paraId="41318E0D" w14:textId="51B0708B" w:rsidR="002C1FFC" w:rsidRDefault="00F07D1D" w:rsidP="009370C1">
      <w:pPr>
        <w:pStyle w:val="subsection"/>
        <w:spacing w:before="120" w:after="120"/>
        <w:ind w:left="0" w:firstLine="0"/>
        <w:rPr>
          <w:sz w:val="24"/>
          <w:szCs w:val="24"/>
        </w:rPr>
      </w:pPr>
      <w:r w:rsidRPr="00DF430D">
        <w:rPr>
          <w:sz w:val="24"/>
          <w:szCs w:val="24"/>
        </w:rPr>
        <w:t>Subsection</w:t>
      </w:r>
      <w:r w:rsidR="001A630A">
        <w:rPr>
          <w:sz w:val="24"/>
          <w:szCs w:val="24"/>
        </w:rPr>
        <w:t xml:space="preserve"> 25(1) </w:t>
      </w:r>
      <w:r w:rsidR="00B85034">
        <w:rPr>
          <w:sz w:val="24"/>
          <w:szCs w:val="24"/>
        </w:rPr>
        <w:t>explains that the</w:t>
      </w:r>
      <w:r w:rsidR="001A630A" w:rsidRPr="001A630A">
        <w:rPr>
          <w:sz w:val="24"/>
          <w:szCs w:val="24"/>
        </w:rPr>
        <w:t xml:space="preserve"> net abatement amount for a reporting period is calculated in accordance with Equation 1 as the difference between the carbon stock change in the project scenario and the carbon stock change in the baseline scenario, plus the difference in emissions from included sources in the baseline scenario and emissions from included sources in the project scenario, minus the leakage deduction, plus the </w:t>
      </w:r>
      <w:r w:rsidR="00021E2E" w:rsidRPr="00021E2E">
        <w:rPr>
          <w:sz w:val="24"/>
          <w:szCs w:val="24"/>
        </w:rPr>
        <w:t xml:space="preserve">aggregate negative abatement amount </w:t>
      </w:r>
      <w:r w:rsidR="00021E2E">
        <w:rPr>
          <w:sz w:val="24"/>
          <w:szCs w:val="24"/>
        </w:rPr>
        <w:t xml:space="preserve">in the </w:t>
      </w:r>
      <w:r w:rsidR="00133D25" w:rsidRPr="00133D25">
        <w:rPr>
          <w:sz w:val="24"/>
          <w:szCs w:val="24"/>
        </w:rPr>
        <w:t>aggregate negative abatement account at the end of the reporting period</w:t>
      </w:r>
      <w:r w:rsidR="00021E2E">
        <w:rPr>
          <w:sz w:val="24"/>
          <w:szCs w:val="24"/>
        </w:rPr>
        <w:t xml:space="preserve"> (if any)</w:t>
      </w:r>
      <w:r w:rsidR="00B85034">
        <w:rPr>
          <w:sz w:val="24"/>
          <w:szCs w:val="24"/>
        </w:rPr>
        <w:t xml:space="preserve">. </w:t>
      </w:r>
    </w:p>
    <w:p w14:paraId="43501469" w14:textId="150F70A2" w:rsidR="00B85034" w:rsidRDefault="00F07D1D" w:rsidP="009370C1">
      <w:pPr>
        <w:pStyle w:val="subsection"/>
        <w:spacing w:before="120" w:after="120"/>
        <w:ind w:left="0" w:firstLine="0"/>
        <w:rPr>
          <w:sz w:val="24"/>
          <w:szCs w:val="24"/>
        </w:rPr>
      </w:pPr>
      <w:r w:rsidRPr="00DF430D">
        <w:rPr>
          <w:sz w:val="24"/>
          <w:szCs w:val="24"/>
        </w:rPr>
        <w:t>Subsection</w:t>
      </w:r>
      <w:r w:rsidR="002177D7">
        <w:rPr>
          <w:sz w:val="24"/>
          <w:szCs w:val="24"/>
        </w:rPr>
        <w:t xml:space="preserve"> 25(2) summarises the </w:t>
      </w:r>
      <w:r w:rsidR="00C21D7C">
        <w:rPr>
          <w:sz w:val="24"/>
          <w:szCs w:val="24"/>
        </w:rPr>
        <w:t xml:space="preserve">seven </w:t>
      </w:r>
      <w:r w:rsidR="002177D7">
        <w:rPr>
          <w:sz w:val="24"/>
          <w:szCs w:val="24"/>
        </w:rPr>
        <w:t xml:space="preserve">main steps involved in calculating </w:t>
      </w:r>
      <w:r w:rsidR="00C12B69">
        <w:rPr>
          <w:sz w:val="24"/>
          <w:szCs w:val="24"/>
        </w:rPr>
        <w:t xml:space="preserve">the net abatement amount (see pages </w:t>
      </w:r>
      <w:r w:rsidR="006B1F82">
        <w:rPr>
          <w:sz w:val="24"/>
          <w:szCs w:val="24"/>
        </w:rPr>
        <w:t>10</w:t>
      </w:r>
      <w:r w:rsidR="00C12B69">
        <w:rPr>
          <w:sz w:val="24"/>
          <w:szCs w:val="24"/>
        </w:rPr>
        <w:t>-</w:t>
      </w:r>
      <w:r w:rsidR="006B1F82">
        <w:rPr>
          <w:sz w:val="24"/>
          <w:szCs w:val="24"/>
        </w:rPr>
        <w:t>11</w:t>
      </w:r>
      <w:r w:rsidR="00C12B69">
        <w:rPr>
          <w:sz w:val="24"/>
          <w:szCs w:val="24"/>
        </w:rPr>
        <w:t xml:space="preserve"> above). </w:t>
      </w:r>
    </w:p>
    <w:p w14:paraId="56524F00" w14:textId="66F97B52" w:rsidR="00E43C46" w:rsidRPr="00787B8F" w:rsidRDefault="00E43C46" w:rsidP="009370C1">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Pr>
          <w:rFonts w:ascii="Times New Roman" w:hAnsi="Times New Roman" w:cs="Times New Roman"/>
          <w:b/>
          <w:bCs/>
          <w:sz w:val="24"/>
          <w:szCs w:val="24"/>
        </w:rPr>
        <w:t>2</w:t>
      </w:r>
      <w:r w:rsidRPr="00A656D9">
        <w:rPr>
          <w:rFonts w:ascii="Times New Roman" w:hAnsi="Times New Roman" w:cs="Times New Roman"/>
          <w:b/>
          <w:bCs/>
          <w:sz w:val="24"/>
          <w:szCs w:val="24"/>
        </w:rPr>
        <w:t>—</w:t>
      </w:r>
      <w:r w:rsidR="00787B8F" w:rsidRPr="00787B8F">
        <w:t xml:space="preserve"> </w:t>
      </w:r>
      <w:r w:rsidR="00787B8F" w:rsidRPr="00787B8F">
        <w:rPr>
          <w:rFonts w:ascii="Times New Roman" w:hAnsi="Times New Roman" w:cs="Times New Roman"/>
          <w:b/>
          <w:bCs/>
          <w:sz w:val="24"/>
          <w:szCs w:val="24"/>
        </w:rPr>
        <w:t>Calculation of net abatement amount</w:t>
      </w:r>
    </w:p>
    <w:p w14:paraId="55ABEEF7" w14:textId="6758D41B" w:rsidR="00C12B69" w:rsidRPr="00310D38" w:rsidRDefault="00851344" w:rsidP="009370C1">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C12B69">
        <w:rPr>
          <w:rFonts w:ascii="Times New Roman" w:hAnsi="Times New Roman" w:cs="Times New Roman"/>
          <w:sz w:val="24"/>
          <w:szCs w:val="24"/>
          <w:u w:val="single"/>
        </w:rPr>
        <w:t>26</w:t>
      </w:r>
      <w:r w:rsidR="00C12B69" w:rsidRPr="00310D38">
        <w:rPr>
          <w:rFonts w:ascii="Times New Roman" w:hAnsi="Times New Roman" w:cs="Times New Roman"/>
          <w:sz w:val="24"/>
          <w:szCs w:val="24"/>
          <w:u w:val="single"/>
        </w:rPr>
        <w:t xml:space="preserve"> – </w:t>
      </w:r>
      <w:r w:rsidR="006E7CCA" w:rsidRPr="006E7CCA">
        <w:rPr>
          <w:rFonts w:ascii="Times New Roman" w:hAnsi="Times New Roman" w:cs="Times New Roman"/>
          <w:sz w:val="24"/>
          <w:szCs w:val="24"/>
          <w:u w:val="single"/>
        </w:rPr>
        <w:t>Equation for calculating net abatement amount</w:t>
      </w:r>
    </w:p>
    <w:p w14:paraId="6B97B6B1" w14:textId="23F8ADC0" w:rsidR="00C12B69" w:rsidRDefault="00F07D1D" w:rsidP="009370C1">
      <w:pPr>
        <w:pStyle w:val="subsection"/>
        <w:spacing w:before="120" w:after="120"/>
        <w:ind w:left="0" w:firstLine="0"/>
        <w:rPr>
          <w:sz w:val="24"/>
          <w:szCs w:val="24"/>
        </w:rPr>
      </w:pPr>
      <w:r w:rsidRPr="00DF430D">
        <w:rPr>
          <w:sz w:val="24"/>
          <w:szCs w:val="24"/>
        </w:rPr>
        <w:t>Subsection</w:t>
      </w:r>
      <w:r w:rsidR="00FC51E8">
        <w:rPr>
          <w:sz w:val="24"/>
          <w:szCs w:val="24"/>
        </w:rPr>
        <w:t xml:space="preserve"> 26(1) contains Equation 1, being the equation for the calculation of the net abatement amount. </w:t>
      </w:r>
    </w:p>
    <w:p w14:paraId="56E59C34" w14:textId="0C73D175" w:rsidR="00484883" w:rsidRPr="00484883" w:rsidRDefault="00F07D1D" w:rsidP="009370C1">
      <w:pPr>
        <w:pStyle w:val="subsection"/>
        <w:spacing w:before="120" w:after="120"/>
        <w:ind w:left="0" w:firstLine="0"/>
        <w:rPr>
          <w:sz w:val="24"/>
          <w:szCs w:val="24"/>
        </w:rPr>
      </w:pPr>
      <w:r w:rsidRPr="00DF430D">
        <w:rPr>
          <w:sz w:val="24"/>
          <w:szCs w:val="24"/>
        </w:rPr>
        <w:t>Subsection</w:t>
      </w:r>
      <w:r w:rsidR="00484883">
        <w:rPr>
          <w:sz w:val="24"/>
          <w:szCs w:val="24"/>
        </w:rPr>
        <w:t xml:space="preserve"> 26(2) provides that the project proponent must model </w:t>
      </w:r>
      <w:r w:rsidR="00484883" w:rsidRPr="00484883">
        <w:rPr>
          <w:sz w:val="24"/>
          <w:szCs w:val="24"/>
        </w:rPr>
        <w:t>the relevant baseline and project scenarios in accordance with</w:t>
      </w:r>
      <w:r w:rsidR="00484883">
        <w:rPr>
          <w:sz w:val="24"/>
          <w:szCs w:val="24"/>
        </w:rPr>
        <w:t xml:space="preserve"> Part 5</w:t>
      </w:r>
      <w:r w:rsidR="00484883" w:rsidRPr="00484883">
        <w:rPr>
          <w:sz w:val="24"/>
          <w:szCs w:val="24"/>
        </w:rPr>
        <w:t>.</w:t>
      </w:r>
    </w:p>
    <w:p w14:paraId="590A85AC" w14:textId="7F41991A" w:rsidR="002C1FFC" w:rsidRDefault="00F07D1D" w:rsidP="009370C1">
      <w:pPr>
        <w:pStyle w:val="subsection"/>
        <w:spacing w:before="120" w:after="120"/>
        <w:ind w:left="0" w:firstLine="0"/>
        <w:rPr>
          <w:sz w:val="24"/>
          <w:szCs w:val="24"/>
        </w:rPr>
      </w:pPr>
      <w:r w:rsidRPr="00DF430D">
        <w:rPr>
          <w:sz w:val="24"/>
          <w:szCs w:val="24"/>
        </w:rPr>
        <w:t>Subsection</w:t>
      </w:r>
      <w:r w:rsidR="00484883">
        <w:rPr>
          <w:sz w:val="24"/>
          <w:szCs w:val="24"/>
        </w:rPr>
        <w:t xml:space="preserve"> 26(3) clarifies that t</w:t>
      </w:r>
      <w:r w:rsidR="00484883" w:rsidRPr="00484883">
        <w:rPr>
          <w:sz w:val="24"/>
          <w:szCs w:val="24"/>
        </w:rPr>
        <w:t xml:space="preserve">he calculation of the net abatement amount is subject to the hurdle requirement </w:t>
      </w:r>
      <w:r w:rsidR="00484883">
        <w:rPr>
          <w:sz w:val="24"/>
          <w:szCs w:val="24"/>
        </w:rPr>
        <w:t>in</w:t>
      </w:r>
      <w:r w:rsidR="00484883" w:rsidRPr="00484883">
        <w:rPr>
          <w:sz w:val="24"/>
          <w:szCs w:val="24"/>
        </w:rPr>
        <w:t xml:space="preserve"> section 4</w:t>
      </w:r>
      <w:r w:rsidR="00746B6A">
        <w:rPr>
          <w:sz w:val="24"/>
          <w:szCs w:val="24"/>
        </w:rPr>
        <w:t>5</w:t>
      </w:r>
      <w:r w:rsidR="00484883" w:rsidRPr="00484883">
        <w:rPr>
          <w:sz w:val="24"/>
          <w:szCs w:val="24"/>
        </w:rPr>
        <w:t>.</w:t>
      </w:r>
    </w:p>
    <w:p w14:paraId="4434230C" w14:textId="0FEC4435" w:rsidR="00ED75DF" w:rsidRPr="00DC3988" w:rsidRDefault="00ED75DF" w:rsidP="00ED75DF">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793685">
        <w:rPr>
          <w:rFonts w:ascii="Times New Roman" w:hAnsi="Times New Roman" w:cs="Times New Roman"/>
          <w:b/>
          <w:bCs/>
          <w:sz w:val="24"/>
          <w:szCs w:val="24"/>
        </w:rPr>
        <w:t>3</w:t>
      </w:r>
      <w:r w:rsidRPr="00A656D9">
        <w:rPr>
          <w:rFonts w:ascii="Times New Roman" w:hAnsi="Times New Roman" w:cs="Times New Roman"/>
          <w:b/>
          <w:bCs/>
          <w:sz w:val="24"/>
          <w:szCs w:val="24"/>
        </w:rPr>
        <w:t>—</w:t>
      </w:r>
      <w:r w:rsidR="00972F8E" w:rsidRPr="00972F8E">
        <w:t xml:space="preserve"> </w:t>
      </w:r>
      <w:r w:rsidR="00972F8E" w:rsidRPr="00972F8E">
        <w:rPr>
          <w:rFonts w:ascii="Times New Roman" w:hAnsi="Times New Roman" w:cs="Times New Roman"/>
          <w:b/>
          <w:bCs/>
          <w:sz w:val="24"/>
          <w:szCs w:val="24"/>
        </w:rPr>
        <w:t>Representative model plots and baseline estate model</w:t>
      </w:r>
    </w:p>
    <w:p w14:paraId="7BB0D853" w14:textId="7374D030" w:rsidR="00A02B11" w:rsidRPr="00310D38" w:rsidRDefault="00433D96" w:rsidP="009370C1">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A02B11">
        <w:rPr>
          <w:rFonts w:ascii="Times New Roman" w:hAnsi="Times New Roman" w:cs="Times New Roman"/>
          <w:sz w:val="24"/>
          <w:szCs w:val="24"/>
          <w:u w:val="single"/>
        </w:rPr>
        <w:t>2</w:t>
      </w:r>
      <w:r w:rsidR="00746B6A">
        <w:rPr>
          <w:rFonts w:ascii="Times New Roman" w:hAnsi="Times New Roman" w:cs="Times New Roman"/>
          <w:sz w:val="24"/>
          <w:szCs w:val="24"/>
          <w:u w:val="single"/>
        </w:rPr>
        <w:t>7</w:t>
      </w:r>
      <w:r w:rsidR="00A02B11" w:rsidRPr="00310D38">
        <w:rPr>
          <w:rFonts w:ascii="Times New Roman" w:hAnsi="Times New Roman" w:cs="Times New Roman"/>
          <w:sz w:val="24"/>
          <w:szCs w:val="24"/>
          <w:u w:val="single"/>
        </w:rPr>
        <w:t xml:space="preserve"> – </w:t>
      </w:r>
      <w:r w:rsidR="00EA2360" w:rsidRPr="00EA2360">
        <w:rPr>
          <w:rFonts w:ascii="Times New Roman" w:hAnsi="Times New Roman" w:cs="Times New Roman"/>
          <w:sz w:val="24"/>
          <w:szCs w:val="24"/>
          <w:u w:val="single"/>
        </w:rPr>
        <w:t xml:space="preserve">Development of representative </w:t>
      </w:r>
      <w:proofErr w:type="spellStart"/>
      <w:r w:rsidR="00EA2360" w:rsidRPr="00EA2360">
        <w:rPr>
          <w:rFonts w:ascii="Times New Roman" w:hAnsi="Times New Roman" w:cs="Times New Roman"/>
          <w:sz w:val="24"/>
          <w:szCs w:val="24"/>
          <w:u w:val="single"/>
        </w:rPr>
        <w:t>FullCAM</w:t>
      </w:r>
      <w:proofErr w:type="spellEnd"/>
      <w:r w:rsidR="00EA2360" w:rsidRPr="00EA2360">
        <w:rPr>
          <w:rFonts w:ascii="Times New Roman" w:hAnsi="Times New Roman" w:cs="Times New Roman"/>
          <w:sz w:val="24"/>
          <w:szCs w:val="24"/>
          <w:u w:val="single"/>
        </w:rPr>
        <w:t xml:space="preserve"> model plots and baseline estate model</w:t>
      </w:r>
    </w:p>
    <w:p w14:paraId="745C98C7" w14:textId="02764005" w:rsidR="003C10F1" w:rsidRDefault="002D1859" w:rsidP="009370C1">
      <w:pPr>
        <w:pStyle w:val="subsection"/>
        <w:spacing w:before="120" w:after="120"/>
        <w:ind w:left="0" w:firstLine="0"/>
        <w:rPr>
          <w:sz w:val="24"/>
          <w:szCs w:val="24"/>
        </w:rPr>
      </w:pPr>
      <w:r w:rsidRPr="002D1859">
        <w:rPr>
          <w:sz w:val="24"/>
          <w:szCs w:val="24"/>
        </w:rPr>
        <w:t xml:space="preserve">Section </w:t>
      </w:r>
      <w:r>
        <w:rPr>
          <w:sz w:val="24"/>
          <w:szCs w:val="24"/>
        </w:rPr>
        <w:t>2</w:t>
      </w:r>
      <w:r w:rsidR="00746B6A">
        <w:rPr>
          <w:sz w:val="24"/>
          <w:szCs w:val="24"/>
        </w:rPr>
        <w:t>7</w:t>
      </w:r>
      <w:r>
        <w:rPr>
          <w:sz w:val="24"/>
          <w:szCs w:val="24"/>
        </w:rPr>
        <w:t xml:space="preserve"> </w:t>
      </w:r>
      <w:r w:rsidR="009B062D">
        <w:rPr>
          <w:sz w:val="24"/>
          <w:szCs w:val="24"/>
        </w:rPr>
        <w:t>requires</w:t>
      </w:r>
      <w:r w:rsidR="00272769">
        <w:rPr>
          <w:sz w:val="24"/>
          <w:szCs w:val="24"/>
        </w:rPr>
        <w:t xml:space="preserve"> the project proponent to develop</w:t>
      </w:r>
      <w:r w:rsidR="00397690">
        <w:rPr>
          <w:sz w:val="24"/>
          <w:szCs w:val="24"/>
        </w:rPr>
        <w:t>:</w:t>
      </w:r>
    </w:p>
    <w:p w14:paraId="1D6E6589" w14:textId="69DD3927" w:rsidR="00F85A00" w:rsidRDefault="009B062D" w:rsidP="009D5A62">
      <w:pPr>
        <w:pStyle w:val="subsection"/>
        <w:numPr>
          <w:ilvl w:val="0"/>
          <w:numId w:val="44"/>
        </w:numPr>
        <w:spacing w:before="120" w:after="120"/>
        <w:rPr>
          <w:sz w:val="24"/>
          <w:szCs w:val="24"/>
        </w:rPr>
      </w:pPr>
      <w:r>
        <w:rPr>
          <w:sz w:val="24"/>
          <w:szCs w:val="24"/>
        </w:rPr>
        <w:t>r</w:t>
      </w:r>
      <w:r w:rsidR="002D1859" w:rsidRPr="002D1859">
        <w:rPr>
          <w:sz w:val="24"/>
          <w:szCs w:val="24"/>
        </w:rPr>
        <w:t xml:space="preserve">epresentative </w:t>
      </w:r>
      <w:proofErr w:type="spellStart"/>
      <w:r w:rsidR="002D1859" w:rsidRPr="002D1859">
        <w:rPr>
          <w:sz w:val="24"/>
          <w:szCs w:val="24"/>
        </w:rPr>
        <w:t>FullCAM</w:t>
      </w:r>
      <w:proofErr w:type="spellEnd"/>
      <w:r w:rsidR="002D1859" w:rsidRPr="002D1859">
        <w:rPr>
          <w:sz w:val="24"/>
          <w:szCs w:val="24"/>
        </w:rPr>
        <w:t xml:space="preserve"> model plots based on timber harvesting in the 5-year period prior to the end of the financial year prior to the making of the application for </w:t>
      </w:r>
      <w:r w:rsidR="00272769">
        <w:rPr>
          <w:sz w:val="24"/>
          <w:szCs w:val="24"/>
        </w:rPr>
        <w:t>project registration</w:t>
      </w:r>
      <w:r w:rsidR="00CA00C0">
        <w:rPr>
          <w:sz w:val="24"/>
          <w:szCs w:val="24"/>
        </w:rPr>
        <w:t xml:space="preserve"> (prior period)</w:t>
      </w:r>
      <w:r w:rsidR="009D33BF">
        <w:rPr>
          <w:sz w:val="24"/>
          <w:szCs w:val="24"/>
        </w:rPr>
        <w:t xml:space="preserve"> (</w:t>
      </w:r>
      <w:r w:rsidR="00E91141">
        <w:rPr>
          <w:sz w:val="24"/>
          <w:szCs w:val="24"/>
        </w:rPr>
        <w:t>the representative harvest plots required under section 2</w:t>
      </w:r>
      <w:r w:rsidR="00746B6A">
        <w:rPr>
          <w:sz w:val="24"/>
          <w:szCs w:val="24"/>
        </w:rPr>
        <w:t>7</w:t>
      </w:r>
      <w:r w:rsidR="00E91141">
        <w:rPr>
          <w:sz w:val="24"/>
          <w:szCs w:val="24"/>
        </w:rPr>
        <w:t>(1)</w:t>
      </w:r>
      <w:proofErr w:type="gramStart"/>
      <w:r w:rsidR="00E91141">
        <w:rPr>
          <w:sz w:val="24"/>
          <w:szCs w:val="24"/>
        </w:rPr>
        <w:t>)</w:t>
      </w:r>
      <w:r w:rsidR="00272769">
        <w:rPr>
          <w:sz w:val="24"/>
          <w:szCs w:val="24"/>
        </w:rPr>
        <w:t>;</w:t>
      </w:r>
      <w:proofErr w:type="gramEnd"/>
      <w:r w:rsidR="00272769">
        <w:rPr>
          <w:sz w:val="24"/>
          <w:szCs w:val="24"/>
        </w:rPr>
        <w:t xml:space="preserve"> </w:t>
      </w:r>
    </w:p>
    <w:p w14:paraId="56401832" w14:textId="319CF74B" w:rsidR="00272769" w:rsidRDefault="00F85A00" w:rsidP="009D5A62">
      <w:pPr>
        <w:pStyle w:val="subsection"/>
        <w:numPr>
          <w:ilvl w:val="0"/>
          <w:numId w:val="44"/>
        </w:numPr>
        <w:spacing w:before="120" w:after="120"/>
        <w:rPr>
          <w:sz w:val="24"/>
          <w:szCs w:val="24"/>
        </w:rPr>
      </w:pPr>
      <w:r w:rsidRPr="00F85A00">
        <w:rPr>
          <w:sz w:val="24"/>
          <w:szCs w:val="24"/>
        </w:rPr>
        <w:t xml:space="preserve">representative </w:t>
      </w:r>
      <w:proofErr w:type="spellStart"/>
      <w:r w:rsidRPr="00F85A00">
        <w:rPr>
          <w:sz w:val="24"/>
          <w:szCs w:val="24"/>
        </w:rPr>
        <w:t>FullCAM</w:t>
      </w:r>
      <w:proofErr w:type="spellEnd"/>
      <w:r w:rsidRPr="00F85A00">
        <w:rPr>
          <w:sz w:val="24"/>
          <w:szCs w:val="24"/>
        </w:rPr>
        <w:t xml:space="preserve"> model plots that simulate </w:t>
      </w:r>
      <w:r w:rsidR="00E610EB">
        <w:rPr>
          <w:sz w:val="24"/>
          <w:szCs w:val="24"/>
        </w:rPr>
        <w:t xml:space="preserve">the </w:t>
      </w:r>
      <w:r w:rsidRPr="00F85A00">
        <w:rPr>
          <w:sz w:val="24"/>
          <w:szCs w:val="24"/>
        </w:rPr>
        <w:t>clearing of forests that was undertaken to facilitate timber harvesting (e.g. for roading, logging trails and log landings)</w:t>
      </w:r>
      <w:r w:rsidR="00E610EB">
        <w:rPr>
          <w:sz w:val="24"/>
          <w:szCs w:val="24"/>
        </w:rPr>
        <w:t xml:space="preserve"> </w:t>
      </w:r>
      <w:r w:rsidR="00E610EB" w:rsidRPr="00F85A00">
        <w:rPr>
          <w:sz w:val="24"/>
          <w:szCs w:val="24"/>
        </w:rPr>
        <w:t>in the project area in the prior period</w:t>
      </w:r>
      <w:r w:rsidR="00E91141">
        <w:rPr>
          <w:sz w:val="24"/>
          <w:szCs w:val="24"/>
        </w:rPr>
        <w:t xml:space="preserve"> (the representative clearing plots required under section 2</w:t>
      </w:r>
      <w:r w:rsidR="00746B6A">
        <w:rPr>
          <w:sz w:val="24"/>
          <w:szCs w:val="24"/>
        </w:rPr>
        <w:t>7</w:t>
      </w:r>
      <w:r w:rsidR="00E91141">
        <w:rPr>
          <w:sz w:val="24"/>
          <w:szCs w:val="24"/>
        </w:rPr>
        <w:t>(3))</w:t>
      </w:r>
      <w:r w:rsidR="008D1998">
        <w:rPr>
          <w:sz w:val="24"/>
          <w:szCs w:val="24"/>
        </w:rPr>
        <w:t xml:space="preserve">; </w:t>
      </w:r>
      <w:r w:rsidR="00272769">
        <w:rPr>
          <w:sz w:val="24"/>
          <w:szCs w:val="24"/>
        </w:rPr>
        <w:t>and</w:t>
      </w:r>
    </w:p>
    <w:p w14:paraId="746EBAD1" w14:textId="32ABA2F3" w:rsidR="003C10F1" w:rsidRDefault="00272769" w:rsidP="009D5A62">
      <w:pPr>
        <w:pStyle w:val="subsection"/>
        <w:numPr>
          <w:ilvl w:val="0"/>
          <w:numId w:val="44"/>
        </w:numPr>
        <w:spacing w:before="120" w:after="120"/>
        <w:rPr>
          <w:sz w:val="24"/>
          <w:szCs w:val="24"/>
        </w:rPr>
      </w:pPr>
      <w:r>
        <w:rPr>
          <w:sz w:val="24"/>
          <w:szCs w:val="24"/>
        </w:rPr>
        <w:t xml:space="preserve">a </w:t>
      </w:r>
      <w:r w:rsidRPr="002D1859">
        <w:rPr>
          <w:sz w:val="24"/>
          <w:szCs w:val="24"/>
        </w:rPr>
        <w:t xml:space="preserve">prior period </w:t>
      </w:r>
      <w:proofErr w:type="spellStart"/>
      <w:r w:rsidRPr="002D1859">
        <w:rPr>
          <w:sz w:val="24"/>
          <w:szCs w:val="24"/>
        </w:rPr>
        <w:t>FullCAM</w:t>
      </w:r>
      <w:proofErr w:type="spellEnd"/>
      <w:r w:rsidRPr="002D1859">
        <w:rPr>
          <w:sz w:val="24"/>
          <w:szCs w:val="24"/>
        </w:rPr>
        <w:t xml:space="preserve"> forest estate model that provides estimates of the total net harvested area (in hectares) in, and logs produced (in cubic metres (m3) of logs produced) from, the project area that are within ±5% of the actual values for the </w:t>
      </w:r>
      <w:r w:rsidR="00CA00C0">
        <w:rPr>
          <w:sz w:val="24"/>
          <w:szCs w:val="24"/>
        </w:rPr>
        <w:t xml:space="preserve">prior </w:t>
      </w:r>
      <w:r w:rsidRPr="002D1859">
        <w:rPr>
          <w:sz w:val="24"/>
          <w:szCs w:val="24"/>
        </w:rPr>
        <w:t>period.</w:t>
      </w:r>
    </w:p>
    <w:p w14:paraId="3A96A36C" w14:textId="2588AB07" w:rsidR="00397690" w:rsidRDefault="00397690" w:rsidP="009370C1">
      <w:pPr>
        <w:pStyle w:val="subsection"/>
        <w:spacing w:before="120" w:after="120"/>
        <w:ind w:left="0" w:firstLine="0"/>
        <w:rPr>
          <w:sz w:val="24"/>
          <w:szCs w:val="24"/>
        </w:rPr>
      </w:pPr>
      <w:r>
        <w:rPr>
          <w:sz w:val="24"/>
          <w:szCs w:val="24"/>
        </w:rPr>
        <w:lastRenderedPageBreak/>
        <w:t xml:space="preserve">This is </w:t>
      </w:r>
      <w:r w:rsidRPr="003C10F1">
        <w:rPr>
          <w:sz w:val="24"/>
          <w:szCs w:val="24"/>
        </w:rPr>
        <w:t>St</w:t>
      </w:r>
      <w:r w:rsidR="00FF78EE">
        <w:rPr>
          <w:sz w:val="24"/>
          <w:szCs w:val="24"/>
        </w:rPr>
        <w:t>ep</w:t>
      </w:r>
      <w:r w:rsidRPr="003C10F1">
        <w:rPr>
          <w:sz w:val="24"/>
          <w:szCs w:val="24"/>
        </w:rPr>
        <w:t xml:space="preserve"> </w:t>
      </w:r>
      <w:r w:rsidR="00746B6A">
        <w:rPr>
          <w:sz w:val="24"/>
          <w:szCs w:val="24"/>
        </w:rPr>
        <w:t>1</w:t>
      </w:r>
      <w:r w:rsidRPr="003C10F1">
        <w:rPr>
          <w:sz w:val="24"/>
          <w:szCs w:val="24"/>
        </w:rPr>
        <w:t xml:space="preserve"> in the summary of </w:t>
      </w:r>
      <w:r w:rsidR="0010326C">
        <w:rPr>
          <w:sz w:val="24"/>
          <w:szCs w:val="24"/>
        </w:rPr>
        <w:t xml:space="preserve">the </w:t>
      </w:r>
      <w:r w:rsidRPr="003C10F1">
        <w:rPr>
          <w:sz w:val="24"/>
          <w:szCs w:val="24"/>
        </w:rPr>
        <w:t>method for calculating</w:t>
      </w:r>
      <w:r w:rsidR="0010326C">
        <w:rPr>
          <w:sz w:val="24"/>
          <w:szCs w:val="24"/>
        </w:rPr>
        <w:t xml:space="preserve"> the</w:t>
      </w:r>
      <w:r w:rsidRPr="003C10F1">
        <w:rPr>
          <w:sz w:val="24"/>
          <w:szCs w:val="24"/>
        </w:rPr>
        <w:t xml:space="preserve"> net abatement amount</w:t>
      </w:r>
      <w:r>
        <w:rPr>
          <w:sz w:val="24"/>
          <w:szCs w:val="24"/>
        </w:rPr>
        <w:t xml:space="preserve"> (in section </w:t>
      </w:r>
      <w:r w:rsidR="008E731E">
        <w:rPr>
          <w:sz w:val="24"/>
          <w:szCs w:val="24"/>
        </w:rPr>
        <w:t xml:space="preserve">25). </w:t>
      </w:r>
    </w:p>
    <w:p w14:paraId="00D7CA25" w14:textId="28D9612D" w:rsidR="003640EA" w:rsidRDefault="002D1859" w:rsidP="009370C1">
      <w:pPr>
        <w:pStyle w:val="subsection"/>
        <w:spacing w:before="120" w:after="120"/>
        <w:ind w:left="0" w:firstLine="0"/>
        <w:rPr>
          <w:sz w:val="24"/>
          <w:szCs w:val="24"/>
        </w:rPr>
      </w:pPr>
      <w:r w:rsidRPr="002D1859">
        <w:rPr>
          <w:sz w:val="24"/>
          <w:szCs w:val="24"/>
        </w:rPr>
        <w:t xml:space="preserve">The representative </w:t>
      </w:r>
      <w:r w:rsidR="00DB5696">
        <w:rPr>
          <w:sz w:val="24"/>
          <w:szCs w:val="24"/>
        </w:rPr>
        <w:t xml:space="preserve">harvest </w:t>
      </w:r>
      <w:r w:rsidRPr="002D1859">
        <w:rPr>
          <w:sz w:val="24"/>
          <w:szCs w:val="24"/>
        </w:rPr>
        <w:t xml:space="preserve">plots must reflect the forest types (at the major vegetation group level) in which harvesting occurred, the harvesting practices used to harvest wood from </w:t>
      </w:r>
      <w:r w:rsidR="00D50696">
        <w:rPr>
          <w:sz w:val="24"/>
          <w:szCs w:val="24"/>
        </w:rPr>
        <w:t xml:space="preserve">each of </w:t>
      </w:r>
      <w:r w:rsidRPr="002D1859">
        <w:rPr>
          <w:sz w:val="24"/>
          <w:szCs w:val="24"/>
        </w:rPr>
        <w:t xml:space="preserve">the forests and the average age of the trees at which harvesting occurred in the forest types using each </w:t>
      </w:r>
      <w:r w:rsidR="00EC23E4">
        <w:rPr>
          <w:sz w:val="24"/>
          <w:szCs w:val="24"/>
        </w:rPr>
        <w:t xml:space="preserve">defined </w:t>
      </w:r>
      <w:r w:rsidR="00EC23E4" w:rsidRPr="00EC23E4">
        <w:rPr>
          <w:sz w:val="24"/>
          <w:szCs w:val="24"/>
        </w:rPr>
        <w:t>combination of harvest practice and forest type</w:t>
      </w:r>
      <w:r w:rsidRPr="002D1859">
        <w:rPr>
          <w:sz w:val="24"/>
          <w:szCs w:val="24"/>
        </w:rPr>
        <w:t xml:space="preserve"> </w:t>
      </w:r>
      <w:r w:rsidR="00EC23E4">
        <w:rPr>
          <w:sz w:val="24"/>
          <w:szCs w:val="24"/>
        </w:rPr>
        <w:t xml:space="preserve">over </w:t>
      </w:r>
      <w:r w:rsidRPr="002D1859">
        <w:rPr>
          <w:sz w:val="24"/>
          <w:szCs w:val="24"/>
        </w:rPr>
        <w:t xml:space="preserve">the prior 5-year period. </w:t>
      </w:r>
      <w:r w:rsidRPr="009370C1">
        <w:rPr>
          <w:sz w:val="24"/>
          <w:szCs w:val="24"/>
        </w:rPr>
        <w:t>There must be one representative plot for each forest type, harvest practice and age of harvesting combination.</w:t>
      </w:r>
    </w:p>
    <w:p w14:paraId="43834406" w14:textId="68A9BEC4" w:rsidR="008D1998" w:rsidRPr="009370C1" w:rsidRDefault="00467345" w:rsidP="009370C1">
      <w:pPr>
        <w:pStyle w:val="subsection"/>
        <w:spacing w:before="120" w:after="120"/>
        <w:ind w:left="0" w:firstLine="0"/>
        <w:rPr>
          <w:sz w:val="24"/>
          <w:szCs w:val="24"/>
        </w:rPr>
      </w:pPr>
      <w:r>
        <w:rPr>
          <w:sz w:val="24"/>
          <w:szCs w:val="24"/>
        </w:rPr>
        <w:t>One</w:t>
      </w:r>
      <w:r w:rsidR="008D1998" w:rsidRPr="008D1998">
        <w:rPr>
          <w:sz w:val="24"/>
          <w:szCs w:val="24"/>
        </w:rPr>
        <w:t xml:space="preserve"> representative </w:t>
      </w:r>
      <w:r>
        <w:rPr>
          <w:sz w:val="24"/>
          <w:szCs w:val="24"/>
        </w:rPr>
        <w:t xml:space="preserve">clearing </w:t>
      </w:r>
      <w:r w:rsidR="008D1998" w:rsidRPr="008D1998">
        <w:rPr>
          <w:sz w:val="24"/>
          <w:szCs w:val="24"/>
        </w:rPr>
        <w:t>plot</w:t>
      </w:r>
      <w:r>
        <w:rPr>
          <w:sz w:val="24"/>
          <w:szCs w:val="24"/>
        </w:rPr>
        <w:t xml:space="preserve"> must be developed </w:t>
      </w:r>
      <w:r w:rsidR="009B46E1">
        <w:rPr>
          <w:sz w:val="24"/>
          <w:szCs w:val="24"/>
        </w:rPr>
        <w:t>for each forest region in the project area. The representative clearing plot developed for a forest region</w:t>
      </w:r>
      <w:r>
        <w:rPr>
          <w:sz w:val="24"/>
          <w:szCs w:val="24"/>
        </w:rPr>
        <w:t xml:space="preserve"> </w:t>
      </w:r>
      <w:r w:rsidRPr="00467345">
        <w:rPr>
          <w:sz w:val="24"/>
          <w:szCs w:val="24"/>
        </w:rPr>
        <w:t>must reflect the average carbon density of the forests that were cleared in the region to facilitate harvesting over the prior period</w:t>
      </w:r>
      <w:r w:rsidR="009B46E1">
        <w:rPr>
          <w:sz w:val="24"/>
          <w:szCs w:val="24"/>
        </w:rPr>
        <w:t>.</w:t>
      </w:r>
    </w:p>
    <w:p w14:paraId="114309C5" w14:textId="224BAAB6" w:rsidR="003640EA" w:rsidRPr="009370C1" w:rsidRDefault="001769FE" w:rsidP="009370C1">
      <w:pPr>
        <w:pStyle w:val="subsection"/>
        <w:spacing w:before="120" w:after="120"/>
        <w:ind w:left="0" w:firstLine="0"/>
        <w:rPr>
          <w:sz w:val="24"/>
          <w:szCs w:val="24"/>
        </w:rPr>
      </w:pPr>
      <w:r w:rsidRPr="009370C1">
        <w:rPr>
          <w:sz w:val="24"/>
          <w:szCs w:val="24"/>
        </w:rPr>
        <w:t xml:space="preserve">The </w:t>
      </w:r>
      <w:r w:rsidR="00E5720B" w:rsidRPr="009370C1">
        <w:rPr>
          <w:sz w:val="24"/>
          <w:szCs w:val="24"/>
        </w:rPr>
        <w:t xml:space="preserve">representative </w:t>
      </w:r>
      <w:r w:rsidR="000D7FEC">
        <w:rPr>
          <w:sz w:val="24"/>
          <w:szCs w:val="24"/>
        </w:rPr>
        <w:t xml:space="preserve">harvest </w:t>
      </w:r>
      <w:r w:rsidR="00E5720B" w:rsidRPr="009370C1">
        <w:rPr>
          <w:sz w:val="24"/>
          <w:szCs w:val="24"/>
        </w:rPr>
        <w:t>plots</w:t>
      </w:r>
      <w:r w:rsidR="00A37870">
        <w:rPr>
          <w:sz w:val="24"/>
          <w:szCs w:val="24"/>
        </w:rPr>
        <w:t xml:space="preserve">, </w:t>
      </w:r>
      <w:r w:rsidR="00A37870" w:rsidRPr="008D1998">
        <w:rPr>
          <w:sz w:val="24"/>
          <w:szCs w:val="24"/>
        </w:rPr>
        <w:t xml:space="preserve">representative </w:t>
      </w:r>
      <w:r w:rsidR="00A37870">
        <w:rPr>
          <w:sz w:val="24"/>
          <w:szCs w:val="24"/>
        </w:rPr>
        <w:t xml:space="preserve">clearing </w:t>
      </w:r>
      <w:r w:rsidR="00A37870" w:rsidRPr="008D1998">
        <w:rPr>
          <w:sz w:val="24"/>
          <w:szCs w:val="24"/>
        </w:rPr>
        <w:t>plot</w:t>
      </w:r>
      <w:r w:rsidR="00A37870">
        <w:rPr>
          <w:sz w:val="24"/>
          <w:szCs w:val="24"/>
        </w:rPr>
        <w:t>s</w:t>
      </w:r>
      <w:r w:rsidR="00E5720B" w:rsidRPr="009370C1">
        <w:rPr>
          <w:sz w:val="24"/>
          <w:szCs w:val="24"/>
        </w:rPr>
        <w:t xml:space="preserve"> and p</w:t>
      </w:r>
      <w:r w:rsidRPr="009370C1">
        <w:rPr>
          <w:sz w:val="24"/>
          <w:szCs w:val="24"/>
        </w:rPr>
        <w:t xml:space="preserve">rior period </w:t>
      </w:r>
      <w:proofErr w:type="spellStart"/>
      <w:r w:rsidRPr="009370C1">
        <w:rPr>
          <w:sz w:val="24"/>
          <w:szCs w:val="24"/>
        </w:rPr>
        <w:t>FullCAM</w:t>
      </w:r>
      <w:proofErr w:type="spellEnd"/>
      <w:r w:rsidRPr="009370C1">
        <w:rPr>
          <w:sz w:val="24"/>
          <w:szCs w:val="24"/>
        </w:rPr>
        <w:t xml:space="preserve"> forest estate model </w:t>
      </w:r>
      <w:r w:rsidR="00E5720B" w:rsidRPr="009370C1">
        <w:rPr>
          <w:sz w:val="24"/>
          <w:szCs w:val="24"/>
        </w:rPr>
        <w:t>are</w:t>
      </w:r>
      <w:r w:rsidRPr="009370C1">
        <w:rPr>
          <w:sz w:val="24"/>
          <w:szCs w:val="24"/>
        </w:rPr>
        <w:t xml:space="preserve"> used </w:t>
      </w:r>
      <w:r w:rsidR="006957F6" w:rsidRPr="009370C1">
        <w:rPr>
          <w:sz w:val="24"/>
          <w:szCs w:val="24"/>
        </w:rPr>
        <w:t xml:space="preserve">for </w:t>
      </w:r>
      <w:r w:rsidR="00DD227F" w:rsidRPr="009370C1">
        <w:rPr>
          <w:sz w:val="24"/>
          <w:szCs w:val="24"/>
        </w:rPr>
        <w:t xml:space="preserve">four </w:t>
      </w:r>
      <w:r w:rsidR="006957F6" w:rsidRPr="009370C1">
        <w:rPr>
          <w:sz w:val="24"/>
          <w:szCs w:val="24"/>
        </w:rPr>
        <w:t>purposes</w:t>
      </w:r>
      <w:r w:rsidR="004C1D03" w:rsidRPr="009370C1">
        <w:rPr>
          <w:sz w:val="24"/>
          <w:szCs w:val="24"/>
        </w:rPr>
        <w:t>.</w:t>
      </w:r>
      <w:r w:rsidR="006957F6" w:rsidRPr="009370C1">
        <w:rPr>
          <w:sz w:val="24"/>
          <w:szCs w:val="24"/>
        </w:rPr>
        <w:t xml:space="preserve"> </w:t>
      </w:r>
    </w:p>
    <w:p w14:paraId="1AA0B519" w14:textId="3A073A96" w:rsidR="006957F6" w:rsidRPr="009370C1" w:rsidRDefault="004C1D03" w:rsidP="009D5A62">
      <w:pPr>
        <w:pStyle w:val="subsection"/>
        <w:numPr>
          <w:ilvl w:val="0"/>
          <w:numId w:val="45"/>
        </w:numPr>
        <w:spacing w:before="120" w:after="120"/>
        <w:rPr>
          <w:sz w:val="24"/>
          <w:szCs w:val="24"/>
        </w:rPr>
      </w:pPr>
      <w:r w:rsidRPr="009370C1">
        <w:rPr>
          <w:sz w:val="24"/>
          <w:szCs w:val="24"/>
        </w:rPr>
        <w:t xml:space="preserve">The prior period </w:t>
      </w:r>
      <w:proofErr w:type="spellStart"/>
      <w:r w:rsidRPr="009370C1">
        <w:rPr>
          <w:sz w:val="24"/>
          <w:szCs w:val="24"/>
        </w:rPr>
        <w:t>FullCAM</w:t>
      </w:r>
      <w:proofErr w:type="spellEnd"/>
      <w:r w:rsidRPr="009370C1">
        <w:rPr>
          <w:sz w:val="24"/>
          <w:szCs w:val="24"/>
        </w:rPr>
        <w:t xml:space="preserve"> forest estate model is used to </w:t>
      </w:r>
      <w:r w:rsidR="00B65C43" w:rsidRPr="009370C1">
        <w:rPr>
          <w:sz w:val="24"/>
          <w:szCs w:val="24"/>
        </w:rPr>
        <w:t xml:space="preserve">convert the </w:t>
      </w:r>
      <w:r w:rsidR="00490358" w:rsidRPr="009370C1">
        <w:rPr>
          <w:sz w:val="24"/>
          <w:szCs w:val="24"/>
        </w:rPr>
        <w:t xml:space="preserve">volume of wood harvested in the baseline scenario (in cubic metres) into the </w:t>
      </w:r>
      <w:r w:rsidR="006957F6" w:rsidRPr="009370C1">
        <w:rPr>
          <w:sz w:val="24"/>
          <w:szCs w:val="24"/>
        </w:rPr>
        <w:t>net harvested area in the baseline scenario</w:t>
      </w:r>
      <w:r w:rsidR="00490358" w:rsidRPr="009370C1">
        <w:rPr>
          <w:sz w:val="24"/>
          <w:szCs w:val="24"/>
        </w:rPr>
        <w:t xml:space="preserve"> (section </w:t>
      </w:r>
      <w:r w:rsidR="00717C2D">
        <w:rPr>
          <w:sz w:val="24"/>
          <w:szCs w:val="24"/>
        </w:rPr>
        <w:t>29</w:t>
      </w:r>
      <w:r w:rsidR="005112EC" w:rsidRPr="009370C1">
        <w:rPr>
          <w:sz w:val="24"/>
          <w:szCs w:val="24"/>
        </w:rPr>
        <w:t>)</w:t>
      </w:r>
      <w:r w:rsidRPr="009370C1">
        <w:rPr>
          <w:sz w:val="24"/>
          <w:szCs w:val="24"/>
        </w:rPr>
        <w:t xml:space="preserve">. </w:t>
      </w:r>
    </w:p>
    <w:p w14:paraId="6F3EA219" w14:textId="0A4617E3" w:rsidR="004C1D03" w:rsidRPr="009370C1" w:rsidRDefault="004C1D03" w:rsidP="009D5A62">
      <w:pPr>
        <w:pStyle w:val="subsection"/>
        <w:numPr>
          <w:ilvl w:val="0"/>
          <w:numId w:val="45"/>
        </w:numPr>
        <w:spacing w:before="120" w:after="120"/>
        <w:rPr>
          <w:sz w:val="24"/>
          <w:szCs w:val="24"/>
        </w:rPr>
      </w:pPr>
      <w:r w:rsidRPr="009370C1">
        <w:rPr>
          <w:sz w:val="24"/>
          <w:szCs w:val="24"/>
        </w:rPr>
        <w:t xml:space="preserve">The plots and model are used to </w:t>
      </w:r>
      <w:r w:rsidR="00625198" w:rsidRPr="009370C1">
        <w:rPr>
          <w:sz w:val="24"/>
          <w:szCs w:val="24"/>
        </w:rPr>
        <w:t xml:space="preserve">develop the baseline </w:t>
      </w:r>
      <w:proofErr w:type="spellStart"/>
      <w:r w:rsidR="00625198" w:rsidRPr="009370C1">
        <w:rPr>
          <w:sz w:val="24"/>
          <w:szCs w:val="24"/>
        </w:rPr>
        <w:t>FullCAM</w:t>
      </w:r>
      <w:proofErr w:type="spellEnd"/>
      <w:r w:rsidR="00625198" w:rsidRPr="009370C1">
        <w:rPr>
          <w:sz w:val="24"/>
          <w:szCs w:val="24"/>
        </w:rPr>
        <w:t xml:space="preserve"> forest estate model and </w:t>
      </w:r>
      <w:r w:rsidR="0099438D" w:rsidRPr="009370C1">
        <w:rPr>
          <w:sz w:val="24"/>
          <w:szCs w:val="24"/>
        </w:rPr>
        <w:t xml:space="preserve">project </w:t>
      </w:r>
      <w:proofErr w:type="spellStart"/>
      <w:r w:rsidR="0099438D" w:rsidRPr="009370C1">
        <w:rPr>
          <w:sz w:val="24"/>
          <w:szCs w:val="24"/>
        </w:rPr>
        <w:t>FullCAM</w:t>
      </w:r>
      <w:proofErr w:type="spellEnd"/>
      <w:r w:rsidR="0099438D" w:rsidRPr="009370C1">
        <w:rPr>
          <w:sz w:val="24"/>
          <w:szCs w:val="24"/>
        </w:rPr>
        <w:t xml:space="preserve"> forest estate model (section 3</w:t>
      </w:r>
      <w:r w:rsidR="00717C2D">
        <w:rPr>
          <w:sz w:val="24"/>
          <w:szCs w:val="24"/>
        </w:rPr>
        <w:t>4</w:t>
      </w:r>
      <w:r w:rsidR="0099438D" w:rsidRPr="009370C1">
        <w:rPr>
          <w:sz w:val="24"/>
          <w:szCs w:val="24"/>
        </w:rPr>
        <w:t xml:space="preserve">). </w:t>
      </w:r>
    </w:p>
    <w:p w14:paraId="1A3303F3" w14:textId="38015A9B" w:rsidR="0099438D" w:rsidRPr="009370C1" w:rsidRDefault="00B00F18" w:rsidP="009D5A62">
      <w:pPr>
        <w:pStyle w:val="subsection"/>
        <w:numPr>
          <w:ilvl w:val="0"/>
          <w:numId w:val="45"/>
        </w:numPr>
        <w:spacing w:before="120" w:after="120"/>
        <w:rPr>
          <w:sz w:val="24"/>
          <w:szCs w:val="24"/>
        </w:rPr>
      </w:pPr>
      <w:r w:rsidRPr="009370C1">
        <w:rPr>
          <w:sz w:val="24"/>
          <w:szCs w:val="24"/>
        </w:rPr>
        <w:t>The plots and model are used to calculate the direct leakage deduction (sections 3</w:t>
      </w:r>
      <w:r w:rsidR="00D77391">
        <w:rPr>
          <w:sz w:val="24"/>
          <w:szCs w:val="24"/>
        </w:rPr>
        <w:t>4</w:t>
      </w:r>
      <w:r w:rsidRPr="009370C1">
        <w:rPr>
          <w:sz w:val="24"/>
          <w:szCs w:val="24"/>
        </w:rPr>
        <w:t xml:space="preserve"> and 4</w:t>
      </w:r>
      <w:r w:rsidR="00D77391">
        <w:rPr>
          <w:sz w:val="24"/>
          <w:szCs w:val="24"/>
        </w:rPr>
        <w:t>1</w:t>
      </w:r>
      <w:r w:rsidRPr="009370C1">
        <w:rPr>
          <w:sz w:val="24"/>
          <w:szCs w:val="24"/>
        </w:rPr>
        <w:t xml:space="preserve">). </w:t>
      </w:r>
    </w:p>
    <w:p w14:paraId="4C67E477" w14:textId="4C6D982B" w:rsidR="00B00F18" w:rsidRPr="009370C1" w:rsidRDefault="00B00F18" w:rsidP="009D5A62">
      <w:pPr>
        <w:pStyle w:val="subsection"/>
        <w:numPr>
          <w:ilvl w:val="0"/>
          <w:numId w:val="45"/>
        </w:numPr>
        <w:spacing w:before="120" w:after="120"/>
        <w:rPr>
          <w:sz w:val="24"/>
          <w:szCs w:val="24"/>
        </w:rPr>
      </w:pPr>
      <w:r w:rsidRPr="009370C1">
        <w:rPr>
          <w:sz w:val="24"/>
          <w:szCs w:val="24"/>
        </w:rPr>
        <w:t xml:space="preserve">The plots and model are used to calculate the </w:t>
      </w:r>
      <w:r w:rsidR="00DD227F" w:rsidRPr="009370C1">
        <w:rPr>
          <w:sz w:val="24"/>
          <w:szCs w:val="24"/>
        </w:rPr>
        <w:t xml:space="preserve">private native forests leakage deduction </w:t>
      </w:r>
      <w:r w:rsidRPr="009370C1">
        <w:rPr>
          <w:sz w:val="24"/>
          <w:szCs w:val="24"/>
        </w:rPr>
        <w:t>(sections 3</w:t>
      </w:r>
      <w:r w:rsidR="00D77391">
        <w:rPr>
          <w:sz w:val="24"/>
          <w:szCs w:val="24"/>
        </w:rPr>
        <w:t>4</w:t>
      </w:r>
      <w:r w:rsidRPr="009370C1">
        <w:rPr>
          <w:sz w:val="24"/>
          <w:szCs w:val="24"/>
        </w:rPr>
        <w:t xml:space="preserve"> and 4</w:t>
      </w:r>
      <w:r w:rsidR="00D77391">
        <w:rPr>
          <w:sz w:val="24"/>
          <w:szCs w:val="24"/>
        </w:rPr>
        <w:t>2</w:t>
      </w:r>
      <w:r w:rsidRPr="009370C1">
        <w:rPr>
          <w:sz w:val="24"/>
          <w:szCs w:val="24"/>
        </w:rPr>
        <w:t>).</w:t>
      </w:r>
    </w:p>
    <w:p w14:paraId="2900C4FA" w14:textId="575E052D" w:rsidR="00C1277A" w:rsidRDefault="00C1277A" w:rsidP="009370C1">
      <w:pPr>
        <w:pStyle w:val="subsection"/>
        <w:spacing w:before="120" w:after="120"/>
        <w:ind w:left="0" w:firstLine="0"/>
        <w:rPr>
          <w:sz w:val="24"/>
          <w:szCs w:val="24"/>
        </w:rPr>
      </w:pPr>
      <w:r>
        <w:rPr>
          <w:sz w:val="24"/>
          <w:szCs w:val="24"/>
        </w:rPr>
        <w:t xml:space="preserve">The </w:t>
      </w:r>
      <w:r w:rsidR="00C14E83">
        <w:rPr>
          <w:sz w:val="24"/>
          <w:szCs w:val="24"/>
        </w:rPr>
        <w:t>approach to the development of</w:t>
      </w:r>
      <w:r w:rsidR="0059770C">
        <w:rPr>
          <w:sz w:val="24"/>
          <w:szCs w:val="24"/>
        </w:rPr>
        <w:t xml:space="preserve"> the </w:t>
      </w:r>
      <w:r w:rsidR="0059770C" w:rsidRPr="009370C1">
        <w:rPr>
          <w:sz w:val="24"/>
          <w:szCs w:val="24"/>
        </w:rPr>
        <w:t xml:space="preserve">representative </w:t>
      </w:r>
      <w:proofErr w:type="spellStart"/>
      <w:r w:rsidR="0059770C" w:rsidRPr="009370C1">
        <w:rPr>
          <w:sz w:val="24"/>
          <w:szCs w:val="24"/>
        </w:rPr>
        <w:t>FullCAM</w:t>
      </w:r>
      <w:proofErr w:type="spellEnd"/>
      <w:r w:rsidR="0059770C" w:rsidRPr="009370C1">
        <w:rPr>
          <w:sz w:val="24"/>
          <w:szCs w:val="24"/>
        </w:rPr>
        <w:t xml:space="preserve"> model plots and prior period </w:t>
      </w:r>
      <w:proofErr w:type="spellStart"/>
      <w:r w:rsidR="0059770C" w:rsidRPr="009370C1">
        <w:rPr>
          <w:sz w:val="24"/>
          <w:szCs w:val="24"/>
        </w:rPr>
        <w:t>FullCAM</w:t>
      </w:r>
      <w:proofErr w:type="spellEnd"/>
      <w:r w:rsidR="0059770C" w:rsidRPr="009370C1">
        <w:rPr>
          <w:sz w:val="24"/>
          <w:szCs w:val="24"/>
        </w:rPr>
        <w:t xml:space="preserve"> forest estate model</w:t>
      </w:r>
      <w:r w:rsidR="0059770C">
        <w:rPr>
          <w:sz w:val="24"/>
          <w:szCs w:val="24"/>
        </w:rPr>
        <w:t xml:space="preserve"> is intended to </w:t>
      </w:r>
      <w:r w:rsidR="00C14E83">
        <w:rPr>
          <w:sz w:val="24"/>
          <w:szCs w:val="24"/>
        </w:rPr>
        <w:t>reduce the scope for gaming by promoting transparency and verifiability.</w:t>
      </w:r>
    </w:p>
    <w:p w14:paraId="41941686" w14:textId="04BE0AAC" w:rsidR="00A819AC" w:rsidRPr="009370C1" w:rsidRDefault="00DD227F" w:rsidP="009370C1">
      <w:pPr>
        <w:pStyle w:val="subsection"/>
        <w:spacing w:before="120" w:after="120"/>
        <w:ind w:left="0" w:firstLine="0"/>
        <w:rPr>
          <w:sz w:val="24"/>
          <w:szCs w:val="24"/>
        </w:rPr>
      </w:pPr>
      <w:r w:rsidRPr="009370C1">
        <w:rPr>
          <w:sz w:val="24"/>
          <w:szCs w:val="24"/>
        </w:rPr>
        <w:t xml:space="preserve">The requirements governing the development of the representative </w:t>
      </w:r>
      <w:proofErr w:type="spellStart"/>
      <w:r w:rsidRPr="009370C1">
        <w:rPr>
          <w:sz w:val="24"/>
          <w:szCs w:val="24"/>
        </w:rPr>
        <w:t>FullCAM</w:t>
      </w:r>
      <w:proofErr w:type="spellEnd"/>
      <w:r w:rsidRPr="009370C1">
        <w:rPr>
          <w:sz w:val="24"/>
          <w:szCs w:val="24"/>
        </w:rPr>
        <w:t xml:space="preserve"> model plots and prior period </w:t>
      </w:r>
      <w:proofErr w:type="spellStart"/>
      <w:r w:rsidRPr="009370C1">
        <w:rPr>
          <w:sz w:val="24"/>
          <w:szCs w:val="24"/>
        </w:rPr>
        <w:t>FullCAM</w:t>
      </w:r>
      <w:proofErr w:type="spellEnd"/>
      <w:r w:rsidRPr="009370C1">
        <w:rPr>
          <w:sz w:val="24"/>
          <w:szCs w:val="24"/>
        </w:rPr>
        <w:t xml:space="preserve"> forest estate model are set out in </w:t>
      </w:r>
      <w:r w:rsidR="00F07D1D">
        <w:rPr>
          <w:sz w:val="24"/>
          <w:szCs w:val="24"/>
        </w:rPr>
        <w:t xml:space="preserve">subsections </w:t>
      </w:r>
      <w:r w:rsidRPr="009370C1">
        <w:rPr>
          <w:sz w:val="24"/>
          <w:szCs w:val="24"/>
        </w:rPr>
        <w:t>2</w:t>
      </w:r>
      <w:r w:rsidR="00D77391">
        <w:rPr>
          <w:sz w:val="24"/>
          <w:szCs w:val="24"/>
        </w:rPr>
        <w:t>7</w:t>
      </w:r>
      <w:r w:rsidRPr="009370C1">
        <w:rPr>
          <w:sz w:val="24"/>
          <w:szCs w:val="24"/>
        </w:rPr>
        <w:t>(1)</w:t>
      </w:r>
      <w:r w:rsidR="004C0341">
        <w:rPr>
          <w:sz w:val="24"/>
          <w:szCs w:val="24"/>
        </w:rPr>
        <w:t>-(</w:t>
      </w:r>
      <w:r w:rsidR="00A470E9">
        <w:rPr>
          <w:sz w:val="24"/>
          <w:szCs w:val="24"/>
        </w:rPr>
        <w:t>6</w:t>
      </w:r>
      <w:r w:rsidR="004C0341">
        <w:rPr>
          <w:sz w:val="24"/>
          <w:szCs w:val="24"/>
        </w:rPr>
        <w:t>).</w:t>
      </w:r>
      <w:r w:rsidR="00A470E9">
        <w:rPr>
          <w:sz w:val="24"/>
          <w:szCs w:val="24"/>
        </w:rPr>
        <w:t xml:space="preserve"> </w:t>
      </w:r>
    </w:p>
    <w:p w14:paraId="02FEA944" w14:textId="02E03A9B" w:rsidR="00A819AC" w:rsidRPr="009370C1" w:rsidRDefault="00F07D1D" w:rsidP="009370C1">
      <w:pPr>
        <w:pStyle w:val="subsection"/>
        <w:spacing w:before="120" w:after="120"/>
        <w:ind w:left="0" w:firstLine="0"/>
        <w:rPr>
          <w:sz w:val="24"/>
          <w:szCs w:val="24"/>
        </w:rPr>
      </w:pPr>
      <w:r w:rsidRPr="00DF430D">
        <w:rPr>
          <w:sz w:val="24"/>
          <w:szCs w:val="24"/>
        </w:rPr>
        <w:t>Subsection</w:t>
      </w:r>
      <w:r w:rsidR="00397690" w:rsidRPr="009370C1">
        <w:rPr>
          <w:sz w:val="24"/>
          <w:szCs w:val="24"/>
        </w:rPr>
        <w:t xml:space="preserve"> 2</w:t>
      </w:r>
      <w:r w:rsidR="00F93F72">
        <w:rPr>
          <w:sz w:val="24"/>
          <w:szCs w:val="24"/>
        </w:rPr>
        <w:t>7</w:t>
      </w:r>
      <w:r w:rsidR="00397690" w:rsidRPr="009370C1">
        <w:rPr>
          <w:sz w:val="24"/>
          <w:szCs w:val="24"/>
        </w:rPr>
        <w:t>(1)</w:t>
      </w:r>
      <w:r w:rsidR="00E4555D" w:rsidRPr="009370C1">
        <w:rPr>
          <w:sz w:val="24"/>
          <w:szCs w:val="24"/>
        </w:rPr>
        <w:t xml:space="preserve"> requires the </w:t>
      </w:r>
      <w:r w:rsidR="00BC1D8A" w:rsidRPr="009370C1">
        <w:rPr>
          <w:sz w:val="24"/>
          <w:szCs w:val="24"/>
        </w:rPr>
        <w:t xml:space="preserve">project proponent </w:t>
      </w:r>
      <w:r w:rsidR="00E4555D" w:rsidRPr="009370C1">
        <w:rPr>
          <w:sz w:val="24"/>
          <w:szCs w:val="24"/>
        </w:rPr>
        <w:t xml:space="preserve">to </w:t>
      </w:r>
      <w:r w:rsidR="00BC1D8A" w:rsidRPr="009370C1">
        <w:rPr>
          <w:sz w:val="24"/>
          <w:szCs w:val="24"/>
        </w:rPr>
        <w:t xml:space="preserve">develop representative </w:t>
      </w:r>
      <w:proofErr w:type="spellStart"/>
      <w:r w:rsidR="00BC1D8A" w:rsidRPr="009370C1">
        <w:rPr>
          <w:sz w:val="24"/>
          <w:szCs w:val="24"/>
        </w:rPr>
        <w:t>FullCAM</w:t>
      </w:r>
      <w:proofErr w:type="spellEnd"/>
      <w:r w:rsidR="00BC1D8A" w:rsidRPr="009370C1">
        <w:rPr>
          <w:sz w:val="24"/>
          <w:szCs w:val="24"/>
        </w:rPr>
        <w:t xml:space="preserve"> model plots that simulate harvesting in public native forests in the project area based on the forest types and harvest practices from the </w:t>
      </w:r>
      <w:r w:rsidR="00936777" w:rsidRPr="009370C1">
        <w:rPr>
          <w:sz w:val="24"/>
          <w:szCs w:val="24"/>
        </w:rPr>
        <w:t xml:space="preserve">prior </w:t>
      </w:r>
      <w:r w:rsidR="00BC1D8A" w:rsidRPr="009370C1">
        <w:rPr>
          <w:sz w:val="24"/>
          <w:szCs w:val="24"/>
        </w:rPr>
        <w:t xml:space="preserve">period </w:t>
      </w:r>
      <w:r w:rsidR="00936777" w:rsidRPr="009370C1">
        <w:rPr>
          <w:sz w:val="24"/>
          <w:szCs w:val="24"/>
        </w:rPr>
        <w:t xml:space="preserve">(5-years </w:t>
      </w:r>
      <w:r w:rsidR="00BC1D8A" w:rsidRPr="009370C1">
        <w:rPr>
          <w:sz w:val="24"/>
          <w:szCs w:val="24"/>
        </w:rPr>
        <w:t xml:space="preserve">prior to the end of the last financial year prior to the making of the application for </w:t>
      </w:r>
      <w:r w:rsidR="00936777" w:rsidRPr="009370C1">
        <w:rPr>
          <w:sz w:val="24"/>
          <w:szCs w:val="24"/>
        </w:rPr>
        <w:t>registration)</w:t>
      </w:r>
      <w:r w:rsidR="00BC1D8A" w:rsidRPr="009370C1">
        <w:rPr>
          <w:sz w:val="24"/>
          <w:szCs w:val="24"/>
        </w:rPr>
        <w:t>.</w:t>
      </w:r>
    </w:p>
    <w:p w14:paraId="681C6E30" w14:textId="607925DB" w:rsidR="004520D4" w:rsidRPr="009370C1" w:rsidRDefault="00F07D1D" w:rsidP="009370C1">
      <w:pPr>
        <w:pStyle w:val="subsection"/>
        <w:spacing w:before="120" w:after="120"/>
        <w:ind w:left="0" w:firstLine="0"/>
        <w:rPr>
          <w:sz w:val="24"/>
          <w:szCs w:val="24"/>
        </w:rPr>
      </w:pPr>
      <w:r w:rsidRPr="00DF430D">
        <w:rPr>
          <w:sz w:val="24"/>
          <w:szCs w:val="24"/>
        </w:rPr>
        <w:t>Subsection</w:t>
      </w:r>
      <w:r w:rsidR="00936777" w:rsidRPr="009370C1">
        <w:rPr>
          <w:sz w:val="24"/>
          <w:szCs w:val="24"/>
        </w:rPr>
        <w:t xml:space="preserve"> 2</w:t>
      </w:r>
      <w:r w:rsidR="00F93F72">
        <w:rPr>
          <w:sz w:val="24"/>
          <w:szCs w:val="24"/>
        </w:rPr>
        <w:t>7</w:t>
      </w:r>
      <w:r w:rsidR="00936777" w:rsidRPr="009370C1">
        <w:rPr>
          <w:sz w:val="24"/>
          <w:szCs w:val="24"/>
        </w:rPr>
        <w:t xml:space="preserve">(2) </w:t>
      </w:r>
      <w:r w:rsidR="00DE28FF">
        <w:rPr>
          <w:sz w:val="24"/>
          <w:szCs w:val="24"/>
        </w:rPr>
        <w:t>specifies</w:t>
      </w:r>
      <w:r w:rsidR="00A819AC" w:rsidRPr="009370C1">
        <w:rPr>
          <w:sz w:val="24"/>
          <w:szCs w:val="24"/>
        </w:rPr>
        <w:t xml:space="preserve"> requirements that the representative </w:t>
      </w:r>
      <w:r w:rsidR="00285732">
        <w:rPr>
          <w:sz w:val="24"/>
          <w:szCs w:val="24"/>
        </w:rPr>
        <w:t xml:space="preserve">harvest </w:t>
      </w:r>
      <w:r w:rsidR="00A819AC" w:rsidRPr="009370C1">
        <w:rPr>
          <w:sz w:val="24"/>
          <w:szCs w:val="24"/>
        </w:rPr>
        <w:t>plots must satisfy</w:t>
      </w:r>
      <w:r w:rsidR="004520D4" w:rsidRPr="009370C1">
        <w:rPr>
          <w:sz w:val="24"/>
          <w:szCs w:val="24"/>
        </w:rPr>
        <w:t xml:space="preserve">. </w:t>
      </w:r>
    </w:p>
    <w:p w14:paraId="645DEA04" w14:textId="0D0E4086" w:rsidR="004520D4" w:rsidRPr="009370C1" w:rsidRDefault="00F07D1D" w:rsidP="009D5A62">
      <w:pPr>
        <w:pStyle w:val="subsection"/>
        <w:numPr>
          <w:ilvl w:val="0"/>
          <w:numId w:val="53"/>
        </w:numPr>
        <w:spacing w:before="120" w:after="120"/>
        <w:rPr>
          <w:sz w:val="24"/>
          <w:szCs w:val="24"/>
        </w:rPr>
      </w:pPr>
      <w:r w:rsidRPr="00DF430D">
        <w:rPr>
          <w:sz w:val="24"/>
          <w:szCs w:val="24"/>
        </w:rPr>
        <w:t>Subsection</w:t>
      </w:r>
      <w:r w:rsidR="004520D4" w:rsidRPr="009370C1">
        <w:rPr>
          <w:sz w:val="24"/>
          <w:szCs w:val="24"/>
        </w:rPr>
        <w:t xml:space="preserve"> 2</w:t>
      </w:r>
      <w:r w:rsidR="00F93F72">
        <w:rPr>
          <w:sz w:val="24"/>
          <w:szCs w:val="24"/>
        </w:rPr>
        <w:t>7</w:t>
      </w:r>
      <w:r w:rsidR="004520D4" w:rsidRPr="009370C1">
        <w:rPr>
          <w:sz w:val="24"/>
          <w:szCs w:val="24"/>
        </w:rPr>
        <w:t xml:space="preserve">(2)(a) specifies that </w:t>
      </w:r>
      <w:r w:rsidR="00A819AC" w:rsidRPr="009370C1">
        <w:rPr>
          <w:sz w:val="24"/>
          <w:szCs w:val="24"/>
        </w:rPr>
        <w:t>e</w:t>
      </w:r>
      <w:r w:rsidR="00BC1D8A" w:rsidRPr="009370C1">
        <w:rPr>
          <w:sz w:val="24"/>
          <w:szCs w:val="24"/>
        </w:rPr>
        <w:t xml:space="preserve">ach representative </w:t>
      </w:r>
      <w:r w:rsidR="006F38D9">
        <w:rPr>
          <w:sz w:val="24"/>
          <w:szCs w:val="24"/>
        </w:rPr>
        <w:t xml:space="preserve">harvest </w:t>
      </w:r>
      <w:r w:rsidR="00BC1D8A" w:rsidRPr="009370C1">
        <w:rPr>
          <w:sz w:val="24"/>
          <w:szCs w:val="24"/>
        </w:rPr>
        <w:t>plot must simulate harvesting in 1 hectare of public native forests</w:t>
      </w:r>
      <w:r w:rsidR="004520D4" w:rsidRPr="009370C1">
        <w:rPr>
          <w:sz w:val="24"/>
          <w:szCs w:val="24"/>
        </w:rPr>
        <w:t xml:space="preserve">. </w:t>
      </w:r>
    </w:p>
    <w:p w14:paraId="7995E0F8" w14:textId="58248353" w:rsidR="004520D4" w:rsidRPr="009370C1" w:rsidRDefault="00F07D1D" w:rsidP="009D5A62">
      <w:pPr>
        <w:pStyle w:val="subsection"/>
        <w:numPr>
          <w:ilvl w:val="0"/>
          <w:numId w:val="53"/>
        </w:numPr>
        <w:spacing w:before="120" w:after="120"/>
        <w:rPr>
          <w:sz w:val="24"/>
          <w:szCs w:val="24"/>
        </w:rPr>
      </w:pPr>
      <w:r w:rsidRPr="00DF430D">
        <w:rPr>
          <w:sz w:val="24"/>
          <w:szCs w:val="24"/>
        </w:rPr>
        <w:t>Subsection</w:t>
      </w:r>
      <w:r w:rsidR="004520D4" w:rsidRPr="009370C1">
        <w:rPr>
          <w:sz w:val="24"/>
          <w:szCs w:val="24"/>
        </w:rPr>
        <w:t xml:space="preserve"> 2</w:t>
      </w:r>
      <w:r w:rsidR="00F93F72">
        <w:rPr>
          <w:sz w:val="24"/>
          <w:szCs w:val="24"/>
        </w:rPr>
        <w:t>7</w:t>
      </w:r>
      <w:r w:rsidR="004520D4" w:rsidRPr="009370C1">
        <w:rPr>
          <w:sz w:val="24"/>
          <w:szCs w:val="24"/>
        </w:rPr>
        <w:t xml:space="preserve">(2)(b) specifies that </w:t>
      </w:r>
      <w:r w:rsidR="00A819AC" w:rsidRPr="009370C1">
        <w:rPr>
          <w:sz w:val="24"/>
          <w:szCs w:val="24"/>
        </w:rPr>
        <w:t>t</w:t>
      </w:r>
      <w:r w:rsidR="00BC1D8A" w:rsidRPr="009370C1">
        <w:rPr>
          <w:sz w:val="24"/>
          <w:szCs w:val="24"/>
        </w:rPr>
        <w:t xml:space="preserve">he representative </w:t>
      </w:r>
      <w:r w:rsidR="006F38D9">
        <w:rPr>
          <w:sz w:val="24"/>
          <w:szCs w:val="24"/>
        </w:rPr>
        <w:t xml:space="preserve">harvest </w:t>
      </w:r>
      <w:r w:rsidR="00BC1D8A" w:rsidRPr="009370C1">
        <w:rPr>
          <w:sz w:val="24"/>
          <w:szCs w:val="24"/>
        </w:rPr>
        <w:t>plots must reflect</w:t>
      </w:r>
      <w:r w:rsidR="007F1BC6" w:rsidRPr="009370C1">
        <w:rPr>
          <w:sz w:val="24"/>
          <w:szCs w:val="24"/>
        </w:rPr>
        <w:t>:</w:t>
      </w:r>
      <w:r w:rsidR="004520D4" w:rsidRPr="009370C1">
        <w:rPr>
          <w:sz w:val="24"/>
          <w:szCs w:val="24"/>
        </w:rPr>
        <w:t xml:space="preserve"> (</w:t>
      </w:r>
      <w:proofErr w:type="spellStart"/>
      <w:r w:rsidR="004520D4" w:rsidRPr="009370C1">
        <w:rPr>
          <w:sz w:val="24"/>
          <w:szCs w:val="24"/>
        </w:rPr>
        <w:t>i</w:t>
      </w:r>
      <w:proofErr w:type="spellEnd"/>
      <w:r w:rsidR="004520D4" w:rsidRPr="009370C1">
        <w:rPr>
          <w:sz w:val="24"/>
          <w:szCs w:val="24"/>
        </w:rPr>
        <w:t xml:space="preserve">) </w:t>
      </w:r>
      <w:r w:rsidR="00BC1D8A" w:rsidRPr="009370C1">
        <w:rPr>
          <w:sz w:val="24"/>
          <w:szCs w:val="24"/>
        </w:rPr>
        <w:t xml:space="preserve">the forest types (at the major vegetation group level) in which harvesting occurred; </w:t>
      </w:r>
      <w:r w:rsidR="004520D4" w:rsidRPr="009370C1">
        <w:rPr>
          <w:sz w:val="24"/>
          <w:szCs w:val="24"/>
        </w:rPr>
        <w:t xml:space="preserve">(ii) </w:t>
      </w:r>
      <w:r w:rsidR="00BC1D8A" w:rsidRPr="009370C1">
        <w:rPr>
          <w:sz w:val="24"/>
          <w:szCs w:val="24"/>
        </w:rPr>
        <w:t xml:space="preserve">the harvesting practices used to harvest wood from </w:t>
      </w:r>
      <w:r w:rsidR="00091ED3">
        <w:rPr>
          <w:sz w:val="24"/>
          <w:szCs w:val="24"/>
        </w:rPr>
        <w:t>each of the</w:t>
      </w:r>
      <w:r w:rsidR="00BC1D8A" w:rsidRPr="009370C1">
        <w:rPr>
          <w:sz w:val="24"/>
          <w:szCs w:val="24"/>
        </w:rPr>
        <w:t xml:space="preserve"> forest</w:t>
      </w:r>
      <w:r w:rsidR="009F68D8">
        <w:rPr>
          <w:sz w:val="24"/>
          <w:szCs w:val="24"/>
        </w:rPr>
        <w:t xml:space="preserve"> types</w:t>
      </w:r>
      <w:r w:rsidR="00BC1D8A" w:rsidRPr="009370C1">
        <w:rPr>
          <w:sz w:val="24"/>
          <w:szCs w:val="24"/>
        </w:rPr>
        <w:t xml:space="preserve"> (e.g. clear felling, single tree selection); and </w:t>
      </w:r>
      <w:r w:rsidR="004520D4" w:rsidRPr="009370C1">
        <w:rPr>
          <w:sz w:val="24"/>
          <w:szCs w:val="24"/>
        </w:rPr>
        <w:t xml:space="preserve">(iii) </w:t>
      </w:r>
      <w:r w:rsidR="00BC1D8A" w:rsidRPr="009370C1">
        <w:rPr>
          <w:sz w:val="24"/>
          <w:szCs w:val="24"/>
        </w:rPr>
        <w:t xml:space="preserve">the average age of the trees at which harvesting occurred in the forest types using each </w:t>
      </w:r>
      <w:r w:rsidR="00A97F01" w:rsidRPr="00A97F01">
        <w:rPr>
          <w:sz w:val="24"/>
          <w:szCs w:val="24"/>
        </w:rPr>
        <w:t>defined combination of harvest practice and forest type</w:t>
      </w:r>
      <w:r w:rsidR="00DC1DC5">
        <w:rPr>
          <w:sz w:val="24"/>
          <w:szCs w:val="24"/>
        </w:rPr>
        <w:t xml:space="preserve">, </w:t>
      </w:r>
      <w:r w:rsidR="004504C0">
        <w:rPr>
          <w:sz w:val="24"/>
          <w:szCs w:val="24"/>
        </w:rPr>
        <w:t xml:space="preserve">in </w:t>
      </w:r>
      <w:r w:rsidR="00DC1DC5">
        <w:rPr>
          <w:sz w:val="24"/>
          <w:szCs w:val="24"/>
        </w:rPr>
        <w:t>the prior period</w:t>
      </w:r>
      <w:r w:rsidR="00BC1D8A" w:rsidRPr="009370C1">
        <w:rPr>
          <w:sz w:val="24"/>
          <w:szCs w:val="24"/>
        </w:rPr>
        <w:t>.</w:t>
      </w:r>
    </w:p>
    <w:p w14:paraId="6EFD61AA" w14:textId="08EC6816" w:rsidR="004520D4" w:rsidRPr="009370C1" w:rsidRDefault="00F07D1D" w:rsidP="009D5A62">
      <w:pPr>
        <w:pStyle w:val="subsection"/>
        <w:numPr>
          <w:ilvl w:val="0"/>
          <w:numId w:val="53"/>
        </w:numPr>
        <w:spacing w:before="120" w:after="120"/>
        <w:rPr>
          <w:sz w:val="24"/>
          <w:szCs w:val="24"/>
        </w:rPr>
      </w:pPr>
      <w:r w:rsidRPr="00DF430D">
        <w:rPr>
          <w:sz w:val="24"/>
          <w:szCs w:val="24"/>
        </w:rPr>
        <w:t>Subsection</w:t>
      </w:r>
      <w:r w:rsidR="007F1BC6" w:rsidRPr="009370C1">
        <w:rPr>
          <w:sz w:val="24"/>
          <w:szCs w:val="24"/>
        </w:rPr>
        <w:t xml:space="preserve"> </w:t>
      </w:r>
      <w:r w:rsidR="00691108" w:rsidRPr="009370C1">
        <w:rPr>
          <w:sz w:val="24"/>
          <w:szCs w:val="24"/>
        </w:rPr>
        <w:t>2</w:t>
      </w:r>
      <w:r w:rsidR="00F93F72">
        <w:rPr>
          <w:sz w:val="24"/>
          <w:szCs w:val="24"/>
        </w:rPr>
        <w:t>7</w:t>
      </w:r>
      <w:r w:rsidR="00691108" w:rsidRPr="009370C1">
        <w:rPr>
          <w:sz w:val="24"/>
          <w:szCs w:val="24"/>
        </w:rPr>
        <w:t>(</w:t>
      </w:r>
      <w:r w:rsidR="006764F0" w:rsidRPr="009370C1">
        <w:rPr>
          <w:sz w:val="24"/>
          <w:szCs w:val="24"/>
        </w:rPr>
        <w:t>2</w:t>
      </w:r>
      <w:r w:rsidR="00691108" w:rsidRPr="009370C1">
        <w:rPr>
          <w:sz w:val="24"/>
          <w:szCs w:val="24"/>
        </w:rPr>
        <w:t>)</w:t>
      </w:r>
      <w:r w:rsidR="006764F0" w:rsidRPr="009370C1">
        <w:rPr>
          <w:sz w:val="24"/>
          <w:szCs w:val="24"/>
        </w:rPr>
        <w:t>(c)</w:t>
      </w:r>
      <w:r w:rsidR="00691108" w:rsidRPr="009370C1">
        <w:rPr>
          <w:sz w:val="24"/>
          <w:szCs w:val="24"/>
        </w:rPr>
        <w:t xml:space="preserve"> specifies that o</w:t>
      </w:r>
      <w:r w:rsidR="00BC1D8A" w:rsidRPr="009370C1">
        <w:rPr>
          <w:sz w:val="24"/>
          <w:szCs w:val="24"/>
        </w:rPr>
        <w:t xml:space="preserve">ne representative </w:t>
      </w:r>
      <w:r w:rsidR="00723E26">
        <w:rPr>
          <w:sz w:val="24"/>
          <w:szCs w:val="24"/>
        </w:rPr>
        <w:t xml:space="preserve">harvest </w:t>
      </w:r>
      <w:r w:rsidR="00BC1D8A" w:rsidRPr="009370C1">
        <w:rPr>
          <w:sz w:val="24"/>
          <w:szCs w:val="24"/>
        </w:rPr>
        <w:t xml:space="preserve">plot must be developed for each combination of the characteristics in </w:t>
      </w:r>
      <w:r w:rsidR="00573DF0">
        <w:rPr>
          <w:sz w:val="24"/>
          <w:szCs w:val="24"/>
        </w:rPr>
        <w:t>subsections</w:t>
      </w:r>
      <w:r w:rsidR="00573DF0" w:rsidRPr="009370C1">
        <w:rPr>
          <w:sz w:val="24"/>
          <w:szCs w:val="24"/>
        </w:rPr>
        <w:t xml:space="preserve"> </w:t>
      </w:r>
      <w:r w:rsidR="00BC1D8A" w:rsidRPr="009370C1">
        <w:rPr>
          <w:sz w:val="24"/>
          <w:szCs w:val="24"/>
        </w:rPr>
        <w:t>(b)(</w:t>
      </w:r>
      <w:proofErr w:type="spellStart"/>
      <w:r w:rsidR="00BC1D8A" w:rsidRPr="009370C1">
        <w:rPr>
          <w:sz w:val="24"/>
          <w:szCs w:val="24"/>
        </w:rPr>
        <w:t>i</w:t>
      </w:r>
      <w:proofErr w:type="spellEnd"/>
      <w:r w:rsidR="00BC1D8A" w:rsidRPr="009370C1">
        <w:rPr>
          <w:sz w:val="24"/>
          <w:szCs w:val="24"/>
        </w:rPr>
        <w:t>), (ii) and (iii)</w:t>
      </w:r>
      <w:r w:rsidR="00594612" w:rsidRPr="009370C1">
        <w:rPr>
          <w:sz w:val="24"/>
          <w:szCs w:val="24"/>
        </w:rPr>
        <w:t xml:space="preserve">. The details of how this must be done are provided in </w:t>
      </w:r>
      <w:r w:rsidR="00573DF0">
        <w:rPr>
          <w:sz w:val="24"/>
          <w:szCs w:val="24"/>
        </w:rPr>
        <w:t>subsections</w:t>
      </w:r>
      <w:r w:rsidR="00573DF0" w:rsidRPr="009370C1">
        <w:rPr>
          <w:sz w:val="24"/>
          <w:szCs w:val="24"/>
        </w:rPr>
        <w:t xml:space="preserve"> </w:t>
      </w:r>
      <w:r w:rsidR="00796888" w:rsidRPr="009370C1">
        <w:rPr>
          <w:sz w:val="24"/>
          <w:szCs w:val="24"/>
        </w:rPr>
        <w:t>2</w:t>
      </w:r>
      <w:r w:rsidR="00F93F72">
        <w:rPr>
          <w:sz w:val="24"/>
          <w:szCs w:val="24"/>
        </w:rPr>
        <w:t>7</w:t>
      </w:r>
      <w:r w:rsidR="00796888" w:rsidRPr="009370C1">
        <w:rPr>
          <w:sz w:val="24"/>
          <w:szCs w:val="24"/>
        </w:rPr>
        <w:t>(</w:t>
      </w:r>
      <w:r w:rsidR="004520D4" w:rsidRPr="009370C1">
        <w:rPr>
          <w:sz w:val="24"/>
          <w:szCs w:val="24"/>
        </w:rPr>
        <w:t>2</w:t>
      </w:r>
      <w:r w:rsidR="00796888" w:rsidRPr="009370C1">
        <w:rPr>
          <w:sz w:val="24"/>
          <w:szCs w:val="24"/>
        </w:rPr>
        <w:t>)(</w:t>
      </w:r>
      <w:r w:rsidR="004520D4" w:rsidRPr="009370C1">
        <w:rPr>
          <w:sz w:val="24"/>
          <w:szCs w:val="24"/>
        </w:rPr>
        <w:t>c)(</w:t>
      </w:r>
      <w:proofErr w:type="spellStart"/>
      <w:r w:rsidR="004520D4" w:rsidRPr="009370C1">
        <w:rPr>
          <w:sz w:val="24"/>
          <w:szCs w:val="24"/>
        </w:rPr>
        <w:t>i</w:t>
      </w:r>
      <w:proofErr w:type="spellEnd"/>
      <w:r w:rsidR="004520D4" w:rsidRPr="009370C1">
        <w:rPr>
          <w:sz w:val="24"/>
          <w:szCs w:val="24"/>
        </w:rPr>
        <w:t xml:space="preserve">), (ii) and (iii). </w:t>
      </w:r>
    </w:p>
    <w:p w14:paraId="0BAC9E3E" w14:textId="7217194C" w:rsidR="004520D4" w:rsidRPr="009370C1" w:rsidRDefault="00F07D1D" w:rsidP="009D5A62">
      <w:pPr>
        <w:pStyle w:val="subsection"/>
        <w:numPr>
          <w:ilvl w:val="1"/>
          <w:numId w:val="54"/>
        </w:numPr>
        <w:spacing w:before="120" w:after="120"/>
        <w:rPr>
          <w:sz w:val="24"/>
          <w:szCs w:val="24"/>
        </w:rPr>
      </w:pPr>
      <w:r w:rsidRPr="00DF430D">
        <w:rPr>
          <w:sz w:val="24"/>
          <w:szCs w:val="24"/>
        </w:rPr>
        <w:lastRenderedPageBreak/>
        <w:t xml:space="preserve">Subsection </w:t>
      </w:r>
      <w:r w:rsidR="004520D4" w:rsidRPr="009370C1">
        <w:rPr>
          <w:sz w:val="24"/>
          <w:szCs w:val="24"/>
        </w:rPr>
        <w:t>2</w:t>
      </w:r>
      <w:r w:rsidR="00F93F72">
        <w:rPr>
          <w:sz w:val="24"/>
          <w:szCs w:val="24"/>
        </w:rPr>
        <w:t>7</w:t>
      </w:r>
      <w:r w:rsidR="004520D4" w:rsidRPr="009370C1">
        <w:rPr>
          <w:sz w:val="24"/>
          <w:szCs w:val="24"/>
        </w:rPr>
        <w:t>(2)(c)(</w:t>
      </w:r>
      <w:proofErr w:type="spellStart"/>
      <w:r w:rsidR="004520D4" w:rsidRPr="009370C1">
        <w:rPr>
          <w:sz w:val="24"/>
          <w:szCs w:val="24"/>
        </w:rPr>
        <w:t>i</w:t>
      </w:r>
      <w:proofErr w:type="spellEnd"/>
      <w:r w:rsidR="004520D4" w:rsidRPr="009370C1">
        <w:rPr>
          <w:sz w:val="24"/>
          <w:szCs w:val="24"/>
        </w:rPr>
        <w:t xml:space="preserve">) specifies that </w:t>
      </w:r>
      <w:r w:rsidR="00BC1D8A" w:rsidRPr="009370C1">
        <w:rPr>
          <w:sz w:val="24"/>
          <w:szCs w:val="24"/>
        </w:rPr>
        <w:t xml:space="preserve">the forest types must be reflected through the number assigned to the maximum live above-ground biomass (represented by the parameter </w:t>
      </w:r>
      <w:r w:rsidR="00BC1D8A" w:rsidRPr="009370C1">
        <w:rPr>
          <w:i/>
          <w:iCs/>
          <w:sz w:val="24"/>
          <w:szCs w:val="24"/>
        </w:rPr>
        <w:t>M</w:t>
      </w:r>
      <w:r w:rsidR="00BC1D8A" w:rsidRPr="009370C1">
        <w:rPr>
          <w:sz w:val="24"/>
          <w:szCs w:val="24"/>
        </w:rPr>
        <w:t xml:space="preserve"> in </w:t>
      </w:r>
      <w:proofErr w:type="spellStart"/>
      <w:r w:rsidR="00BC1D8A" w:rsidRPr="009370C1">
        <w:rPr>
          <w:sz w:val="24"/>
          <w:szCs w:val="24"/>
        </w:rPr>
        <w:t>FullCAM</w:t>
      </w:r>
      <w:proofErr w:type="spellEnd"/>
      <w:r w:rsidR="00BC1D8A" w:rsidRPr="009370C1">
        <w:rPr>
          <w:sz w:val="24"/>
          <w:szCs w:val="24"/>
        </w:rPr>
        <w:t xml:space="preserve">) in the plots and each forest type must be assigned one estimate of </w:t>
      </w:r>
      <w:r w:rsidR="00BC1D8A" w:rsidRPr="009370C1">
        <w:rPr>
          <w:i/>
          <w:iCs/>
          <w:sz w:val="24"/>
          <w:szCs w:val="24"/>
        </w:rPr>
        <w:t>M</w:t>
      </w:r>
      <w:r w:rsidR="00BC1D8A" w:rsidRPr="009370C1">
        <w:rPr>
          <w:sz w:val="24"/>
          <w:szCs w:val="24"/>
        </w:rPr>
        <w:t xml:space="preserve"> only, calculated as the average from the area covered by each forest type in the project area</w:t>
      </w:r>
      <w:r w:rsidR="004520D4" w:rsidRPr="009370C1">
        <w:rPr>
          <w:sz w:val="24"/>
          <w:szCs w:val="24"/>
        </w:rPr>
        <w:t xml:space="preserve">. </w:t>
      </w:r>
    </w:p>
    <w:p w14:paraId="4248E59F" w14:textId="59771F23" w:rsidR="00281E62" w:rsidRPr="009370C1" w:rsidRDefault="00F07D1D" w:rsidP="009D5A62">
      <w:pPr>
        <w:pStyle w:val="subsection"/>
        <w:numPr>
          <w:ilvl w:val="1"/>
          <w:numId w:val="54"/>
        </w:numPr>
        <w:spacing w:before="120" w:after="120"/>
        <w:rPr>
          <w:sz w:val="24"/>
          <w:szCs w:val="24"/>
        </w:rPr>
      </w:pPr>
      <w:r w:rsidRPr="00DF430D">
        <w:rPr>
          <w:sz w:val="24"/>
          <w:szCs w:val="24"/>
        </w:rPr>
        <w:t xml:space="preserve">Subsection </w:t>
      </w:r>
      <w:r w:rsidR="00044A59" w:rsidRPr="009370C1">
        <w:rPr>
          <w:sz w:val="24"/>
          <w:szCs w:val="24"/>
        </w:rPr>
        <w:t>2</w:t>
      </w:r>
      <w:r w:rsidR="00F93F72">
        <w:rPr>
          <w:sz w:val="24"/>
          <w:szCs w:val="24"/>
        </w:rPr>
        <w:t>7</w:t>
      </w:r>
      <w:r w:rsidR="00044A59" w:rsidRPr="009370C1">
        <w:rPr>
          <w:sz w:val="24"/>
          <w:szCs w:val="24"/>
        </w:rPr>
        <w:t xml:space="preserve">(2)(c)(ii) specifies that </w:t>
      </w:r>
      <w:r w:rsidR="00BC1D8A" w:rsidRPr="009370C1">
        <w:rPr>
          <w:sz w:val="24"/>
          <w:szCs w:val="24"/>
        </w:rPr>
        <w:t>the harvesting practices must be reflected through: (A) the percentage of the forest that is affected by the harvest event; (B) the proportion of stem biomass that is assigned to wood products and deadwood in the plots</w:t>
      </w:r>
      <w:r w:rsidR="00F1527F">
        <w:rPr>
          <w:sz w:val="24"/>
          <w:szCs w:val="24"/>
        </w:rPr>
        <w:t xml:space="preserve">; and (C) </w:t>
      </w:r>
      <w:r w:rsidR="00F1527F" w:rsidRPr="00F1527F">
        <w:rPr>
          <w:sz w:val="24"/>
          <w:szCs w:val="24"/>
        </w:rPr>
        <w:t>whether there is a post-harvest (slash) burn and the characteristics of the burn (where relevant)</w:t>
      </w:r>
      <w:r w:rsidR="00963F5E">
        <w:rPr>
          <w:sz w:val="24"/>
          <w:szCs w:val="24"/>
        </w:rPr>
        <w:t>.</w:t>
      </w:r>
      <w:r w:rsidR="00044A59" w:rsidRPr="009370C1">
        <w:rPr>
          <w:sz w:val="24"/>
          <w:szCs w:val="24"/>
        </w:rPr>
        <w:t xml:space="preserve"> </w:t>
      </w:r>
    </w:p>
    <w:p w14:paraId="465F1F45" w14:textId="739D9203" w:rsidR="00281E62" w:rsidRPr="009370C1" w:rsidRDefault="00F07D1D" w:rsidP="009D5A62">
      <w:pPr>
        <w:pStyle w:val="subsection"/>
        <w:numPr>
          <w:ilvl w:val="1"/>
          <w:numId w:val="54"/>
        </w:numPr>
        <w:spacing w:before="120" w:after="120"/>
        <w:rPr>
          <w:sz w:val="24"/>
          <w:szCs w:val="24"/>
        </w:rPr>
      </w:pPr>
      <w:r w:rsidRPr="00DF430D">
        <w:rPr>
          <w:sz w:val="24"/>
          <w:szCs w:val="24"/>
        </w:rPr>
        <w:t>Subsection</w:t>
      </w:r>
      <w:r w:rsidR="00281E62" w:rsidRPr="009370C1">
        <w:rPr>
          <w:sz w:val="24"/>
          <w:szCs w:val="24"/>
        </w:rPr>
        <w:t xml:space="preserve"> 2</w:t>
      </w:r>
      <w:r w:rsidR="00F93F72">
        <w:rPr>
          <w:sz w:val="24"/>
          <w:szCs w:val="24"/>
        </w:rPr>
        <w:t>7</w:t>
      </w:r>
      <w:r w:rsidR="00281E62" w:rsidRPr="009370C1">
        <w:rPr>
          <w:sz w:val="24"/>
          <w:szCs w:val="24"/>
        </w:rPr>
        <w:t xml:space="preserve">(2)(c)(iii) specifies that </w:t>
      </w:r>
      <w:r w:rsidR="00BC1D8A" w:rsidRPr="009370C1">
        <w:rPr>
          <w:sz w:val="24"/>
          <w:szCs w:val="24"/>
        </w:rPr>
        <w:t>the average age at which harvesting occurs must be reflected through the average age of the trees, and the age of the oldest trees, at the time of harvest in the plots and the age of the trees and the age of the oldest trees must be the same in each plot.</w:t>
      </w:r>
    </w:p>
    <w:p w14:paraId="0AAB4C60" w14:textId="29793D36" w:rsidR="003A1409" w:rsidRPr="009370C1" w:rsidRDefault="00F07D1D" w:rsidP="009D5A62">
      <w:pPr>
        <w:pStyle w:val="subsection"/>
        <w:numPr>
          <w:ilvl w:val="0"/>
          <w:numId w:val="53"/>
        </w:numPr>
        <w:spacing w:before="120" w:after="120"/>
        <w:rPr>
          <w:sz w:val="24"/>
          <w:szCs w:val="24"/>
        </w:rPr>
      </w:pPr>
      <w:r w:rsidRPr="00DF430D">
        <w:rPr>
          <w:sz w:val="24"/>
          <w:szCs w:val="24"/>
        </w:rPr>
        <w:t xml:space="preserve">Subsection </w:t>
      </w:r>
      <w:r w:rsidR="00505B82" w:rsidRPr="009370C1">
        <w:rPr>
          <w:sz w:val="24"/>
          <w:szCs w:val="24"/>
        </w:rPr>
        <w:t>2</w:t>
      </w:r>
      <w:r w:rsidR="00F93F72">
        <w:rPr>
          <w:sz w:val="24"/>
          <w:szCs w:val="24"/>
        </w:rPr>
        <w:t>7</w:t>
      </w:r>
      <w:r w:rsidR="00505B82" w:rsidRPr="009370C1">
        <w:rPr>
          <w:sz w:val="24"/>
          <w:szCs w:val="24"/>
        </w:rPr>
        <w:t>(2)(</w:t>
      </w:r>
      <w:r w:rsidR="001A6163" w:rsidRPr="009370C1">
        <w:rPr>
          <w:sz w:val="24"/>
          <w:szCs w:val="24"/>
        </w:rPr>
        <w:t>d) provides that</w:t>
      </w:r>
      <w:r w:rsidR="00E65505" w:rsidRPr="009370C1">
        <w:rPr>
          <w:sz w:val="24"/>
          <w:szCs w:val="24"/>
        </w:rPr>
        <w:t xml:space="preserve">, </w:t>
      </w:r>
      <w:proofErr w:type="gramStart"/>
      <w:r w:rsidR="00E65505" w:rsidRPr="009370C1">
        <w:rPr>
          <w:sz w:val="24"/>
          <w:szCs w:val="24"/>
        </w:rPr>
        <w:t>with the exception of</w:t>
      </w:r>
      <w:proofErr w:type="gramEnd"/>
      <w:r w:rsidR="00E65505" w:rsidRPr="009370C1">
        <w:rPr>
          <w:sz w:val="24"/>
          <w:szCs w:val="24"/>
        </w:rPr>
        <w:t xml:space="preserve"> the parameters referred to in </w:t>
      </w:r>
      <w:r w:rsidR="00EB5F66">
        <w:rPr>
          <w:sz w:val="24"/>
          <w:szCs w:val="24"/>
        </w:rPr>
        <w:t>subsection</w:t>
      </w:r>
      <w:r w:rsidR="00EB5F66" w:rsidRPr="009370C1">
        <w:rPr>
          <w:sz w:val="24"/>
          <w:szCs w:val="24"/>
        </w:rPr>
        <w:t xml:space="preserve"> </w:t>
      </w:r>
      <w:r w:rsidR="00E65505" w:rsidRPr="009370C1">
        <w:rPr>
          <w:sz w:val="24"/>
          <w:szCs w:val="24"/>
        </w:rPr>
        <w:t>2</w:t>
      </w:r>
      <w:r w:rsidR="00F93F72">
        <w:rPr>
          <w:sz w:val="24"/>
          <w:szCs w:val="24"/>
        </w:rPr>
        <w:t>7</w:t>
      </w:r>
      <w:r w:rsidR="00E65505" w:rsidRPr="009370C1">
        <w:rPr>
          <w:sz w:val="24"/>
          <w:szCs w:val="24"/>
        </w:rPr>
        <w:t>(2)(c),</w:t>
      </w:r>
      <w:r w:rsidR="001A6163" w:rsidRPr="009370C1">
        <w:rPr>
          <w:sz w:val="24"/>
          <w:szCs w:val="24"/>
        </w:rPr>
        <w:t xml:space="preserve"> </w:t>
      </w:r>
      <w:r w:rsidR="00BC1D8A" w:rsidRPr="009370C1">
        <w:rPr>
          <w:sz w:val="24"/>
          <w:szCs w:val="24"/>
        </w:rPr>
        <w:t xml:space="preserve">the parameters in the representative </w:t>
      </w:r>
      <w:r w:rsidR="00723E26">
        <w:rPr>
          <w:sz w:val="24"/>
          <w:szCs w:val="24"/>
        </w:rPr>
        <w:t>harvest</w:t>
      </w:r>
      <w:r w:rsidR="00552887" w:rsidRPr="009370C1">
        <w:rPr>
          <w:sz w:val="24"/>
          <w:szCs w:val="24"/>
        </w:rPr>
        <w:t xml:space="preserve"> </w:t>
      </w:r>
      <w:r w:rsidR="00BC1D8A" w:rsidRPr="009370C1">
        <w:rPr>
          <w:sz w:val="24"/>
          <w:szCs w:val="24"/>
        </w:rPr>
        <w:t xml:space="preserve">plots must be the same as those used to simulate harvesting events in the project area for the purposes of the National Inventory Report, as at the time </w:t>
      </w:r>
      <w:r w:rsidR="00552887" w:rsidRPr="009370C1">
        <w:rPr>
          <w:sz w:val="24"/>
          <w:szCs w:val="24"/>
        </w:rPr>
        <w:t xml:space="preserve">the project </w:t>
      </w:r>
      <w:proofErr w:type="gramStart"/>
      <w:r w:rsidR="00552887" w:rsidRPr="009370C1">
        <w:rPr>
          <w:sz w:val="24"/>
          <w:szCs w:val="24"/>
        </w:rPr>
        <w:t>is registered</w:t>
      </w:r>
      <w:proofErr w:type="gramEnd"/>
      <w:r w:rsidR="00BC1D8A" w:rsidRPr="009370C1">
        <w:rPr>
          <w:sz w:val="24"/>
          <w:szCs w:val="24"/>
        </w:rPr>
        <w:t>.</w:t>
      </w:r>
      <w:r w:rsidR="00E65505" w:rsidRPr="009370C1">
        <w:rPr>
          <w:sz w:val="24"/>
          <w:szCs w:val="24"/>
        </w:rPr>
        <w:t xml:space="preserve"> This ensures alignment with the approach used to estimate </w:t>
      </w:r>
      <w:r w:rsidR="007D55F9" w:rsidRPr="009370C1">
        <w:rPr>
          <w:sz w:val="24"/>
          <w:szCs w:val="24"/>
        </w:rPr>
        <w:t>emissions and removals in the National Inventory Report</w:t>
      </w:r>
      <w:r w:rsidR="003A1409" w:rsidRPr="009370C1">
        <w:rPr>
          <w:sz w:val="24"/>
          <w:szCs w:val="24"/>
        </w:rPr>
        <w:t>.</w:t>
      </w:r>
    </w:p>
    <w:p w14:paraId="56FC7F1B" w14:textId="20D1222A" w:rsidR="003A1409" w:rsidRPr="009370C1" w:rsidRDefault="00F07D1D" w:rsidP="009D5A62">
      <w:pPr>
        <w:pStyle w:val="subsection"/>
        <w:numPr>
          <w:ilvl w:val="0"/>
          <w:numId w:val="53"/>
        </w:numPr>
        <w:spacing w:before="120" w:after="120"/>
        <w:rPr>
          <w:sz w:val="24"/>
          <w:szCs w:val="24"/>
        </w:rPr>
      </w:pPr>
      <w:r w:rsidRPr="00DF430D">
        <w:rPr>
          <w:sz w:val="24"/>
          <w:szCs w:val="24"/>
        </w:rPr>
        <w:t>Subsection</w:t>
      </w:r>
      <w:r w:rsidR="00A55CF8" w:rsidRPr="009370C1">
        <w:rPr>
          <w:sz w:val="24"/>
          <w:szCs w:val="24"/>
        </w:rPr>
        <w:t xml:space="preserve"> 2</w:t>
      </w:r>
      <w:r w:rsidR="00F93F72">
        <w:rPr>
          <w:sz w:val="24"/>
          <w:szCs w:val="24"/>
        </w:rPr>
        <w:t>7</w:t>
      </w:r>
      <w:r w:rsidR="00A55CF8" w:rsidRPr="009370C1">
        <w:rPr>
          <w:sz w:val="24"/>
          <w:szCs w:val="24"/>
        </w:rPr>
        <w:t xml:space="preserve">(2)(e) </w:t>
      </w:r>
      <w:r w:rsidR="00C70B19" w:rsidRPr="009370C1">
        <w:rPr>
          <w:sz w:val="24"/>
          <w:szCs w:val="24"/>
        </w:rPr>
        <w:t>requires the</w:t>
      </w:r>
      <w:r w:rsidR="00BC1D8A" w:rsidRPr="009370C1">
        <w:rPr>
          <w:sz w:val="24"/>
          <w:szCs w:val="24"/>
        </w:rPr>
        <w:t xml:space="preserve"> representative </w:t>
      </w:r>
      <w:r w:rsidR="00723E26">
        <w:rPr>
          <w:sz w:val="24"/>
          <w:szCs w:val="24"/>
        </w:rPr>
        <w:t xml:space="preserve">harvest </w:t>
      </w:r>
      <w:r w:rsidR="00BC1D8A" w:rsidRPr="009370C1">
        <w:rPr>
          <w:sz w:val="24"/>
          <w:szCs w:val="24"/>
        </w:rPr>
        <w:t xml:space="preserve">plots </w:t>
      </w:r>
      <w:r w:rsidR="00214FF7" w:rsidRPr="009370C1">
        <w:rPr>
          <w:sz w:val="24"/>
          <w:szCs w:val="24"/>
        </w:rPr>
        <w:t>to</w:t>
      </w:r>
      <w:r w:rsidR="00BC1D8A" w:rsidRPr="009370C1">
        <w:rPr>
          <w:sz w:val="24"/>
          <w:szCs w:val="24"/>
        </w:rPr>
        <w:t xml:space="preserve"> be able to support the development of a prior period </w:t>
      </w:r>
      <w:proofErr w:type="spellStart"/>
      <w:r w:rsidR="00BC1D8A" w:rsidRPr="009370C1">
        <w:rPr>
          <w:sz w:val="24"/>
          <w:szCs w:val="24"/>
        </w:rPr>
        <w:t>FullCAM</w:t>
      </w:r>
      <w:proofErr w:type="spellEnd"/>
      <w:r w:rsidR="00BC1D8A" w:rsidRPr="009370C1">
        <w:rPr>
          <w:sz w:val="24"/>
          <w:szCs w:val="24"/>
        </w:rPr>
        <w:t xml:space="preserve"> forest estate model </w:t>
      </w:r>
      <w:r w:rsidR="002279FB">
        <w:rPr>
          <w:sz w:val="24"/>
          <w:szCs w:val="24"/>
        </w:rPr>
        <w:t>under subsection 28</w:t>
      </w:r>
      <w:r w:rsidR="00D02B61">
        <w:rPr>
          <w:sz w:val="24"/>
          <w:szCs w:val="24"/>
        </w:rPr>
        <w:t xml:space="preserve">(5) </w:t>
      </w:r>
      <w:r w:rsidR="00BC1D8A" w:rsidRPr="009370C1">
        <w:rPr>
          <w:sz w:val="24"/>
          <w:szCs w:val="24"/>
        </w:rPr>
        <w:t xml:space="preserve">that meets the accuracy requirements in </w:t>
      </w:r>
      <w:r w:rsidR="00D02B61">
        <w:rPr>
          <w:sz w:val="24"/>
          <w:szCs w:val="24"/>
        </w:rPr>
        <w:t>subsection</w:t>
      </w:r>
      <w:r w:rsidR="00BC1D8A" w:rsidRPr="009370C1">
        <w:rPr>
          <w:sz w:val="24"/>
          <w:szCs w:val="24"/>
        </w:rPr>
        <w:t xml:space="preserve"> </w:t>
      </w:r>
      <w:r w:rsidR="00214FF7" w:rsidRPr="009370C1">
        <w:rPr>
          <w:sz w:val="24"/>
          <w:szCs w:val="24"/>
        </w:rPr>
        <w:t>28</w:t>
      </w:r>
      <w:r w:rsidR="00BC1D8A" w:rsidRPr="009370C1">
        <w:rPr>
          <w:sz w:val="24"/>
          <w:szCs w:val="24"/>
        </w:rPr>
        <w:t>(</w:t>
      </w:r>
      <w:r w:rsidR="000D7D85">
        <w:rPr>
          <w:sz w:val="24"/>
          <w:szCs w:val="24"/>
        </w:rPr>
        <w:t>6</w:t>
      </w:r>
      <w:r w:rsidR="00BC1D8A" w:rsidRPr="009370C1">
        <w:rPr>
          <w:sz w:val="24"/>
          <w:szCs w:val="24"/>
        </w:rPr>
        <w:t>).</w:t>
      </w:r>
    </w:p>
    <w:p w14:paraId="10BE2B8E" w14:textId="4C80E56A" w:rsidR="00BC1D8A" w:rsidRPr="009370C1" w:rsidRDefault="00B954CB" w:rsidP="009D5A62">
      <w:pPr>
        <w:pStyle w:val="subsection"/>
        <w:numPr>
          <w:ilvl w:val="0"/>
          <w:numId w:val="53"/>
        </w:numPr>
        <w:spacing w:before="120" w:after="120"/>
        <w:rPr>
          <w:sz w:val="24"/>
          <w:szCs w:val="24"/>
        </w:rPr>
      </w:pPr>
      <w:r>
        <w:rPr>
          <w:sz w:val="24"/>
          <w:szCs w:val="24"/>
        </w:rPr>
        <w:t xml:space="preserve">Subsection </w:t>
      </w:r>
      <w:r w:rsidR="00214FF7" w:rsidRPr="009370C1">
        <w:rPr>
          <w:sz w:val="24"/>
          <w:szCs w:val="24"/>
        </w:rPr>
        <w:t>2</w:t>
      </w:r>
      <w:r w:rsidR="00F93F72">
        <w:rPr>
          <w:sz w:val="24"/>
          <w:szCs w:val="24"/>
        </w:rPr>
        <w:t>7</w:t>
      </w:r>
      <w:r w:rsidR="00214FF7" w:rsidRPr="009370C1">
        <w:rPr>
          <w:sz w:val="24"/>
          <w:szCs w:val="24"/>
        </w:rPr>
        <w:t>(2)(</w:t>
      </w:r>
      <w:r w:rsidR="00204D97">
        <w:rPr>
          <w:sz w:val="24"/>
          <w:szCs w:val="24"/>
        </w:rPr>
        <w:t>f</w:t>
      </w:r>
      <w:r w:rsidR="00214FF7" w:rsidRPr="009370C1">
        <w:rPr>
          <w:sz w:val="24"/>
          <w:szCs w:val="24"/>
        </w:rPr>
        <w:t xml:space="preserve">) requires the </w:t>
      </w:r>
      <w:r w:rsidR="00BC1D8A" w:rsidRPr="009370C1">
        <w:rPr>
          <w:sz w:val="24"/>
          <w:szCs w:val="24"/>
        </w:rPr>
        <w:t xml:space="preserve">representative plots </w:t>
      </w:r>
      <w:r w:rsidR="00204D97">
        <w:rPr>
          <w:sz w:val="24"/>
          <w:szCs w:val="24"/>
        </w:rPr>
        <w:t xml:space="preserve">to </w:t>
      </w:r>
      <w:r w:rsidR="00BC1D8A" w:rsidRPr="009370C1">
        <w:rPr>
          <w:sz w:val="24"/>
          <w:szCs w:val="24"/>
        </w:rPr>
        <w:t xml:space="preserve">be developed in accordance with the </w:t>
      </w:r>
      <w:proofErr w:type="spellStart"/>
      <w:r w:rsidR="00BC1D8A" w:rsidRPr="009370C1">
        <w:rPr>
          <w:sz w:val="24"/>
          <w:szCs w:val="24"/>
        </w:rPr>
        <w:t>FullCAM</w:t>
      </w:r>
      <w:proofErr w:type="spellEnd"/>
      <w:r w:rsidR="00BC1D8A" w:rsidRPr="009370C1">
        <w:rPr>
          <w:sz w:val="24"/>
          <w:szCs w:val="24"/>
        </w:rPr>
        <w:t xml:space="preserve"> Guidelines.</w:t>
      </w:r>
    </w:p>
    <w:p w14:paraId="09444135" w14:textId="4F15F13A" w:rsidR="00204D97" w:rsidRDefault="00B954CB" w:rsidP="009370C1">
      <w:pPr>
        <w:pStyle w:val="subsection"/>
        <w:spacing w:before="120" w:after="120"/>
        <w:ind w:left="0" w:firstLine="0"/>
        <w:rPr>
          <w:sz w:val="24"/>
          <w:szCs w:val="24"/>
        </w:rPr>
      </w:pPr>
      <w:r>
        <w:rPr>
          <w:sz w:val="24"/>
          <w:szCs w:val="24"/>
        </w:rPr>
        <w:t>Subsection</w:t>
      </w:r>
      <w:r w:rsidR="00214FF7" w:rsidRPr="009370C1">
        <w:rPr>
          <w:sz w:val="24"/>
          <w:szCs w:val="24"/>
        </w:rPr>
        <w:t xml:space="preserve"> </w:t>
      </w:r>
      <w:r w:rsidR="00537B8C" w:rsidRPr="009370C1">
        <w:rPr>
          <w:sz w:val="24"/>
          <w:szCs w:val="24"/>
        </w:rPr>
        <w:t>2</w:t>
      </w:r>
      <w:r w:rsidR="00F93F72">
        <w:rPr>
          <w:sz w:val="24"/>
          <w:szCs w:val="24"/>
        </w:rPr>
        <w:t>7</w:t>
      </w:r>
      <w:r w:rsidR="00537B8C" w:rsidRPr="009370C1">
        <w:rPr>
          <w:sz w:val="24"/>
          <w:szCs w:val="24"/>
        </w:rPr>
        <w:t>(3</w:t>
      </w:r>
      <w:r w:rsidR="00CA7572" w:rsidRPr="009370C1">
        <w:rPr>
          <w:sz w:val="24"/>
          <w:szCs w:val="24"/>
        </w:rPr>
        <w:t>)</w:t>
      </w:r>
      <w:r w:rsidR="00537B8C" w:rsidRPr="009370C1">
        <w:rPr>
          <w:sz w:val="24"/>
          <w:szCs w:val="24"/>
        </w:rPr>
        <w:t xml:space="preserve"> </w:t>
      </w:r>
      <w:r w:rsidR="00512F60">
        <w:rPr>
          <w:sz w:val="24"/>
          <w:szCs w:val="24"/>
        </w:rPr>
        <w:t xml:space="preserve">requires the </w:t>
      </w:r>
      <w:r w:rsidR="00512F60" w:rsidRPr="00512F60">
        <w:rPr>
          <w:sz w:val="24"/>
          <w:szCs w:val="24"/>
        </w:rPr>
        <w:t xml:space="preserve">project proponent </w:t>
      </w:r>
      <w:r w:rsidR="00512F60">
        <w:rPr>
          <w:sz w:val="24"/>
          <w:szCs w:val="24"/>
        </w:rPr>
        <w:t xml:space="preserve">to </w:t>
      </w:r>
      <w:r w:rsidR="00512F60" w:rsidRPr="00512F60">
        <w:rPr>
          <w:sz w:val="24"/>
          <w:szCs w:val="24"/>
        </w:rPr>
        <w:t xml:space="preserve">develop representative </w:t>
      </w:r>
      <w:proofErr w:type="spellStart"/>
      <w:r w:rsidR="00512F60" w:rsidRPr="00512F60">
        <w:rPr>
          <w:sz w:val="24"/>
          <w:szCs w:val="24"/>
        </w:rPr>
        <w:t>FullCAM</w:t>
      </w:r>
      <w:proofErr w:type="spellEnd"/>
      <w:r w:rsidR="00512F60" w:rsidRPr="00512F60">
        <w:rPr>
          <w:sz w:val="24"/>
          <w:szCs w:val="24"/>
        </w:rPr>
        <w:t xml:space="preserve"> model plots that simulate clearing of forests in the project area in the prior period that was undertaken to facilitate timber harvesting (e.g. for road</w:t>
      </w:r>
      <w:r w:rsidR="008160AE">
        <w:rPr>
          <w:sz w:val="24"/>
          <w:szCs w:val="24"/>
        </w:rPr>
        <w:t>s</w:t>
      </w:r>
      <w:r w:rsidR="00512F60" w:rsidRPr="00512F60">
        <w:rPr>
          <w:sz w:val="24"/>
          <w:szCs w:val="24"/>
        </w:rPr>
        <w:t>, logging trails and log landings).</w:t>
      </w:r>
    </w:p>
    <w:p w14:paraId="0A6C2FE8" w14:textId="3DF99F14" w:rsidR="00DE28FF" w:rsidRPr="009370C1" w:rsidRDefault="00B954CB" w:rsidP="00DE28FF">
      <w:pPr>
        <w:pStyle w:val="subsection"/>
        <w:spacing w:before="120" w:after="120"/>
        <w:ind w:left="0" w:firstLine="0"/>
        <w:rPr>
          <w:sz w:val="24"/>
          <w:szCs w:val="24"/>
        </w:rPr>
      </w:pPr>
      <w:r>
        <w:rPr>
          <w:sz w:val="24"/>
          <w:szCs w:val="24"/>
        </w:rPr>
        <w:t>Subsection</w:t>
      </w:r>
      <w:r w:rsidR="00DE28FF" w:rsidRPr="009370C1">
        <w:rPr>
          <w:sz w:val="24"/>
          <w:szCs w:val="24"/>
        </w:rPr>
        <w:t xml:space="preserve"> 2</w:t>
      </w:r>
      <w:r w:rsidR="00F93F72">
        <w:rPr>
          <w:sz w:val="24"/>
          <w:szCs w:val="24"/>
        </w:rPr>
        <w:t>7</w:t>
      </w:r>
      <w:r w:rsidR="00DE28FF" w:rsidRPr="009370C1">
        <w:rPr>
          <w:sz w:val="24"/>
          <w:szCs w:val="24"/>
        </w:rPr>
        <w:t>(</w:t>
      </w:r>
      <w:r w:rsidR="00DE28FF">
        <w:rPr>
          <w:sz w:val="24"/>
          <w:szCs w:val="24"/>
        </w:rPr>
        <w:t>4</w:t>
      </w:r>
      <w:r w:rsidR="00DE28FF" w:rsidRPr="009370C1">
        <w:rPr>
          <w:sz w:val="24"/>
          <w:szCs w:val="24"/>
        </w:rPr>
        <w:t xml:space="preserve">) </w:t>
      </w:r>
      <w:r w:rsidR="009D33BF">
        <w:rPr>
          <w:sz w:val="24"/>
          <w:szCs w:val="24"/>
        </w:rPr>
        <w:t>specifies</w:t>
      </w:r>
      <w:r w:rsidR="00DE28FF" w:rsidRPr="009370C1">
        <w:rPr>
          <w:sz w:val="24"/>
          <w:szCs w:val="24"/>
        </w:rPr>
        <w:t xml:space="preserve"> requirements that the representative </w:t>
      </w:r>
      <w:r w:rsidR="00DE28FF">
        <w:rPr>
          <w:sz w:val="24"/>
          <w:szCs w:val="24"/>
        </w:rPr>
        <w:t xml:space="preserve">clearing </w:t>
      </w:r>
      <w:r w:rsidR="00DE28FF" w:rsidRPr="009370C1">
        <w:rPr>
          <w:sz w:val="24"/>
          <w:szCs w:val="24"/>
        </w:rPr>
        <w:t>plots must satisfy.</w:t>
      </w:r>
    </w:p>
    <w:p w14:paraId="1B9C4BB2" w14:textId="5B27EEFC" w:rsidR="00723E26" w:rsidRDefault="00B954CB" w:rsidP="009D5A62">
      <w:pPr>
        <w:pStyle w:val="subsection"/>
        <w:numPr>
          <w:ilvl w:val="0"/>
          <w:numId w:val="51"/>
        </w:numPr>
        <w:spacing w:before="120" w:after="120"/>
        <w:rPr>
          <w:sz w:val="24"/>
          <w:szCs w:val="24"/>
        </w:rPr>
      </w:pPr>
      <w:r>
        <w:rPr>
          <w:sz w:val="24"/>
          <w:szCs w:val="24"/>
        </w:rPr>
        <w:t>Subsection</w:t>
      </w:r>
      <w:r w:rsidR="00723E26" w:rsidRPr="009370C1">
        <w:rPr>
          <w:sz w:val="24"/>
          <w:szCs w:val="24"/>
        </w:rPr>
        <w:t xml:space="preserve"> 2</w:t>
      </w:r>
      <w:r w:rsidR="00F93F72">
        <w:rPr>
          <w:sz w:val="24"/>
          <w:szCs w:val="24"/>
        </w:rPr>
        <w:t>7</w:t>
      </w:r>
      <w:r w:rsidR="00723E26" w:rsidRPr="009370C1">
        <w:rPr>
          <w:sz w:val="24"/>
          <w:szCs w:val="24"/>
        </w:rPr>
        <w:t>(</w:t>
      </w:r>
      <w:r w:rsidR="00723E26">
        <w:rPr>
          <w:sz w:val="24"/>
          <w:szCs w:val="24"/>
        </w:rPr>
        <w:t>4</w:t>
      </w:r>
      <w:r w:rsidR="00723E26" w:rsidRPr="009370C1">
        <w:rPr>
          <w:sz w:val="24"/>
          <w:szCs w:val="24"/>
        </w:rPr>
        <w:t xml:space="preserve">)(a) specifies that each representative </w:t>
      </w:r>
      <w:r w:rsidR="00723E26">
        <w:rPr>
          <w:sz w:val="24"/>
          <w:szCs w:val="24"/>
        </w:rPr>
        <w:t xml:space="preserve">clearing </w:t>
      </w:r>
      <w:r w:rsidR="00723E26" w:rsidRPr="009370C1">
        <w:rPr>
          <w:sz w:val="24"/>
          <w:szCs w:val="24"/>
        </w:rPr>
        <w:t xml:space="preserve">plot must </w:t>
      </w:r>
      <w:r w:rsidR="0078733A">
        <w:rPr>
          <w:sz w:val="24"/>
          <w:szCs w:val="24"/>
        </w:rPr>
        <w:t xml:space="preserve">simulate </w:t>
      </w:r>
      <w:r w:rsidR="0078733A" w:rsidRPr="0078733A">
        <w:rPr>
          <w:sz w:val="24"/>
          <w:szCs w:val="24"/>
        </w:rPr>
        <w:t>clearing of 1 hectare of public native forests</w:t>
      </w:r>
      <w:r w:rsidR="00723E26" w:rsidRPr="009370C1">
        <w:rPr>
          <w:sz w:val="24"/>
          <w:szCs w:val="24"/>
        </w:rPr>
        <w:t xml:space="preserve">. </w:t>
      </w:r>
    </w:p>
    <w:p w14:paraId="23D3239E" w14:textId="1FAB8554" w:rsidR="002D2016" w:rsidRDefault="002D2016" w:rsidP="009D5A62">
      <w:pPr>
        <w:pStyle w:val="subsection"/>
        <w:numPr>
          <w:ilvl w:val="0"/>
          <w:numId w:val="51"/>
        </w:numPr>
        <w:spacing w:before="120" w:after="120"/>
        <w:rPr>
          <w:sz w:val="24"/>
          <w:szCs w:val="24"/>
        </w:rPr>
      </w:pPr>
      <w:r>
        <w:rPr>
          <w:sz w:val="24"/>
          <w:szCs w:val="24"/>
        </w:rPr>
        <w:t>Subsection 2</w:t>
      </w:r>
      <w:r w:rsidR="00F93F72">
        <w:rPr>
          <w:sz w:val="24"/>
          <w:szCs w:val="24"/>
        </w:rPr>
        <w:t>7</w:t>
      </w:r>
      <w:r>
        <w:rPr>
          <w:sz w:val="24"/>
          <w:szCs w:val="24"/>
        </w:rPr>
        <w:t>(4)(b) specifies that one</w:t>
      </w:r>
      <w:r w:rsidRPr="002D2016">
        <w:rPr>
          <w:sz w:val="24"/>
          <w:szCs w:val="24"/>
        </w:rPr>
        <w:t xml:space="preserve"> representative </w:t>
      </w:r>
      <w:r>
        <w:rPr>
          <w:sz w:val="24"/>
          <w:szCs w:val="24"/>
        </w:rPr>
        <w:t xml:space="preserve">clearing </w:t>
      </w:r>
      <w:r w:rsidRPr="002D2016">
        <w:rPr>
          <w:sz w:val="24"/>
          <w:szCs w:val="24"/>
        </w:rPr>
        <w:t>plot must be developed for each forest region in the project area.</w:t>
      </w:r>
      <w:r w:rsidR="00AC3A30">
        <w:rPr>
          <w:sz w:val="24"/>
          <w:szCs w:val="24"/>
        </w:rPr>
        <w:t xml:space="preserve"> This simplified approach is </w:t>
      </w:r>
      <w:r w:rsidR="00322B5F">
        <w:rPr>
          <w:sz w:val="24"/>
          <w:szCs w:val="24"/>
        </w:rPr>
        <w:t xml:space="preserve">used because the abatement calculations are confined to modelling </w:t>
      </w:r>
      <w:r w:rsidR="004F2655">
        <w:rPr>
          <w:sz w:val="24"/>
          <w:szCs w:val="24"/>
        </w:rPr>
        <w:t xml:space="preserve">counterfactual clearing events (i.e. clearing events </w:t>
      </w:r>
      <w:r w:rsidR="00DA05F1">
        <w:rPr>
          <w:sz w:val="24"/>
          <w:szCs w:val="24"/>
        </w:rPr>
        <w:t xml:space="preserve">in the baseline scenario </w:t>
      </w:r>
      <w:r w:rsidR="004F2655">
        <w:rPr>
          <w:sz w:val="24"/>
          <w:szCs w:val="24"/>
        </w:rPr>
        <w:t xml:space="preserve">that would have occurred in the absence in the </w:t>
      </w:r>
      <w:r w:rsidR="00DA05F1">
        <w:rPr>
          <w:sz w:val="24"/>
          <w:szCs w:val="24"/>
        </w:rPr>
        <w:t>INFM project).</w:t>
      </w:r>
      <w:r w:rsidR="005A1EBF">
        <w:rPr>
          <w:sz w:val="24"/>
          <w:szCs w:val="24"/>
        </w:rPr>
        <w:t xml:space="preserve"> The counterfactual </w:t>
      </w:r>
      <w:r w:rsidR="006C202C">
        <w:rPr>
          <w:sz w:val="24"/>
          <w:szCs w:val="24"/>
        </w:rPr>
        <w:t xml:space="preserve">nature of the modelled clearing event </w:t>
      </w:r>
      <w:r w:rsidR="005A1EBF">
        <w:rPr>
          <w:sz w:val="24"/>
          <w:szCs w:val="24"/>
        </w:rPr>
        <w:t xml:space="preserve">means it is not possible to determine where in the project area </w:t>
      </w:r>
      <w:r w:rsidR="006C202C">
        <w:rPr>
          <w:sz w:val="24"/>
          <w:szCs w:val="24"/>
        </w:rPr>
        <w:t>it</w:t>
      </w:r>
      <w:r w:rsidR="005A1EBF">
        <w:rPr>
          <w:sz w:val="24"/>
          <w:szCs w:val="24"/>
        </w:rPr>
        <w:t xml:space="preserve"> would have occurred.</w:t>
      </w:r>
    </w:p>
    <w:p w14:paraId="6E3A540E" w14:textId="6F8A8321" w:rsidR="00E71B05" w:rsidRDefault="006D61A6" w:rsidP="009D5A62">
      <w:pPr>
        <w:pStyle w:val="subsection"/>
        <w:numPr>
          <w:ilvl w:val="0"/>
          <w:numId w:val="51"/>
        </w:numPr>
        <w:spacing w:before="120" w:after="120"/>
        <w:rPr>
          <w:sz w:val="24"/>
          <w:szCs w:val="24"/>
        </w:rPr>
      </w:pPr>
      <w:r>
        <w:rPr>
          <w:sz w:val="24"/>
          <w:szCs w:val="24"/>
        </w:rPr>
        <w:t>Subsection 2</w:t>
      </w:r>
      <w:r w:rsidR="00F93F72">
        <w:rPr>
          <w:sz w:val="24"/>
          <w:szCs w:val="24"/>
        </w:rPr>
        <w:t>7</w:t>
      </w:r>
      <w:r>
        <w:rPr>
          <w:sz w:val="24"/>
          <w:szCs w:val="24"/>
        </w:rPr>
        <w:t xml:space="preserve">(4)(c) </w:t>
      </w:r>
      <w:r w:rsidR="008E66BC">
        <w:rPr>
          <w:sz w:val="24"/>
          <w:szCs w:val="24"/>
        </w:rPr>
        <w:t>specifies that t</w:t>
      </w:r>
      <w:r w:rsidR="008E66BC" w:rsidRPr="008E66BC">
        <w:rPr>
          <w:sz w:val="24"/>
          <w:szCs w:val="24"/>
        </w:rPr>
        <w:t xml:space="preserve">he representative </w:t>
      </w:r>
      <w:r w:rsidR="008E66BC">
        <w:rPr>
          <w:sz w:val="24"/>
          <w:szCs w:val="24"/>
        </w:rPr>
        <w:t xml:space="preserve">clearing </w:t>
      </w:r>
      <w:r w:rsidR="008E66BC" w:rsidRPr="008E66BC">
        <w:rPr>
          <w:sz w:val="24"/>
          <w:szCs w:val="24"/>
        </w:rPr>
        <w:t xml:space="preserve">plot for a forest region must reflect the average carbon density of the forests that were cleared in the region to facilitate harvesting over the prior period. This </w:t>
      </w:r>
      <w:r w:rsidR="008E66BC">
        <w:rPr>
          <w:sz w:val="24"/>
          <w:szCs w:val="24"/>
        </w:rPr>
        <w:t>is required to be</w:t>
      </w:r>
      <w:r w:rsidR="008E66BC" w:rsidRPr="008E66BC">
        <w:rPr>
          <w:sz w:val="24"/>
          <w:szCs w:val="24"/>
        </w:rPr>
        <w:t xml:space="preserve"> reflected in the </w:t>
      </w:r>
      <w:r w:rsidR="008E66BC">
        <w:rPr>
          <w:sz w:val="24"/>
          <w:szCs w:val="24"/>
        </w:rPr>
        <w:t xml:space="preserve">representative clearing </w:t>
      </w:r>
      <w:r w:rsidR="008E66BC" w:rsidRPr="008E66BC">
        <w:rPr>
          <w:sz w:val="24"/>
          <w:szCs w:val="24"/>
        </w:rPr>
        <w:t xml:space="preserve">plot by: </w:t>
      </w:r>
    </w:p>
    <w:p w14:paraId="62D5E00D" w14:textId="1D3383D1" w:rsidR="00E71B05" w:rsidRDefault="008E66BC" w:rsidP="009D5A62">
      <w:pPr>
        <w:pStyle w:val="subsection"/>
        <w:numPr>
          <w:ilvl w:val="0"/>
          <w:numId w:val="52"/>
        </w:numPr>
        <w:spacing w:before="120" w:after="120"/>
        <w:rPr>
          <w:sz w:val="24"/>
          <w:szCs w:val="24"/>
        </w:rPr>
      </w:pPr>
      <w:r w:rsidRPr="008E66BC">
        <w:rPr>
          <w:sz w:val="24"/>
          <w:szCs w:val="24"/>
        </w:rPr>
        <w:t xml:space="preserve">the number assigned to the maximum live above-ground biomass (represented by the parameter M in </w:t>
      </w:r>
      <w:proofErr w:type="spellStart"/>
      <w:r w:rsidRPr="008E66BC">
        <w:rPr>
          <w:sz w:val="24"/>
          <w:szCs w:val="24"/>
        </w:rPr>
        <w:t>FullCAM</w:t>
      </w:r>
      <w:proofErr w:type="spellEnd"/>
      <w:r w:rsidRPr="008E66BC">
        <w:rPr>
          <w:sz w:val="24"/>
          <w:szCs w:val="24"/>
        </w:rPr>
        <w:t>) in the plot, calculated as the average across the relevant forest types affected by the clearing in the prior period;</w:t>
      </w:r>
      <w:r w:rsidR="007E4602">
        <w:rPr>
          <w:sz w:val="24"/>
          <w:szCs w:val="24"/>
        </w:rPr>
        <w:t xml:space="preserve"> and </w:t>
      </w:r>
    </w:p>
    <w:p w14:paraId="07255F27" w14:textId="34D8237A" w:rsidR="006D61A6" w:rsidRPr="009370C1" w:rsidRDefault="008E66BC" w:rsidP="009D5A62">
      <w:pPr>
        <w:pStyle w:val="subsection"/>
        <w:numPr>
          <w:ilvl w:val="0"/>
          <w:numId w:val="52"/>
        </w:numPr>
        <w:spacing w:before="120" w:after="120"/>
        <w:rPr>
          <w:sz w:val="24"/>
          <w:szCs w:val="24"/>
        </w:rPr>
      </w:pPr>
      <w:r w:rsidRPr="008E66BC">
        <w:rPr>
          <w:sz w:val="24"/>
          <w:szCs w:val="24"/>
        </w:rPr>
        <w:lastRenderedPageBreak/>
        <w:t>the clearing must be assumed to occur when the live above-ground biomass in the modelled forest plot reaches 75% of its maximum, in the second rotation of a harvesting cycle that occurs at the same age.</w:t>
      </w:r>
    </w:p>
    <w:p w14:paraId="3FC96ADA" w14:textId="2E1F6CFF" w:rsidR="00E12B1E" w:rsidRDefault="000E1D45" w:rsidP="009D5A62">
      <w:pPr>
        <w:pStyle w:val="subsection"/>
        <w:numPr>
          <w:ilvl w:val="0"/>
          <w:numId w:val="51"/>
        </w:numPr>
        <w:spacing w:before="120" w:after="120"/>
        <w:rPr>
          <w:sz w:val="24"/>
          <w:szCs w:val="24"/>
        </w:rPr>
      </w:pPr>
      <w:r>
        <w:rPr>
          <w:sz w:val="24"/>
          <w:szCs w:val="24"/>
        </w:rPr>
        <w:t>Subsection 2</w:t>
      </w:r>
      <w:r w:rsidR="00F93F72">
        <w:rPr>
          <w:sz w:val="24"/>
          <w:szCs w:val="24"/>
        </w:rPr>
        <w:t>7</w:t>
      </w:r>
      <w:r>
        <w:rPr>
          <w:sz w:val="24"/>
          <w:szCs w:val="24"/>
        </w:rPr>
        <w:t>(4)(</w:t>
      </w:r>
      <w:r w:rsidR="0001390E">
        <w:rPr>
          <w:sz w:val="24"/>
          <w:szCs w:val="24"/>
        </w:rPr>
        <w:t>d</w:t>
      </w:r>
      <w:r>
        <w:rPr>
          <w:sz w:val="24"/>
          <w:szCs w:val="24"/>
        </w:rPr>
        <w:t>) specifies that the</w:t>
      </w:r>
      <w:r w:rsidRPr="000E1D45">
        <w:rPr>
          <w:sz w:val="24"/>
          <w:szCs w:val="24"/>
        </w:rPr>
        <w:t xml:space="preserve"> representative </w:t>
      </w:r>
      <w:r>
        <w:rPr>
          <w:sz w:val="24"/>
          <w:szCs w:val="24"/>
        </w:rPr>
        <w:t xml:space="preserve">clearing </w:t>
      </w:r>
      <w:r w:rsidRPr="000E1D45">
        <w:rPr>
          <w:sz w:val="24"/>
          <w:szCs w:val="24"/>
        </w:rPr>
        <w:t xml:space="preserve">plot for a forest region must reflect </w:t>
      </w:r>
      <w:r w:rsidR="00C91650">
        <w:rPr>
          <w:sz w:val="24"/>
          <w:szCs w:val="24"/>
        </w:rPr>
        <w:t>three</w:t>
      </w:r>
      <w:r w:rsidRPr="000E1D45">
        <w:rPr>
          <w:sz w:val="24"/>
          <w:szCs w:val="24"/>
        </w:rPr>
        <w:t xml:space="preserve"> assumptions</w:t>
      </w:r>
      <w:r w:rsidR="00ED4B2A">
        <w:rPr>
          <w:sz w:val="24"/>
          <w:szCs w:val="24"/>
        </w:rPr>
        <w:t>:</w:t>
      </w:r>
      <w:r w:rsidRPr="000E1D45">
        <w:rPr>
          <w:sz w:val="24"/>
          <w:szCs w:val="24"/>
        </w:rPr>
        <w:t xml:space="preserve"> </w:t>
      </w:r>
    </w:p>
    <w:p w14:paraId="734A7116" w14:textId="0DC45DE2" w:rsidR="00C27441" w:rsidRDefault="00DA169D" w:rsidP="009D5A62">
      <w:pPr>
        <w:pStyle w:val="subsection"/>
        <w:numPr>
          <w:ilvl w:val="0"/>
          <w:numId w:val="52"/>
        </w:numPr>
        <w:spacing w:before="120" w:after="120"/>
        <w:rPr>
          <w:sz w:val="24"/>
          <w:szCs w:val="24"/>
        </w:rPr>
      </w:pPr>
      <w:r w:rsidRPr="00C27441">
        <w:rPr>
          <w:sz w:val="24"/>
          <w:szCs w:val="24"/>
        </w:rPr>
        <w:t>t</w:t>
      </w:r>
      <w:r w:rsidR="00BC5F58" w:rsidRPr="00C27441">
        <w:rPr>
          <w:sz w:val="24"/>
          <w:szCs w:val="24"/>
        </w:rPr>
        <w:t xml:space="preserve">hat </w:t>
      </w:r>
      <w:proofErr w:type="gramStart"/>
      <w:r w:rsidR="00BC5F58" w:rsidRPr="00C27441">
        <w:rPr>
          <w:sz w:val="24"/>
          <w:szCs w:val="24"/>
        </w:rPr>
        <w:t>all of</w:t>
      </w:r>
      <w:proofErr w:type="gramEnd"/>
      <w:r w:rsidR="00BC5F58" w:rsidRPr="00C27441">
        <w:rPr>
          <w:sz w:val="24"/>
          <w:szCs w:val="24"/>
        </w:rPr>
        <w:t xml:space="preserve"> the</w:t>
      </w:r>
      <w:r w:rsidR="000E1D45" w:rsidRPr="00C27441">
        <w:rPr>
          <w:sz w:val="24"/>
          <w:szCs w:val="24"/>
        </w:rPr>
        <w:t xml:space="preserve"> modelled area </w:t>
      </w:r>
      <w:proofErr w:type="gramStart"/>
      <w:r w:rsidR="00BC5F58" w:rsidRPr="00C27441">
        <w:rPr>
          <w:sz w:val="24"/>
          <w:szCs w:val="24"/>
        </w:rPr>
        <w:t>is cleared</w:t>
      </w:r>
      <w:r w:rsidRPr="00C27441">
        <w:rPr>
          <w:sz w:val="24"/>
          <w:szCs w:val="24"/>
        </w:rPr>
        <w:t xml:space="preserve"> (subsection 2</w:t>
      </w:r>
      <w:r w:rsidR="00F93F72">
        <w:rPr>
          <w:sz w:val="24"/>
          <w:szCs w:val="24"/>
        </w:rPr>
        <w:t>7</w:t>
      </w:r>
      <w:r w:rsidRPr="00C27441">
        <w:rPr>
          <w:sz w:val="24"/>
          <w:szCs w:val="24"/>
        </w:rPr>
        <w:t>(4)(c)</w:t>
      </w:r>
      <w:proofErr w:type="gramEnd"/>
      <w:r w:rsidRPr="00C27441">
        <w:rPr>
          <w:sz w:val="24"/>
          <w:szCs w:val="24"/>
        </w:rPr>
        <w:t>(</w:t>
      </w:r>
      <w:proofErr w:type="spellStart"/>
      <w:r w:rsidRPr="00C27441">
        <w:rPr>
          <w:sz w:val="24"/>
          <w:szCs w:val="24"/>
        </w:rPr>
        <w:t>i</w:t>
      </w:r>
      <w:proofErr w:type="spellEnd"/>
      <w:r w:rsidRPr="00C27441">
        <w:rPr>
          <w:sz w:val="24"/>
          <w:szCs w:val="24"/>
        </w:rPr>
        <w:t>)</w:t>
      </w:r>
      <w:proofErr w:type="gramStart"/>
      <w:r w:rsidRPr="00C27441">
        <w:rPr>
          <w:sz w:val="24"/>
          <w:szCs w:val="24"/>
        </w:rPr>
        <w:t>);</w:t>
      </w:r>
      <w:proofErr w:type="gramEnd"/>
      <w:r w:rsidRPr="00C27441">
        <w:rPr>
          <w:sz w:val="24"/>
          <w:szCs w:val="24"/>
        </w:rPr>
        <w:t xml:space="preserve"> </w:t>
      </w:r>
      <w:r w:rsidR="000E1D45" w:rsidRPr="00C27441">
        <w:rPr>
          <w:sz w:val="24"/>
          <w:szCs w:val="24"/>
        </w:rPr>
        <w:t xml:space="preserve"> </w:t>
      </w:r>
    </w:p>
    <w:p w14:paraId="3D070FE0" w14:textId="1285ED9E" w:rsidR="00C27441" w:rsidRDefault="00DA169D" w:rsidP="009D5A62">
      <w:pPr>
        <w:pStyle w:val="subsection"/>
        <w:numPr>
          <w:ilvl w:val="0"/>
          <w:numId w:val="52"/>
        </w:numPr>
        <w:spacing w:before="120" w:after="120"/>
        <w:rPr>
          <w:sz w:val="24"/>
          <w:szCs w:val="24"/>
        </w:rPr>
      </w:pPr>
      <w:r w:rsidRPr="00C27441">
        <w:rPr>
          <w:sz w:val="24"/>
          <w:szCs w:val="24"/>
        </w:rPr>
        <w:t>t</w:t>
      </w:r>
      <w:r w:rsidR="00BC5F58" w:rsidRPr="00C27441">
        <w:rPr>
          <w:sz w:val="24"/>
          <w:szCs w:val="24"/>
        </w:rPr>
        <w:t xml:space="preserve">hat </w:t>
      </w:r>
      <w:proofErr w:type="gramStart"/>
      <w:r w:rsidR="00BC5F58" w:rsidRPr="00C27441">
        <w:rPr>
          <w:sz w:val="24"/>
          <w:szCs w:val="24"/>
        </w:rPr>
        <w:t>all of</w:t>
      </w:r>
      <w:proofErr w:type="gramEnd"/>
      <w:r w:rsidR="00BC5F58" w:rsidRPr="00C27441">
        <w:rPr>
          <w:sz w:val="24"/>
          <w:szCs w:val="24"/>
        </w:rPr>
        <w:t xml:space="preserve"> the </w:t>
      </w:r>
      <w:r w:rsidR="000E1D45" w:rsidRPr="00C27441">
        <w:rPr>
          <w:sz w:val="24"/>
          <w:szCs w:val="24"/>
        </w:rPr>
        <w:t xml:space="preserve">cleared biomass </w:t>
      </w:r>
      <w:r w:rsidR="00BC5F58" w:rsidRPr="00C27441">
        <w:rPr>
          <w:sz w:val="24"/>
          <w:szCs w:val="24"/>
        </w:rPr>
        <w:t>goes to</w:t>
      </w:r>
      <w:r w:rsidR="000E1D45" w:rsidRPr="00C27441">
        <w:rPr>
          <w:sz w:val="24"/>
          <w:szCs w:val="24"/>
        </w:rPr>
        <w:t xml:space="preserve"> deadwood</w:t>
      </w:r>
      <w:r w:rsidR="00BC5F58" w:rsidRPr="00C27441">
        <w:rPr>
          <w:sz w:val="24"/>
          <w:szCs w:val="24"/>
        </w:rPr>
        <w:t xml:space="preserve"> (i.e. </w:t>
      </w:r>
      <w:r w:rsidRPr="00C27441">
        <w:rPr>
          <w:sz w:val="24"/>
          <w:szCs w:val="24"/>
        </w:rPr>
        <w:t xml:space="preserve">no logs </w:t>
      </w:r>
      <w:proofErr w:type="gramStart"/>
      <w:r w:rsidRPr="00C27441">
        <w:rPr>
          <w:sz w:val="24"/>
          <w:szCs w:val="24"/>
        </w:rPr>
        <w:t>are recovered</w:t>
      </w:r>
      <w:proofErr w:type="gramEnd"/>
      <w:r w:rsidRPr="00C27441">
        <w:rPr>
          <w:sz w:val="24"/>
          <w:szCs w:val="24"/>
        </w:rPr>
        <w:t xml:space="preserve"> for timber products)</w:t>
      </w:r>
      <w:r w:rsidR="0001390E" w:rsidRPr="00C27441">
        <w:rPr>
          <w:sz w:val="24"/>
          <w:szCs w:val="24"/>
        </w:rPr>
        <w:t xml:space="preserve"> (subsection 2</w:t>
      </w:r>
      <w:r w:rsidR="00F93F72">
        <w:rPr>
          <w:sz w:val="24"/>
          <w:szCs w:val="24"/>
        </w:rPr>
        <w:t>7</w:t>
      </w:r>
      <w:r w:rsidR="0001390E" w:rsidRPr="00C27441">
        <w:rPr>
          <w:sz w:val="24"/>
          <w:szCs w:val="24"/>
        </w:rPr>
        <w:t>(4)(c)(ii))</w:t>
      </w:r>
      <w:r w:rsidRPr="00C27441">
        <w:rPr>
          <w:sz w:val="24"/>
          <w:szCs w:val="24"/>
        </w:rPr>
        <w:t>; and</w:t>
      </w:r>
    </w:p>
    <w:p w14:paraId="269A599A" w14:textId="1D1B68A9" w:rsidR="00DE28FF" w:rsidRPr="00C27441" w:rsidRDefault="0001390E" w:rsidP="009D5A62">
      <w:pPr>
        <w:pStyle w:val="subsection"/>
        <w:numPr>
          <w:ilvl w:val="0"/>
          <w:numId w:val="52"/>
        </w:numPr>
        <w:spacing w:before="120" w:after="120"/>
        <w:rPr>
          <w:sz w:val="24"/>
          <w:szCs w:val="24"/>
        </w:rPr>
      </w:pPr>
      <w:r w:rsidRPr="00C27441">
        <w:rPr>
          <w:sz w:val="24"/>
          <w:szCs w:val="24"/>
        </w:rPr>
        <w:t xml:space="preserve">there is no </w:t>
      </w:r>
      <w:r w:rsidR="000E1D45" w:rsidRPr="00C27441">
        <w:rPr>
          <w:sz w:val="24"/>
          <w:szCs w:val="24"/>
        </w:rPr>
        <w:t>planting or regeneration after the clearing event</w:t>
      </w:r>
      <w:r w:rsidRPr="00C27441">
        <w:rPr>
          <w:sz w:val="24"/>
          <w:szCs w:val="24"/>
        </w:rPr>
        <w:t xml:space="preserve"> (subsection 2</w:t>
      </w:r>
      <w:r w:rsidR="00F93F72">
        <w:rPr>
          <w:sz w:val="24"/>
          <w:szCs w:val="24"/>
        </w:rPr>
        <w:t>7</w:t>
      </w:r>
      <w:r w:rsidRPr="00C27441">
        <w:rPr>
          <w:sz w:val="24"/>
          <w:szCs w:val="24"/>
        </w:rPr>
        <w:t>(4)(c)(iii))</w:t>
      </w:r>
      <w:r w:rsidR="000E1D45" w:rsidRPr="00C27441">
        <w:rPr>
          <w:sz w:val="24"/>
          <w:szCs w:val="24"/>
        </w:rPr>
        <w:t>.</w:t>
      </w:r>
    </w:p>
    <w:p w14:paraId="6B94D9DA" w14:textId="559B633F" w:rsidR="00B579D4" w:rsidRDefault="00F07D1D" w:rsidP="009D5A62">
      <w:pPr>
        <w:pStyle w:val="subsection"/>
        <w:numPr>
          <w:ilvl w:val="0"/>
          <w:numId w:val="51"/>
        </w:numPr>
        <w:spacing w:before="120" w:after="120"/>
        <w:rPr>
          <w:sz w:val="24"/>
          <w:szCs w:val="24"/>
        </w:rPr>
      </w:pPr>
      <w:r w:rsidRPr="00DF430D">
        <w:rPr>
          <w:sz w:val="24"/>
          <w:szCs w:val="24"/>
        </w:rPr>
        <w:t>Subsection</w:t>
      </w:r>
      <w:r w:rsidR="00E4545D" w:rsidRPr="00E4545D">
        <w:rPr>
          <w:sz w:val="24"/>
          <w:szCs w:val="24"/>
        </w:rPr>
        <w:t xml:space="preserve"> 2</w:t>
      </w:r>
      <w:r w:rsidR="00F93F72">
        <w:rPr>
          <w:sz w:val="24"/>
          <w:szCs w:val="24"/>
        </w:rPr>
        <w:t>7</w:t>
      </w:r>
      <w:r w:rsidR="00E4545D" w:rsidRPr="00E4545D">
        <w:rPr>
          <w:sz w:val="24"/>
          <w:szCs w:val="24"/>
        </w:rPr>
        <w:t>(</w:t>
      </w:r>
      <w:r w:rsidR="00E4545D">
        <w:rPr>
          <w:sz w:val="24"/>
          <w:szCs w:val="24"/>
        </w:rPr>
        <w:t>4</w:t>
      </w:r>
      <w:r w:rsidR="00E4545D" w:rsidRPr="00E4545D">
        <w:rPr>
          <w:sz w:val="24"/>
          <w:szCs w:val="24"/>
        </w:rPr>
        <w:t>)(</w:t>
      </w:r>
      <w:r w:rsidR="00E4545D">
        <w:rPr>
          <w:sz w:val="24"/>
          <w:szCs w:val="24"/>
        </w:rPr>
        <w:t>e</w:t>
      </w:r>
      <w:r w:rsidR="00E4545D" w:rsidRPr="00E4545D">
        <w:rPr>
          <w:sz w:val="24"/>
          <w:szCs w:val="24"/>
        </w:rPr>
        <w:t xml:space="preserve">) provides that, </w:t>
      </w:r>
      <w:r w:rsidR="00802714">
        <w:rPr>
          <w:sz w:val="24"/>
          <w:szCs w:val="24"/>
        </w:rPr>
        <w:t>except as provided for in subsections</w:t>
      </w:r>
      <w:r w:rsidR="00E4545D" w:rsidRPr="00E4545D">
        <w:rPr>
          <w:sz w:val="24"/>
          <w:szCs w:val="24"/>
        </w:rPr>
        <w:t xml:space="preserve"> 2</w:t>
      </w:r>
      <w:r w:rsidR="00F93F72">
        <w:rPr>
          <w:sz w:val="24"/>
          <w:szCs w:val="24"/>
        </w:rPr>
        <w:t>7</w:t>
      </w:r>
      <w:r w:rsidR="00E4545D" w:rsidRPr="00E4545D">
        <w:rPr>
          <w:sz w:val="24"/>
          <w:szCs w:val="24"/>
        </w:rPr>
        <w:t>(2)(c)</w:t>
      </w:r>
      <w:r w:rsidR="00802714">
        <w:rPr>
          <w:sz w:val="24"/>
          <w:szCs w:val="24"/>
        </w:rPr>
        <w:t xml:space="preserve"> and (d)</w:t>
      </w:r>
      <w:r w:rsidR="00E4545D" w:rsidRPr="00E4545D">
        <w:rPr>
          <w:sz w:val="24"/>
          <w:szCs w:val="24"/>
        </w:rPr>
        <w:t xml:space="preserve">, the parameters in the representative harvest plots must be the same as those used to simulate </w:t>
      </w:r>
      <w:r w:rsidR="00CF20A2">
        <w:rPr>
          <w:sz w:val="24"/>
          <w:szCs w:val="24"/>
        </w:rPr>
        <w:t>clearing</w:t>
      </w:r>
      <w:r w:rsidR="00E4545D" w:rsidRPr="00E4545D">
        <w:rPr>
          <w:sz w:val="24"/>
          <w:szCs w:val="24"/>
        </w:rPr>
        <w:t xml:space="preserve"> events in the project area for the purposes of the National Inventory Report, as at the time the project is registered.</w:t>
      </w:r>
    </w:p>
    <w:p w14:paraId="47FD89EC" w14:textId="0D4CAEA2" w:rsidR="00314457" w:rsidRPr="00B579D4" w:rsidRDefault="00314457" w:rsidP="009D5A62">
      <w:pPr>
        <w:pStyle w:val="subsection"/>
        <w:numPr>
          <w:ilvl w:val="0"/>
          <w:numId w:val="51"/>
        </w:numPr>
        <w:spacing w:before="120" w:after="120"/>
        <w:rPr>
          <w:sz w:val="24"/>
          <w:szCs w:val="24"/>
        </w:rPr>
      </w:pPr>
      <w:r w:rsidRPr="00B579D4">
        <w:rPr>
          <w:sz w:val="24"/>
          <w:szCs w:val="24"/>
        </w:rPr>
        <w:t>Subsection 2</w:t>
      </w:r>
      <w:r w:rsidR="00F93F72">
        <w:rPr>
          <w:sz w:val="24"/>
          <w:szCs w:val="24"/>
        </w:rPr>
        <w:t>7</w:t>
      </w:r>
      <w:r w:rsidRPr="00B579D4">
        <w:rPr>
          <w:sz w:val="24"/>
          <w:szCs w:val="24"/>
        </w:rPr>
        <w:t>(4)(f) requires the representative</w:t>
      </w:r>
      <w:r w:rsidR="006E2F06" w:rsidRPr="00B579D4">
        <w:rPr>
          <w:sz w:val="24"/>
          <w:szCs w:val="24"/>
        </w:rPr>
        <w:t xml:space="preserve"> clearing</w:t>
      </w:r>
      <w:r w:rsidRPr="00B579D4">
        <w:rPr>
          <w:sz w:val="24"/>
          <w:szCs w:val="24"/>
        </w:rPr>
        <w:t xml:space="preserve"> plots to be developed in accordance with the </w:t>
      </w:r>
      <w:proofErr w:type="spellStart"/>
      <w:r w:rsidRPr="00B579D4">
        <w:rPr>
          <w:sz w:val="24"/>
          <w:szCs w:val="24"/>
        </w:rPr>
        <w:t>FullCAM</w:t>
      </w:r>
      <w:proofErr w:type="spellEnd"/>
      <w:r w:rsidRPr="00B579D4">
        <w:rPr>
          <w:sz w:val="24"/>
          <w:szCs w:val="24"/>
        </w:rPr>
        <w:t xml:space="preserve"> Guidelines.</w:t>
      </w:r>
    </w:p>
    <w:p w14:paraId="6A99A2FA" w14:textId="5617E3A0" w:rsidR="00BC1D8A" w:rsidRPr="009370C1" w:rsidRDefault="008049B4" w:rsidP="009370C1">
      <w:pPr>
        <w:pStyle w:val="subsection"/>
        <w:spacing w:before="120" w:after="120"/>
        <w:ind w:left="0" w:firstLine="0"/>
        <w:rPr>
          <w:sz w:val="24"/>
          <w:szCs w:val="24"/>
        </w:rPr>
      </w:pPr>
      <w:r>
        <w:rPr>
          <w:sz w:val="24"/>
          <w:szCs w:val="24"/>
        </w:rPr>
        <w:t>Subsection 2</w:t>
      </w:r>
      <w:r w:rsidR="00F93F72">
        <w:rPr>
          <w:sz w:val="24"/>
          <w:szCs w:val="24"/>
        </w:rPr>
        <w:t>7</w:t>
      </w:r>
      <w:r>
        <w:rPr>
          <w:sz w:val="24"/>
          <w:szCs w:val="24"/>
        </w:rPr>
        <w:t xml:space="preserve">(5) </w:t>
      </w:r>
      <w:r w:rsidR="00537B8C" w:rsidRPr="009370C1">
        <w:rPr>
          <w:sz w:val="24"/>
          <w:szCs w:val="24"/>
        </w:rPr>
        <w:t xml:space="preserve">requires the proponent to develop the prior period </w:t>
      </w:r>
      <w:proofErr w:type="spellStart"/>
      <w:r w:rsidR="00537B8C" w:rsidRPr="009370C1">
        <w:rPr>
          <w:sz w:val="24"/>
          <w:szCs w:val="24"/>
        </w:rPr>
        <w:t>FullCAM</w:t>
      </w:r>
      <w:proofErr w:type="spellEnd"/>
      <w:r w:rsidR="00537B8C" w:rsidRPr="009370C1">
        <w:rPr>
          <w:sz w:val="24"/>
          <w:szCs w:val="24"/>
        </w:rPr>
        <w:t xml:space="preserve"> forest estate model </w:t>
      </w:r>
      <w:r w:rsidR="009F586F" w:rsidRPr="009370C1">
        <w:rPr>
          <w:sz w:val="24"/>
          <w:szCs w:val="24"/>
        </w:rPr>
        <w:t xml:space="preserve">in accordance with the </w:t>
      </w:r>
      <w:proofErr w:type="spellStart"/>
      <w:r w:rsidR="009F586F" w:rsidRPr="009370C1">
        <w:rPr>
          <w:sz w:val="24"/>
          <w:szCs w:val="24"/>
        </w:rPr>
        <w:t>FullCAM</w:t>
      </w:r>
      <w:proofErr w:type="spellEnd"/>
      <w:r w:rsidR="009F586F" w:rsidRPr="009370C1">
        <w:rPr>
          <w:sz w:val="24"/>
          <w:szCs w:val="24"/>
        </w:rPr>
        <w:t xml:space="preserve"> Guidelines </w:t>
      </w:r>
      <w:r w:rsidR="00CA7572" w:rsidRPr="009370C1">
        <w:rPr>
          <w:sz w:val="24"/>
          <w:szCs w:val="24"/>
        </w:rPr>
        <w:t xml:space="preserve">using the </w:t>
      </w:r>
      <w:r w:rsidR="00BC1D8A" w:rsidRPr="009370C1">
        <w:rPr>
          <w:sz w:val="24"/>
          <w:szCs w:val="24"/>
        </w:rPr>
        <w:t xml:space="preserve">representative </w:t>
      </w:r>
      <w:r>
        <w:rPr>
          <w:sz w:val="24"/>
          <w:szCs w:val="24"/>
        </w:rPr>
        <w:t xml:space="preserve">harvest </w:t>
      </w:r>
      <w:r w:rsidR="00175831">
        <w:rPr>
          <w:sz w:val="24"/>
          <w:szCs w:val="24"/>
        </w:rPr>
        <w:t xml:space="preserve">plots </w:t>
      </w:r>
      <w:r>
        <w:rPr>
          <w:sz w:val="24"/>
          <w:szCs w:val="24"/>
        </w:rPr>
        <w:t>and</w:t>
      </w:r>
      <w:r w:rsidR="00175831">
        <w:rPr>
          <w:sz w:val="24"/>
          <w:szCs w:val="24"/>
        </w:rPr>
        <w:t xml:space="preserve"> representative</w:t>
      </w:r>
      <w:r>
        <w:rPr>
          <w:sz w:val="24"/>
          <w:szCs w:val="24"/>
        </w:rPr>
        <w:t xml:space="preserve"> clearing </w:t>
      </w:r>
      <w:r w:rsidR="00BC1D8A" w:rsidRPr="009370C1">
        <w:rPr>
          <w:sz w:val="24"/>
          <w:szCs w:val="24"/>
        </w:rPr>
        <w:t>plots</w:t>
      </w:r>
      <w:r w:rsidR="00CA7572" w:rsidRPr="009370C1">
        <w:rPr>
          <w:sz w:val="24"/>
          <w:szCs w:val="24"/>
        </w:rPr>
        <w:t xml:space="preserve">. The prior period </w:t>
      </w:r>
      <w:proofErr w:type="spellStart"/>
      <w:r w:rsidR="00CA7572" w:rsidRPr="009370C1">
        <w:rPr>
          <w:sz w:val="24"/>
          <w:szCs w:val="24"/>
        </w:rPr>
        <w:t>FullCAM</w:t>
      </w:r>
      <w:proofErr w:type="spellEnd"/>
      <w:r w:rsidR="00CA7572" w:rsidRPr="009370C1">
        <w:rPr>
          <w:sz w:val="24"/>
          <w:szCs w:val="24"/>
        </w:rPr>
        <w:t xml:space="preserve"> forest estate </w:t>
      </w:r>
      <w:r w:rsidR="008E57FD" w:rsidRPr="009370C1">
        <w:rPr>
          <w:sz w:val="24"/>
          <w:szCs w:val="24"/>
        </w:rPr>
        <w:t xml:space="preserve">model must be designed to </w:t>
      </w:r>
      <w:r w:rsidR="00BC1D8A" w:rsidRPr="009370C1">
        <w:rPr>
          <w:sz w:val="24"/>
          <w:szCs w:val="24"/>
        </w:rPr>
        <w:t>estimate the changes in forest carbon stocks, and emissions of CH</w:t>
      </w:r>
      <w:r w:rsidR="00BC1D8A" w:rsidRPr="009370C1">
        <w:rPr>
          <w:sz w:val="24"/>
          <w:szCs w:val="24"/>
          <w:vertAlign w:val="subscript"/>
        </w:rPr>
        <w:t>4</w:t>
      </w:r>
      <w:r w:rsidR="00BC1D8A" w:rsidRPr="009370C1">
        <w:rPr>
          <w:sz w:val="24"/>
          <w:szCs w:val="24"/>
        </w:rPr>
        <w:t xml:space="preserve"> and N</w:t>
      </w:r>
      <w:r w:rsidR="00BC1D8A" w:rsidRPr="009370C1">
        <w:rPr>
          <w:sz w:val="24"/>
          <w:szCs w:val="24"/>
          <w:vertAlign w:val="subscript"/>
        </w:rPr>
        <w:t>2</w:t>
      </w:r>
      <w:r w:rsidR="00BC1D8A" w:rsidRPr="009370C1">
        <w:rPr>
          <w:sz w:val="24"/>
          <w:szCs w:val="24"/>
        </w:rPr>
        <w:t xml:space="preserve">O from post-harvest (slash) burns, from the harvesting </w:t>
      </w:r>
      <w:r w:rsidR="002A716A" w:rsidRPr="002A716A">
        <w:rPr>
          <w:sz w:val="24"/>
          <w:szCs w:val="24"/>
        </w:rPr>
        <w:t xml:space="preserve">(including activities undertaken to facilitate harvesting) </w:t>
      </w:r>
      <w:r w:rsidR="00BC1D8A" w:rsidRPr="009370C1">
        <w:rPr>
          <w:sz w:val="24"/>
          <w:szCs w:val="24"/>
        </w:rPr>
        <w:t>that occurred in the project area over the prior period.</w:t>
      </w:r>
    </w:p>
    <w:p w14:paraId="230E3A19" w14:textId="16E8D0C5" w:rsidR="00BC1D8A" w:rsidRDefault="000E3F5D" w:rsidP="00AC2376">
      <w:pPr>
        <w:pStyle w:val="subsection"/>
        <w:spacing w:before="120" w:after="120"/>
        <w:ind w:left="0" w:firstLine="0"/>
        <w:rPr>
          <w:sz w:val="24"/>
          <w:szCs w:val="24"/>
        </w:rPr>
      </w:pPr>
      <w:r>
        <w:rPr>
          <w:sz w:val="24"/>
          <w:szCs w:val="24"/>
        </w:rPr>
        <w:t>Subsection</w:t>
      </w:r>
      <w:r w:rsidRPr="009370C1">
        <w:rPr>
          <w:sz w:val="24"/>
          <w:szCs w:val="24"/>
        </w:rPr>
        <w:t xml:space="preserve"> 2</w:t>
      </w:r>
      <w:r w:rsidR="00F93F72">
        <w:rPr>
          <w:sz w:val="24"/>
          <w:szCs w:val="24"/>
        </w:rPr>
        <w:t>7</w:t>
      </w:r>
      <w:r w:rsidRPr="009370C1">
        <w:rPr>
          <w:sz w:val="24"/>
          <w:szCs w:val="24"/>
        </w:rPr>
        <w:t>(</w:t>
      </w:r>
      <w:r w:rsidR="009F586F">
        <w:rPr>
          <w:sz w:val="24"/>
          <w:szCs w:val="24"/>
        </w:rPr>
        <w:t>6</w:t>
      </w:r>
      <w:r w:rsidRPr="009370C1">
        <w:rPr>
          <w:sz w:val="24"/>
          <w:szCs w:val="24"/>
        </w:rPr>
        <w:t xml:space="preserve">) </w:t>
      </w:r>
      <w:r w:rsidR="00886EEC">
        <w:rPr>
          <w:sz w:val="24"/>
          <w:szCs w:val="24"/>
        </w:rPr>
        <w:t>contains</w:t>
      </w:r>
      <w:r w:rsidR="00C27441">
        <w:rPr>
          <w:sz w:val="24"/>
          <w:szCs w:val="24"/>
        </w:rPr>
        <w:t xml:space="preserve"> the </w:t>
      </w:r>
      <w:r w:rsidR="00C27441" w:rsidRPr="00C27441">
        <w:rPr>
          <w:sz w:val="24"/>
          <w:szCs w:val="24"/>
        </w:rPr>
        <w:t xml:space="preserve">accuracy requirements </w:t>
      </w:r>
      <w:r w:rsidR="00C27441">
        <w:rPr>
          <w:sz w:val="24"/>
          <w:szCs w:val="24"/>
        </w:rPr>
        <w:t xml:space="preserve">for the </w:t>
      </w:r>
      <w:r w:rsidR="00C27441" w:rsidRPr="00C27441">
        <w:rPr>
          <w:sz w:val="24"/>
          <w:szCs w:val="24"/>
        </w:rPr>
        <w:t xml:space="preserve">prior period </w:t>
      </w:r>
      <w:proofErr w:type="spellStart"/>
      <w:r w:rsidR="00C27441" w:rsidRPr="00C27441">
        <w:rPr>
          <w:sz w:val="24"/>
          <w:szCs w:val="24"/>
        </w:rPr>
        <w:t>FullCAM</w:t>
      </w:r>
      <w:proofErr w:type="spellEnd"/>
      <w:r w:rsidR="00C27441" w:rsidRPr="00C27441">
        <w:rPr>
          <w:sz w:val="24"/>
          <w:szCs w:val="24"/>
        </w:rPr>
        <w:t xml:space="preserve"> forest estate model</w:t>
      </w:r>
      <w:r w:rsidR="00B4150D">
        <w:rPr>
          <w:sz w:val="24"/>
          <w:szCs w:val="24"/>
        </w:rPr>
        <w:t xml:space="preserve">. These require the </w:t>
      </w:r>
      <w:r w:rsidR="00BC1D8A" w:rsidRPr="009370C1">
        <w:rPr>
          <w:bCs/>
          <w:sz w:val="24"/>
          <w:szCs w:val="24"/>
        </w:rPr>
        <w:t xml:space="preserve">model’s estimates of the </w:t>
      </w:r>
      <w:r w:rsidR="00BC1D8A" w:rsidRPr="009370C1">
        <w:rPr>
          <w:sz w:val="24"/>
          <w:szCs w:val="24"/>
        </w:rPr>
        <w:t xml:space="preserve">total </w:t>
      </w:r>
      <w:r w:rsidR="00BC1D8A" w:rsidRPr="009370C1">
        <w:rPr>
          <w:bCs/>
          <w:sz w:val="24"/>
          <w:szCs w:val="24"/>
        </w:rPr>
        <w:t xml:space="preserve">net harvested area (in hectares) in, and </w:t>
      </w:r>
      <w:r w:rsidR="00BC1D8A" w:rsidRPr="009370C1">
        <w:rPr>
          <w:sz w:val="24"/>
          <w:szCs w:val="24"/>
        </w:rPr>
        <w:t xml:space="preserve">logs produced </w:t>
      </w:r>
      <w:r w:rsidR="00BC1D8A" w:rsidRPr="009370C1">
        <w:rPr>
          <w:bCs/>
          <w:sz w:val="24"/>
          <w:szCs w:val="24"/>
        </w:rPr>
        <w:t>(in cubic metres (m</w:t>
      </w:r>
      <w:r w:rsidR="00BC1D8A" w:rsidRPr="009370C1">
        <w:rPr>
          <w:bCs/>
          <w:sz w:val="24"/>
          <w:szCs w:val="24"/>
          <w:vertAlign w:val="superscript"/>
        </w:rPr>
        <w:t>3</w:t>
      </w:r>
      <w:r w:rsidR="00BC1D8A" w:rsidRPr="009370C1">
        <w:rPr>
          <w:bCs/>
          <w:sz w:val="24"/>
          <w:szCs w:val="24"/>
        </w:rPr>
        <w:t xml:space="preserve">) of logs produced) from, the project area </w:t>
      </w:r>
      <w:r w:rsidR="00BC1D8A" w:rsidRPr="009370C1">
        <w:rPr>
          <w:sz w:val="24"/>
          <w:szCs w:val="24"/>
        </w:rPr>
        <w:t>for the prior period must be within ±5% of the actual values for that period.</w:t>
      </w:r>
      <w:r w:rsidR="009C589C" w:rsidRPr="009370C1">
        <w:rPr>
          <w:sz w:val="24"/>
          <w:szCs w:val="24"/>
        </w:rPr>
        <w:t xml:space="preserve"> </w:t>
      </w:r>
      <w:r w:rsidR="001021FF" w:rsidRPr="009370C1">
        <w:rPr>
          <w:sz w:val="24"/>
          <w:szCs w:val="24"/>
        </w:rPr>
        <w:t>In practice</w:t>
      </w:r>
      <w:r w:rsidR="0090656A" w:rsidRPr="009370C1">
        <w:rPr>
          <w:sz w:val="24"/>
          <w:szCs w:val="24"/>
        </w:rPr>
        <w:t>, meeting th</w:t>
      </w:r>
      <w:r w:rsidR="00886EEC">
        <w:rPr>
          <w:sz w:val="24"/>
          <w:szCs w:val="24"/>
        </w:rPr>
        <w:t>ese</w:t>
      </w:r>
      <w:r w:rsidR="0090656A" w:rsidRPr="009370C1">
        <w:rPr>
          <w:sz w:val="24"/>
          <w:szCs w:val="24"/>
        </w:rPr>
        <w:t xml:space="preserve"> accuracy requirements will require iteration in the prescribed parameters in </w:t>
      </w:r>
      <w:r w:rsidR="00B954CB">
        <w:rPr>
          <w:sz w:val="24"/>
          <w:szCs w:val="24"/>
        </w:rPr>
        <w:t>subsection</w:t>
      </w:r>
      <w:r w:rsidR="00593F65" w:rsidRPr="009370C1">
        <w:rPr>
          <w:sz w:val="24"/>
          <w:szCs w:val="24"/>
        </w:rPr>
        <w:t xml:space="preserve"> 2</w:t>
      </w:r>
      <w:r w:rsidR="00F93F72">
        <w:rPr>
          <w:sz w:val="24"/>
          <w:szCs w:val="24"/>
        </w:rPr>
        <w:t>7</w:t>
      </w:r>
      <w:r w:rsidR="00593F65" w:rsidRPr="009370C1">
        <w:rPr>
          <w:sz w:val="24"/>
          <w:szCs w:val="24"/>
        </w:rPr>
        <w:t xml:space="preserve">(2)(c). </w:t>
      </w:r>
      <w:r w:rsidR="009C589C" w:rsidRPr="009370C1">
        <w:rPr>
          <w:sz w:val="24"/>
          <w:szCs w:val="24"/>
        </w:rPr>
        <w:t xml:space="preserve">This calibration step ensures </w:t>
      </w:r>
      <w:r w:rsidR="00096C51" w:rsidRPr="009370C1">
        <w:rPr>
          <w:sz w:val="24"/>
          <w:szCs w:val="24"/>
        </w:rPr>
        <w:t xml:space="preserve">the </w:t>
      </w:r>
      <w:r w:rsidR="009370C1" w:rsidRPr="009370C1">
        <w:rPr>
          <w:sz w:val="24"/>
          <w:szCs w:val="24"/>
        </w:rPr>
        <w:t>model is sufficiently accurate</w:t>
      </w:r>
      <w:r w:rsidR="001021FF" w:rsidRPr="009370C1">
        <w:rPr>
          <w:sz w:val="24"/>
          <w:szCs w:val="24"/>
        </w:rPr>
        <w:t xml:space="preserve"> for its designated uses under the Determination</w:t>
      </w:r>
      <w:r w:rsidR="005C1C9F" w:rsidRPr="009370C1">
        <w:rPr>
          <w:sz w:val="24"/>
          <w:szCs w:val="24"/>
        </w:rPr>
        <w:t>.</w:t>
      </w:r>
    </w:p>
    <w:p w14:paraId="4B4AD5A4" w14:textId="5A6C0B56" w:rsidR="00F93F72" w:rsidRPr="009370C1" w:rsidRDefault="00F93F72" w:rsidP="00AC2376">
      <w:pPr>
        <w:pStyle w:val="subsection"/>
        <w:spacing w:before="120" w:after="120"/>
        <w:ind w:left="0" w:firstLine="0"/>
        <w:rPr>
          <w:sz w:val="24"/>
          <w:szCs w:val="24"/>
        </w:rPr>
      </w:pPr>
      <w:r w:rsidRPr="00F93F72">
        <w:rPr>
          <w:sz w:val="24"/>
          <w:szCs w:val="24"/>
        </w:rPr>
        <w:t>Subsection 27(</w:t>
      </w:r>
      <w:r>
        <w:rPr>
          <w:sz w:val="24"/>
          <w:szCs w:val="24"/>
        </w:rPr>
        <w:t>7</w:t>
      </w:r>
      <w:r w:rsidRPr="00F93F72">
        <w:rPr>
          <w:sz w:val="24"/>
          <w:szCs w:val="24"/>
        </w:rPr>
        <w:t xml:space="preserve">) </w:t>
      </w:r>
      <w:r w:rsidR="00D57D1C">
        <w:rPr>
          <w:sz w:val="24"/>
          <w:szCs w:val="24"/>
        </w:rPr>
        <w:t>promotes transparency by requiring the</w:t>
      </w:r>
      <w:r w:rsidRPr="00F93F72">
        <w:rPr>
          <w:sz w:val="24"/>
          <w:szCs w:val="24"/>
        </w:rPr>
        <w:t xml:space="preserve"> project proponent </w:t>
      </w:r>
      <w:r w:rsidR="00D57D1C">
        <w:rPr>
          <w:sz w:val="24"/>
          <w:szCs w:val="24"/>
        </w:rPr>
        <w:t>to</w:t>
      </w:r>
      <w:r w:rsidRPr="00F93F72">
        <w:rPr>
          <w:sz w:val="24"/>
          <w:szCs w:val="24"/>
        </w:rPr>
        <w:t xml:space="preserve"> publish all necessary information, including full details of the method and all relevant data, to enable third parties to recreate the representative </w:t>
      </w:r>
      <w:proofErr w:type="spellStart"/>
      <w:r w:rsidRPr="00F93F72">
        <w:rPr>
          <w:sz w:val="24"/>
          <w:szCs w:val="24"/>
        </w:rPr>
        <w:t>FullCAM</w:t>
      </w:r>
      <w:proofErr w:type="spellEnd"/>
      <w:r w:rsidRPr="00F93F72">
        <w:rPr>
          <w:sz w:val="24"/>
          <w:szCs w:val="24"/>
        </w:rPr>
        <w:t xml:space="preserve"> model plots developed under subsections (1) and (3) and the prior period </w:t>
      </w:r>
      <w:proofErr w:type="spellStart"/>
      <w:r w:rsidRPr="00F93F72">
        <w:rPr>
          <w:sz w:val="24"/>
          <w:szCs w:val="24"/>
        </w:rPr>
        <w:t>FullCAM</w:t>
      </w:r>
      <w:proofErr w:type="spellEnd"/>
      <w:r w:rsidRPr="00F93F72">
        <w:rPr>
          <w:sz w:val="24"/>
          <w:szCs w:val="24"/>
        </w:rPr>
        <w:t xml:space="preserve"> forest estate model</w:t>
      </w:r>
      <w:r w:rsidR="00D57D1C">
        <w:rPr>
          <w:sz w:val="24"/>
          <w:szCs w:val="24"/>
        </w:rPr>
        <w:t xml:space="preserve">. </w:t>
      </w:r>
      <w:r w:rsidR="009830F2">
        <w:rPr>
          <w:sz w:val="24"/>
          <w:szCs w:val="24"/>
        </w:rPr>
        <w:t xml:space="preserve">This approach to transparency </w:t>
      </w:r>
      <w:r w:rsidR="00834B5E">
        <w:rPr>
          <w:sz w:val="24"/>
          <w:szCs w:val="24"/>
        </w:rPr>
        <w:t>accords with</w:t>
      </w:r>
      <w:r w:rsidR="009830F2">
        <w:rPr>
          <w:sz w:val="24"/>
          <w:szCs w:val="24"/>
        </w:rPr>
        <w:t xml:space="preserve"> international best practice, as reflected in </w:t>
      </w:r>
      <w:r w:rsidR="00EB06C0">
        <w:rPr>
          <w:sz w:val="24"/>
          <w:szCs w:val="24"/>
        </w:rPr>
        <w:t xml:space="preserve">The Integrity Council for the Voluntary Carbon Market’s </w:t>
      </w:r>
      <w:r w:rsidR="00EB06C0" w:rsidRPr="00834B5E">
        <w:rPr>
          <w:i/>
          <w:iCs/>
          <w:sz w:val="24"/>
          <w:szCs w:val="24"/>
        </w:rPr>
        <w:t>Core Carbon Principles</w:t>
      </w:r>
      <w:r w:rsidR="00EB06C0">
        <w:rPr>
          <w:sz w:val="24"/>
          <w:szCs w:val="24"/>
        </w:rPr>
        <w:t xml:space="preserve"> (criterion </w:t>
      </w:r>
      <w:r w:rsidR="009844DD">
        <w:rPr>
          <w:sz w:val="24"/>
          <w:szCs w:val="24"/>
        </w:rPr>
        <w:t>3.1).</w:t>
      </w:r>
    </w:p>
    <w:p w14:paraId="4CDDC90D" w14:textId="2935640E" w:rsidR="00247EFD" w:rsidRDefault="00247EFD" w:rsidP="00AC2376">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4</w:t>
      </w:r>
      <w:r w:rsidRPr="00A656D9">
        <w:rPr>
          <w:rFonts w:ascii="Times New Roman" w:hAnsi="Times New Roman" w:cs="Times New Roman"/>
          <w:b/>
          <w:bCs/>
          <w:sz w:val="24"/>
          <w:szCs w:val="24"/>
        </w:rPr>
        <w:t>—</w:t>
      </w:r>
      <w:r w:rsidR="00B25873" w:rsidRPr="00B25873">
        <w:rPr>
          <w:rFonts w:ascii="Times New Roman" w:hAnsi="Times New Roman" w:cs="Times New Roman"/>
          <w:b/>
          <w:bCs/>
          <w:sz w:val="24"/>
          <w:szCs w:val="24"/>
        </w:rPr>
        <w:t>Baseline harvest levels</w:t>
      </w:r>
    </w:p>
    <w:p w14:paraId="76AE5FA5" w14:textId="08BCEA1C" w:rsidR="00820E17" w:rsidRDefault="00337369" w:rsidP="00337369">
      <w:pPr>
        <w:pStyle w:val="subsection"/>
        <w:spacing w:before="120" w:after="120"/>
        <w:ind w:left="0" w:firstLine="0"/>
        <w:rPr>
          <w:sz w:val="24"/>
          <w:szCs w:val="24"/>
        </w:rPr>
      </w:pPr>
      <w:r>
        <w:rPr>
          <w:sz w:val="24"/>
          <w:szCs w:val="24"/>
        </w:rPr>
        <w:t>Division 5.</w:t>
      </w:r>
      <w:r w:rsidR="00406507">
        <w:rPr>
          <w:sz w:val="24"/>
          <w:szCs w:val="24"/>
        </w:rPr>
        <w:t>4</w:t>
      </w:r>
      <w:r>
        <w:rPr>
          <w:sz w:val="24"/>
          <w:szCs w:val="24"/>
        </w:rPr>
        <w:t xml:space="preserve"> requires the proponent to</w:t>
      </w:r>
      <w:r w:rsidR="00820E17">
        <w:rPr>
          <w:sz w:val="24"/>
          <w:szCs w:val="24"/>
        </w:rPr>
        <w:t>:</w:t>
      </w:r>
      <w:r>
        <w:rPr>
          <w:sz w:val="24"/>
          <w:szCs w:val="24"/>
        </w:rPr>
        <w:t xml:space="preserve"> </w:t>
      </w:r>
    </w:p>
    <w:p w14:paraId="39E08F0F" w14:textId="77777777" w:rsidR="00820E17" w:rsidRDefault="00337369" w:rsidP="009D5A62">
      <w:pPr>
        <w:pStyle w:val="subsection"/>
        <w:numPr>
          <w:ilvl w:val="0"/>
          <w:numId w:val="55"/>
        </w:numPr>
        <w:spacing w:before="120" w:after="120"/>
        <w:rPr>
          <w:sz w:val="24"/>
          <w:szCs w:val="24"/>
        </w:rPr>
      </w:pPr>
      <w:r>
        <w:rPr>
          <w:sz w:val="24"/>
          <w:szCs w:val="24"/>
        </w:rPr>
        <w:t xml:space="preserve">calculate the </w:t>
      </w:r>
      <w:r w:rsidRPr="004428D6">
        <w:rPr>
          <w:sz w:val="24"/>
          <w:szCs w:val="24"/>
        </w:rPr>
        <w:t>baseline harvest level</w:t>
      </w:r>
      <w:r>
        <w:rPr>
          <w:sz w:val="24"/>
          <w:szCs w:val="24"/>
        </w:rPr>
        <w:t xml:space="preserve"> </w:t>
      </w:r>
      <w:r w:rsidRPr="004428D6">
        <w:rPr>
          <w:sz w:val="24"/>
          <w:szCs w:val="24"/>
        </w:rPr>
        <w:t>in cubic metres (m</w:t>
      </w:r>
      <w:r w:rsidRPr="00AC2376">
        <w:rPr>
          <w:sz w:val="24"/>
          <w:szCs w:val="24"/>
          <w:vertAlign w:val="superscript"/>
        </w:rPr>
        <w:t>3</w:t>
      </w:r>
      <w:r w:rsidRPr="004428D6">
        <w:rPr>
          <w:sz w:val="24"/>
          <w:szCs w:val="24"/>
        </w:rPr>
        <w:t>) of wood harvested</w:t>
      </w:r>
      <w:r>
        <w:rPr>
          <w:sz w:val="24"/>
          <w:szCs w:val="24"/>
        </w:rPr>
        <w:t xml:space="preserve"> and then to convert this into the </w:t>
      </w:r>
      <w:r w:rsidRPr="004428D6">
        <w:rPr>
          <w:sz w:val="24"/>
          <w:szCs w:val="24"/>
        </w:rPr>
        <w:t>net area subject to harvesting in the baseline scenario</w:t>
      </w:r>
      <w:r>
        <w:rPr>
          <w:sz w:val="24"/>
          <w:szCs w:val="24"/>
        </w:rPr>
        <w:t xml:space="preserve"> (baseline net harvest area)</w:t>
      </w:r>
      <w:r w:rsidR="00820E17">
        <w:rPr>
          <w:sz w:val="24"/>
          <w:szCs w:val="24"/>
        </w:rPr>
        <w:t>; and</w:t>
      </w:r>
    </w:p>
    <w:p w14:paraId="0BA488FC" w14:textId="77777777" w:rsidR="00820E17" w:rsidRDefault="00820E17" w:rsidP="009D5A62">
      <w:pPr>
        <w:pStyle w:val="subsection"/>
        <w:numPr>
          <w:ilvl w:val="0"/>
          <w:numId w:val="55"/>
        </w:numPr>
        <w:spacing w:before="120" w:after="120"/>
        <w:rPr>
          <w:sz w:val="24"/>
          <w:szCs w:val="24"/>
        </w:rPr>
      </w:pPr>
      <w:r>
        <w:rPr>
          <w:sz w:val="24"/>
          <w:szCs w:val="24"/>
        </w:rPr>
        <w:t>calculate the</w:t>
      </w:r>
      <w:r w:rsidR="00337369">
        <w:rPr>
          <w:sz w:val="24"/>
          <w:szCs w:val="24"/>
        </w:rPr>
        <w:t xml:space="preserve"> </w:t>
      </w:r>
      <w:r w:rsidR="00A313A0" w:rsidRPr="00A313A0">
        <w:rPr>
          <w:sz w:val="24"/>
          <w:szCs w:val="24"/>
        </w:rPr>
        <w:t xml:space="preserve">area cleared to facilitate harvesting in the baseline </w:t>
      </w:r>
      <w:r>
        <w:rPr>
          <w:sz w:val="24"/>
          <w:szCs w:val="24"/>
        </w:rPr>
        <w:t xml:space="preserve">scenario. </w:t>
      </w:r>
    </w:p>
    <w:p w14:paraId="587D005A" w14:textId="6507D720" w:rsidR="001F3748" w:rsidRDefault="001F3748" w:rsidP="00337369">
      <w:pPr>
        <w:pStyle w:val="subsection"/>
        <w:spacing w:before="120" w:after="120"/>
        <w:ind w:left="0" w:firstLine="0"/>
        <w:rPr>
          <w:sz w:val="24"/>
          <w:szCs w:val="24"/>
        </w:rPr>
      </w:pPr>
      <w:r>
        <w:rPr>
          <w:sz w:val="24"/>
          <w:szCs w:val="24"/>
        </w:rPr>
        <w:t xml:space="preserve">This is Step </w:t>
      </w:r>
      <w:r w:rsidR="00BD7D5A">
        <w:rPr>
          <w:sz w:val="24"/>
          <w:szCs w:val="24"/>
        </w:rPr>
        <w:t>2</w:t>
      </w:r>
      <w:r>
        <w:rPr>
          <w:sz w:val="24"/>
          <w:szCs w:val="24"/>
        </w:rPr>
        <w:t xml:space="preserve"> in the </w:t>
      </w:r>
      <w:r w:rsidR="0010326C">
        <w:rPr>
          <w:sz w:val="24"/>
          <w:szCs w:val="24"/>
        </w:rPr>
        <w:t xml:space="preserve">summary of the method for calculating the net abatement amount (in section 25). </w:t>
      </w:r>
    </w:p>
    <w:p w14:paraId="479E302C" w14:textId="50A31257" w:rsidR="00337369" w:rsidRDefault="00337369" w:rsidP="00337369">
      <w:pPr>
        <w:pStyle w:val="subsection"/>
        <w:spacing w:before="120" w:after="120"/>
        <w:ind w:left="0" w:firstLine="0"/>
        <w:rPr>
          <w:sz w:val="24"/>
          <w:szCs w:val="24"/>
        </w:rPr>
      </w:pPr>
      <w:r>
        <w:rPr>
          <w:sz w:val="24"/>
          <w:szCs w:val="24"/>
        </w:rPr>
        <w:lastRenderedPageBreak/>
        <w:t>The baseline harvest level</w:t>
      </w:r>
      <w:r w:rsidR="002E7AB7">
        <w:rPr>
          <w:sz w:val="24"/>
          <w:szCs w:val="24"/>
        </w:rPr>
        <w:t xml:space="preserve">, </w:t>
      </w:r>
      <w:r>
        <w:rPr>
          <w:sz w:val="24"/>
          <w:szCs w:val="24"/>
        </w:rPr>
        <w:t>baseline net harvest area</w:t>
      </w:r>
      <w:r w:rsidRPr="004428D6">
        <w:rPr>
          <w:sz w:val="24"/>
          <w:szCs w:val="24"/>
        </w:rPr>
        <w:t xml:space="preserve"> </w:t>
      </w:r>
      <w:r w:rsidR="002E7AB7">
        <w:rPr>
          <w:sz w:val="24"/>
          <w:szCs w:val="24"/>
        </w:rPr>
        <w:t xml:space="preserve">and the </w:t>
      </w:r>
      <w:r w:rsidR="002E7AB7" w:rsidRPr="000D1E1D">
        <w:rPr>
          <w:sz w:val="24"/>
          <w:szCs w:val="24"/>
        </w:rPr>
        <w:t xml:space="preserve">area cleared to facilitate harvesting in the baseline scenario </w:t>
      </w:r>
      <w:r w:rsidRPr="004428D6">
        <w:rPr>
          <w:sz w:val="24"/>
          <w:szCs w:val="24"/>
        </w:rPr>
        <w:t>are used to model carbon stock changes and emissions in the baseline scenario</w:t>
      </w:r>
      <w:r>
        <w:rPr>
          <w:sz w:val="24"/>
          <w:szCs w:val="24"/>
        </w:rPr>
        <w:t>. They</w:t>
      </w:r>
      <w:r w:rsidRPr="004428D6">
        <w:rPr>
          <w:sz w:val="24"/>
          <w:szCs w:val="24"/>
        </w:rPr>
        <w:t xml:space="preserve"> </w:t>
      </w:r>
      <w:r>
        <w:rPr>
          <w:sz w:val="24"/>
          <w:szCs w:val="24"/>
        </w:rPr>
        <w:t>are</w:t>
      </w:r>
      <w:r w:rsidRPr="004428D6">
        <w:rPr>
          <w:sz w:val="24"/>
          <w:szCs w:val="24"/>
        </w:rPr>
        <w:t xml:space="preserve"> intended to reflect a conservative estimate of the harvest</w:t>
      </w:r>
      <w:r w:rsidR="00754980">
        <w:rPr>
          <w:sz w:val="24"/>
          <w:szCs w:val="24"/>
        </w:rPr>
        <w:t xml:space="preserve"> related activities</w:t>
      </w:r>
      <w:r w:rsidRPr="004428D6">
        <w:rPr>
          <w:sz w:val="24"/>
          <w:szCs w:val="24"/>
        </w:rPr>
        <w:t xml:space="preserve"> in the project area in the absence of the </w:t>
      </w:r>
      <w:r>
        <w:rPr>
          <w:sz w:val="24"/>
          <w:szCs w:val="24"/>
        </w:rPr>
        <w:t>INFM project</w:t>
      </w:r>
      <w:r w:rsidRPr="004428D6">
        <w:rPr>
          <w:sz w:val="24"/>
          <w:szCs w:val="24"/>
        </w:rPr>
        <w:t>.</w:t>
      </w:r>
    </w:p>
    <w:p w14:paraId="7376C3EC" w14:textId="1746EB9E" w:rsidR="00247EFD" w:rsidRPr="00310D38" w:rsidRDefault="00433D96" w:rsidP="00AC2376">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247EFD">
        <w:rPr>
          <w:rFonts w:ascii="Times New Roman" w:hAnsi="Times New Roman" w:cs="Times New Roman"/>
          <w:sz w:val="24"/>
          <w:szCs w:val="24"/>
          <w:u w:val="single"/>
        </w:rPr>
        <w:t>2</w:t>
      </w:r>
      <w:r w:rsidR="00BD7D5A">
        <w:rPr>
          <w:rFonts w:ascii="Times New Roman" w:hAnsi="Times New Roman" w:cs="Times New Roman"/>
          <w:sz w:val="24"/>
          <w:szCs w:val="24"/>
          <w:u w:val="single"/>
        </w:rPr>
        <w:t>8</w:t>
      </w:r>
      <w:r w:rsidR="00247EFD" w:rsidRPr="00310D38">
        <w:rPr>
          <w:rFonts w:ascii="Times New Roman" w:hAnsi="Times New Roman" w:cs="Times New Roman"/>
          <w:sz w:val="24"/>
          <w:szCs w:val="24"/>
          <w:u w:val="single"/>
        </w:rPr>
        <w:t xml:space="preserve"> – </w:t>
      </w:r>
      <w:r w:rsidR="00AD4CF6" w:rsidRPr="00AD4CF6">
        <w:rPr>
          <w:rFonts w:ascii="Times New Roman" w:hAnsi="Times New Roman" w:cs="Times New Roman"/>
          <w:sz w:val="24"/>
          <w:szCs w:val="24"/>
          <w:u w:val="single"/>
        </w:rPr>
        <w:t>Calculating baseline harvest levels, in volume of wood harvested</w:t>
      </w:r>
    </w:p>
    <w:p w14:paraId="50315B04" w14:textId="37430246" w:rsidR="000B3AAF" w:rsidRDefault="00F07D1D" w:rsidP="00EA1F1B">
      <w:pPr>
        <w:pStyle w:val="subsection"/>
        <w:spacing w:before="120" w:after="120"/>
        <w:ind w:left="0" w:firstLine="0"/>
        <w:rPr>
          <w:sz w:val="24"/>
          <w:szCs w:val="24"/>
        </w:rPr>
      </w:pPr>
      <w:r w:rsidRPr="00DF430D">
        <w:rPr>
          <w:sz w:val="24"/>
          <w:szCs w:val="24"/>
        </w:rPr>
        <w:t>Subsection</w:t>
      </w:r>
      <w:r>
        <w:rPr>
          <w:sz w:val="24"/>
          <w:szCs w:val="24"/>
        </w:rPr>
        <w:t xml:space="preserve"> </w:t>
      </w:r>
      <w:r w:rsidR="002E0544">
        <w:rPr>
          <w:sz w:val="24"/>
          <w:szCs w:val="24"/>
        </w:rPr>
        <w:t>2</w:t>
      </w:r>
      <w:r w:rsidR="009678B6">
        <w:rPr>
          <w:sz w:val="24"/>
          <w:szCs w:val="24"/>
        </w:rPr>
        <w:t>8</w:t>
      </w:r>
      <w:r w:rsidR="00321AE9" w:rsidRPr="00321AE9">
        <w:rPr>
          <w:sz w:val="24"/>
          <w:szCs w:val="24"/>
        </w:rPr>
        <w:t>(1)</w:t>
      </w:r>
      <w:r w:rsidR="006873EE">
        <w:rPr>
          <w:sz w:val="24"/>
          <w:szCs w:val="24"/>
        </w:rPr>
        <w:t xml:space="preserve"> </w:t>
      </w:r>
      <w:r w:rsidR="006D1F0B">
        <w:rPr>
          <w:sz w:val="24"/>
          <w:szCs w:val="24"/>
        </w:rPr>
        <w:t xml:space="preserve">specifies that the </w:t>
      </w:r>
      <w:r w:rsidR="00F6246A" w:rsidRPr="004428D6">
        <w:rPr>
          <w:sz w:val="24"/>
          <w:szCs w:val="24"/>
        </w:rPr>
        <w:t>baseline harvest level</w:t>
      </w:r>
      <w:r w:rsidR="00F6246A">
        <w:rPr>
          <w:sz w:val="24"/>
          <w:szCs w:val="24"/>
        </w:rPr>
        <w:t xml:space="preserve"> for the reporting period, </w:t>
      </w:r>
      <w:r w:rsidR="00F6246A" w:rsidRPr="004428D6">
        <w:rPr>
          <w:sz w:val="24"/>
          <w:szCs w:val="24"/>
        </w:rPr>
        <w:t>in cubic metres (m</w:t>
      </w:r>
      <w:r w:rsidR="00F6246A" w:rsidRPr="00AC2376">
        <w:rPr>
          <w:sz w:val="24"/>
          <w:szCs w:val="24"/>
          <w:vertAlign w:val="superscript"/>
        </w:rPr>
        <w:t>3</w:t>
      </w:r>
      <w:r w:rsidR="00F6246A" w:rsidRPr="004428D6">
        <w:rPr>
          <w:sz w:val="24"/>
          <w:szCs w:val="24"/>
        </w:rPr>
        <w:t xml:space="preserve">) </w:t>
      </w:r>
      <w:r w:rsidR="00F6246A">
        <w:rPr>
          <w:sz w:val="24"/>
          <w:szCs w:val="24"/>
        </w:rPr>
        <w:t xml:space="preserve">of logs produced, </w:t>
      </w:r>
      <w:r w:rsidR="006D1F0B" w:rsidRPr="006D1F0B">
        <w:rPr>
          <w:sz w:val="24"/>
          <w:szCs w:val="24"/>
        </w:rPr>
        <w:t xml:space="preserve">is the latest </w:t>
      </w:r>
      <w:r w:rsidR="006D1F0B" w:rsidRPr="00BC5DD0">
        <w:rPr>
          <w:b/>
          <w:bCs/>
          <w:sz w:val="24"/>
          <w:szCs w:val="24"/>
        </w:rPr>
        <w:t>modified sustainable yield</w:t>
      </w:r>
      <w:r w:rsidR="006D1F0B" w:rsidRPr="006D1F0B">
        <w:rPr>
          <w:sz w:val="24"/>
          <w:szCs w:val="24"/>
        </w:rPr>
        <w:t xml:space="preserve"> </w:t>
      </w:r>
      <w:r w:rsidR="00DB4C87">
        <w:rPr>
          <w:sz w:val="24"/>
          <w:szCs w:val="24"/>
        </w:rPr>
        <w:t>for the period.</w:t>
      </w:r>
      <w:r w:rsidR="002E28B3">
        <w:rPr>
          <w:sz w:val="24"/>
          <w:szCs w:val="24"/>
        </w:rPr>
        <w:t xml:space="preserve"> </w:t>
      </w:r>
      <w:r w:rsidR="00F10D03">
        <w:rPr>
          <w:sz w:val="24"/>
          <w:szCs w:val="24"/>
        </w:rPr>
        <w:t xml:space="preserve">The </w:t>
      </w:r>
      <w:r w:rsidR="00F10D03" w:rsidRPr="00321AE9">
        <w:rPr>
          <w:sz w:val="24"/>
          <w:szCs w:val="24"/>
        </w:rPr>
        <w:t xml:space="preserve">modified sustainable yield </w:t>
      </w:r>
      <w:r w:rsidR="00F10D03">
        <w:rPr>
          <w:sz w:val="24"/>
          <w:szCs w:val="24"/>
        </w:rPr>
        <w:t xml:space="preserve">is calculated as follows. </w:t>
      </w:r>
    </w:p>
    <w:p w14:paraId="32BBB380" w14:textId="77DD0544" w:rsidR="000B3AAF" w:rsidRPr="00B415FF" w:rsidRDefault="00F10D03" w:rsidP="009D5A62">
      <w:pPr>
        <w:pStyle w:val="subsection"/>
        <w:numPr>
          <w:ilvl w:val="0"/>
          <w:numId w:val="47"/>
        </w:numPr>
        <w:spacing w:before="120" w:after="120"/>
        <w:rPr>
          <w:sz w:val="24"/>
          <w:szCs w:val="24"/>
        </w:rPr>
      </w:pPr>
      <w:r>
        <w:rPr>
          <w:sz w:val="24"/>
          <w:szCs w:val="24"/>
        </w:rPr>
        <w:t>I</w:t>
      </w:r>
      <w:r w:rsidR="00321AE9" w:rsidRPr="00321AE9">
        <w:rPr>
          <w:sz w:val="24"/>
          <w:szCs w:val="24"/>
        </w:rPr>
        <w:t xml:space="preserve">f there is a sufficient </w:t>
      </w:r>
      <w:r w:rsidR="00321AE9" w:rsidRPr="00731194">
        <w:rPr>
          <w:sz w:val="24"/>
          <w:szCs w:val="24"/>
        </w:rPr>
        <w:t>correlation for the project between the sustainable yield and log production during the baseline period (defined as a coefficient of determination (R</w:t>
      </w:r>
      <w:r w:rsidR="00321AE9" w:rsidRPr="00731194">
        <w:rPr>
          <w:sz w:val="24"/>
          <w:szCs w:val="24"/>
          <w:vertAlign w:val="superscript"/>
        </w:rPr>
        <w:t>2</w:t>
      </w:r>
      <w:r w:rsidR="00321AE9" w:rsidRPr="00731194">
        <w:rPr>
          <w:sz w:val="24"/>
          <w:szCs w:val="24"/>
        </w:rPr>
        <w:t xml:space="preserve">) of </w:t>
      </w:r>
      <w:r w:rsidR="00D9572F" w:rsidRPr="00731194">
        <w:rPr>
          <w:sz w:val="24"/>
          <w:szCs w:val="24"/>
        </w:rPr>
        <w:t>equal to or greater</w:t>
      </w:r>
      <w:r w:rsidR="00321AE9" w:rsidRPr="00731194">
        <w:rPr>
          <w:sz w:val="24"/>
          <w:szCs w:val="24"/>
        </w:rPr>
        <w:t xml:space="preserve"> than 0.7) – </w:t>
      </w:r>
      <w:r w:rsidR="00731194" w:rsidRPr="00731194">
        <w:rPr>
          <w:rFonts w:eastAsiaTheme="minorEastAsia"/>
          <w:sz w:val="24"/>
          <w:szCs w:val="24"/>
          <w:lang w:val="en-US"/>
        </w:rPr>
        <w:t xml:space="preserve">the </w:t>
      </w:r>
      <w:r w:rsidR="00731194" w:rsidRPr="00731194">
        <w:rPr>
          <w:sz w:val="24"/>
          <w:szCs w:val="24"/>
        </w:rPr>
        <w:t>modified sustainable yield</w:t>
      </w:r>
      <w:r w:rsidR="00731194" w:rsidRPr="00731194">
        <w:rPr>
          <w:rFonts w:eastAsiaTheme="minorEastAsia"/>
          <w:sz w:val="24"/>
          <w:szCs w:val="24"/>
          <w:lang w:val="en-US"/>
        </w:rPr>
        <w:t xml:space="preserve"> is the </w:t>
      </w:r>
      <w:r w:rsidR="00731194" w:rsidRPr="00BC5DD0">
        <w:rPr>
          <w:rFonts w:eastAsiaTheme="minorEastAsia"/>
          <w:b/>
          <w:bCs/>
          <w:sz w:val="24"/>
          <w:szCs w:val="24"/>
          <w:lang w:val="en-US"/>
        </w:rPr>
        <w:t>unmodified sustainable yield</w:t>
      </w:r>
      <w:r w:rsidR="00731194" w:rsidRPr="00731194">
        <w:rPr>
          <w:rFonts w:eastAsiaTheme="minorEastAsia"/>
          <w:sz w:val="24"/>
          <w:szCs w:val="24"/>
          <w:lang w:val="en-US"/>
        </w:rPr>
        <w:t xml:space="preserve"> that applies to the reporting period, calculated in accordance with </w:t>
      </w:r>
      <w:r w:rsidR="00731194" w:rsidRPr="00B415FF">
        <w:rPr>
          <w:rFonts w:eastAsiaTheme="minorEastAsia"/>
          <w:sz w:val="24"/>
          <w:szCs w:val="24"/>
          <w:lang w:val="en-US"/>
        </w:rPr>
        <w:t>subsection 28(2), multiplied by the average log production to sustainable yield ratio over the baseline period</w:t>
      </w:r>
      <w:r w:rsidR="006F6736" w:rsidRPr="00B415FF">
        <w:rPr>
          <w:sz w:val="24"/>
          <w:szCs w:val="24"/>
        </w:rPr>
        <w:t>.</w:t>
      </w:r>
      <w:r w:rsidR="00321AE9" w:rsidRPr="00B415FF">
        <w:rPr>
          <w:sz w:val="24"/>
          <w:szCs w:val="24"/>
        </w:rPr>
        <w:t xml:space="preserve"> </w:t>
      </w:r>
    </w:p>
    <w:p w14:paraId="6DA024BB" w14:textId="30B45C31" w:rsidR="000B3AAF" w:rsidRPr="00B415FF" w:rsidRDefault="006F6736" w:rsidP="009D5A62">
      <w:pPr>
        <w:pStyle w:val="subsection"/>
        <w:numPr>
          <w:ilvl w:val="0"/>
          <w:numId w:val="47"/>
        </w:numPr>
        <w:spacing w:before="120" w:after="120"/>
        <w:rPr>
          <w:sz w:val="24"/>
          <w:szCs w:val="24"/>
        </w:rPr>
      </w:pPr>
      <w:r w:rsidRPr="00B415FF">
        <w:rPr>
          <w:sz w:val="24"/>
          <w:szCs w:val="24"/>
        </w:rPr>
        <w:t>I</w:t>
      </w:r>
      <w:r w:rsidR="00321AE9" w:rsidRPr="00B415FF">
        <w:rPr>
          <w:sz w:val="24"/>
          <w:szCs w:val="24"/>
        </w:rPr>
        <w:t>f there is not a sufficient correlation for the project between the sustainable yield and log production during the baseline period (defined as a coefficient of determination (R</w:t>
      </w:r>
      <w:r w:rsidR="00321AE9" w:rsidRPr="00B415FF">
        <w:rPr>
          <w:sz w:val="24"/>
          <w:szCs w:val="24"/>
          <w:vertAlign w:val="superscript"/>
        </w:rPr>
        <w:t>2</w:t>
      </w:r>
      <w:r w:rsidR="00321AE9" w:rsidRPr="00B415FF">
        <w:rPr>
          <w:sz w:val="24"/>
          <w:szCs w:val="24"/>
        </w:rPr>
        <w:t>) less than 0.7)</w:t>
      </w:r>
      <w:r w:rsidR="00EA1F1B" w:rsidRPr="00B415FF">
        <w:rPr>
          <w:sz w:val="24"/>
          <w:szCs w:val="24"/>
        </w:rPr>
        <w:t xml:space="preserve">, </w:t>
      </w:r>
      <w:r w:rsidR="00321AE9" w:rsidRPr="00B415FF">
        <w:rPr>
          <w:sz w:val="24"/>
          <w:szCs w:val="24"/>
        </w:rPr>
        <w:t xml:space="preserve">the </w:t>
      </w:r>
      <w:r w:rsidR="00D60665" w:rsidRPr="00B415FF">
        <w:rPr>
          <w:sz w:val="24"/>
          <w:szCs w:val="24"/>
        </w:rPr>
        <w:t xml:space="preserve">modified sustainable yield </w:t>
      </w:r>
      <w:r w:rsidR="00321AE9" w:rsidRPr="00B415FF">
        <w:rPr>
          <w:sz w:val="24"/>
          <w:szCs w:val="24"/>
        </w:rPr>
        <w:t>is either:</w:t>
      </w:r>
    </w:p>
    <w:p w14:paraId="70B8A24D" w14:textId="3F1FBC73" w:rsidR="000B3AAF" w:rsidRPr="00B415FF" w:rsidRDefault="006247F9" w:rsidP="009D5A62">
      <w:pPr>
        <w:pStyle w:val="subsection"/>
        <w:numPr>
          <w:ilvl w:val="1"/>
          <w:numId w:val="48"/>
        </w:numPr>
        <w:spacing w:before="120" w:after="120"/>
        <w:rPr>
          <w:sz w:val="24"/>
          <w:szCs w:val="24"/>
        </w:rPr>
      </w:pPr>
      <w:r w:rsidRPr="00B415FF">
        <w:rPr>
          <w:sz w:val="24"/>
          <w:szCs w:val="24"/>
        </w:rPr>
        <w:t>i</w:t>
      </w:r>
      <w:r w:rsidR="00321AE9" w:rsidRPr="00B415FF">
        <w:rPr>
          <w:sz w:val="24"/>
          <w:szCs w:val="24"/>
        </w:rPr>
        <w:t xml:space="preserve">f the log production to sustainable yield ratio over the baseline period was equal to or greater than 0.8 in all years – </w:t>
      </w:r>
      <w:r w:rsidR="003445A8" w:rsidRPr="00B415FF">
        <w:rPr>
          <w:sz w:val="24"/>
          <w:szCs w:val="24"/>
        </w:rPr>
        <w:t xml:space="preserve">the unmodified sustainable yield </w:t>
      </w:r>
      <w:r w:rsidR="003445A8" w:rsidRPr="00B415FF">
        <w:rPr>
          <w:rFonts w:eastAsiaTheme="minorEastAsia"/>
          <w:sz w:val="24"/>
          <w:szCs w:val="24"/>
          <w:lang w:val="en-US"/>
        </w:rPr>
        <w:t xml:space="preserve">that applies to the reporting period, calculated in accordance with subsection </w:t>
      </w:r>
      <w:r w:rsidR="00BC5DD0" w:rsidRPr="00B415FF">
        <w:rPr>
          <w:rFonts w:eastAsiaTheme="minorEastAsia"/>
          <w:sz w:val="24"/>
          <w:szCs w:val="24"/>
          <w:lang w:val="en-US"/>
        </w:rPr>
        <w:t>28</w:t>
      </w:r>
      <w:r w:rsidR="003445A8" w:rsidRPr="00B415FF">
        <w:rPr>
          <w:rFonts w:eastAsiaTheme="minorEastAsia"/>
          <w:sz w:val="24"/>
          <w:szCs w:val="24"/>
          <w:lang w:val="en-US"/>
        </w:rPr>
        <w:t xml:space="preserve">(2), </w:t>
      </w:r>
      <w:r w:rsidR="003445A8" w:rsidRPr="00B415FF">
        <w:rPr>
          <w:sz w:val="24"/>
          <w:szCs w:val="24"/>
        </w:rPr>
        <w:t>multiplied by 0.8</w:t>
      </w:r>
      <w:r w:rsidR="00321AE9" w:rsidRPr="00B415FF">
        <w:rPr>
          <w:sz w:val="24"/>
          <w:szCs w:val="24"/>
        </w:rPr>
        <w:t>; or</w:t>
      </w:r>
    </w:p>
    <w:p w14:paraId="67F3D45B" w14:textId="2DBE7DE2" w:rsidR="00321AE9" w:rsidRPr="00B415FF" w:rsidRDefault="00321AE9" w:rsidP="009D5A62">
      <w:pPr>
        <w:pStyle w:val="subsection"/>
        <w:numPr>
          <w:ilvl w:val="1"/>
          <w:numId w:val="48"/>
        </w:numPr>
        <w:spacing w:before="120" w:after="120"/>
        <w:rPr>
          <w:sz w:val="24"/>
          <w:szCs w:val="24"/>
        </w:rPr>
      </w:pPr>
      <w:r w:rsidRPr="00B415FF">
        <w:rPr>
          <w:sz w:val="24"/>
          <w:szCs w:val="24"/>
        </w:rPr>
        <w:t>if the log production to sustainable yield ratio over the baseline period was less than 0.8 in any year –</w:t>
      </w:r>
      <w:r w:rsidR="00BC5DD0" w:rsidRPr="00B415FF">
        <w:rPr>
          <w:sz w:val="24"/>
          <w:szCs w:val="24"/>
        </w:rPr>
        <w:t xml:space="preserve"> the unmodified sustainable yield </w:t>
      </w:r>
      <w:r w:rsidR="00BC5DD0" w:rsidRPr="00B415FF">
        <w:rPr>
          <w:rFonts w:eastAsiaTheme="minorEastAsia"/>
          <w:sz w:val="24"/>
          <w:szCs w:val="24"/>
          <w:lang w:val="en-US"/>
        </w:rPr>
        <w:t xml:space="preserve">that applies to the reporting period, calculated in accordance with subsection 28(2), </w:t>
      </w:r>
      <w:r w:rsidR="00BC5DD0" w:rsidRPr="00B415FF">
        <w:rPr>
          <w:sz w:val="24"/>
          <w:szCs w:val="24"/>
        </w:rPr>
        <w:t>multiplied by the lower of the average log production to sustainable yield ratio over the baseline period or 0.6</w:t>
      </w:r>
      <w:r w:rsidRPr="00B415FF">
        <w:rPr>
          <w:sz w:val="24"/>
          <w:szCs w:val="24"/>
        </w:rPr>
        <w:t>.</w:t>
      </w:r>
    </w:p>
    <w:p w14:paraId="68164CD0" w14:textId="452A25AC" w:rsidR="007E6013" w:rsidRPr="00B415FF" w:rsidRDefault="007E6013" w:rsidP="007E6013">
      <w:pPr>
        <w:pStyle w:val="subsection"/>
        <w:spacing w:before="120" w:after="120"/>
        <w:rPr>
          <w:sz w:val="24"/>
          <w:szCs w:val="24"/>
        </w:rPr>
      </w:pPr>
      <w:r w:rsidRPr="00B415FF">
        <w:rPr>
          <w:sz w:val="24"/>
          <w:szCs w:val="24"/>
        </w:rPr>
        <w:t>Subsection 2</w:t>
      </w:r>
      <w:r w:rsidR="0027414F">
        <w:rPr>
          <w:sz w:val="24"/>
          <w:szCs w:val="24"/>
        </w:rPr>
        <w:t>8</w:t>
      </w:r>
      <w:r w:rsidRPr="00B415FF">
        <w:rPr>
          <w:sz w:val="24"/>
          <w:szCs w:val="24"/>
        </w:rPr>
        <w:t>(2) provides that the unmodified sustainable yield is the lower of:</w:t>
      </w:r>
    </w:p>
    <w:p w14:paraId="2F8315A6" w14:textId="77777777" w:rsidR="007E6013" w:rsidRPr="00B415FF" w:rsidRDefault="007E6013" w:rsidP="007E6013">
      <w:pPr>
        <w:pStyle w:val="subsection"/>
        <w:numPr>
          <w:ilvl w:val="0"/>
          <w:numId w:val="90"/>
        </w:numPr>
        <w:spacing w:before="120" w:after="120"/>
        <w:rPr>
          <w:sz w:val="24"/>
          <w:szCs w:val="24"/>
        </w:rPr>
      </w:pPr>
      <w:r w:rsidRPr="00B415FF">
        <w:rPr>
          <w:sz w:val="24"/>
          <w:szCs w:val="24"/>
        </w:rPr>
        <w:t>the most recent sustainable yield calculated for the purposes of the project; and</w:t>
      </w:r>
    </w:p>
    <w:p w14:paraId="374130D9" w14:textId="4FCEBE10" w:rsidR="00BC5DD0" w:rsidRPr="00B415FF" w:rsidRDefault="007E6013" w:rsidP="007E6013">
      <w:pPr>
        <w:pStyle w:val="subsection"/>
        <w:numPr>
          <w:ilvl w:val="0"/>
          <w:numId w:val="90"/>
        </w:numPr>
        <w:spacing w:before="120" w:after="120"/>
        <w:rPr>
          <w:sz w:val="24"/>
          <w:szCs w:val="24"/>
        </w:rPr>
      </w:pPr>
      <w:r w:rsidRPr="00B415FF">
        <w:rPr>
          <w:sz w:val="24"/>
          <w:szCs w:val="24"/>
        </w:rPr>
        <w:t>the most recent sustainable yield published by the responsible State government agency for the project area over the period 1 July 2014 to 30 June 2024</w:t>
      </w:r>
      <w:r w:rsidR="00B415FF" w:rsidRPr="00B415FF">
        <w:rPr>
          <w:sz w:val="24"/>
          <w:szCs w:val="24"/>
        </w:rPr>
        <w:t xml:space="preserve"> (as referred to in section 14)</w:t>
      </w:r>
      <w:r w:rsidRPr="00B415FF">
        <w:rPr>
          <w:sz w:val="24"/>
          <w:szCs w:val="24"/>
        </w:rPr>
        <w:t>.</w:t>
      </w:r>
    </w:p>
    <w:p w14:paraId="43B50684" w14:textId="1073D0AC" w:rsidR="00B415FF" w:rsidRDefault="005750C5" w:rsidP="00982714">
      <w:pPr>
        <w:pStyle w:val="subsection"/>
        <w:spacing w:before="120" w:after="120"/>
        <w:ind w:left="0" w:firstLine="0"/>
        <w:rPr>
          <w:sz w:val="24"/>
          <w:szCs w:val="24"/>
        </w:rPr>
      </w:pPr>
      <w:r>
        <w:rPr>
          <w:sz w:val="24"/>
          <w:szCs w:val="24"/>
        </w:rPr>
        <w:t xml:space="preserve">The method for calculating the </w:t>
      </w:r>
      <w:r w:rsidRPr="00B415FF">
        <w:rPr>
          <w:sz w:val="24"/>
          <w:szCs w:val="24"/>
        </w:rPr>
        <w:t>sustainable yield for the purposes of the project</w:t>
      </w:r>
      <w:r>
        <w:rPr>
          <w:sz w:val="24"/>
          <w:szCs w:val="24"/>
        </w:rPr>
        <w:t xml:space="preserve"> is provided in subsections </w:t>
      </w:r>
      <w:r w:rsidR="0027414F">
        <w:rPr>
          <w:sz w:val="24"/>
          <w:szCs w:val="24"/>
        </w:rPr>
        <w:t>28(2)(a)-</w:t>
      </w:r>
      <w:r w:rsidR="00047CC8">
        <w:rPr>
          <w:sz w:val="24"/>
          <w:szCs w:val="24"/>
        </w:rPr>
        <w:t xml:space="preserve">(f). </w:t>
      </w:r>
      <w:r w:rsidR="00C011B8">
        <w:rPr>
          <w:sz w:val="24"/>
          <w:szCs w:val="24"/>
        </w:rPr>
        <w:t>Subsection 28(2)(a) provides that t</w:t>
      </w:r>
      <w:r w:rsidR="00A15759" w:rsidRPr="00A15759">
        <w:rPr>
          <w:sz w:val="24"/>
          <w:szCs w:val="24"/>
        </w:rPr>
        <w:t xml:space="preserve">he unmodified sustainable yield must be calculated in accordance with the method used to estimate the sustainable yield for the purposes of the most recent five-year sustainable yield review under any applicable regional forest agreement. </w:t>
      </w:r>
      <w:r w:rsidR="00C011B8">
        <w:rPr>
          <w:sz w:val="24"/>
          <w:szCs w:val="24"/>
        </w:rPr>
        <w:t xml:space="preserve">Subsection 28(2)(b) </w:t>
      </w:r>
      <w:r w:rsidR="00996688">
        <w:rPr>
          <w:sz w:val="24"/>
          <w:szCs w:val="24"/>
        </w:rPr>
        <w:t>specifies that, w</w:t>
      </w:r>
      <w:r w:rsidR="00A15759" w:rsidRPr="00A15759">
        <w:rPr>
          <w:sz w:val="24"/>
          <w:szCs w:val="24"/>
        </w:rPr>
        <w:t>here the project area is not covered by a regional forest agreement, the proponent must use a method that is consistent with one used for the purposes of a current regional forest agreement.</w:t>
      </w:r>
    </w:p>
    <w:p w14:paraId="768B2F05" w14:textId="52CA2364" w:rsidR="00413D1B" w:rsidRDefault="00413D1B" w:rsidP="00982714">
      <w:pPr>
        <w:pStyle w:val="subsection"/>
        <w:spacing w:before="120" w:after="120"/>
        <w:ind w:left="0" w:firstLine="0"/>
        <w:rPr>
          <w:sz w:val="24"/>
          <w:szCs w:val="24"/>
        </w:rPr>
      </w:pPr>
      <w:r>
        <w:rPr>
          <w:sz w:val="24"/>
          <w:szCs w:val="24"/>
        </w:rPr>
        <w:t xml:space="preserve">The requirement for the sustainable yield to be calculated in accordance with a method used for the purposes of a regional forest agreement is qualified by subsections </w:t>
      </w:r>
      <w:r w:rsidR="00E23294">
        <w:rPr>
          <w:sz w:val="24"/>
          <w:szCs w:val="24"/>
        </w:rPr>
        <w:t xml:space="preserve">28(2)(c)-(f). </w:t>
      </w:r>
    </w:p>
    <w:p w14:paraId="00ACBC99" w14:textId="77777777" w:rsidR="00E23294" w:rsidRDefault="00E23294" w:rsidP="00E23294">
      <w:pPr>
        <w:pStyle w:val="subsection"/>
        <w:spacing w:before="120" w:after="120"/>
        <w:rPr>
          <w:sz w:val="24"/>
          <w:szCs w:val="24"/>
        </w:rPr>
      </w:pPr>
      <w:r>
        <w:rPr>
          <w:sz w:val="24"/>
          <w:szCs w:val="24"/>
        </w:rPr>
        <w:t xml:space="preserve">Subsection 28(2)(c) provides that the </w:t>
      </w:r>
      <w:r w:rsidRPr="00E23294">
        <w:rPr>
          <w:sz w:val="24"/>
          <w:szCs w:val="24"/>
        </w:rPr>
        <w:t>unmodified sustainable yield must:</w:t>
      </w:r>
    </w:p>
    <w:p w14:paraId="3EC9BAFA" w14:textId="41274DB6" w:rsidR="00E23294" w:rsidRDefault="00E23294" w:rsidP="00E200E5">
      <w:pPr>
        <w:pStyle w:val="subsection"/>
        <w:numPr>
          <w:ilvl w:val="0"/>
          <w:numId w:val="91"/>
        </w:numPr>
        <w:spacing w:before="120" w:after="120"/>
        <w:rPr>
          <w:sz w:val="24"/>
          <w:szCs w:val="24"/>
        </w:rPr>
      </w:pPr>
      <w:r w:rsidRPr="00E23294">
        <w:rPr>
          <w:sz w:val="24"/>
          <w:szCs w:val="24"/>
        </w:rPr>
        <w:t xml:space="preserve">include sawlogs (high and low quality), </w:t>
      </w:r>
      <w:proofErr w:type="spellStart"/>
      <w:r w:rsidRPr="00E23294">
        <w:rPr>
          <w:sz w:val="24"/>
          <w:szCs w:val="24"/>
        </w:rPr>
        <w:t>pulplogs</w:t>
      </w:r>
      <w:proofErr w:type="spellEnd"/>
      <w:r w:rsidRPr="00E23294">
        <w:rPr>
          <w:sz w:val="24"/>
          <w:szCs w:val="24"/>
        </w:rPr>
        <w:t xml:space="preserve">, veneer logs (including peelers), poles, piles and girders </w:t>
      </w:r>
      <w:r w:rsidR="00E200E5" w:rsidRPr="00E200E5">
        <w:rPr>
          <w:sz w:val="24"/>
          <w:szCs w:val="24"/>
        </w:rPr>
        <w:t>(where they are, or would otherwise be, produced from the forests in the project area)</w:t>
      </w:r>
      <w:r w:rsidRPr="00E23294">
        <w:rPr>
          <w:sz w:val="24"/>
          <w:szCs w:val="24"/>
        </w:rPr>
        <w:t>; and</w:t>
      </w:r>
    </w:p>
    <w:p w14:paraId="6FD0F8AB" w14:textId="1B26E91D" w:rsidR="00E23294" w:rsidRDefault="00E23294" w:rsidP="00E200E5">
      <w:pPr>
        <w:pStyle w:val="subsection"/>
        <w:numPr>
          <w:ilvl w:val="0"/>
          <w:numId w:val="91"/>
        </w:numPr>
        <w:spacing w:before="120" w:after="120"/>
        <w:rPr>
          <w:sz w:val="24"/>
          <w:szCs w:val="24"/>
        </w:rPr>
      </w:pPr>
      <w:r w:rsidRPr="00E23294">
        <w:rPr>
          <w:sz w:val="24"/>
          <w:szCs w:val="24"/>
        </w:rPr>
        <w:lastRenderedPageBreak/>
        <w:t>exclude residues such as firewood.</w:t>
      </w:r>
    </w:p>
    <w:p w14:paraId="223B682F" w14:textId="642B99DA" w:rsidR="0092288F" w:rsidRDefault="0092288F" w:rsidP="004577A7">
      <w:pPr>
        <w:pStyle w:val="subsection"/>
        <w:spacing w:before="120" w:after="120"/>
        <w:ind w:left="0" w:firstLine="0"/>
        <w:rPr>
          <w:sz w:val="24"/>
          <w:szCs w:val="24"/>
        </w:rPr>
      </w:pPr>
      <w:r>
        <w:rPr>
          <w:sz w:val="24"/>
          <w:szCs w:val="24"/>
        </w:rPr>
        <w:t xml:space="preserve">The exclusion of residues </w:t>
      </w:r>
      <w:r w:rsidR="0053369B">
        <w:rPr>
          <w:sz w:val="24"/>
          <w:szCs w:val="24"/>
        </w:rPr>
        <w:t xml:space="preserve">promotes conservatism in the </w:t>
      </w:r>
      <w:r>
        <w:rPr>
          <w:sz w:val="24"/>
          <w:szCs w:val="24"/>
        </w:rPr>
        <w:t xml:space="preserve">baseline harvest level. Additional conservatism is provided by the fact that, </w:t>
      </w:r>
      <w:r w:rsidRPr="00321AE9">
        <w:rPr>
          <w:sz w:val="24"/>
          <w:szCs w:val="24"/>
        </w:rPr>
        <w:t>when calculating changes in the carbon stocks in the harvested wood products carbon pool, and calculating the direct leakage deduction and the private native forests leakage deduction</w:t>
      </w:r>
      <w:r>
        <w:rPr>
          <w:sz w:val="24"/>
          <w:szCs w:val="24"/>
        </w:rPr>
        <w:t>, a</w:t>
      </w:r>
      <w:r w:rsidRPr="00321AE9">
        <w:rPr>
          <w:sz w:val="24"/>
          <w:szCs w:val="24"/>
        </w:rPr>
        <w:t xml:space="preserve">ll wood extracted from </w:t>
      </w:r>
      <w:r>
        <w:rPr>
          <w:sz w:val="24"/>
          <w:szCs w:val="24"/>
        </w:rPr>
        <w:t xml:space="preserve">the </w:t>
      </w:r>
      <w:r w:rsidRPr="00321AE9">
        <w:rPr>
          <w:sz w:val="24"/>
          <w:szCs w:val="24"/>
        </w:rPr>
        <w:t>relevant forests</w:t>
      </w:r>
      <w:r>
        <w:rPr>
          <w:sz w:val="24"/>
          <w:szCs w:val="24"/>
        </w:rPr>
        <w:t xml:space="preserve"> are accounted for, </w:t>
      </w:r>
      <w:r w:rsidRPr="00321AE9">
        <w:rPr>
          <w:sz w:val="24"/>
          <w:szCs w:val="24"/>
        </w:rPr>
        <w:t>including residues.</w:t>
      </w:r>
    </w:p>
    <w:p w14:paraId="6D632B5A" w14:textId="4D5DCAD7" w:rsidR="004577A7" w:rsidRDefault="004577A7" w:rsidP="004577A7">
      <w:pPr>
        <w:pStyle w:val="subsection"/>
        <w:spacing w:before="120" w:after="120"/>
        <w:ind w:left="0" w:firstLine="0"/>
        <w:rPr>
          <w:sz w:val="24"/>
          <w:szCs w:val="24"/>
        </w:rPr>
      </w:pPr>
      <w:r>
        <w:rPr>
          <w:sz w:val="24"/>
          <w:szCs w:val="24"/>
        </w:rPr>
        <w:t xml:space="preserve">Subsection 28(2)(d) provides that the </w:t>
      </w:r>
      <w:r w:rsidRPr="004577A7">
        <w:rPr>
          <w:sz w:val="24"/>
          <w:szCs w:val="24"/>
        </w:rPr>
        <w:t xml:space="preserve">area available for harvest that is used to calculate the unmodified sustainable yield must: </w:t>
      </w:r>
    </w:p>
    <w:p w14:paraId="409B0673" w14:textId="77777777" w:rsidR="004577A7" w:rsidRDefault="004577A7" w:rsidP="004577A7">
      <w:pPr>
        <w:pStyle w:val="subsection"/>
        <w:numPr>
          <w:ilvl w:val="0"/>
          <w:numId w:val="92"/>
        </w:numPr>
        <w:spacing w:before="120" w:after="120"/>
        <w:rPr>
          <w:sz w:val="24"/>
          <w:szCs w:val="24"/>
        </w:rPr>
      </w:pPr>
      <w:r w:rsidRPr="004577A7">
        <w:rPr>
          <w:sz w:val="24"/>
          <w:szCs w:val="24"/>
        </w:rPr>
        <w:t xml:space="preserve">account for laws of the Commonwealth or the relevant State relating to the ability to harvest timber in the project area that were in force when the project </w:t>
      </w:r>
      <w:proofErr w:type="gramStart"/>
      <w:r w:rsidRPr="004577A7">
        <w:rPr>
          <w:sz w:val="24"/>
          <w:szCs w:val="24"/>
        </w:rPr>
        <w:t>was declared</w:t>
      </w:r>
      <w:proofErr w:type="gramEnd"/>
      <w:r w:rsidRPr="004577A7">
        <w:rPr>
          <w:sz w:val="24"/>
          <w:szCs w:val="24"/>
        </w:rPr>
        <w:t xml:space="preserve"> to be an eligible offsets project (even if the relevant laws are subsequently repealed or amended</w:t>
      </w:r>
      <w:proofErr w:type="gramStart"/>
      <w:r w:rsidRPr="004577A7">
        <w:rPr>
          <w:sz w:val="24"/>
          <w:szCs w:val="24"/>
        </w:rPr>
        <w:t>);</w:t>
      </w:r>
      <w:proofErr w:type="gramEnd"/>
    </w:p>
    <w:p w14:paraId="4FA25412" w14:textId="77777777" w:rsidR="004577A7" w:rsidRDefault="004577A7" w:rsidP="004577A7">
      <w:pPr>
        <w:pStyle w:val="subsection"/>
        <w:numPr>
          <w:ilvl w:val="0"/>
          <w:numId w:val="92"/>
        </w:numPr>
        <w:spacing w:before="120" w:after="120"/>
        <w:rPr>
          <w:sz w:val="24"/>
          <w:szCs w:val="24"/>
        </w:rPr>
      </w:pPr>
      <w:r w:rsidRPr="004577A7">
        <w:rPr>
          <w:sz w:val="24"/>
          <w:szCs w:val="24"/>
        </w:rPr>
        <w:t>account for operational factors that affect the ability to harvest timber in specific parts of the project area, including the slope and accessibility of the land; and</w:t>
      </w:r>
    </w:p>
    <w:p w14:paraId="238F90E0" w14:textId="10C423E9" w:rsidR="00A059CE" w:rsidRDefault="004577A7" w:rsidP="004577A7">
      <w:pPr>
        <w:pStyle w:val="subsection"/>
        <w:numPr>
          <w:ilvl w:val="0"/>
          <w:numId w:val="92"/>
        </w:numPr>
        <w:spacing w:before="120" w:after="120"/>
        <w:rPr>
          <w:sz w:val="24"/>
          <w:szCs w:val="24"/>
        </w:rPr>
      </w:pPr>
      <w:r w:rsidRPr="004577A7">
        <w:rPr>
          <w:sz w:val="24"/>
          <w:szCs w:val="24"/>
        </w:rPr>
        <w:t>ignore actions taken after the declaration of the project as an eligible offsets project to stop or reduce timber harvesting for the purposes of the project.</w:t>
      </w:r>
    </w:p>
    <w:p w14:paraId="157CE24C" w14:textId="1FDB9965" w:rsidR="004577A7" w:rsidRDefault="004577A7" w:rsidP="00982714">
      <w:pPr>
        <w:pStyle w:val="subsection"/>
        <w:spacing w:before="120" w:after="120"/>
        <w:ind w:left="0" w:firstLine="0"/>
        <w:rPr>
          <w:sz w:val="24"/>
          <w:szCs w:val="24"/>
        </w:rPr>
      </w:pPr>
      <w:r>
        <w:rPr>
          <w:sz w:val="24"/>
          <w:szCs w:val="24"/>
        </w:rPr>
        <w:t>Subsection 28(2)(e) provides</w:t>
      </w:r>
      <w:r w:rsidR="000F0004">
        <w:rPr>
          <w:sz w:val="24"/>
          <w:szCs w:val="24"/>
        </w:rPr>
        <w:t xml:space="preserve"> that, w</w:t>
      </w:r>
      <w:r w:rsidR="000F0004" w:rsidRPr="000F0004">
        <w:rPr>
          <w:sz w:val="24"/>
          <w:szCs w:val="24"/>
        </w:rPr>
        <w:t>here the method that is used to calculate the unmodified sustainable yield provides for an allowance to be applied to account for uncertainty</w:t>
      </w:r>
      <w:r w:rsidR="00C92DFE">
        <w:rPr>
          <w:sz w:val="24"/>
          <w:szCs w:val="24"/>
        </w:rPr>
        <w:t xml:space="preserve"> (what is often referred to as ‘headroom’)</w:t>
      </w:r>
      <w:r w:rsidR="000F0004" w:rsidRPr="000F0004">
        <w:rPr>
          <w:sz w:val="24"/>
          <w:szCs w:val="24"/>
        </w:rPr>
        <w:t>, the allowance must not increase the sustainable yield by more than 10%.</w:t>
      </w:r>
    </w:p>
    <w:p w14:paraId="36F093FF" w14:textId="57E587B4" w:rsidR="00C92DFE" w:rsidRDefault="00C92DFE" w:rsidP="00982714">
      <w:pPr>
        <w:pStyle w:val="subsection"/>
        <w:spacing w:before="120" w:after="120"/>
        <w:ind w:left="0" w:firstLine="0"/>
        <w:rPr>
          <w:sz w:val="24"/>
          <w:szCs w:val="24"/>
        </w:rPr>
      </w:pPr>
      <w:r>
        <w:rPr>
          <w:sz w:val="24"/>
          <w:szCs w:val="24"/>
        </w:rPr>
        <w:t>Subsection 28(2)(f) provides that</w:t>
      </w:r>
      <w:r w:rsidR="003A4B1F">
        <w:rPr>
          <w:sz w:val="24"/>
          <w:szCs w:val="24"/>
        </w:rPr>
        <w:t xml:space="preserve"> the </w:t>
      </w:r>
      <w:r w:rsidR="003A4B1F" w:rsidRPr="003A4B1F">
        <w:rPr>
          <w:sz w:val="24"/>
          <w:szCs w:val="24"/>
        </w:rPr>
        <w:t xml:space="preserve">unmodified sustainable yield derived in accordance with the applicable method must constitute a conservative estimate (based on continued use of the forests for commercial forestry purposes) of the long-term wood yield from the forests in the project area that could be maintained in perpetuity under the forest management strategies and sustainable use objectives that applied immediately prior to the declaration of the project as an eligible offsets project. For these purposes, conservative </w:t>
      </w:r>
      <w:r w:rsidR="003A4B1F">
        <w:rPr>
          <w:sz w:val="24"/>
          <w:szCs w:val="24"/>
        </w:rPr>
        <w:t>is defined as meaning that</w:t>
      </w:r>
      <w:r w:rsidR="003A4B1F" w:rsidRPr="003A4B1F">
        <w:rPr>
          <w:sz w:val="24"/>
          <w:szCs w:val="24"/>
        </w:rPr>
        <w:t xml:space="preserve"> the estimate is more likely to under-estimate than over-estimate the applicable long-term wood yield, accounting for the application of any uncertainty allowance in accordance with </w:t>
      </w:r>
      <w:r w:rsidR="003A4B1F">
        <w:rPr>
          <w:sz w:val="24"/>
          <w:szCs w:val="24"/>
        </w:rPr>
        <w:t>subsection 28(2)(e)</w:t>
      </w:r>
      <w:r w:rsidR="003A4B1F" w:rsidRPr="003A4B1F">
        <w:rPr>
          <w:sz w:val="24"/>
          <w:szCs w:val="24"/>
        </w:rPr>
        <w:t>.</w:t>
      </w:r>
    </w:p>
    <w:p w14:paraId="604E1797" w14:textId="01466177" w:rsidR="000A55FD" w:rsidRDefault="000A55FD" w:rsidP="00982714">
      <w:pPr>
        <w:pStyle w:val="subsection"/>
        <w:spacing w:before="120" w:after="120"/>
        <w:ind w:left="0" w:firstLine="0"/>
        <w:rPr>
          <w:sz w:val="24"/>
          <w:szCs w:val="24"/>
        </w:rPr>
      </w:pPr>
      <w:r>
        <w:rPr>
          <w:sz w:val="24"/>
          <w:szCs w:val="24"/>
        </w:rPr>
        <w:t xml:space="preserve">Subsection 28(2)(g) requires the </w:t>
      </w:r>
      <w:r w:rsidRPr="000A55FD">
        <w:rPr>
          <w:sz w:val="24"/>
          <w:szCs w:val="24"/>
        </w:rPr>
        <w:t>most recent sustainable yield published over the period 1 July 2014 to 30 June 2024 (as referred to in section 14)</w:t>
      </w:r>
      <w:r w:rsidR="002D3F40">
        <w:rPr>
          <w:sz w:val="24"/>
          <w:szCs w:val="24"/>
        </w:rPr>
        <w:t xml:space="preserve"> to be used if it is lower the estimate derived using the method </w:t>
      </w:r>
      <w:r w:rsidR="002D3F40" w:rsidRPr="002D3F40">
        <w:rPr>
          <w:sz w:val="24"/>
          <w:szCs w:val="24"/>
        </w:rPr>
        <w:t>provided in subsections 28(2)(a)-(f)</w:t>
      </w:r>
      <w:r w:rsidRPr="000A55FD">
        <w:rPr>
          <w:sz w:val="24"/>
          <w:szCs w:val="24"/>
        </w:rPr>
        <w:t>.</w:t>
      </w:r>
    </w:p>
    <w:p w14:paraId="105C353E" w14:textId="566C581B" w:rsidR="00982714" w:rsidRDefault="003D0FA8" w:rsidP="00982714">
      <w:pPr>
        <w:pStyle w:val="subsection"/>
        <w:spacing w:before="120" w:after="120"/>
        <w:ind w:left="0" w:firstLine="0"/>
        <w:rPr>
          <w:sz w:val="24"/>
          <w:szCs w:val="24"/>
        </w:rPr>
      </w:pPr>
      <w:r w:rsidRPr="00B415FF">
        <w:rPr>
          <w:sz w:val="24"/>
          <w:szCs w:val="24"/>
        </w:rPr>
        <w:t>Subsection</w:t>
      </w:r>
      <w:r w:rsidR="00212089" w:rsidRPr="00B415FF">
        <w:rPr>
          <w:sz w:val="24"/>
          <w:szCs w:val="24"/>
        </w:rPr>
        <w:t xml:space="preserve"> 2</w:t>
      </w:r>
      <w:r w:rsidR="00A059CE">
        <w:rPr>
          <w:sz w:val="24"/>
          <w:szCs w:val="24"/>
        </w:rPr>
        <w:t>8</w:t>
      </w:r>
      <w:r w:rsidR="00212089" w:rsidRPr="00B415FF">
        <w:rPr>
          <w:sz w:val="24"/>
          <w:szCs w:val="24"/>
        </w:rPr>
        <w:t xml:space="preserve">(3)(a) provides that, for the purpose of calculating the modified sustainable yield, the baseline period </w:t>
      </w:r>
      <w:r w:rsidR="00321AE9" w:rsidRPr="00B415FF">
        <w:rPr>
          <w:sz w:val="24"/>
          <w:szCs w:val="24"/>
        </w:rPr>
        <w:t xml:space="preserve">is the 10-year period prior to the end of the last financial year before the </w:t>
      </w:r>
      <w:r w:rsidR="00323C7D" w:rsidRPr="00B415FF">
        <w:rPr>
          <w:sz w:val="24"/>
          <w:szCs w:val="24"/>
        </w:rPr>
        <w:t>lodg</w:t>
      </w:r>
      <w:r w:rsidR="009227D9" w:rsidRPr="00B415FF">
        <w:rPr>
          <w:sz w:val="24"/>
          <w:szCs w:val="24"/>
        </w:rPr>
        <w:t>e</w:t>
      </w:r>
      <w:r w:rsidR="00323C7D" w:rsidRPr="00B415FF">
        <w:rPr>
          <w:sz w:val="24"/>
          <w:szCs w:val="24"/>
        </w:rPr>
        <w:t>ment</w:t>
      </w:r>
      <w:r w:rsidR="00321AE9" w:rsidRPr="00B415FF">
        <w:rPr>
          <w:sz w:val="24"/>
          <w:szCs w:val="24"/>
        </w:rPr>
        <w:t xml:space="preserve"> of the application for </w:t>
      </w:r>
      <w:r w:rsidR="006247F9" w:rsidRPr="00B415FF">
        <w:rPr>
          <w:sz w:val="24"/>
          <w:szCs w:val="24"/>
        </w:rPr>
        <w:t xml:space="preserve">registration. However, </w:t>
      </w:r>
      <w:r w:rsidRPr="00B415FF">
        <w:rPr>
          <w:sz w:val="24"/>
          <w:szCs w:val="24"/>
        </w:rPr>
        <w:t>subsection</w:t>
      </w:r>
      <w:r>
        <w:rPr>
          <w:sz w:val="24"/>
          <w:szCs w:val="24"/>
        </w:rPr>
        <w:t xml:space="preserve"> </w:t>
      </w:r>
      <w:r w:rsidR="006247F9">
        <w:rPr>
          <w:sz w:val="24"/>
          <w:szCs w:val="24"/>
        </w:rPr>
        <w:t xml:space="preserve">29(3)(b) </w:t>
      </w:r>
      <w:r w:rsidR="00884041">
        <w:rPr>
          <w:sz w:val="24"/>
          <w:szCs w:val="24"/>
        </w:rPr>
        <w:t xml:space="preserve">allows for the exclusion of financial years from the baseline period where harvesting </w:t>
      </w:r>
      <w:r w:rsidR="008813BF">
        <w:rPr>
          <w:sz w:val="24"/>
          <w:szCs w:val="24"/>
        </w:rPr>
        <w:t xml:space="preserve">in those years was affected by a major wildfire event. Financial years that can be excluded are limited to </w:t>
      </w:r>
      <w:r w:rsidR="002637BA">
        <w:rPr>
          <w:sz w:val="24"/>
          <w:szCs w:val="24"/>
        </w:rPr>
        <w:t xml:space="preserve">years where more than </w:t>
      </w:r>
      <w:r w:rsidR="00321AE9" w:rsidRPr="00321AE9">
        <w:rPr>
          <w:sz w:val="24"/>
          <w:szCs w:val="24"/>
        </w:rPr>
        <w:t xml:space="preserve">25% of the net harvestable area in the project area </w:t>
      </w:r>
      <w:r w:rsidR="002637BA">
        <w:rPr>
          <w:sz w:val="24"/>
          <w:szCs w:val="24"/>
        </w:rPr>
        <w:t>was</w:t>
      </w:r>
      <w:r w:rsidR="00321AE9" w:rsidRPr="00321AE9">
        <w:rPr>
          <w:sz w:val="24"/>
          <w:szCs w:val="24"/>
        </w:rPr>
        <w:t xml:space="preserve"> affected by wildfire and the 2 subsequent financial years </w:t>
      </w:r>
      <w:r w:rsidR="002637BA">
        <w:rPr>
          <w:sz w:val="24"/>
          <w:szCs w:val="24"/>
        </w:rPr>
        <w:t xml:space="preserve">following the </w:t>
      </w:r>
      <w:r w:rsidR="00EA1F1B">
        <w:rPr>
          <w:sz w:val="24"/>
          <w:szCs w:val="24"/>
        </w:rPr>
        <w:t>event year</w:t>
      </w:r>
      <w:r w:rsidR="00321AE9" w:rsidRPr="00321AE9">
        <w:rPr>
          <w:sz w:val="24"/>
          <w:szCs w:val="24"/>
        </w:rPr>
        <w:t>.</w:t>
      </w:r>
      <w:r w:rsidR="005941EC">
        <w:rPr>
          <w:sz w:val="24"/>
          <w:szCs w:val="24"/>
        </w:rPr>
        <w:t xml:space="preserve"> </w:t>
      </w:r>
      <w:r w:rsidR="00321AE9" w:rsidRPr="00321AE9">
        <w:rPr>
          <w:sz w:val="24"/>
          <w:szCs w:val="24"/>
        </w:rPr>
        <w:t xml:space="preserve">For </w:t>
      </w:r>
      <w:r w:rsidR="005941EC">
        <w:rPr>
          <w:sz w:val="24"/>
          <w:szCs w:val="24"/>
        </w:rPr>
        <w:t>these purposes,</w:t>
      </w:r>
      <w:r w:rsidR="00321AE9" w:rsidRPr="00321AE9">
        <w:rPr>
          <w:sz w:val="24"/>
          <w:szCs w:val="24"/>
        </w:rPr>
        <w:t xml:space="preserve"> the net harvestable area is calculated at the time of the wildfire</w:t>
      </w:r>
      <w:r w:rsidR="005941EC">
        <w:rPr>
          <w:sz w:val="24"/>
          <w:szCs w:val="24"/>
        </w:rPr>
        <w:t xml:space="preserve">, not </w:t>
      </w:r>
      <w:r w:rsidR="00A3319C">
        <w:rPr>
          <w:sz w:val="24"/>
          <w:szCs w:val="24"/>
        </w:rPr>
        <w:t>at the time of the application for registration</w:t>
      </w:r>
      <w:r w:rsidR="00321AE9" w:rsidRPr="00321AE9">
        <w:rPr>
          <w:sz w:val="24"/>
          <w:szCs w:val="24"/>
        </w:rPr>
        <w:t>.</w:t>
      </w:r>
    </w:p>
    <w:p w14:paraId="0A9BE688" w14:textId="68B67D3B" w:rsidR="00982714" w:rsidRDefault="003D0FA8" w:rsidP="00982714">
      <w:pPr>
        <w:pStyle w:val="subsection"/>
        <w:spacing w:before="120" w:after="120"/>
        <w:ind w:left="0" w:firstLine="0"/>
        <w:rPr>
          <w:sz w:val="24"/>
          <w:szCs w:val="24"/>
        </w:rPr>
      </w:pPr>
      <w:r>
        <w:rPr>
          <w:sz w:val="24"/>
          <w:szCs w:val="24"/>
        </w:rPr>
        <w:t>Subsection</w:t>
      </w:r>
      <w:r w:rsidR="00982714">
        <w:rPr>
          <w:sz w:val="24"/>
          <w:szCs w:val="24"/>
        </w:rPr>
        <w:t xml:space="preserve"> 2</w:t>
      </w:r>
      <w:r w:rsidR="00A059CE">
        <w:rPr>
          <w:sz w:val="24"/>
          <w:szCs w:val="24"/>
        </w:rPr>
        <w:t>8</w:t>
      </w:r>
      <w:r w:rsidR="00982714">
        <w:rPr>
          <w:sz w:val="24"/>
          <w:szCs w:val="24"/>
        </w:rPr>
        <w:t xml:space="preserve">(4) </w:t>
      </w:r>
      <w:r w:rsidR="00982714" w:rsidRPr="004F034B">
        <w:rPr>
          <w:sz w:val="24"/>
          <w:szCs w:val="24"/>
        </w:rPr>
        <w:t>requires t</w:t>
      </w:r>
      <w:r w:rsidR="00321AE9" w:rsidRPr="004F034B">
        <w:rPr>
          <w:sz w:val="24"/>
          <w:szCs w:val="24"/>
        </w:rPr>
        <w:t xml:space="preserve">he modified </w:t>
      </w:r>
      <w:r w:rsidR="004F034B" w:rsidRPr="004F034B">
        <w:rPr>
          <w:sz w:val="24"/>
          <w:szCs w:val="24"/>
        </w:rPr>
        <w:t xml:space="preserve">and unmodified </w:t>
      </w:r>
      <w:r w:rsidR="00321AE9" w:rsidRPr="004F034B">
        <w:rPr>
          <w:sz w:val="24"/>
          <w:szCs w:val="24"/>
        </w:rPr>
        <w:t xml:space="preserve">sustainable yield </w:t>
      </w:r>
      <w:r w:rsidR="00982714" w:rsidRPr="004F034B">
        <w:rPr>
          <w:sz w:val="24"/>
          <w:szCs w:val="24"/>
        </w:rPr>
        <w:t xml:space="preserve">to </w:t>
      </w:r>
      <w:r w:rsidR="00321AE9" w:rsidRPr="004F034B">
        <w:rPr>
          <w:sz w:val="24"/>
          <w:szCs w:val="24"/>
        </w:rPr>
        <w:t>be calculated</w:t>
      </w:r>
      <w:r w:rsidR="00321AE9" w:rsidRPr="00321AE9">
        <w:rPr>
          <w:sz w:val="24"/>
          <w:szCs w:val="24"/>
        </w:rPr>
        <w:t>:</w:t>
      </w:r>
    </w:p>
    <w:p w14:paraId="4C1DE733" w14:textId="139CB993" w:rsidR="00982714" w:rsidRDefault="00321AE9" w:rsidP="009D5A62">
      <w:pPr>
        <w:pStyle w:val="subsection"/>
        <w:numPr>
          <w:ilvl w:val="0"/>
          <w:numId w:val="49"/>
        </w:numPr>
        <w:spacing w:before="120" w:after="120"/>
        <w:rPr>
          <w:sz w:val="24"/>
          <w:szCs w:val="24"/>
        </w:rPr>
      </w:pPr>
      <w:r w:rsidRPr="00321AE9">
        <w:rPr>
          <w:sz w:val="24"/>
          <w:szCs w:val="24"/>
        </w:rPr>
        <w:t>prior to the end of the first reporting period (the initial modified sustainable yield); and</w:t>
      </w:r>
    </w:p>
    <w:p w14:paraId="378CF112" w14:textId="7E880288" w:rsidR="00982714" w:rsidRDefault="00321AE9" w:rsidP="009D5A62">
      <w:pPr>
        <w:pStyle w:val="subsection"/>
        <w:numPr>
          <w:ilvl w:val="0"/>
          <w:numId w:val="49"/>
        </w:numPr>
        <w:spacing w:before="120" w:after="120"/>
        <w:rPr>
          <w:sz w:val="24"/>
          <w:szCs w:val="24"/>
        </w:rPr>
      </w:pPr>
      <w:r w:rsidRPr="00321AE9">
        <w:rPr>
          <w:sz w:val="24"/>
          <w:szCs w:val="24"/>
        </w:rPr>
        <w:lastRenderedPageBreak/>
        <w:t>within the 6-month period commencing on the 5th and 10th anniversary of the declaration of the project as an eligible offsets project (the revised modified sustainable yield); and</w:t>
      </w:r>
    </w:p>
    <w:p w14:paraId="6CAD5D03" w14:textId="42D61C35" w:rsidR="00321AE9" w:rsidRPr="00321AE9" w:rsidRDefault="00321AE9" w:rsidP="009D5A62">
      <w:pPr>
        <w:pStyle w:val="subsection"/>
        <w:numPr>
          <w:ilvl w:val="0"/>
          <w:numId w:val="49"/>
        </w:numPr>
        <w:spacing w:before="120" w:after="120"/>
        <w:rPr>
          <w:sz w:val="24"/>
          <w:szCs w:val="24"/>
        </w:rPr>
      </w:pPr>
      <w:r w:rsidRPr="00321AE9">
        <w:rPr>
          <w:sz w:val="24"/>
          <w:szCs w:val="24"/>
        </w:rPr>
        <w:t>within 6 months of a major disturbance event (the revised modified sustainable yield).</w:t>
      </w:r>
    </w:p>
    <w:p w14:paraId="51D62151" w14:textId="65ED4F15" w:rsidR="00321AE9" w:rsidRDefault="00FB4F25" w:rsidP="00BC31B8">
      <w:pPr>
        <w:pStyle w:val="subsection"/>
        <w:spacing w:before="120" w:after="120"/>
        <w:ind w:left="0" w:firstLine="0"/>
        <w:rPr>
          <w:sz w:val="24"/>
          <w:szCs w:val="24"/>
        </w:rPr>
      </w:pPr>
      <w:r>
        <w:rPr>
          <w:sz w:val="24"/>
          <w:szCs w:val="24"/>
        </w:rPr>
        <w:t xml:space="preserve">The note below </w:t>
      </w:r>
      <w:r w:rsidR="003D0FA8">
        <w:rPr>
          <w:sz w:val="24"/>
          <w:szCs w:val="24"/>
        </w:rPr>
        <w:t>subsection</w:t>
      </w:r>
      <w:r>
        <w:rPr>
          <w:sz w:val="24"/>
          <w:szCs w:val="24"/>
        </w:rPr>
        <w:t xml:space="preserve"> 2</w:t>
      </w:r>
      <w:r w:rsidR="00A059CE">
        <w:rPr>
          <w:sz w:val="24"/>
          <w:szCs w:val="24"/>
        </w:rPr>
        <w:t>8</w:t>
      </w:r>
      <w:r>
        <w:rPr>
          <w:sz w:val="24"/>
          <w:szCs w:val="24"/>
        </w:rPr>
        <w:t xml:space="preserve">(4) </w:t>
      </w:r>
      <w:r w:rsidR="00666573">
        <w:rPr>
          <w:sz w:val="24"/>
          <w:szCs w:val="24"/>
        </w:rPr>
        <w:t>clarifies that, w</w:t>
      </w:r>
      <w:r w:rsidR="00321AE9" w:rsidRPr="00321AE9">
        <w:rPr>
          <w:sz w:val="24"/>
          <w:szCs w:val="24"/>
        </w:rPr>
        <w:t>hen calculating a revised modified sustainable yield, the log production to sustainable yield correlations and ratios must be taken from the baseline period</w:t>
      </w:r>
      <w:r w:rsidR="00666573">
        <w:rPr>
          <w:sz w:val="24"/>
          <w:szCs w:val="24"/>
        </w:rPr>
        <w:t>,</w:t>
      </w:r>
      <w:r w:rsidR="00321AE9" w:rsidRPr="00321AE9">
        <w:rPr>
          <w:sz w:val="24"/>
          <w:szCs w:val="24"/>
        </w:rPr>
        <w:t xml:space="preserve"> not the 10-year period prior to the date of the re-calculation.</w:t>
      </w:r>
    </w:p>
    <w:p w14:paraId="58E70B67" w14:textId="1CED18E7" w:rsidR="00666573" w:rsidRDefault="00666573" w:rsidP="00666573">
      <w:pPr>
        <w:pStyle w:val="subsection"/>
        <w:spacing w:before="120" w:after="120"/>
        <w:ind w:left="0" w:firstLine="0"/>
        <w:rPr>
          <w:sz w:val="24"/>
          <w:szCs w:val="24"/>
        </w:rPr>
      </w:pPr>
      <w:r>
        <w:rPr>
          <w:sz w:val="24"/>
          <w:szCs w:val="24"/>
        </w:rPr>
        <w:t xml:space="preserve">The requirement to recalculate the modified </w:t>
      </w:r>
      <w:r w:rsidR="004F034B">
        <w:rPr>
          <w:sz w:val="24"/>
          <w:szCs w:val="24"/>
        </w:rPr>
        <w:t xml:space="preserve">and unmodified </w:t>
      </w:r>
      <w:r>
        <w:rPr>
          <w:sz w:val="24"/>
          <w:szCs w:val="24"/>
        </w:rPr>
        <w:t xml:space="preserve">sustainable yield is important as it ensures the baseline harvest level continues to be a conservative </w:t>
      </w:r>
      <w:r w:rsidRPr="00F912F8">
        <w:rPr>
          <w:sz w:val="24"/>
          <w:szCs w:val="24"/>
        </w:rPr>
        <w:t>estimate of the level of harvesting in the project area in the absence of the INFM project</w:t>
      </w:r>
      <w:r>
        <w:rPr>
          <w:sz w:val="24"/>
          <w:szCs w:val="24"/>
        </w:rPr>
        <w:t>.</w:t>
      </w:r>
    </w:p>
    <w:p w14:paraId="4DEA4B0B" w14:textId="656A84FD" w:rsidR="007B7D01" w:rsidRPr="00D354C9" w:rsidRDefault="003D0FA8" w:rsidP="00AB1881">
      <w:pPr>
        <w:pStyle w:val="subsection"/>
        <w:spacing w:before="120" w:after="120"/>
        <w:ind w:left="0" w:firstLine="0"/>
        <w:rPr>
          <w:sz w:val="24"/>
          <w:szCs w:val="24"/>
        </w:rPr>
      </w:pPr>
      <w:r>
        <w:rPr>
          <w:sz w:val="24"/>
          <w:szCs w:val="24"/>
        </w:rPr>
        <w:t xml:space="preserve">Subsection </w:t>
      </w:r>
      <w:r w:rsidR="00AB1881">
        <w:rPr>
          <w:sz w:val="24"/>
          <w:szCs w:val="24"/>
        </w:rPr>
        <w:t>2</w:t>
      </w:r>
      <w:r w:rsidR="00A059CE">
        <w:rPr>
          <w:sz w:val="24"/>
          <w:szCs w:val="24"/>
        </w:rPr>
        <w:t>8</w:t>
      </w:r>
      <w:r w:rsidR="00AB1881">
        <w:rPr>
          <w:sz w:val="24"/>
          <w:szCs w:val="24"/>
        </w:rPr>
        <w:t>(</w:t>
      </w:r>
      <w:r w:rsidR="00027343">
        <w:rPr>
          <w:sz w:val="24"/>
          <w:szCs w:val="24"/>
        </w:rPr>
        <w:t>5</w:t>
      </w:r>
      <w:r w:rsidR="00AB1881">
        <w:rPr>
          <w:sz w:val="24"/>
          <w:szCs w:val="24"/>
        </w:rPr>
        <w:t xml:space="preserve">) </w:t>
      </w:r>
      <w:r w:rsidR="007B7D01">
        <w:rPr>
          <w:sz w:val="24"/>
          <w:szCs w:val="24"/>
        </w:rPr>
        <w:t xml:space="preserve">requires </w:t>
      </w:r>
      <w:r w:rsidR="00AB5D5A">
        <w:rPr>
          <w:sz w:val="24"/>
          <w:szCs w:val="24"/>
        </w:rPr>
        <w:t xml:space="preserve">initial and </w:t>
      </w:r>
      <w:r w:rsidR="00321AE9" w:rsidRPr="00321AE9">
        <w:rPr>
          <w:sz w:val="24"/>
          <w:szCs w:val="24"/>
        </w:rPr>
        <w:t>modified sustainable yield</w:t>
      </w:r>
      <w:r w:rsidR="00027343">
        <w:rPr>
          <w:sz w:val="24"/>
          <w:szCs w:val="24"/>
        </w:rPr>
        <w:t xml:space="preserve">s to be </w:t>
      </w:r>
      <w:r w:rsidR="00321AE9" w:rsidRPr="00321AE9">
        <w:rPr>
          <w:sz w:val="24"/>
          <w:szCs w:val="24"/>
        </w:rPr>
        <w:t>verified by an independent qualified assessor contracted by the Regulator.</w:t>
      </w:r>
      <w:r w:rsidR="00570815">
        <w:rPr>
          <w:sz w:val="24"/>
          <w:szCs w:val="24"/>
        </w:rPr>
        <w:t xml:space="preserve"> </w:t>
      </w:r>
      <w:r w:rsidR="00163081">
        <w:rPr>
          <w:sz w:val="24"/>
          <w:szCs w:val="24"/>
        </w:rPr>
        <w:t xml:space="preserve">The requirement for verification to be conducted by </w:t>
      </w:r>
      <w:r w:rsidR="00163081" w:rsidRPr="00321AE9">
        <w:rPr>
          <w:sz w:val="24"/>
          <w:szCs w:val="24"/>
        </w:rPr>
        <w:t>an independent qualified assessor contracted by the Regulator</w:t>
      </w:r>
      <w:r w:rsidR="003F6116">
        <w:rPr>
          <w:sz w:val="24"/>
          <w:szCs w:val="24"/>
        </w:rPr>
        <w:t xml:space="preserve"> is intended to </w:t>
      </w:r>
      <w:r w:rsidR="003F6116" w:rsidRPr="00D354C9">
        <w:rPr>
          <w:sz w:val="24"/>
          <w:szCs w:val="24"/>
        </w:rPr>
        <w:t xml:space="preserve">reduce the risk </w:t>
      </w:r>
      <w:r w:rsidR="00E96F54" w:rsidRPr="00D354C9">
        <w:rPr>
          <w:sz w:val="24"/>
          <w:szCs w:val="24"/>
        </w:rPr>
        <w:t>of</w:t>
      </w:r>
      <w:r w:rsidR="003F6116" w:rsidRPr="00D354C9">
        <w:rPr>
          <w:sz w:val="24"/>
          <w:szCs w:val="24"/>
        </w:rPr>
        <w:t xml:space="preserve"> funding bias (the tendency for </w:t>
      </w:r>
      <w:r w:rsidR="00F84FA8" w:rsidRPr="00D354C9">
        <w:rPr>
          <w:sz w:val="24"/>
          <w:szCs w:val="24"/>
        </w:rPr>
        <w:t xml:space="preserve">the outcomes of verification </w:t>
      </w:r>
      <w:r w:rsidR="00E96F54" w:rsidRPr="00D354C9">
        <w:rPr>
          <w:sz w:val="24"/>
          <w:szCs w:val="24"/>
        </w:rPr>
        <w:t xml:space="preserve">and research </w:t>
      </w:r>
      <w:r w:rsidR="00F84FA8" w:rsidRPr="00D354C9">
        <w:rPr>
          <w:sz w:val="24"/>
          <w:szCs w:val="24"/>
        </w:rPr>
        <w:t xml:space="preserve">processes to </w:t>
      </w:r>
      <w:r w:rsidR="00585397" w:rsidRPr="00D354C9">
        <w:rPr>
          <w:sz w:val="24"/>
          <w:szCs w:val="24"/>
        </w:rPr>
        <w:t>reflect the interests of the funder).</w:t>
      </w:r>
    </w:p>
    <w:p w14:paraId="15A3BBAF" w14:textId="659048AD" w:rsidR="000304E9" w:rsidRPr="00D354C9" w:rsidRDefault="003D0FA8" w:rsidP="00AC2376">
      <w:pPr>
        <w:pStyle w:val="subsection"/>
        <w:spacing w:before="120" w:after="120"/>
        <w:ind w:left="0" w:firstLine="0"/>
        <w:rPr>
          <w:sz w:val="24"/>
          <w:szCs w:val="24"/>
        </w:rPr>
      </w:pPr>
      <w:r w:rsidRPr="00D354C9">
        <w:rPr>
          <w:sz w:val="24"/>
          <w:szCs w:val="24"/>
        </w:rPr>
        <w:t xml:space="preserve">Subsection </w:t>
      </w:r>
      <w:r w:rsidR="000304E9" w:rsidRPr="00D354C9">
        <w:rPr>
          <w:sz w:val="24"/>
          <w:szCs w:val="24"/>
        </w:rPr>
        <w:t>2</w:t>
      </w:r>
      <w:r w:rsidR="00A059CE" w:rsidRPr="00D354C9">
        <w:rPr>
          <w:sz w:val="24"/>
          <w:szCs w:val="24"/>
        </w:rPr>
        <w:t>8</w:t>
      </w:r>
      <w:r w:rsidR="000304E9" w:rsidRPr="00D354C9">
        <w:rPr>
          <w:sz w:val="24"/>
          <w:szCs w:val="24"/>
        </w:rPr>
        <w:t>(</w:t>
      </w:r>
      <w:r w:rsidR="00570815" w:rsidRPr="00D354C9">
        <w:rPr>
          <w:sz w:val="24"/>
          <w:szCs w:val="24"/>
        </w:rPr>
        <w:t>6</w:t>
      </w:r>
      <w:r w:rsidR="000304E9" w:rsidRPr="00D354C9">
        <w:rPr>
          <w:sz w:val="24"/>
          <w:szCs w:val="24"/>
        </w:rPr>
        <w:t>) requires t</w:t>
      </w:r>
      <w:r w:rsidR="00321AE9" w:rsidRPr="00D354C9">
        <w:rPr>
          <w:sz w:val="24"/>
          <w:szCs w:val="24"/>
        </w:rPr>
        <w:t xml:space="preserve">he project proponent to re-imburse the Regulator for the costs of contracting an independent qualified assessor to verify </w:t>
      </w:r>
      <w:r w:rsidR="00D354C9" w:rsidRPr="00D354C9">
        <w:rPr>
          <w:sz w:val="24"/>
          <w:szCs w:val="24"/>
        </w:rPr>
        <w:t xml:space="preserve">the </w:t>
      </w:r>
      <w:r w:rsidR="00321AE9" w:rsidRPr="00D354C9">
        <w:rPr>
          <w:sz w:val="24"/>
          <w:szCs w:val="24"/>
        </w:rPr>
        <w:t>initial or revised modified sustainable yield</w:t>
      </w:r>
      <w:r w:rsidR="00D354C9" w:rsidRPr="00D354C9">
        <w:rPr>
          <w:sz w:val="24"/>
          <w:szCs w:val="24"/>
        </w:rPr>
        <w:t>s</w:t>
      </w:r>
      <w:r w:rsidR="00321AE9" w:rsidRPr="00D354C9">
        <w:rPr>
          <w:sz w:val="24"/>
          <w:szCs w:val="24"/>
        </w:rPr>
        <w:t>.</w:t>
      </w:r>
    </w:p>
    <w:p w14:paraId="11000222" w14:textId="1F1F3CA1" w:rsidR="00321AE9" w:rsidRPr="00D354C9" w:rsidRDefault="003D0FA8" w:rsidP="00AC2376">
      <w:pPr>
        <w:pStyle w:val="subsection"/>
        <w:spacing w:before="120" w:after="120"/>
        <w:ind w:left="0" w:firstLine="0"/>
        <w:rPr>
          <w:sz w:val="24"/>
          <w:szCs w:val="24"/>
        </w:rPr>
      </w:pPr>
      <w:r w:rsidRPr="00D354C9">
        <w:rPr>
          <w:sz w:val="24"/>
          <w:szCs w:val="24"/>
        </w:rPr>
        <w:t>Subsection</w:t>
      </w:r>
      <w:r w:rsidR="000304E9" w:rsidRPr="00D354C9">
        <w:rPr>
          <w:sz w:val="24"/>
          <w:szCs w:val="24"/>
        </w:rPr>
        <w:t xml:space="preserve"> </w:t>
      </w:r>
      <w:r w:rsidR="008431B1" w:rsidRPr="00D354C9">
        <w:rPr>
          <w:sz w:val="24"/>
          <w:szCs w:val="24"/>
        </w:rPr>
        <w:t>2</w:t>
      </w:r>
      <w:r w:rsidR="00A059CE" w:rsidRPr="00D354C9">
        <w:rPr>
          <w:sz w:val="24"/>
          <w:szCs w:val="24"/>
        </w:rPr>
        <w:t>8</w:t>
      </w:r>
      <w:r w:rsidR="008431B1" w:rsidRPr="00D354C9">
        <w:rPr>
          <w:sz w:val="24"/>
          <w:szCs w:val="24"/>
        </w:rPr>
        <w:t>(</w:t>
      </w:r>
      <w:r w:rsidR="00570815" w:rsidRPr="00D354C9">
        <w:rPr>
          <w:sz w:val="24"/>
          <w:szCs w:val="24"/>
        </w:rPr>
        <w:t>7</w:t>
      </w:r>
      <w:r w:rsidR="008431B1" w:rsidRPr="00D354C9">
        <w:rPr>
          <w:sz w:val="24"/>
          <w:szCs w:val="24"/>
        </w:rPr>
        <w:t>) requires t</w:t>
      </w:r>
      <w:r w:rsidR="00321AE9" w:rsidRPr="00D354C9">
        <w:rPr>
          <w:sz w:val="24"/>
          <w:szCs w:val="24"/>
        </w:rPr>
        <w:t xml:space="preserve">he project proponent </w:t>
      </w:r>
      <w:r w:rsidR="008431B1" w:rsidRPr="00D354C9">
        <w:rPr>
          <w:sz w:val="24"/>
          <w:szCs w:val="24"/>
        </w:rPr>
        <w:t xml:space="preserve">to </w:t>
      </w:r>
      <w:r w:rsidR="00321AE9" w:rsidRPr="00D354C9">
        <w:rPr>
          <w:sz w:val="24"/>
          <w:szCs w:val="24"/>
        </w:rPr>
        <w:t xml:space="preserve">publish </w:t>
      </w:r>
      <w:r w:rsidR="00D354C9" w:rsidRPr="00D354C9">
        <w:rPr>
          <w:sz w:val="24"/>
          <w:szCs w:val="24"/>
        </w:rPr>
        <w:t>all necessary information, including full details of the method and all relevant data, to enable third parties to replicate the calculations used to derive the modified and unmodified sustainable yields.</w:t>
      </w:r>
      <w:r w:rsidR="009844DD">
        <w:rPr>
          <w:sz w:val="24"/>
          <w:szCs w:val="24"/>
        </w:rPr>
        <w:t xml:space="preserve"> </w:t>
      </w:r>
      <w:r w:rsidR="00834B5E">
        <w:rPr>
          <w:sz w:val="24"/>
          <w:szCs w:val="24"/>
        </w:rPr>
        <w:t xml:space="preserve">This approach to transparency accords with international best practice, as reflected in The Integrity Council for the Voluntary Carbon Market’s </w:t>
      </w:r>
      <w:r w:rsidR="00834B5E" w:rsidRPr="00834B5E">
        <w:rPr>
          <w:i/>
          <w:iCs/>
          <w:sz w:val="24"/>
          <w:szCs w:val="24"/>
        </w:rPr>
        <w:t>Core Carbon Principles</w:t>
      </w:r>
      <w:r w:rsidR="00834B5E">
        <w:rPr>
          <w:sz w:val="24"/>
          <w:szCs w:val="24"/>
        </w:rPr>
        <w:t xml:space="preserve"> (criterion 3.1).</w:t>
      </w:r>
    </w:p>
    <w:p w14:paraId="289D43C6" w14:textId="15901F28" w:rsidR="00337369" w:rsidRPr="00310D38" w:rsidRDefault="009844DD" w:rsidP="00337369">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29</w:t>
      </w:r>
      <w:r w:rsidR="00337369" w:rsidRPr="00310D38">
        <w:rPr>
          <w:rFonts w:ascii="Times New Roman" w:hAnsi="Times New Roman" w:cs="Times New Roman"/>
          <w:sz w:val="24"/>
          <w:szCs w:val="24"/>
          <w:u w:val="single"/>
        </w:rPr>
        <w:t xml:space="preserve"> – </w:t>
      </w:r>
      <w:r w:rsidR="00337369" w:rsidRPr="00337369">
        <w:rPr>
          <w:rFonts w:ascii="Times New Roman" w:hAnsi="Times New Roman" w:cs="Times New Roman"/>
          <w:sz w:val="24"/>
          <w:szCs w:val="24"/>
          <w:u w:val="single"/>
        </w:rPr>
        <w:t>Calculating baseline harvest levels, in net harvested area</w:t>
      </w:r>
    </w:p>
    <w:p w14:paraId="2CF4EF75" w14:textId="58F5E740" w:rsidR="008431B1" w:rsidRDefault="00337369" w:rsidP="00AC2376">
      <w:pPr>
        <w:pStyle w:val="subsection"/>
        <w:spacing w:before="120" w:after="120"/>
        <w:ind w:left="0" w:firstLine="0"/>
        <w:rPr>
          <w:sz w:val="24"/>
          <w:szCs w:val="24"/>
        </w:rPr>
      </w:pPr>
      <w:r>
        <w:rPr>
          <w:sz w:val="24"/>
          <w:szCs w:val="24"/>
        </w:rPr>
        <w:t xml:space="preserve">Section </w:t>
      </w:r>
      <w:r w:rsidR="009844DD">
        <w:rPr>
          <w:sz w:val="24"/>
          <w:szCs w:val="24"/>
        </w:rPr>
        <w:t>29</w:t>
      </w:r>
      <w:r>
        <w:rPr>
          <w:sz w:val="24"/>
          <w:szCs w:val="24"/>
        </w:rPr>
        <w:t xml:space="preserve"> </w:t>
      </w:r>
      <w:r w:rsidR="00754F34">
        <w:rPr>
          <w:sz w:val="24"/>
          <w:szCs w:val="24"/>
        </w:rPr>
        <w:t xml:space="preserve">requires the </w:t>
      </w:r>
      <w:r w:rsidR="00754F34" w:rsidRPr="00754F34">
        <w:rPr>
          <w:sz w:val="24"/>
          <w:szCs w:val="24"/>
        </w:rPr>
        <w:t xml:space="preserve">baseline harvest level </w:t>
      </w:r>
      <w:r w:rsidR="00A374AF">
        <w:rPr>
          <w:sz w:val="24"/>
          <w:szCs w:val="24"/>
        </w:rPr>
        <w:t xml:space="preserve">in the reporting period </w:t>
      </w:r>
      <w:r w:rsidR="00B64377">
        <w:rPr>
          <w:sz w:val="24"/>
          <w:szCs w:val="24"/>
        </w:rPr>
        <w:t>(</w:t>
      </w:r>
      <w:r w:rsidR="00754F34" w:rsidRPr="00754F34">
        <w:rPr>
          <w:sz w:val="24"/>
          <w:szCs w:val="24"/>
        </w:rPr>
        <w:t>in cubic metres of wood harvested</w:t>
      </w:r>
      <w:r w:rsidR="00B64377">
        <w:rPr>
          <w:sz w:val="24"/>
          <w:szCs w:val="24"/>
        </w:rPr>
        <w:t>)</w:t>
      </w:r>
      <w:r w:rsidR="00754F34" w:rsidRPr="00754F34">
        <w:rPr>
          <w:sz w:val="24"/>
          <w:szCs w:val="24"/>
        </w:rPr>
        <w:t xml:space="preserve"> </w:t>
      </w:r>
      <w:r w:rsidR="00754F34">
        <w:rPr>
          <w:sz w:val="24"/>
          <w:szCs w:val="24"/>
        </w:rPr>
        <w:t>to be c</w:t>
      </w:r>
      <w:r w:rsidR="00754F34" w:rsidRPr="00754F34">
        <w:rPr>
          <w:sz w:val="24"/>
          <w:szCs w:val="24"/>
        </w:rPr>
        <w:t>onvert</w:t>
      </w:r>
      <w:r w:rsidR="00754F34">
        <w:rPr>
          <w:sz w:val="24"/>
          <w:szCs w:val="24"/>
        </w:rPr>
        <w:t>ed</w:t>
      </w:r>
      <w:r w:rsidR="00754F34" w:rsidRPr="00754F34">
        <w:rPr>
          <w:sz w:val="24"/>
          <w:szCs w:val="24"/>
        </w:rPr>
        <w:t xml:space="preserve"> into </w:t>
      </w:r>
      <w:r w:rsidR="00202548">
        <w:rPr>
          <w:sz w:val="24"/>
          <w:szCs w:val="24"/>
        </w:rPr>
        <w:t xml:space="preserve">a </w:t>
      </w:r>
      <w:r w:rsidR="00754F34" w:rsidRPr="00754F34">
        <w:rPr>
          <w:sz w:val="24"/>
          <w:szCs w:val="24"/>
        </w:rPr>
        <w:t xml:space="preserve">net </w:t>
      </w:r>
      <w:r w:rsidR="00B64377">
        <w:rPr>
          <w:sz w:val="24"/>
          <w:szCs w:val="24"/>
        </w:rPr>
        <w:t xml:space="preserve">harvest </w:t>
      </w:r>
      <w:r w:rsidR="00754F34" w:rsidRPr="00754F34">
        <w:rPr>
          <w:sz w:val="24"/>
          <w:szCs w:val="24"/>
        </w:rPr>
        <w:t xml:space="preserve">area </w:t>
      </w:r>
      <w:r w:rsidR="00202548">
        <w:rPr>
          <w:sz w:val="24"/>
          <w:szCs w:val="24"/>
        </w:rPr>
        <w:t xml:space="preserve">equivalent </w:t>
      </w:r>
      <w:r w:rsidR="00B64377">
        <w:rPr>
          <w:sz w:val="24"/>
          <w:szCs w:val="24"/>
        </w:rPr>
        <w:t xml:space="preserve">(in hectares) </w:t>
      </w:r>
      <w:r w:rsidR="00754F34" w:rsidRPr="00754F34">
        <w:rPr>
          <w:sz w:val="24"/>
          <w:szCs w:val="24"/>
        </w:rPr>
        <w:t xml:space="preserve">(baseline net harvest area). </w:t>
      </w:r>
      <w:r w:rsidR="00F52289">
        <w:rPr>
          <w:sz w:val="24"/>
          <w:szCs w:val="24"/>
        </w:rPr>
        <w:t xml:space="preserve">This must be done by </w:t>
      </w:r>
      <w:r w:rsidR="00BC3D5E" w:rsidRPr="00BC3D5E">
        <w:rPr>
          <w:sz w:val="24"/>
          <w:szCs w:val="24"/>
        </w:rPr>
        <w:t>dividing the estimate of logs produced (in cubic metres) by the area-weighted average log yield (in m</w:t>
      </w:r>
      <w:r w:rsidR="00BC3D5E" w:rsidRPr="00F52289">
        <w:rPr>
          <w:sz w:val="24"/>
          <w:szCs w:val="24"/>
          <w:vertAlign w:val="superscript"/>
        </w:rPr>
        <w:t>3</w:t>
      </w:r>
      <w:r w:rsidR="00BC3D5E" w:rsidRPr="00BC3D5E">
        <w:rPr>
          <w:sz w:val="24"/>
          <w:szCs w:val="24"/>
        </w:rPr>
        <w:t xml:space="preserve"> per hectare) from the prior period </w:t>
      </w:r>
      <w:proofErr w:type="spellStart"/>
      <w:r w:rsidR="00BC3D5E" w:rsidRPr="00BC3D5E">
        <w:rPr>
          <w:sz w:val="24"/>
          <w:szCs w:val="24"/>
        </w:rPr>
        <w:t>FullCAM</w:t>
      </w:r>
      <w:proofErr w:type="spellEnd"/>
      <w:r w:rsidR="00BC3D5E" w:rsidRPr="00BC3D5E">
        <w:rPr>
          <w:sz w:val="24"/>
          <w:szCs w:val="24"/>
        </w:rPr>
        <w:t xml:space="preserve"> forest estate model developed under section 2</w:t>
      </w:r>
      <w:r w:rsidR="009227EF">
        <w:rPr>
          <w:sz w:val="24"/>
          <w:szCs w:val="24"/>
        </w:rPr>
        <w:t>7</w:t>
      </w:r>
      <w:r w:rsidR="00BC3D5E" w:rsidRPr="00BC3D5E">
        <w:rPr>
          <w:sz w:val="24"/>
          <w:szCs w:val="24"/>
        </w:rPr>
        <w:t>.</w:t>
      </w:r>
    </w:p>
    <w:p w14:paraId="121ACBAE" w14:textId="052D4970" w:rsidR="00142086" w:rsidRPr="00310D38" w:rsidRDefault="00433D96" w:rsidP="00142086">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142086">
        <w:rPr>
          <w:rFonts w:ascii="Times New Roman" w:hAnsi="Times New Roman" w:cs="Times New Roman"/>
          <w:sz w:val="24"/>
          <w:szCs w:val="24"/>
          <w:u w:val="single"/>
        </w:rPr>
        <w:t>3</w:t>
      </w:r>
      <w:r w:rsidR="009227EF">
        <w:rPr>
          <w:rFonts w:ascii="Times New Roman" w:hAnsi="Times New Roman" w:cs="Times New Roman"/>
          <w:sz w:val="24"/>
          <w:szCs w:val="24"/>
          <w:u w:val="single"/>
        </w:rPr>
        <w:t>0</w:t>
      </w:r>
      <w:r w:rsidR="00142086" w:rsidRPr="00310D38">
        <w:rPr>
          <w:rFonts w:ascii="Times New Roman" w:hAnsi="Times New Roman" w:cs="Times New Roman"/>
          <w:sz w:val="24"/>
          <w:szCs w:val="24"/>
          <w:u w:val="single"/>
        </w:rPr>
        <w:t xml:space="preserve"> – </w:t>
      </w:r>
      <w:r w:rsidR="00142086" w:rsidRPr="00142086">
        <w:rPr>
          <w:rFonts w:ascii="Times New Roman" w:hAnsi="Times New Roman" w:cs="Times New Roman"/>
          <w:sz w:val="24"/>
          <w:szCs w:val="24"/>
          <w:u w:val="single"/>
        </w:rPr>
        <w:t>Calculating area cleared to facilitate harvesting in the baseline</w:t>
      </w:r>
    </w:p>
    <w:p w14:paraId="7791A8CE" w14:textId="48D5DA43" w:rsidR="009E51C4" w:rsidRDefault="009D6BCE" w:rsidP="009E51C4">
      <w:pPr>
        <w:pStyle w:val="subsection"/>
        <w:spacing w:before="120" w:after="120"/>
        <w:ind w:left="0" w:firstLine="0"/>
        <w:rPr>
          <w:sz w:val="24"/>
          <w:szCs w:val="24"/>
        </w:rPr>
      </w:pPr>
      <w:r>
        <w:rPr>
          <w:sz w:val="24"/>
          <w:szCs w:val="24"/>
        </w:rPr>
        <w:t>Section 3</w:t>
      </w:r>
      <w:r w:rsidR="009227EF">
        <w:rPr>
          <w:sz w:val="24"/>
          <w:szCs w:val="24"/>
        </w:rPr>
        <w:t>0</w:t>
      </w:r>
      <w:r>
        <w:rPr>
          <w:sz w:val="24"/>
          <w:szCs w:val="24"/>
        </w:rPr>
        <w:t xml:space="preserve"> requires </w:t>
      </w:r>
      <w:r w:rsidR="009E51C4">
        <w:rPr>
          <w:sz w:val="24"/>
          <w:szCs w:val="24"/>
        </w:rPr>
        <w:t>t</w:t>
      </w:r>
      <w:r w:rsidR="00142086" w:rsidRPr="00142086">
        <w:rPr>
          <w:sz w:val="24"/>
          <w:szCs w:val="24"/>
        </w:rPr>
        <w:t xml:space="preserve">he area cleared to facilitate timber harvesting in the baseline scenario (in hectares) for the reporting period </w:t>
      </w:r>
      <w:r w:rsidR="009E51C4">
        <w:rPr>
          <w:sz w:val="24"/>
          <w:szCs w:val="24"/>
        </w:rPr>
        <w:t xml:space="preserve">to be </w:t>
      </w:r>
      <w:r w:rsidR="00142086" w:rsidRPr="00142086">
        <w:rPr>
          <w:sz w:val="24"/>
          <w:szCs w:val="24"/>
        </w:rPr>
        <w:t>calculated by:</w:t>
      </w:r>
    </w:p>
    <w:p w14:paraId="70ADD7EB" w14:textId="1F4F9C89" w:rsidR="009E51C4" w:rsidRDefault="00246D5D" w:rsidP="009D5A62">
      <w:pPr>
        <w:pStyle w:val="subsection"/>
        <w:numPr>
          <w:ilvl w:val="0"/>
          <w:numId w:val="56"/>
        </w:numPr>
        <w:spacing w:before="120" w:after="120"/>
        <w:rPr>
          <w:sz w:val="24"/>
          <w:szCs w:val="24"/>
        </w:rPr>
      </w:pPr>
      <w:r>
        <w:rPr>
          <w:sz w:val="24"/>
          <w:szCs w:val="24"/>
        </w:rPr>
        <w:t xml:space="preserve">calculating the </w:t>
      </w:r>
      <w:r w:rsidRPr="00246D5D">
        <w:rPr>
          <w:sz w:val="24"/>
          <w:szCs w:val="24"/>
        </w:rPr>
        <w:t xml:space="preserve">ratio between the cleared area </w:t>
      </w:r>
      <w:r w:rsidR="00F96CC2">
        <w:rPr>
          <w:sz w:val="24"/>
          <w:szCs w:val="24"/>
        </w:rPr>
        <w:t xml:space="preserve">(in hectares) </w:t>
      </w:r>
      <w:r w:rsidRPr="00246D5D">
        <w:rPr>
          <w:sz w:val="24"/>
          <w:szCs w:val="24"/>
        </w:rPr>
        <w:t>and logs produced (in cubic metres, m</w:t>
      </w:r>
      <w:r w:rsidRPr="007066AB">
        <w:rPr>
          <w:sz w:val="24"/>
          <w:szCs w:val="24"/>
          <w:vertAlign w:val="superscript"/>
        </w:rPr>
        <w:t>3</w:t>
      </w:r>
      <w:r w:rsidRPr="00246D5D">
        <w:rPr>
          <w:sz w:val="24"/>
          <w:szCs w:val="24"/>
        </w:rPr>
        <w:t>) in the prior period</w:t>
      </w:r>
      <w:r w:rsidR="00F96CC2">
        <w:rPr>
          <w:sz w:val="24"/>
          <w:szCs w:val="24"/>
        </w:rPr>
        <w:t xml:space="preserve"> (by </w:t>
      </w:r>
      <w:r w:rsidR="00142086" w:rsidRPr="00142086">
        <w:rPr>
          <w:sz w:val="24"/>
          <w:szCs w:val="24"/>
        </w:rPr>
        <w:t xml:space="preserve">dividing the area cleared </w:t>
      </w:r>
      <w:r w:rsidR="00F96CC2">
        <w:rPr>
          <w:sz w:val="24"/>
          <w:szCs w:val="24"/>
        </w:rPr>
        <w:t xml:space="preserve">(in hectares) </w:t>
      </w:r>
      <w:r w:rsidR="00142086" w:rsidRPr="00142086">
        <w:rPr>
          <w:sz w:val="24"/>
          <w:szCs w:val="24"/>
        </w:rPr>
        <w:t>to facilitate timber harvesting in the project area in the prior period by the logs produced (in cubic metres, m</w:t>
      </w:r>
      <w:r w:rsidR="00142086" w:rsidRPr="007066AB">
        <w:rPr>
          <w:sz w:val="24"/>
          <w:szCs w:val="24"/>
          <w:vertAlign w:val="superscript"/>
        </w:rPr>
        <w:t>3</w:t>
      </w:r>
      <w:r w:rsidR="00142086" w:rsidRPr="00142086">
        <w:rPr>
          <w:sz w:val="24"/>
          <w:szCs w:val="24"/>
        </w:rPr>
        <w:t>) in the project area in the prior period</w:t>
      </w:r>
      <w:r w:rsidR="00F96CC2">
        <w:rPr>
          <w:sz w:val="24"/>
          <w:szCs w:val="24"/>
        </w:rPr>
        <w:t>)</w:t>
      </w:r>
      <w:r w:rsidR="00142086" w:rsidRPr="00142086">
        <w:rPr>
          <w:sz w:val="24"/>
          <w:szCs w:val="24"/>
        </w:rPr>
        <w:t xml:space="preserve">; and </w:t>
      </w:r>
    </w:p>
    <w:p w14:paraId="4C24DF49" w14:textId="0F30BEBB" w:rsidR="00142086" w:rsidRDefault="00142086" w:rsidP="009D5A62">
      <w:pPr>
        <w:pStyle w:val="subsection"/>
        <w:numPr>
          <w:ilvl w:val="0"/>
          <w:numId w:val="56"/>
        </w:numPr>
        <w:spacing w:before="120" w:after="120"/>
        <w:rPr>
          <w:sz w:val="24"/>
          <w:szCs w:val="24"/>
        </w:rPr>
      </w:pPr>
      <w:r w:rsidRPr="00142086">
        <w:rPr>
          <w:sz w:val="24"/>
          <w:szCs w:val="24"/>
        </w:rPr>
        <w:t>multiplying th</w:t>
      </w:r>
      <w:r w:rsidR="00710664">
        <w:rPr>
          <w:sz w:val="24"/>
          <w:szCs w:val="24"/>
        </w:rPr>
        <w:t>is</w:t>
      </w:r>
      <w:r w:rsidR="007F07F1">
        <w:rPr>
          <w:sz w:val="24"/>
          <w:szCs w:val="24"/>
        </w:rPr>
        <w:t xml:space="preserve"> </w:t>
      </w:r>
      <w:r w:rsidRPr="00142086">
        <w:rPr>
          <w:sz w:val="24"/>
          <w:szCs w:val="24"/>
        </w:rPr>
        <w:t xml:space="preserve">ratio by the harvest level in the baseline scenario for the reporting period (in cubic metres (m3) of logs produced), as calculated under </w:t>
      </w:r>
      <w:r w:rsidR="00710664">
        <w:rPr>
          <w:sz w:val="24"/>
          <w:szCs w:val="24"/>
        </w:rPr>
        <w:t>s</w:t>
      </w:r>
      <w:r w:rsidRPr="00142086">
        <w:rPr>
          <w:sz w:val="24"/>
          <w:szCs w:val="24"/>
        </w:rPr>
        <w:t>ections 2</w:t>
      </w:r>
      <w:r w:rsidR="009227EF">
        <w:rPr>
          <w:sz w:val="24"/>
          <w:szCs w:val="24"/>
        </w:rPr>
        <w:t>8</w:t>
      </w:r>
      <w:r w:rsidR="00710664">
        <w:rPr>
          <w:sz w:val="24"/>
          <w:szCs w:val="24"/>
        </w:rPr>
        <w:t>.</w:t>
      </w:r>
    </w:p>
    <w:p w14:paraId="6B69CE59" w14:textId="5ECF7AAB" w:rsidR="00717C86" w:rsidRDefault="00717C86" w:rsidP="00717C86">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5</w:t>
      </w:r>
      <w:r w:rsidRPr="00A656D9">
        <w:rPr>
          <w:rFonts w:ascii="Times New Roman" w:hAnsi="Times New Roman" w:cs="Times New Roman"/>
          <w:b/>
          <w:bCs/>
          <w:sz w:val="24"/>
          <w:szCs w:val="24"/>
        </w:rPr>
        <w:t>—</w:t>
      </w:r>
      <w:r w:rsidRPr="00717C86">
        <w:t xml:space="preserve"> </w:t>
      </w:r>
      <w:r w:rsidRPr="00717C86">
        <w:rPr>
          <w:rFonts w:ascii="Times New Roman" w:hAnsi="Times New Roman" w:cs="Times New Roman"/>
          <w:b/>
          <w:bCs/>
          <w:sz w:val="24"/>
          <w:szCs w:val="24"/>
        </w:rPr>
        <w:t>Carbon stock change</w:t>
      </w:r>
    </w:p>
    <w:p w14:paraId="320181AF" w14:textId="2BC6E877" w:rsidR="00B8749E" w:rsidRDefault="00FD2345" w:rsidP="00FD2345">
      <w:pPr>
        <w:pStyle w:val="paragraph"/>
        <w:spacing w:before="120" w:after="120"/>
        <w:ind w:left="0" w:firstLine="0"/>
        <w:rPr>
          <w:sz w:val="24"/>
          <w:szCs w:val="24"/>
        </w:rPr>
      </w:pPr>
      <w:r>
        <w:rPr>
          <w:sz w:val="24"/>
          <w:szCs w:val="24"/>
        </w:rPr>
        <w:t>Division 5.</w:t>
      </w:r>
      <w:r w:rsidR="00633C2F">
        <w:rPr>
          <w:sz w:val="24"/>
          <w:szCs w:val="24"/>
        </w:rPr>
        <w:t>5</w:t>
      </w:r>
      <w:r>
        <w:rPr>
          <w:sz w:val="24"/>
          <w:szCs w:val="24"/>
        </w:rPr>
        <w:t xml:space="preserve"> </w:t>
      </w:r>
      <w:r w:rsidR="00DC6974">
        <w:rPr>
          <w:sz w:val="24"/>
          <w:szCs w:val="24"/>
        </w:rPr>
        <w:t>specifies how the</w:t>
      </w:r>
      <w:r>
        <w:rPr>
          <w:sz w:val="24"/>
          <w:szCs w:val="24"/>
        </w:rPr>
        <w:t xml:space="preserve"> </w:t>
      </w:r>
      <w:r w:rsidR="00DC6974">
        <w:rPr>
          <w:sz w:val="24"/>
          <w:szCs w:val="24"/>
        </w:rPr>
        <w:t>c</w:t>
      </w:r>
      <w:r w:rsidRPr="00904879">
        <w:rPr>
          <w:sz w:val="24"/>
          <w:szCs w:val="24"/>
        </w:rPr>
        <w:t>arbon stock changes in the forest carbon pools (live above and below ground biomass and debris), and CH</w:t>
      </w:r>
      <w:r w:rsidRPr="00904879">
        <w:rPr>
          <w:sz w:val="24"/>
          <w:szCs w:val="24"/>
          <w:vertAlign w:val="subscript"/>
        </w:rPr>
        <w:t>4</w:t>
      </w:r>
      <w:r w:rsidRPr="00904879">
        <w:rPr>
          <w:sz w:val="24"/>
          <w:szCs w:val="24"/>
        </w:rPr>
        <w:t xml:space="preserve"> and N</w:t>
      </w:r>
      <w:r w:rsidRPr="00904879">
        <w:rPr>
          <w:sz w:val="24"/>
          <w:szCs w:val="24"/>
          <w:vertAlign w:val="subscript"/>
        </w:rPr>
        <w:t>2</w:t>
      </w:r>
      <w:r w:rsidRPr="00904879">
        <w:rPr>
          <w:sz w:val="24"/>
          <w:szCs w:val="24"/>
        </w:rPr>
        <w:t xml:space="preserve">O emissions associated with post-harvest (slash) burns, in the project and baseline scenarios </w:t>
      </w:r>
      <w:r w:rsidR="00DF0531">
        <w:rPr>
          <w:sz w:val="24"/>
          <w:szCs w:val="24"/>
        </w:rPr>
        <w:t xml:space="preserve">must be calculated. This must be done </w:t>
      </w:r>
      <w:r w:rsidRPr="00904879">
        <w:rPr>
          <w:sz w:val="24"/>
          <w:szCs w:val="24"/>
        </w:rPr>
        <w:t xml:space="preserve">using </w:t>
      </w:r>
      <w:proofErr w:type="spellStart"/>
      <w:r w:rsidRPr="00904879">
        <w:rPr>
          <w:sz w:val="24"/>
          <w:szCs w:val="24"/>
        </w:rPr>
        <w:t>FullCAM</w:t>
      </w:r>
      <w:proofErr w:type="spellEnd"/>
      <w:r w:rsidRPr="00904879">
        <w:rPr>
          <w:sz w:val="24"/>
          <w:szCs w:val="24"/>
        </w:rPr>
        <w:t xml:space="preserve"> </w:t>
      </w:r>
      <w:r w:rsidR="00DF0531">
        <w:rPr>
          <w:sz w:val="24"/>
          <w:szCs w:val="24"/>
        </w:rPr>
        <w:t xml:space="preserve">and following the </w:t>
      </w:r>
      <w:r w:rsidR="00B8749E">
        <w:rPr>
          <w:sz w:val="24"/>
          <w:szCs w:val="24"/>
        </w:rPr>
        <w:t xml:space="preserve">requirements </w:t>
      </w:r>
      <w:r w:rsidRPr="00904879">
        <w:rPr>
          <w:sz w:val="24"/>
          <w:szCs w:val="24"/>
        </w:rPr>
        <w:t xml:space="preserve">in the </w:t>
      </w:r>
      <w:proofErr w:type="spellStart"/>
      <w:r w:rsidRPr="00904879">
        <w:rPr>
          <w:sz w:val="24"/>
          <w:szCs w:val="24"/>
        </w:rPr>
        <w:t>FullCAM</w:t>
      </w:r>
      <w:proofErr w:type="spellEnd"/>
      <w:r w:rsidRPr="00904879">
        <w:rPr>
          <w:sz w:val="24"/>
          <w:szCs w:val="24"/>
        </w:rPr>
        <w:t xml:space="preserve"> Guidelines. </w:t>
      </w:r>
    </w:p>
    <w:p w14:paraId="110B4929" w14:textId="6BC249B6" w:rsidR="00B8749E" w:rsidRDefault="00B8749E" w:rsidP="00B8749E">
      <w:pPr>
        <w:pStyle w:val="subsection"/>
        <w:spacing w:before="120" w:after="120"/>
        <w:ind w:left="0" w:firstLine="0"/>
        <w:rPr>
          <w:sz w:val="24"/>
          <w:szCs w:val="24"/>
        </w:rPr>
      </w:pPr>
      <w:r>
        <w:rPr>
          <w:sz w:val="24"/>
          <w:szCs w:val="24"/>
        </w:rPr>
        <w:lastRenderedPageBreak/>
        <w:t xml:space="preserve">This is Step </w:t>
      </w:r>
      <w:r w:rsidR="00F11792">
        <w:rPr>
          <w:sz w:val="24"/>
          <w:szCs w:val="24"/>
        </w:rPr>
        <w:t>3</w:t>
      </w:r>
      <w:r>
        <w:rPr>
          <w:sz w:val="24"/>
          <w:szCs w:val="24"/>
        </w:rPr>
        <w:t xml:space="preserve"> in the summary of the method for calculating the net abatement amount (in section 25). </w:t>
      </w:r>
    </w:p>
    <w:p w14:paraId="51D3CE9C" w14:textId="6DE68FCD" w:rsidR="00FD2345" w:rsidRPr="00904879" w:rsidRDefault="00FD2345" w:rsidP="00FD2345">
      <w:pPr>
        <w:pStyle w:val="paragraph"/>
        <w:spacing w:before="120" w:after="120"/>
        <w:ind w:left="0" w:firstLine="0"/>
        <w:rPr>
          <w:sz w:val="24"/>
          <w:szCs w:val="24"/>
        </w:rPr>
      </w:pPr>
      <w:r w:rsidRPr="00904879">
        <w:rPr>
          <w:sz w:val="24"/>
          <w:szCs w:val="24"/>
        </w:rPr>
        <w:t xml:space="preserve">The modelling must be undertaken using </w:t>
      </w:r>
      <w:r w:rsidR="00332944">
        <w:rPr>
          <w:sz w:val="24"/>
          <w:szCs w:val="24"/>
        </w:rPr>
        <w:t xml:space="preserve">the </w:t>
      </w:r>
      <w:r w:rsidRPr="00904879">
        <w:rPr>
          <w:sz w:val="24"/>
          <w:szCs w:val="24"/>
        </w:rPr>
        <w:t xml:space="preserve">representative </w:t>
      </w:r>
      <w:r w:rsidR="00A52FF9">
        <w:rPr>
          <w:sz w:val="24"/>
          <w:szCs w:val="24"/>
        </w:rPr>
        <w:t xml:space="preserve">harvest </w:t>
      </w:r>
      <w:r w:rsidR="00C06E51">
        <w:rPr>
          <w:sz w:val="24"/>
          <w:szCs w:val="24"/>
        </w:rPr>
        <w:t xml:space="preserve">plots </w:t>
      </w:r>
      <w:r w:rsidR="00A52FF9">
        <w:rPr>
          <w:sz w:val="24"/>
          <w:szCs w:val="24"/>
        </w:rPr>
        <w:t xml:space="preserve">and </w:t>
      </w:r>
      <w:r w:rsidR="00C06E51">
        <w:rPr>
          <w:sz w:val="24"/>
          <w:szCs w:val="24"/>
        </w:rPr>
        <w:t xml:space="preserve">representative </w:t>
      </w:r>
      <w:r w:rsidR="00A52FF9">
        <w:rPr>
          <w:sz w:val="24"/>
          <w:szCs w:val="24"/>
        </w:rPr>
        <w:t xml:space="preserve">clearing </w:t>
      </w:r>
      <w:r w:rsidRPr="00904879">
        <w:rPr>
          <w:sz w:val="24"/>
          <w:szCs w:val="24"/>
        </w:rPr>
        <w:t>plots</w:t>
      </w:r>
      <w:r w:rsidR="006B31E7">
        <w:rPr>
          <w:sz w:val="24"/>
          <w:szCs w:val="24"/>
        </w:rPr>
        <w:t xml:space="preserve"> developed under Division 5.3</w:t>
      </w:r>
      <w:r w:rsidRPr="00904879">
        <w:rPr>
          <w:sz w:val="24"/>
          <w:szCs w:val="24"/>
        </w:rPr>
        <w:t xml:space="preserve">, </w:t>
      </w:r>
      <w:r w:rsidR="00A458D1" w:rsidRPr="00A458D1">
        <w:rPr>
          <w:sz w:val="24"/>
          <w:szCs w:val="24"/>
        </w:rPr>
        <w:t>supplemented with additional model plots as necessary to reflect forest clearing events that are not directly related to timber harvesting</w:t>
      </w:r>
      <w:r w:rsidRPr="00904879">
        <w:rPr>
          <w:sz w:val="24"/>
          <w:szCs w:val="24"/>
        </w:rPr>
        <w:t xml:space="preserve">. </w:t>
      </w:r>
      <w:r w:rsidR="00236B72" w:rsidRPr="00236B72">
        <w:rPr>
          <w:sz w:val="24"/>
          <w:szCs w:val="24"/>
        </w:rPr>
        <w:t>Generally, the same representative model plots are required to be used in the baseline and project scenarios, with harvest events (including post-harvest (slash) burns) and clearing events undertaken to facilitate forest harvesting (e.g. for roading, logging trails and log landings) included (baseline scenario) and excluded (project scenario) as relevant to reflect the nature of the project activities. The main exception to this relates to forest clearing events that are not directly related to timber harvesting, which are modelled in the project scenario but excluded from the baseline scenario.</w:t>
      </w:r>
    </w:p>
    <w:p w14:paraId="621BF4BB" w14:textId="1D7D73A5" w:rsidR="00B8749E" w:rsidRPr="00310D38" w:rsidRDefault="00433D96" w:rsidP="00B8749E">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B8749E">
        <w:rPr>
          <w:rFonts w:ascii="Times New Roman" w:hAnsi="Times New Roman" w:cs="Times New Roman"/>
          <w:sz w:val="24"/>
          <w:szCs w:val="24"/>
          <w:u w:val="single"/>
        </w:rPr>
        <w:t>3</w:t>
      </w:r>
      <w:r w:rsidR="00F83581">
        <w:rPr>
          <w:rFonts w:ascii="Times New Roman" w:hAnsi="Times New Roman" w:cs="Times New Roman"/>
          <w:sz w:val="24"/>
          <w:szCs w:val="24"/>
          <w:u w:val="single"/>
        </w:rPr>
        <w:t>1</w:t>
      </w:r>
      <w:r w:rsidR="00B8749E" w:rsidRPr="00310D38">
        <w:rPr>
          <w:rFonts w:ascii="Times New Roman" w:hAnsi="Times New Roman" w:cs="Times New Roman"/>
          <w:sz w:val="24"/>
          <w:szCs w:val="24"/>
          <w:u w:val="single"/>
        </w:rPr>
        <w:t xml:space="preserve"> – </w:t>
      </w:r>
      <w:r w:rsidR="00B8749E" w:rsidRPr="00B8749E">
        <w:rPr>
          <w:rFonts w:ascii="Times New Roman" w:hAnsi="Times New Roman" w:cs="Times New Roman"/>
          <w:sz w:val="24"/>
          <w:szCs w:val="24"/>
          <w:u w:val="single"/>
        </w:rPr>
        <w:t>Calculating carbon stock change in included carbon pools</w:t>
      </w:r>
    </w:p>
    <w:p w14:paraId="3E39B335" w14:textId="16189014" w:rsidR="00F52289" w:rsidRDefault="00A20CD9" w:rsidP="00AC2376">
      <w:pPr>
        <w:pStyle w:val="subsection"/>
        <w:spacing w:before="120" w:after="120"/>
        <w:ind w:left="0" w:firstLine="0"/>
        <w:rPr>
          <w:sz w:val="24"/>
          <w:szCs w:val="24"/>
        </w:rPr>
      </w:pPr>
      <w:r>
        <w:rPr>
          <w:sz w:val="24"/>
          <w:szCs w:val="24"/>
        </w:rPr>
        <w:t>Section 3</w:t>
      </w:r>
      <w:r w:rsidR="00F83581">
        <w:rPr>
          <w:sz w:val="24"/>
          <w:szCs w:val="24"/>
        </w:rPr>
        <w:t>1</w:t>
      </w:r>
      <w:r>
        <w:rPr>
          <w:sz w:val="24"/>
          <w:szCs w:val="24"/>
        </w:rPr>
        <w:t xml:space="preserve"> contains Equation 2, which is used to calculate </w:t>
      </w:r>
      <w:r w:rsidRPr="00A20CD9">
        <w:rPr>
          <w:sz w:val="24"/>
          <w:szCs w:val="24"/>
        </w:rPr>
        <w:t xml:space="preserve">the carbon stock change </w:t>
      </w:r>
      <w:r w:rsidR="00997770">
        <w:rPr>
          <w:sz w:val="24"/>
          <w:szCs w:val="24"/>
        </w:rPr>
        <w:t xml:space="preserve">in the </w:t>
      </w:r>
      <w:r w:rsidR="00997770" w:rsidRPr="00904879">
        <w:rPr>
          <w:sz w:val="24"/>
          <w:szCs w:val="24"/>
        </w:rPr>
        <w:t xml:space="preserve">forest carbon pools </w:t>
      </w:r>
      <w:r w:rsidR="00126028">
        <w:rPr>
          <w:sz w:val="24"/>
          <w:szCs w:val="24"/>
        </w:rPr>
        <w:t xml:space="preserve">over the relevant </w:t>
      </w:r>
      <w:r w:rsidRPr="00A20CD9">
        <w:rPr>
          <w:sz w:val="24"/>
          <w:szCs w:val="24"/>
        </w:rPr>
        <w:t xml:space="preserve">reporting period </w:t>
      </w:r>
      <w:r w:rsidR="00126028">
        <w:rPr>
          <w:sz w:val="24"/>
          <w:szCs w:val="24"/>
        </w:rPr>
        <w:t xml:space="preserve">in both the </w:t>
      </w:r>
      <w:r w:rsidRPr="00A20CD9">
        <w:rPr>
          <w:sz w:val="24"/>
          <w:szCs w:val="24"/>
        </w:rPr>
        <w:t xml:space="preserve">project </w:t>
      </w:r>
      <w:r w:rsidR="00126028">
        <w:rPr>
          <w:sz w:val="24"/>
          <w:szCs w:val="24"/>
        </w:rPr>
        <w:t xml:space="preserve">and baseline </w:t>
      </w:r>
      <w:r w:rsidRPr="00A20CD9">
        <w:rPr>
          <w:sz w:val="24"/>
          <w:szCs w:val="24"/>
        </w:rPr>
        <w:t>scenario</w:t>
      </w:r>
      <w:r w:rsidR="00126028">
        <w:rPr>
          <w:sz w:val="24"/>
          <w:szCs w:val="24"/>
        </w:rPr>
        <w:t>s.</w:t>
      </w:r>
      <w:r w:rsidR="00B65D50">
        <w:rPr>
          <w:sz w:val="24"/>
          <w:szCs w:val="24"/>
        </w:rPr>
        <w:t xml:space="preserve"> The </w:t>
      </w:r>
      <w:r w:rsidR="00304B11" w:rsidRPr="00A20CD9">
        <w:rPr>
          <w:sz w:val="24"/>
          <w:szCs w:val="24"/>
        </w:rPr>
        <w:t xml:space="preserve">carbon stock change </w:t>
      </w:r>
      <w:r w:rsidR="00304B11">
        <w:rPr>
          <w:sz w:val="24"/>
          <w:szCs w:val="24"/>
        </w:rPr>
        <w:t xml:space="preserve">in the </w:t>
      </w:r>
      <w:r w:rsidR="00304B11" w:rsidRPr="00904879">
        <w:rPr>
          <w:sz w:val="24"/>
          <w:szCs w:val="24"/>
        </w:rPr>
        <w:t xml:space="preserve">forest carbon pools </w:t>
      </w:r>
      <w:r w:rsidR="00304B11">
        <w:rPr>
          <w:sz w:val="24"/>
          <w:szCs w:val="24"/>
        </w:rPr>
        <w:t xml:space="preserve">in the </w:t>
      </w:r>
      <w:r w:rsidR="00304B11" w:rsidRPr="00A20CD9">
        <w:rPr>
          <w:sz w:val="24"/>
          <w:szCs w:val="24"/>
        </w:rPr>
        <w:t xml:space="preserve">project </w:t>
      </w:r>
      <w:r w:rsidR="00304B11">
        <w:rPr>
          <w:sz w:val="24"/>
          <w:szCs w:val="24"/>
        </w:rPr>
        <w:t xml:space="preserve">and baseline </w:t>
      </w:r>
      <w:r w:rsidR="00304B11" w:rsidRPr="00A20CD9">
        <w:rPr>
          <w:sz w:val="24"/>
          <w:szCs w:val="24"/>
        </w:rPr>
        <w:t>scenario</w:t>
      </w:r>
      <w:r w:rsidR="00304B11">
        <w:rPr>
          <w:sz w:val="24"/>
          <w:szCs w:val="24"/>
        </w:rPr>
        <w:t xml:space="preserve">s are </w:t>
      </w:r>
      <w:r w:rsidR="004A63AB">
        <w:rPr>
          <w:sz w:val="24"/>
          <w:szCs w:val="24"/>
        </w:rPr>
        <w:t xml:space="preserve">used in Equation 1 (section </w:t>
      </w:r>
      <w:r w:rsidR="00DC750A">
        <w:rPr>
          <w:sz w:val="24"/>
          <w:szCs w:val="24"/>
        </w:rPr>
        <w:t>26) to calculate the net abatement amount.</w:t>
      </w:r>
    </w:p>
    <w:p w14:paraId="15051A31" w14:textId="5C6C2286" w:rsidR="00716447" w:rsidRPr="00310D38" w:rsidRDefault="00433D96" w:rsidP="00716447">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716447">
        <w:rPr>
          <w:rFonts w:ascii="Times New Roman" w:hAnsi="Times New Roman" w:cs="Times New Roman"/>
          <w:sz w:val="24"/>
          <w:szCs w:val="24"/>
          <w:u w:val="single"/>
        </w:rPr>
        <w:t>3</w:t>
      </w:r>
      <w:r w:rsidR="00AF60ED">
        <w:rPr>
          <w:rFonts w:ascii="Times New Roman" w:hAnsi="Times New Roman" w:cs="Times New Roman"/>
          <w:sz w:val="24"/>
          <w:szCs w:val="24"/>
          <w:u w:val="single"/>
        </w:rPr>
        <w:t>2</w:t>
      </w:r>
      <w:r w:rsidR="00716447" w:rsidRPr="00310D38">
        <w:rPr>
          <w:rFonts w:ascii="Times New Roman" w:hAnsi="Times New Roman" w:cs="Times New Roman"/>
          <w:sz w:val="24"/>
          <w:szCs w:val="24"/>
          <w:u w:val="single"/>
        </w:rPr>
        <w:t xml:space="preserve"> – </w:t>
      </w:r>
      <w:r w:rsidR="00A050B3" w:rsidRPr="00A050B3">
        <w:rPr>
          <w:rFonts w:ascii="Times New Roman" w:hAnsi="Times New Roman" w:cs="Times New Roman"/>
          <w:sz w:val="24"/>
          <w:szCs w:val="24"/>
          <w:u w:val="single"/>
        </w:rPr>
        <w:t>Calculating included carbon stocks</w:t>
      </w:r>
    </w:p>
    <w:p w14:paraId="579A8882" w14:textId="21F253DF" w:rsidR="00716447" w:rsidRDefault="00BD512A" w:rsidP="00AC2376">
      <w:pPr>
        <w:pStyle w:val="subsection"/>
        <w:spacing w:before="120" w:after="120"/>
        <w:ind w:left="0" w:firstLine="0"/>
        <w:rPr>
          <w:sz w:val="24"/>
          <w:szCs w:val="24"/>
        </w:rPr>
      </w:pPr>
      <w:r>
        <w:rPr>
          <w:sz w:val="24"/>
          <w:szCs w:val="24"/>
        </w:rPr>
        <w:t>Section 3</w:t>
      </w:r>
      <w:r w:rsidR="00AF60ED">
        <w:rPr>
          <w:sz w:val="24"/>
          <w:szCs w:val="24"/>
        </w:rPr>
        <w:t>2</w:t>
      </w:r>
      <w:r>
        <w:rPr>
          <w:sz w:val="24"/>
          <w:szCs w:val="24"/>
        </w:rPr>
        <w:t xml:space="preserve"> contains Equation 3, which is used to calculate the </w:t>
      </w:r>
      <w:r w:rsidR="007B62E4" w:rsidRPr="007B62E4">
        <w:rPr>
          <w:sz w:val="24"/>
          <w:szCs w:val="24"/>
        </w:rPr>
        <w:t xml:space="preserve">carbon stock in </w:t>
      </w:r>
      <w:r w:rsidR="007B62E4">
        <w:rPr>
          <w:sz w:val="24"/>
          <w:szCs w:val="24"/>
        </w:rPr>
        <w:t xml:space="preserve">the forest </w:t>
      </w:r>
      <w:r w:rsidR="007B62E4" w:rsidRPr="007B62E4">
        <w:rPr>
          <w:sz w:val="24"/>
          <w:szCs w:val="24"/>
        </w:rPr>
        <w:t xml:space="preserve">carbon pools </w:t>
      </w:r>
      <w:r w:rsidR="00F95093" w:rsidRPr="00F95093">
        <w:rPr>
          <w:sz w:val="24"/>
          <w:szCs w:val="24"/>
        </w:rPr>
        <w:t xml:space="preserve">at the end of the reporting period </w:t>
      </w:r>
      <w:r w:rsidR="006E3814">
        <w:rPr>
          <w:sz w:val="24"/>
          <w:szCs w:val="24"/>
        </w:rPr>
        <w:t>(</w:t>
      </w:r>
      <w:r>
        <w:rPr>
          <w:sz w:val="24"/>
          <w:szCs w:val="24"/>
        </w:rPr>
        <w:t>for the purposes of Equation 2</w:t>
      </w:r>
      <w:r w:rsidR="006E3814">
        <w:rPr>
          <w:sz w:val="24"/>
          <w:szCs w:val="24"/>
        </w:rPr>
        <w:t>)</w:t>
      </w:r>
      <w:r>
        <w:rPr>
          <w:sz w:val="24"/>
          <w:szCs w:val="24"/>
        </w:rPr>
        <w:t>.</w:t>
      </w:r>
    </w:p>
    <w:p w14:paraId="1A9B20B7" w14:textId="52E0CFE9" w:rsidR="002C4A21" w:rsidRPr="00310D38" w:rsidRDefault="00433D96" w:rsidP="002C4A21">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2C4A21">
        <w:rPr>
          <w:rFonts w:ascii="Times New Roman" w:hAnsi="Times New Roman" w:cs="Times New Roman"/>
          <w:sz w:val="24"/>
          <w:szCs w:val="24"/>
          <w:u w:val="single"/>
        </w:rPr>
        <w:t>3</w:t>
      </w:r>
      <w:r w:rsidR="00AF60ED">
        <w:rPr>
          <w:rFonts w:ascii="Times New Roman" w:hAnsi="Times New Roman" w:cs="Times New Roman"/>
          <w:sz w:val="24"/>
          <w:szCs w:val="24"/>
          <w:u w:val="single"/>
        </w:rPr>
        <w:t>3</w:t>
      </w:r>
      <w:r w:rsidR="002C4A21" w:rsidRPr="00310D38">
        <w:rPr>
          <w:rFonts w:ascii="Times New Roman" w:hAnsi="Times New Roman" w:cs="Times New Roman"/>
          <w:sz w:val="24"/>
          <w:szCs w:val="24"/>
          <w:u w:val="single"/>
        </w:rPr>
        <w:t xml:space="preserve"> – </w:t>
      </w:r>
      <w:r w:rsidR="002C4A21" w:rsidRPr="002C4A21">
        <w:rPr>
          <w:rFonts w:ascii="Times New Roman" w:hAnsi="Times New Roman" w:cs="Times New Roman"/>
          <w:sz w:val="24"/>
          <w:szCs w:val="24"/>
          <w:u w:val="single"/>
        </w:rPr>
        <w:t>Modelled events for estimation of carbon stocks in carbon pools</w:t>
      </w:r>
    </w:p>
    <w:p w14:paraId="3470493F" w14:textId="1293176F" w:rsidR="0010326C" w:rsidRDefault="005C3F79" w:rsidP="00AC2376">
      <w:pPr>
        <w:pStyle w:val="subsection"/>
        <w:spacing w:before="120" w:after="120"/>
        <w:ind w:left="0" w:firstLine="0"/>
        <w:rPr>
          <w:sz w:val="24"/>
          <w:szCs w:val="24"/>
        </w:rPr>
      </w:pPr>
      <w:r>
        <w:rPr>
          <w:sz w:val="24"/>
          <w:szCs w:val="24"/>
        </w:rPr>
        <w:t xml:space="preserve">Section </w:t>
      </w:r>
      <w:r w:rsidR="00EB7790">
        <w:rPr>
          <w:sz w:val="24"/>
          <w:szCs w:val="24"/>
        </w:rPr>
        <w:t>3</w:t>
      </w:r>
      <w:r w:rsidR="00AF60ED">
        <w:rPr>
          <w:sz w:val="24"/>
          <w:szCs w:val="24"/>
        </w:rPr>
        <w:t>3</w:t>
      </w:r>
      <w:r w:rsidR="00EB7790">
        <w:rPr>
          <w:sz w:val="24"/>
          <w:szCs w:val="24"/>
        </w:rPr>
        <w:t xml:space="preserve"> prescribes the events </w:t>
      </w:r>
      <w:r w:rsidR="00A1469D">
        <w:rPr>
          <w:sz w:val="24"/>
          <w:szCs w:val="24"/>
        </w:rPr>
        <w:t xml:space="preserve">that can be modelled </w:t>
      </w:r>
      <w:r w:rsidR="00957841">
        <w:rPr>
          <w:sz w:val="24"/>
          <w:szCs w:val="24"/>
        </w:rPr>
        <w:t xml:space="preserve">in calculating the </w:t>
      </w:r>
      <w:r w:rsidR="00203766">
        <w:rPr>
          <w:sz w:val="24"/>
          <w:szCs w:val="24"/>
        </w:rPr>
        <w:t xml:space="preserve">carbon stock in the forest carbon pools at the end of the reporting period </w:t>
      </w:r>
      <w:r w:rsidR="006E3814">
        <w:rPr>
          <w:sz w:val="24"/>
          <w:szCs w:val="24"/>
        </w:rPr>
        <w:t>(</w:t>
      </w:r>
      <w:r w:rsidR="001E3B90">
        <w:rPr>
          <w:sz w:val="24"/>
          <w:szCs w:val="24"/>
        </w:rPr>
        <w:t>for the purposes of Equation 3</w:t>
      </w:r>
      <w:r w:rsidR="006E3814">
        <w:rPr>
          <w:sz w:val="24"/>
          <w:szCs w:val="24"/>
        </w:rPr>
        <w:t>)</w:t>
      </w:r>
      <w:r w:rsidR="001E3B90">
        <w:rPr>
          <w:sz w:val="24"/>
          <w:szCs w:val="24"/>
        </w:rPr>
        <w:t xml:space="preserve">. </w:t>
      </w:r>
    </w:p>
    <w:p w14:paraId="2692CE42" w14:textId="251D6354" w:rsidR="00513DA6" w:rsidRPr="00513DA6" w:rsidRDefault="003D0FA8" w:rsidP="00513DA6">
      <w:pPr>
        <w:pStyle w:val="subsection"/>
        <w:spacing w:before="120" w:after="120"/>
        <w:ind w:left="0" w:firstLine="0"/>
        <w:rPr>
          <w:sz w:val="24"/>
          <w:szCs w:val="24"/>
        </w:rPr>
      </w:pPr>
      <w:r>
        <w:rPr>
          <w:sz w:val="24"/>
          <w:szCs w:val="24"/>
        </w:rPr>
        <w:t xml:space="preserve">Subsection </w:t>
      </w:r>
      <w:r w:rsidR="001E3B90" w:rsidRPr="00513DA6">
        <w:rPr>
          <w:sz w:val="24"/>
          <w:szCs w:val="24"/>
        </w:rPr>
        <w:t>3</w:t>
      </w:r>
      <w:r w:rsidR="00AF60ED">
        <w:rPr>
          <w:sz w:val="24"/>
          <w:szCs w:val="24"/>
        </w:rPr>
        <w:t>3</w:t>
      </w:r>
      <w:r w:rsidR="001E3B90" w:rsidRPr="00513DA6">
        <w:rPr>
          <w:sz w:val="24"/>
          <w:szCs w:val="24"/>
        </w:rPr>
        <w:t xml:space="preserve">(1) </w:t>
      </w:r>
      <w:r w:rsidR="00EC2D51" w:rsidRPr="00513DA6">
        <w:rPr>
          <w:sz w:val="24"/>
          <w:szCs w:val="24"/>
        </w:rPr>
        <w:t xml:space="preserve">prescribes the events that can be modelled in the baseline scenario, which are limited to: </w:t>
      </w:r>
    </w:p>
    <w:p w14:paraId="7534A6CE" w14:textId="74050225" w:rsidR="00513DA6" w:rsidRPr="00513DA6" w:rsidRDefault="00513DA6" w:rsidP="009D5A62">
      <w:pPr>
        <w:pStyle w:val="subsection"/>
        <w:numPr>
          <w:ilvl w:val="0"/>
          <w:numId w:val="57"/>
        </w:numPr>
        <w:spacing w:before="120" w:after="120"/>
        <w:rPr>
          <w:sz w:val="24"/>
          <w:szCs w:val="24"/>
        </w:rPr>
      </w:pPr>
      <w:r w:rsidRPr="00513DA6">
        <w:rPr>
          <w:sz w:val="24"/>
          <w:szCs w:val="24"/>
        </w:rPr>
        <w:t xml:space="preserve">timber harvesting (including post-harvest (slash) burns); </w:t>
      </w:r>
      <w:r>
        <w:rPr>
          <w:sz w:val="24"/>
          <w:szCs w:val="24"/>
        </w:rPr>
        <w:t xml:space="preserve">and </w:t>
      </w:r>
    </w:p>
    <w:p w14:paraId="324D02C7" w14:textId="34E5F6AA" w:rsidR="002C4A21" w:rsidRPr="00513DA6" w:rsidRDefault="00513DA6" w:rsidP="009D5A62">
      <w:pPr>
        <w:pStyle w:val="subsection"/>
        <w:numPr>
          <w:ilvl w:val="0"/>
          <w:numId w:val="57"/>
        </w:numPr>
        <w:spacing w:before="120" w:after="120"/>
        <w:rPr>
          <w:sz w:val="24"/>
          <w:szCs w:val="24"/>
        </w:rPr>
      </w:pPr>
      <w:r w:rsidRPr="00513DA6">
        <w:rPr>
          <w:sz w:val="24"/>
          <w:szCs w:val="24"/>
        </w:rPr>
        <w:t>clearing of forests to facilitate timber harvesting (e.g. for roading, logging trails and log landings)</w:t>
      </w:r>
      <w:r w:rsidR="002C4A21" w:rsidRPr="00513DA6">
        <w:rPr>
          <w:sz w:val="24"/>
          <w:szCs w:val="24"/>
        </w:rPr>
        <w:t xml:space="preserve">. </w:t>
      </w:r>
    </w:p>
    <w:p w14:paraId="3105779E" w14:textId="6AEB9935" w:rsidR="00856DDE" w:rsidRDefault="003D0FA8" w:rsidP="00856DDE">
      <w:pPr>
        <w:pStyle w:val="subsection"/>
        <w:spacing w:before="120" w:after="120"/>
        <w:ind w:left="0" w:firstLine="0"/>
        <w:rPr>
          <w:sz w:val="24"/>
          <w:szCs w:val="24"/>
        </w:rPr>
      </w:pPr>
      <w:r>
        <w:rPr>
          <w:sz w:val="24"/>
          <w:szCs w:val="24"/>
        </w:rPr>
        <w:t>Subsection</w:t>
      </w:r>
      <w:r w:rsidR="00EC2D51">
        <w:rPr>
          <w:sz w:val="24"/>
          <w:szCs w:val="24"/>
        </w:rPr>
        <w:t xml:space="preserve"> 3</w:t>
      </w:r>
      <w:r w:rsidR="00AF60ED">
        <w:rPr>
          <w:sz w:val="24"/>
          <w:szCs w:val="24"/>
        </w:rPr>
        <w:t>3</w:t>
      </w:r>
      <w:r w:rsidR="00EC2D51">
        <w:rPr>
          <w:sz w:val="24"/>
          <w:szCs w:val="24"/>
        </w:rPr>
        <w:t>(2) prescribes the events that can be modelled in the project scenario, which are limited to:</w:t>
      </w:r>
    </w:p>
    <w:p w14:paraId="050DF6E2" w14:textId="77777777" w:rsidR="00856DDE" w:rsidRPr="00856DDE" w:rsidRDefault="00856DDE" w:rsidP="009D5A62">
      <w:pPr>
        <w:pStyle w:val="subsection"/>
        <w:numPr>
          <w:ilvl w:val="0"/>
          <w:numId w:val="58"/>
        </w:numPr>
        <w:spacing w:before="120" w:after="120"/>
        <w:rPr>
          <w:sz w:val="24"/>
          <w:szCs w:val="24"/>
        </w:rPr>
      </w:pPr>
      <w:r w:rsidRPr="00856DDE">
        <w:rPr>
          <w:sz w:val="24"/>
          <w:szCs w:val="24"/>
        </w:rPr>
        <w:t xml:space="preserve">avoided timber </w:t>
      </w:r>
      <w:proofErr w:type="gramStart"/>
      <w:r w:rsidRPr="00856DDE">
        <w:rPr>
          <w:sz w:val="24"/>
          <w:szCs w:val="24"/>
        </w:rPr>
        <w:t>harvesting;</w:t>
      </w:r>
      <w:proofErr w:type="gramEnd"/>
    </w:p>
    <w:p w14:paraId="7EF388F8" w14:textId="7AF5C087" w:rsidR="00856DDE" w:rsidRPr="00856DDE" w:rsidRDefault="00856DDE" w:rsidP="009D5A62">
      <w:pPr>
        <w:pStyle w:val="subsection"/>
        <w:numPr>
          <w:ilvl w:val="0"/>
          <w:numId w:val="58"/>
        </w:numPr>
        <w:spacing w:before="120" w:after="120"/>
        <w:rPr>
          <w:sz w:val="24"/>
          <w:szCs w:val="24"/>
        </w:rPr>
      </w:pPr>
      <w:r w:rsidRPr="00856DDE">
        <w:rPr>
          <w:sz w:val="24"/>
          <w:szCs w:val="24"/>
        </w:rPr>
        <w:t xml:space="preserve">avoided clearing of forests to facilitate timber harvesting; and </w:t>
      </w:r>
    </w:p>
    <w:p w14:paraId="735A04C3" w14:textId="6C291410" w:rsidR="007A4D70" w:rsidRPr="00856DDE" w:rsidRDefault="00856DDE" w:rsidP="009D5A62">
      <w:pPr>
        <w:pStyle w:val="subsection"/>
        <w:numPr>
          <w:ilvl w:val="0"/>
          <w:numId w:val="58"/>
        </w:numPr>
        <w:spacing w:before="120" w:after="120"/>
        <w:rPr>
          <w:sz w:val="24"/>
          <w:szCs w:val="24"/>
        </w:rPr>
      </w:pPr>
      <w:r w:rsidRPr="00856DDE">
        <w:rPr>
          <w:sz w:val="24"/>
          <w:szCs w:val="24"/>
        </w:rPr>
        <w:t xml:space="preserve">other clearing of forests, including for management roads and fire trails (except where the clearing involves the re-clearing of management roads or fire trails that </w:t>
      </w:r>
      <w:proofErr w:type="gramStart"/>
      <w:r w:rsidRPr="00856DDE">
        <w:rPr>
          <w:sz w:val="24"/>
          <w:szCs w:val="24"/>
        </w:rPr>
        <w:t>were cleared</w:t>
      </w:r>
      <w:proofErr w:type="gramEnd"/>
      <w:r w:rsidRPr="00856DDE">
        <w:rPr>
          <w:sz w:val="24"/>
          <w:szCs w:val="24"/>
        </w:rPr>
        <w:t xml:space="preserve"> in the 10 years prior to the date the application </w:t>
      </w:r>
      <w:proofErr w:type="gramStart"/>
      <w:r w:rsidRPr="00856DDE">
        <w:rPr>
          <w:sz w:val="24"/>
          <w:szCs w:val="24"/>
        </w:rPr>
        <w:t>was made</w:t>
      </w:r>
      <w:proofErr w:type="gramEnd"/>
      <w:r w:rsidRPr="00856DDE">
        <w:rPr>
          <w:sz w:val="24"/>
          <w:szCs w:val="24"/>
        </w:rPr>
        <w:t xml:space="preserve"> for the declaration of the project as an </w:t>
      </w:r>
      <w:proofErr w:type="gramStart"/>
      <w:r w:rsidRPr="00856DDE">
        <w:rPr>
          <w:sz w:val="24"/>
          <w:szCs w:val="24"/>
        </w:rPr>
        <w:t>eligible offsets</w:t>
      </w:r>
      <w:proofErr w:type="gramEnd"/>
      <w:r w:rsidRPr="00856DDE">
        <w:rPr>
          <w:sz w:val="24"/>
          <w:szCs w:val="24"/>
        </w:rPr>
        <w:t xml:space="preserve"> project)</w:t>
      </w:r>
      <w:r w:rsidR="002C4A21" w:rsidRPr="00856DDE">
        <w:rPr>
          <w:sz w:val="24"/>
          <w:szCs w:val="24"/>
        </w:rPr>
        <w:t>.</w:t>
      </w:r>
    </w:p>
    <w:p w14:paraId="5F75ABFE" w14:textId="0D9756F7" w:rsidR="007A4D70" w:rsidRPr="00310D38" w:rsidRDefault="00433D96" w:rsidP="007A4D70">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7A4D70">
        <w:rPr>
          <w:rFonts w:ascii="Times New Roman" w:hAnsi="Times New Roman" w:cs="Times New Roman"/>
          <w:sz w:val="24"/>
          <w:szCs w:val="24"/>
          <w:u w:val="single"/>
        </w:rPr>
        <w:t>3</w:t>
      </w:r>
      <w:r w:rsidR="00753E2D">
        <w:rPr>
          <w:rFonts w:ascii="Times New Roman" w:hAnsi="Times New Roman" w:cs="Times New Roman"/>
          <w:sz w:val="24"/>
          <w:szCs w:val="24"/>
          <w:u w:val="single"/>
        </w:rPr>
        <w:t>4</w:t>
      </w:r>
      <w:r w:rsidR="007A4D70" w:rsidRPr="00310D38">
        <w:rPr>
          <w:rFonts w:ascii="Times New Roman" w:hAnsi="Times New Roman" w:cs="Times New Roman"/>
          <w:sz w:val="24"/>
          <w:szCs w:val="24"/>
          <w:u w:val="single"/>
        </w:rPr>
        <w:t xml:space="preserve"> – </w:t>
      </w:r>
      <w:r w:rsidR="001D6B21" w:rsidRPr="001D6B21">
        <w:rPr>
          <w:rFonts w:ascii="Times New Roman" w:hAnsi="Times New Roman" w:cs="Times New Roman"/>
          <w:sz w:val="24"/>
          <w:szCs w:val="24"/>
          <w:u w:val="single"/>
        </w:rPr>
        <w:t>Estimation of carbon stocks in trees and forest debris</w:t>
      </w:r>
    </w:p>
    <w:p w14:paraId="09C2A1A3" w14:textId="6F278397" w:rsidR="001E3FA3" w:rsidRDefault="00A66D0B" w:rsidP="005B203F">
      <w:pPr>
        <w:pStyle w:val="subsection"/>
        <w:spacing w:before="120" w:after="120"/>
        <w:ind w:left="0" w:firstLine="0"/>
        <w:rPr>
          <w:sz w:val="24"/>
          <w:szCs w:val="24"/>
        </w:rPr>
      </w:pPr>
      <w:r>
        <w:rPr>
          <w:sz w:val="24"/>
          <w:szCs w:val="24"/>
        </w:rPr>
        <w:t>Section 3</w:t>
      </w:r>
      <w:r w:rsidR="00753E2D">
        <w:rPr>
          <w:sz w:val="24"/>
          <w:szCs w:val="24"/>
        </w:rPr>
        <w:t>4</w:t>
      </w:r>
      <w:r>
        <w:rPr>
          <w:sz w:val="24"/>
          <w:szCs w:val="24"/>
        </w:rPr>
        <w:t xml:space="preserve"> </w:t>
      </w:r>
      <w:r w:rsidR="00963DA8">
        <w:rPr>
          <w:sz w:val="24"/>
          <w:szCs w:val="24"/>
        </w:rPr>
        <w:t xml:space="preserve">specifies how forest carbon stocks at the end of the reporting period in the project and baseline scenarios must modelled </w:t>
      </w:r>
      <w:r w:rsidR="006E3814">
        <w:rPr>
          <w:sz w:val="24"/>
          <w:szCs w:val="24"/>
        </w:rPr>
        <w:t>(</w:t>
      </w:r>
      <w:r w:rsidR="001F01A1">
        <w:rPr>
          <w:sz w:val="24"/>
          <w:szCs w:val="24"/>
        </w:rPr>
        <w:t>for the purposes of Equation 3</w:t>
      </w:r>
      <w:r w:rsidR="006E3814">
        <w:rPr>
          <w:sz w:val="24"/>
          <w:szCs w:val="24"/>
        </w:rPr>
        <w:t>)</w:t>
      </w:r>
      <w:r w:rsidR="001F01A1">
        <w:rPr>
          <w:sz w:val="24"/>
          <w:szCs w:val="24"/>
        </w:rPr>
        <w:t xml:space="preserve">. </w:t>
      </w:r>
    </w:p>
    <w:p w14:paraId="7EEA8EA8" w14:textId="6B595A99" w:rsidR="007A4D70" w:rsidRDefault="001E3FA3" w:rsidP="005B203F">
      <w:pPr>
        <w:pStyle w:val="subsection"/>
        <w:spacing w:before="120" w:after="120"/>
        <w:ind w:left="0" w:firstLine="0"/>
        <w:rPr>
          <w:sz w:val="24"/>
          <w:szCs w:val="24"/>
        </w:rPr>
      </w:pPr>
      <w:r>
        <w:rPr>
          <w:sz w:val="24"/>
          <w:szCs w:val="24"/>
        </w:rPr>
        <w:t>Subsection 3</w:t>
      </w:r>
      <w:r w:rsidR="00753E2D">
        <w:rPr>
          <w:sz w:val="24"/>
          <w:szCs w:val="24"/>
        </w:rPr>
        <w:t>4</w:t>
      </w:r>
      <w:r>
        <w:rPr>
          <w:sz w:val="24"/>
          <w:szCs w:val="24"/>
        </w:rPr>
        <w:t xml:space="preserve">(1) requires the </w:t>
      </w:r>
      <w:r w:rsidR="00B0613B">
        <w:rPr>
          <w:sz w:val="24"/>
          <w:szCs w:val="24"/>
        </w:rPr>
        <w:t xml:space="preserve">modelling </w:t>
      </w:r>
      <w:r>
        <w:rPr>
          <w:sz w:val="24"/>
          <w:szCs w:val="24"/>
        </w:rPr>
        <w:t>of forest carbon stocks (</w:t>
      </w:r>
      <w:r w:rsidRPr="00B42E16">
        <w:rPr>
          <w:sz w:val="24"/>
          <w:szCs w:val="24"/>
        </w:rPr>
        <w:t>carbon mass of trees and forest debris</w:t>
      </w:r>
      <w:r>
        <w:rPr>
          <w:sz w:val="24"/>
          <w:szCs w:val="24"/>
        </w:rPr>
        <w:t xml:space="preserve">) at the end of the reporting period to </w:t>
      </w:r>
      <w:r w:rsidR="00B0613B">
        <w:rPr>
          <w:sz w:val="24"/>
          <w:szCs w:val="24"/>
        </w:rPr>
        <w:t xml:space="preserve">be done using </w:t>
      </w:r>
      <w:proofErr w:type="spellStart"/>
      <w:r w:rsidR="00B0613B">
        <w:rPr>
          <w:sz w:val="24"/>
          <w:szCs w:val="24"/>
        </w:rPr>
        <w:t>FullCAM</w:t>
      </w:r>
      <w:proofErr w:type="spellEnd"/>
      <w:r w:rsidR="001624E4">
        <w:rPr>
          <w:sz w:val="24"/>
          <w:szCs w:val="24"/>
        </w:rPr>
        <w:t xml:space="preserve"> and in accordance with the </w:t>
      </w:r>
      <w:proofErr w:type="spellStart"/>
      <w:r w:rsidR="001624E4">
        <w:rPr>
          <w:sz w:val="24"/>
          <w:szCs w:val="24"/>
        </w:rPr>
        <w:t>FullCAM</w:t>
      </w:r>
      <w:proofErr w:type="spellEnd"/>
      <w:r w:rsidR="001624E4">
        <w:rPr>
          <w:sz w:val="24"/>
          <w:szCs w:val="24"/>
        </w:rPr>
        <w:t xml:space="preserve"> Guidelines</w:t>
      </w:r>
      <w:r w:rsidR="00865EE1">
        <w:rPr>
          <w:sz w:val="24"/>
          <w:szCs w:val="24"/>
        </w:rPr>
        <w:t xml:space="preserve">. </w:t>
      </w:r>
    </w:p>
    <w:p w14:paraId="012990D6" w14:textId="70F75D62" w:rsidR="00414C44" w:rsidRDefault="00716410" w:rsidP="005B203F">
      <w:pPr>
        <w:pStyle w:val="subsection"/>
        <w:spacing w:before="120" w:after="120"/>
        <w:ind w:left="0" w:firstLine="0"/>
        <w:rPr>
          <w:sz w:val="24"/>
          <w:szCs w:val="24"/>
        </w:rPr>
      </w:pPr>
      <w:r>
        <w:rPr>
          <w:sz w:val="24"/>
          <w:szCs w:val="24"/>
        </w:rPr>
        <w:lastRenderedPageBreak/>
        <w:t>Subsection 3</w:t>
      </w:r>
      <w:r w:rsidR="001D6B21">
        <w:rPr>
          <w:sz w:val="24"/>
          <w:szCs w:val="24"/>
        </w:rPr>
        <w:t>4</w:t>
      </w:r>
      <w:r>
        <w:rPr>
          <w:sz w:val="24"/>
          <w:szCs w:val="24"/>
        </w:rPr>
        <w:t xml:space="preserve">(2) specifies how the forest carbon stocks </w:t>
      </w:r>
      <w:r w:rsidR="00F864A0">
        <w:rPr>
          <w:sz w:val="24"/>
          <w:szCs w:val="24"/>
        </w:rPr>
        <w:t xml:space="preserve">must be modelled in the baseline scenario for the first reporting period. </w:t>
      </w:r>
      <w:r w:rsidR="00414C44">
        <w:rPr>
          <w:sz w:val="24"/>
          <w:szCs w:val="24"/>
        </w:rPr>
        <w:t xml:space="preserve">For </w:t>
      </w:r>
      <w:r w:rsidR="00F864A0">
        <w:rPr>
          <w:sz w:val="24"/>
          <w:szCs w:val="24"/>
        </w:rPr>
        <w:t>these purposes</w:t>
      </w:r>
      <w:r w:rsidR="00414C44">
        <w:rPr>
          <w:sz w:val="24"/>
          <w:szCs w:val="24"/>
        </w:rPr>
        <w:t xml:space="preserve">, the forest carbon stocks </w:t>
      </w:r>
      <w:r w:rsidR="00B42E16">
        <w:rPr>
          <w:sz w:val="24"/>
          <w:szCs w:val="24"/>
        </w:rPr>
        <w:t>must be calculated</w:t>
      </w:r>
      <w:r>
        <w:rPr>
          <w:sz w:val="24"/>
          <w:szCs w:val="24"/>
        </w:rPr>
        <w:t xml:space="preserve"> </w:t>
      </w:r>
      <w:r w:rsidR="00974293">
        <w:rPr>
          <w:sz w:val="24"/>
          <w:szCs w:val="24"/>
        </w:rPr>
        <w:t xml:space="preserve">using a </w:t>
      </w:r>
      <w:r w:rsidR="00CB2E2D">
        <w:rPr>
          <w:sz w:val="24"/>
          <w:szCs w:val="24"/>
        </w:rPr>
        <w:t>7-step</w:t>
      </w:r>
      <w:r w:rsidR="00974293">
        <w:rPr>
          <w:sz w:val="24"/>
          <w:szCs w:val="24"/>
        </w:rPr>
        <w:t xml:space="preserve"> method</w:t>
      </w:r>
      <w:r>
        <w:rPr>
          <w:sz w:val="24"/>
          <w:szCs w:val="24"/>
        </w:rPr>
        <w:t xml:space="preserve">. </w:t>
      </w:r>
    </w:p>
    <w:p w14:paraId="3BC97ABC" w14:textId="6DB3F641" w:rsidR="00B42E16" w:rsidRPr="00194773" w:rsidRDefault="00194773" w:rsidP="00194773">
      <w:pPr>
        <w:pStyle w:val="subsection"/>
        <w:spacing w:before="120" w:after="120"/>
        <w:ind w:left="720" w:firstLine="0"/>
        <w:rPr>
          <w:sz w:val="24"/>
          <w:szCs w:val="24"/>
        </w:rPr>
      </w:pPr>
      <w:r w:rsidRPr="00194773">
        <w:rPr>
          <w:b/>
          <w:bCs/>
          <w:sz w:val="24"/>
          <w:szCs w:val="24"/>
        </w:rPr>
        <w:t>Step 1:</w:t>
      </w:r>
      <w:r w:rsidRPr="00194773">
        <w:rPr>
          <w:sz w:val="24"/>
          <w:szCs w:val="24"/>
        </w:rPr>
        <w:t xml:space="preserve"> </w:t>
      </w:r>
      <w:r w:rsidR="00B42E16" w:rsidRPr="00194773">
        <w:rPr>
          <w:sz w:val="24"/>
          <w:szCs w:val="24"/>
        </w:rPr>
        <w:t xml:space="preserve">Calculate the proportion of the total net harvested area for the prior period allocated to each of the representative </w:t>
      </w:r>
      <w:r w:rsidR="00D45698" w:rsidRPr="00194773">
        <w:rPr>
          <w:sz w:val="24"/>
          <w:szCs w:val="24"/>
        </w:rPr>
        <w:t xml:space="preserve">harvest </w:t>
      </w:r>
      <w:r w:rsidR="00B42E16" w:rsidRPr="00194773">
        <w:rPr>
          <w:sz w:val="24"/>
          <w:szCs w:val="24"/>
        </w:rPr>
        <w:t>plots from subsection 2</w:t>
      </w:r>
      <w:r w:rsidR="002C7607">
        <w:rPr>
          <w:sz w:val="24"/>
          <w:szCs w:val="24"/>
        </w:rPr>
        <w:t>7</w:t>
      </w:r>
      <w:r w:rsidR="00B42E16" w:rsidRPr="00194773">
        <w:rPr>
          <w:sz w:val="24"/>
          <w:szCs w:val="24"/>
        </w:rPr>
        <w:t xml:space="preserve">(1) in the prior period </w:t>
      </w:r>
      <w:proofErr w:type="spellStart"/>
      <w:r w:rsidR="00B42E16" w:rsidRPr="00194773">
        <w:rPr>
          <w:sz w:val="24"/>
          <w:szCs w:val="24"/>
        </w:rPr>
        <w:t>FullCAM</w:t>
      </w:r>
      <w:proofErr w:type="spellEnd"/>
      <w:r w:rsidR="00B42E16" w:rsidRPr="00194773">
        <w:rPr>
          <w:sz w:val="24"/>
          <w:szCs w:val="24"/>
        </w:rPr>
        <w:t xml:space="preserve"> forest estate model</w:t>
      </w:r>
      <w:r w:rsidR="00974293" w:rsidRPr="00194773">
        <w:rPr>
          <w:sz w:val="24"/>
          <w:szCs w:val="24"/>
        </w:rPr>
        <w:t xml:space="preserve"> (subsection 3</w:t>
      </w:r>
      <w:r w:rsidR="002C7607">
        <w:rPr>
          <w:sz w:val="24"/>
          <w:szCs w:val="24"/>
        </w:rPr>
        <w:t>4</w:t>
      </w:r>
      <w:r w:rsidR="00974293" w:rsidRPr="00194773">
        <w:rPr>
          <w:sz w:val="24"/>
          <w:szCs w:val="24"/>
        </w:rPr>
        <w:t>(2)(</w:t>
      </w:r>
      <w:r w:rsidR="00D45698" w:rsidRPr="00194773">
        <w:rPr>
          <w:sz w:val="24"/>
          <w:szCs w:val="24"/>
        </w:rPr>
        <w:t>a</w:t>
      </w:r>
      <w:r w:rsidR="00974293" w:rsidRPr="00194773">
        <w:rPr>
          <w:sz w:val="24"/>
          <w:szCs w:val="24"/>
        </w:rPr>
        <w:t>))</w:t>
      </w:r>
      <w:r w:rsidR="00B42E16" w:rsidRPr="00194773">
        <w:rPr>
          <w:sz w:val="24"/>
          <w:szCs w:val="24"/>
        </w:rPr>
        <w:t xml:space="preserve">. </w:t>
      </w:r>
    </w:p>
    <w:p w14:paraId="1B711C23" w14:textId="5B5E52FC" w:rsidR="00D45698" w:rsidRPr="00194773" w:rsidRDefault="00194773" w:rsidP="00194773">
      <w:pPr>
        <w:pStyle w:val="subsection"/>
        <w:spacing w:before="120" w:after="120"/>
        <w:ind w:left="720" w:firstLine="0"/>
        <w:rPr>
          <w:sz w:val="24"/>
          <w:szCs w:val="24"/>
        </w:rPr>
      </w:pPr>
      <w:r w:rsidRPr="00194773">
        <w:rPr>
          <w:b/>
          <w:bCs/>
          <w:sz w:val="24"/>
          <w:szCs w:val="24"/>
        </w:rPr>
        <w:t>Step 2:</w:t>
      </w:r>
      <w:r w:rsidRPr="00194773">
        <w:rPr>
          <w:sz w:val="24"/>
          <w:szCs w:val="24"/>
        </w:rPr>
        <w:t xml:space="preserve"> </w:t>
      </w:r>
      <w:r w:rsidR="004A5ED1" w:rsidRPr="00194773">
        <w:rPr>
          <w:sz w:val="24"/>
          <w:szCs w:val="24"/>
        </w:rPr>
        <w:t>Calculate the net harvested area in the baseline scenario (in hectares) in the reporting period by dividing the net harvested area in the baseline scenario for each financial year covered by the reporting period by 12 (to derive an average baseline harvested area for each month) and</w:t>
      </w:r>
      <w:r w:rsidR="001E3FA3" w:rsidRPr="00194773">
        <w:rPr>
          <w:sz w:val="24"/>
          <w:szCs w:val="24"/>
        </w:rPr>
        <w:t xml:space="preserve"> </w:t>
      </w:r>
      <w:r w:rsidR="004A5ED1" w:rsidRPr="00194773">
        <w:rPr>
          <w:sz w:val="24"/>
          <w:szCs w:val="24"/>
        </w:rPr>
        <w:t>summing the average baseline harvested area for each month in the reporting period</w:t>
      </w:r>
      <w:r w:rsidR="00974293" w:rsidRPr="00194773">
        <w:rPr>
          <w:sz w:val="24"/>
          <w:szCs w:val="24"/>
        </w:rPr>
        <w:t xml:space="preserve"> (subsection 3</w:t>
      </w:r>
      <w:r w:rsidR="002C7607">
        <w:rPr>
          <w:sz w:val="24"/>
          <w:szCs w:val="24"/>
        </w:rPr>
        <w:t>4</w:t>
      </w:r>
      <w:r w:rsidR="00974293" w:rsidRPr="00194773">
        <w:rPr>
          <w:sz w:val="24"/>
          <w:szCs w:val="24"/>
        </w:rPr>
        <w:t>(2)(</w:t>
      </w:r>
      <w:r w:rsidR="00D45698" w:rsidRPr="00194773">
        <w:rPr>
          <w:sz w:val="24"/>
          <w:szCs w:val="24"/>
        </w:rPr>
        <w:t>b</w:t>
      </w:r>
      <w:r w:rsidR="00974293" w:rsidRPr="00194773">
        <w:rPr>
          <w:sz w:val="24"/>
          <w:szCs w:val="24"/>
        </w:rPr>
        <w:t>))</w:t>
      </w:r>
      <w:r w:rsidR="001E3FA3" w:rsidRPr="00194773">
        <w:rPr>
          <w:sz w:val="24"/>
          <w:szCs w:val="24"/>
        </w:rPr>
        <w:t>.</w:t>
      </w:r>
    </w:p>
    <w:p w14:paraId="236D23E0" w14:textId="1D1D68C7" w:rsidR="00E109D3" w:rsidRPr="00194773" w:rsidRDefault="00194773" w:rsidP="00194773">
      <w:pPr>
        <w:pStyle w:val="subsection"/>
        <w:spacing w:before="120" w:after="120"/>
        <w:ind w:left="720" w:firstLine="0"/>
        <w:rPr>
          <w:sz w:val="24"/>
          <w:szCs w:val="24"/>
        </w:rPr>
      </w:pPr>
      <w:r w:rsidRPr="00194773">
        <w:rPr>
          <w:b/>
          <w:bCs/>
          <w:sz w:val="24"/>
          <w:szCs w:val="24"/>
        </w:rPr>
        <w:t>Step 3:</w:t>
      </w:r>
      <w:r w:rsidRPr="00194773">
        <w:rPr>
          <w:sz w:val="24"/>
          <w:szCs w:val="24"/>
        </w:rPr>
        <w:t xml:space="preserve"> </w:t>
      </w:r>
      <w:r w:rsidR="00D45698" w:rsidRPr="00194773">
        <w:rPr>
          <w:sz w:val="24"/>
          <w:szCs w:val="24"/>
        </w:rPr>
        <w:t xml:space="preserve">Calculate the modelled </w:t>
      </w:r>
      <w:r w:rsidR="00C819FF" w:rsidRPr="00194773">
        <w:rPr>
          <w:sz w:val="24"/>
          <w:szCs w:val="24"/>
        </w:rPr>
        <w:t xml:space="preserve">baseline harvest area by subtracting the net harvested area in the reporting period (in hectares) from the net harvested area in the baseline scenario (in hectares) over the reporting period from </w:t>
      </w:r>
      <w:r w:rsidR="00D45698" w:rsidRPr="00194773">
        <w:rPr>
          <w:sz w:val="24"/>
          <w:szCs w:val="24"/>
        </w:rPr>
        <w:t>subsection 3</w:t>
      </w:r>
      <w:r w:rsidR="002C7607">
        <w:rPr>
          <w:sz w:val="24"/>
          <w:szCs w:val="24"/>
        </w:rPr>
        <w:t>4</w:t>
      </w:r>
      <w:r w:rsidR="00D45698" w:rsidRPr="00194773">
        <w:rPr>
          <w:sz w:val="24"/>
          <w:szCs w:val="24"/>
        </w:rPr>
        <w:t>(2)</w:t>
      </w:r>
      <w:r w:rsidR="00C819FF" w:rsidRPr="00194773">
        <w:rPr>
          <w:sz w:val="24"/>
          <w:szCs w:val="24"/>
        </w:rPr>
        <w:t>(b)</w:t>
      </w:r>
      <w:r w:rsidR="00D45698" w:rsidRPr="00194773">
        <w:rPr>
          <w:sz w:val="24"/>
          <w:szCs w:val="24"/>
        </w:rPr>
        <w:t xml:space="preserve"> (subsection 3</w:t>
      </w:r>
      <w:r w:rsidR="002C7607">
        <w:rPr>
          <w:sz w:val="24"/>
          <w:szCs w:val="24"/>
        </w:rPr>
        <w:t>4</w:t>
      </w:r>
      <w:r w:rsidR="00D45698" w:rsidRPr="00194773">
        <w:rPr>
          <w:sz w:val="24"/>
          <w:szCs w:val="24"/>
        </w:rPr>
        <w:t>(2)(c)).</w:t>
      </w:r>
      <w:r w:rsidR="00B04996" w:rsidRPr="00194773">
        <w:rPr>
          <w:sz w:val="24"/>
          <w:szCs w:val="24"/>
        </w:rPr>
        <w:t xml:space="preserve"> </w:t>
      </w:r>
      <w:r w:rsidR="00E60446" w:rsidRPr="00194773">
        <w:rPr>
          <w:sz w:val="24"/>
          <w:szCs w:val="24"/>
        </w:rPr>
        <w:t>This means the only harvest events that are modelled a</w:t>
      </w:r>
      <w:r w:rsidR="00E60446">
        <w:rPr>
          <w:sz w:val="24"/>
          <w:szCs w:val="24"/>
        </w:rPr>
        <w:t>re</w:t>
      </w:r>
      <w:r w:rsidR="00E60446" w:rsidRPr="00194773">
        <w:rPr>
          <w:sz w:val="24"/>
          <w:szCs w:val="24"/>
        </w:rPr>
        <w:t xml:space="preserve"> those that are avoided in the project scenario, based on the assumption that the </w:t>
      </w:r>
      <w:r w:rsidR="00E60446">
        <w:rPr>
          <w:sz w:val="24"/>
          <w:szCs w:val="24"/>
        </w:rPr>
        <w:t xml:space="preserve">other </w:t>
      </w:r>
      <w:r w:rsidR="00E60446" w:rsidRPr="00194773">
        <w:rPr>
          <w:sz w:val="24"/>
          <w:szCs w:val="24"/>
        </w:rPr>
        <w:t>harvesting that occurs in the project scenario would have occurred in the baseline scenario (i.e. there is no relevant change in carbon stocks between the two scenarios).</w:t>
      </w:r>
    </w:p>
    <w:p w14:paraId="71860CA1" w14:textId="4E4DB366" w:rsidR="003B0BBA" w:rsidRPr="00194773" w:rsidRDefault="00194773" w:rsidP="00194773">
      <w:pPr>
        <w:pStyle w:val="subsection"/>
        <w:spacing w:before="120" w:after="120"/>
        <w:ind w:left="720" w:firstLine="0"/>
        <w:rPr>
          <w:sz w:val="24"/>
          <w:szCs w:val="24"/>
        </w:rPr>
      </w:pPr>
      <w:r w:rsidRPr="00194773">
        <w:rPr>
          <w:b/>
          <w:bCs/>
          <w:sz w:val="24"/>
          <w:szCs w:val="24"/>
        </w:rPr>
        <w:t>Step 4:</w:t>
      </w:r>
      <w:r w:rsidRPr="00194773">
        <w:rPr>
          <w:sz w:val="24"/>
          <w:szCs w:val="24"/>
        </w:rPr>
        <w:t xml:space="preserve"> </w:t>
      </w:r>
      <w:r w:rsidR="00D42F52" w:rsidRPr="00194773">
        <w:rPr>
          <w:sz w:val="24"/>
          <w:szCs w:val="24"/>
        </w:rPr>
        <w:t xml:space="preserve">Allocate the </w:t>
      </w:r>
      <w:r w:rsidR="00C819FF" w:rsidRPr="00194773">
        <w:rPr>
          <w:sz w:val="24"/>
          <w:szCs w:val="24"/>
        </w:rPr>
        <w:t xml:space="preserve">modelled baseline harvest area </w:t>
      </w:r>
      <w:r w:rsidR="00D42F52" w:rsidRPr="00194773">
        <w:rPr>
          <w:sz w:val="24"/>
          <w:szCs w:val="24"/>
        </w:rPr>
        <w:t>(</w:t>
      </w:r>
      <w:r w:rsidR="00C819FF" w:rsidRPr="00194773">
        <w:rPr>
          <w:sz w:val="24"/>
          <w:szCs w:val="24"/>
        </w:rPr>
        <w:t xml:space="preserve">from </w:t>
      </w:r>
      <w:r w:rsidR="00D42F52" w:rsidRPr="00194773">
        <w:rPr>
          <w:sz w:val="24"/>
          <w:szCs w:val="24"/>
        </w:rPr>
        <w:t>subsection 3</w:t>
      </w:r>
      <w:r w:rsidR="002C7607">
        <w:rPr>
          <w:sz w:val="24"/>
          <w:szCs w:val="24"/>
        </w:rPr>
        <w:t>4</w:t>
      </w:r>
      <w:r w:rsidR="00D42F52" w:rsidRPr="00194773">
        <w:rPr>
          <w:sz w:val="24"/>
          <w:szCs w:val="24"/>
        </w:rPr>
        <w:t>(2)</w:t>
      </w:r>
      <w:r w:rsidR="00C819FF" w:rsidRPr="00194773">
        <w:rPr>
          <w:sz w:val="24"/>
          <w:szCs w:val="24"/>
        </w:rPr>
        <w:t>(c)</w:t>
      </w:r>
      <w:r w:rsidR="00D42F52" w:rsidRPr="00194773">
        <w:rPr>
          <w:sz w:val="24"/>
          <w:szCs w:val="24"/>
        </w:rPr>
        <w:t>)</w:t>
      </w:r>
      <w:r w:rsidR="00C819FF" w:rsidRPr="00194773">
        <w:rPr>
          <w:sz w:val="24"/>
          <w:szCs w:val="24"/>
        </w:rPr>
        <w:t xml:space="preserve"> to the representative </w:t>
      </w:r>
      <w:r w:rsidR="00D42F52" w:rsidRPr="00194773">
        <w:rPr>
          <w:sz w:val="24"/>
          <w:szCs w:val="24"/>
        </w:rPr>
        <w:t>harvest</w:t>
      </w:r>
      <w:r w:rsidR="00C819FF" w:rsidRPr="00194773">
        <w:rPr>
          <w:sz w:val="24"/>
          <w:szCs w:val="24"/>
        </w:rPr>
        <w:t xml:space="preserve"> plots from subsection 2</w:t>
      </w:r>
      <w:r w:rsidR="002C7607">
        <w:rPr>
          <w:sz w:val="24"/>
          <w:szCs w:val="24"/>
        </w:rPr>
        <w:t>7</w:t>
      </w:r>
      <w:r w:rsidR="00C819FF" w:rsidRPr="00194773">
        <w:rPr>
          <w:sz w:val="24"/>
          <w:szCs w:val="24"/>
        </w:rPr>
        <w:t xml:space="preserve">(1) by multiplying the proportion </w:t>
      </w:r>
      <w:r w:rsidR="008F61D5">
        <w:rPr>
          <w:sz w:val="24"/>
          <w:szCs w:val="24"/>
        </w:rPr>
        <w:t xml:space="preserve">from </w:t>
      </w:r>
      <w:r w:rsidR="003E0A1F" w:rsidRPr="00194773">
        <w:rPr>
          <w:sz w:val="24"/>
          <w:szCs w:val="24"/>
        </w:rPr>
        <w:t>subsection 3</w:t>
      </w:r>
      <w:r w:rsidR="002C7607">
        <w:rPr>
          <w:sz w:val="24"/>
          <w:szCs w:val="24"/>
        </w:rPr>
        <w:t>4</w:t>
      </w:r>
      <w:r w:rsidR="003E0A1F" w:rsidRPr="00194773">
        <w:rPr>
          <w:sz w:val="24"/>
          <w:szCs w:val="24"/>
        </w:rPr>
        <w:t xml:space="preserve">(2)(a) </w:t>
      </w:r>
      <w:r w:rsidR="00C819FF" w:rsidRPr="00194773">
        <w:rPr>
          <w:sz w:val="24"/>
          <w:szCs w:val="24"/>
        </w:rPr>
        <w:t xml:space="preserve">for each plot by the </w:t>
      </w:r>
      <w:r w:rsidR="00045B36">
        <w:rPr>
          <w:sz w:val="24"/>
          <w:szCs w:val="24"/>
        </w:rPr>
        <w:t xml:space="preserve">total </w:t>
      </w:r>
      <w:r w:rsidR="00C819FF" w:rsidRPr="00194773">
        <w:rPr>
          <w:sz w:val="24"/>
          <w:szCs w:val="24"/>
        </w:rPr>
        <w:t>modelled baseline harvest area for the reporting period.</w:t>
      </w:r>
      <w:r w:rsidR="003B0BBA" w:rsidRPr="00194773">
        <w:rPr>
          <w:sz w:val="24"/>
          <w:szCs w:val="24"/>
        </w:rPr>
        <w:t xml:space="preserve"> The use of this approach assumes the harvesting that occurred in the prior period is representative of what would have occurred in the absence of the INFM project</w:t>
      </w:r>
      <w:r w:rsidR="00FF674B" w:rsidRPr="00194773">
        <w:rPr>
          <w:sz w:val="24"/>
          <w:szCs w:val="24"/>
        </w:rPr>
        <w:t xml:space="preserve"> (subsection 3</w:t>
      </w:r>
      <w:r w:rsidR="002C7607">
        <w:rPr>
          <w:sz w:val="24"/>
          <w:szCs w:val="24"/>
        </w:rPr>
        <w:t>4</w:t>
      </w:r>
      <w:r w:rsidR="00FF674B" w:rsidRPr="00194773">
        <w:rPr>
          <w:sz w:val="24"/>
          <w:szCs w:val="24"/>
        </w:rPr>
        <w:t>(2)(d))</w:t>
      </w:r>
      <w:r w:rsidR="003B0BBA" w:rsidRPr="00194773">
        <w:rPr>
          <w:sz w:val="24"/>
          <w:szCs w:val="24"/>
        </w:rPr>
        <w:t>.</w:t>
      </w:r>
    </w:p>
    <w:p w14:paraId="77D8F622" w14:textId="0FEEF02C" w:rsidR="00C819FF" w:rsidRPr="00194773" w:rsidRDefault="00194773" w:rsidP="00194773">
      <w:pPr>
        <w:pStyle w:val="subsection"/>
        <w:spacing w:before="120" w:after="120"/>
        <w:ind w:left="720" w:firstLine="0"/>
        <w:rPr>
          <w:sz w:val="24"/>
          <w:szCs w:val="24"/>
        </w:rPr>
      </w:pPr>
      <w:r w:rsidRPr="00194773">
        <w:rPr>
          <w:b/>
          <w:bCs/>
          <w:sz w:val="24"/>
          <w:szCs w:val="24"/>
        </w:rPr>
        <w:t xml:space="preserve">Step </w:t>
      </w:r>
      <w:r w:rsidR="00EB5437">
        <w:rPr>
          <w:b/>
          <w:bCs/>
          <w:sz w:val="24"/>
          <w:szCs w:val="24"/>
        </w:rPr>
        <w:t>5</w:t>
      </w:r>
      <w:r w:rsidRPr="00194773">
        <w:rPr>
          <w:b/>
          <w:bCs/>
          <w:sz w:val="24"/>
          <w:szCs w:val="24"/>
        </w:rPr>
        <w:t>:</w:t>
      </w:r>
      <w:r w:rsidRPr="00194773">
        <w:rPr>
          <w:sz w:val="24"/>
          <w:szCs w:val="24"/>
        </w:rPr>
        <w:t xml:space="preserve"> </w:t>
      </w:r>
      <w:r w:rsidR="001069C6">
        <w:rPr>
          <w:sz w:val="24"/>
          <w:szCs w:val="24"/>
        </w:rPr>
        <w:t>Establish the basis for m</w:t>
      </w:r>
      <w:r w:rsidR="000B0E0A" w:rsidRPr="00194773">
        <w:rPr>
          <w:sz w:val="24"/>
          <w:szCs w:val="24"/>
        </w:rPr>
        <w:t>odel</w:t>
      </w:r>
      <w:r w:rsidR="001069C6">
        <w:rPr>
          <w:sz w:val="24"/>
          <w:szCs w:val="24"/>
        </w:rPr>
        <w:t>ling</w:t>
      </w:r>
      <w:r w:rsidR="000B0E0A" w:rsidRPr="00194773">
        <w:rPr>
          <w:sz w:val="24"/>
          <w:szCs w:val="24"/>
        </w:rPr>
        <w:t xml:space="preserve"> the clearing undertaken to </w:t>
      </w:r>
      <w:r w:rsidR="00C819FF" w:rsidRPr="00194773">
        <w:rPr>
          <w:sz w:val="24"/>
          <w:szCs w:val="24"/>
        </w:rPr>
        <w:t xml:space="preserve">facilitate timber harvesting in the baseline scenario </w:t>
      </w:r>
      <w:r w:rsidR="001069C6">
        <w:rPr>
          <w:sz w:val="24"/>
          <w:szCs w:val="24"/>
        </w:rPr>
        <w:t xml:space="preserve">by </w:t>
      </w:r>
      <w:r w:rsidR="004C7BB1">
        <w:rPr>
          <w:sz w:val="24"/>
          <w:szCs w:val="24"/>
        </w:rPr>
        <w:t>calculating the modelled baseline cleared area</w:t>
      </w:r>
      <w:r w:rsidR="00A31923">
        <w:rPr>
          <w:sz w:val="24"/>
          <w:szCs w:val="24"/>
        </w:rPr>
        <w:t xml:space="preserve"> for the reporting period and </w:t>
      </w:r>
      <w:r w:rsidR="004C7BB1">
        <w:rPr>
          <w:sz w:val="24"/>
          <w:szCs w:val="24"/>
        </w:rPr>
        <w:t>allocat</w:t>
      </w:r>
      <w:r w:rsidR="00A31923">
        <w:rPr>
          <w:sz w:val="24"/>
          <w:szCs w:val="24"/>
        </w:rPr>
        <w:t xml:space="preserve">ing the area to the </w:t>
      </w:r>
      <w:r w:rsidR="00A31923" w:rsidRPr="00194773">
        <w:rPr>
          <w:sz w:val="24"/>
          <w:szCs w:val="24"/>
        </w:rPr>
        <w:t>representative clearing plots from subsection 2</w:t>
      </w:r>
      <w:r w:rsidR="002C7607">
        <w:rPr>
          <w:sz w:val="24"/>
          <w:szCs w:val="24"/>
        </w:rPr>
        <w:t>7</w:t>
      </w:r>
      <w:r w:rsidR="00A31923" w:rsidRPr="00194773">
        <w:rPr>
          <w:sz w:val="24"/>
          <w:szCs w:val="24"/>
        </w:rPr>
        <w:t>(3</w:t>
      </w:r>
      <w:r w:rsidR="00D83C9B">
        <w:rPr>
          <w:sz w:val="24"/>
          <w:szCs w:val="24"/>
        </w:rPr>
        <w:t>)</w:t>
      </w:r>
      <w:r w:rsidR="00A31923" w:rsidRPr="00194773">
        <w:rPr>
          <w:sz w:val="24"/>
          <w:szCs w:val="24"/>
        </w:rPr>
        <w:t xml:space="preserve"> </w:t>
      </w:r>
      <w:r w:rsidR="00BA5938" w:rsidRPr="00194773">
        <w:rPr>
          <w:sz w:val="24"/>
          <w:szCs w:val="24"/>
        </w:rPr>
        <w:t>(subsection 3</w:t>
      </w:r>
      <w:r w:rsidR="002C7607">
        <w:rPr>
          <w:sz w:val="24"/>
          <w:szCs w:val="24"/>
        </w:rPr>
        <w:t>4</w:t>
      </w:r>
      <w:r w:rsidR="00BA5938" w:rsidRPr="00194773">
        <w:rPr>
          <w:sz w:val="24"/>
          <w:szCs w:val="24"/>
        </w:rPr>
        <w:t>(2)(</w:t>
      </w:r>
      <w:r w:rsidR="00592A43">
        <w:rPr>
          <w:sz w:val="24"/>
          <w:szCs w:val="24"/>
        </w:rPr>
        <w:t>e</w:t>
      </w:r>
      <w:r w:rsidR="00BA5938" w:rsidRPr="00194773">
        <w:rPr>
          <w:sz w:val="24"/>
          <w:szCs w:val="24"/>
        </w:rPr>
        <w:t>))</w:t>
      </w:r>
      <w:r w:rsidR="001A1B8C" w:rsidRPr="00194773">
        <w:rPr>
          <w:sz w:val="24"/>
          <w:szCs w:val="24"/>
        </w:rPr>
        <w:t>.</w:t>
      </w:r>
      <w:r w:rsidR="00D83C9B">
        <w:rPr>
          <w:sz w:val="24"/>
          <w:szCs w:val="24"/>
        </w:rPr>
        <w:t xml:space="preserve"> This is done in two stages.</w:t>
      </w:r>
    </w:p>
    <w:p w14:paraId="17271250" w14:textId="77777777" w:rsidR="006A0ED5" w:rsidRPr="00194773" w:rsidRDefault="001A1B8C" w:rsidP="009D5A62">
      <w:pPr>
        <w:pStyle w:val="subsection"/>
        <w:numPr>
          <w:ilvl w:val="0"/>
          <w:numId w:val="59"/>
        </w:numPr>
        <w:spacing w:before="120" w:after="120"/>
        <w:ind w:left="1440"/>
        <w:rPr>
          <w:sz w:val="24"/>
          <w:szCs w:val="24"/>
        </w:rPr>
      </w:pPr>
      <w:r w:rsidRPr="00194773">
        <w:rPr>
          <w:sz w:val="24"/>
          <w:szCs w:val="24"/>
        </w:rPr>
        <w:t xml:space="preserve">Calculate the </w:t>
      </w:r>
      <w:r w:rsidR="00C819FF" w:rsidRPr="00194773">
        <w:rPr>
          <w:sz w:val="24"/>
          <w:szCs w:val="24"/>
        </w:rPr>
        <w:t>modelled baseline cleared area for the reporting period by</w:t>
      </w:r>
      <w:r w:rsidR="006A0ED5" w:rsidRPr="00194773">
        <w:rPr>
          <w:sz w:val="24"/>
          <w:szCs w:val="24"/>
        </w:rPr>
        <w:t>:</w:t>
      </w:r>
      <w:r w:rsidRPr="00194773">
        <w:rPr>
          <w:sz w:val="24"/>
          <w:szCs w:val="24"/>
        </w:rPr>
        <w:t xml:space="preserve"> </w:t>
      </w:r>
    </w:p>
    <w:p w14:paraId="2FB473CB" w14:textId="793DC9BC" w:rsidR="00BD3C62" w:rsidRPr="00194773" w:rsidRDefault="00C819FF" w:rsidP="009D5A62">
      <w:pPr>
        <w:pStyle w:val="subsection"/>
        <w:numPr>
          <w:ilvl w:val="1"/>
          <w:numId w:val="60"/>
        </w:numPr>
        <w:spacing w:before="120" w:after="120"/>
        <w:ind w:left="2461"/>
        <w:rPr>
          <w:sz w:val="24"/>
          <w:szCs w:val="24"/>
        </w:rPr>
      </w:pPr>
      <w:r w:rsidRPr="00194773">
        <w:rPr>
          <w:sz w:val="24"/>
          <w:szCs w:val="24"/>
        </w:rPr>
        <w:t>multiplying the logs harvested in the project area in the reporting period (in cubic metres, m</w:t>
      </w:r>
      <w:r w:rsidRPr="00194773">
        <w:rPr>
          <w:sz w:val="24"/>
          <w:szCs w:val="24"/>
          <w:vertAlign w:val="superscript"/>
        </w:rPr>
        <w:t>3</w:t>
      </w:r>
      <w:r w:rsidRPr="00194773">
        <w:rPr>
          <w:sz w:val="24"/>
          <w:szCs w:val="24"/>
        </w:rPr>
        <w:t xml:space="preserve">) by the </w:t>
      </w:r>
      <w:r w:rsidR="007B66CA" w:rsidRPr="00194773">
        <w:rPr>
          <w:sz w:val="24"/>
          <w:szCs w:val="24"/>
        </w:rPr>
        <w:t>ratio between the cleared area (in hectares) and logs produced (in cubic metres, m3) in the prior period (</w:t>
      </w:r>
      <w:r w:rsidRPr="00194773">
        <w:rPr>
          <w:sz w:val="24"/>
          <w:szCs w:val="24"/>
        </w:rPr>
        <w:t>from subsection 3</w:t>
      </w:r>
      <w:r w:rsidR="002C7607">
        <w:rPr>
          <w:sz w:val="24"/>
          <w:szCs w:val="24"/>
        </w:rPr>
        <w:t>0</w:t>
      </w:r>
      <w:r w:rsidRPr="00194773">
        <w:rPr>
          <w:sz w:val="24"/>
          <w:szCs w:val="24"/>
        </w:rPr>
        <w:t>(</w:t>
      </w:r>
      <w:r w:rsidR="00207959">
        <w:rPr>
          <w:sz w:val="24"/>
          <w:szCs w:val="24"/>
        </w:rPr>
        <w:t>a</w:t>
      </w:r>
      <w:r w:rsidRPr="00194773">
        <w:rPr>
          <w:sz w:val="24"/>
          <w:szCs w:val="24"/>
        </w:rPr>
        <w:t>)</w:t>
      </w:r>
      <w:r w:rsidR="00BD3C62" w:rsidRPr="00194773">
        <w:rPr>
          <w:sz w:val="24"/>
          <w:szCs w:val="24"/>
        </w:rPr>
        <w:t xml:space="preserve">); </w:t>
      </w:r>
      <w:r w:rsidR="006A0ED5" w:rsidRPr="00194773">
        <w:rPr>
          <w:sz w:val="24"/>
          <w:szCs w:val="24"/>
        </w:rPr>
        <w:t>and</w:t>
      </w:r>
    </w:p>
    <w:p w14:paraId="127BF167" w14:textId="1E70F8C4" w:rsidR="00A809D9" w:rsidRPr="00194773" w:rsidRDefault="00C819FF" w:rsidP="009D5A62">
      <w:pPr>
        <w:pStyle w:val="subsection"/>
        <w:numPr>
          <w:ilvl w:val="1"/>
          <w:numId w:val="60"/>
        </w:numPr>
        <w:spacing w:before="120" w:after="120"/>
        <w:ind w:left="2461"/>
        <w:rPr>
          <w:sz w:val="24"/>
          <w:szCs w:val="24"/>
        </w:rPr>
      </w:pPr>
      <w:r w:rsidRPr="00194773">
        <w:rPr>
          <w:sz w:val="24"/>
          <w:szCs w:val="24"/>
        </w:rPr>
        <w:t>subtracting the result from the area cleared to facilitate timber harvesting in the baseline scenario (in hectares) from section 3</w:t>
      </w:r>
      <w:r w:rsidR="00394E45">
        <w:rPr>
          <w:sz w:val="24"/>
          <w:szCs w:val="24"/>
        </w:rPr>
        <w:t>0</w:t>
      </w:r>
      <w:r w:rsidR="006A0ED5" w:rsidRPr="00194773">
        <w:rPr>
          <w:sz w:val="24"/>
          <w:szCs w:val="24"/>
        </w:rPr>
        <w:t>.</w:t>
      </w:r>
    </w:p>
    <w:p w14:paraId="699B991B" w14:textId="54E717BF" w:rsidR="00A9301D" w:rsidRDefault="00B0534C" w:rsidP="009D5A62">
      <w:pPr>
        <w:pStyle w:val="subsection"/>
        <w:numPr>
          <w:ilvl w:val="0"/>
          <w:numId w:val="59"/>
        </w:numPr>
        <w:spacing w:before="120" w:after="120"/>
        <w:ind w:left="1440"/>
        <w:rPr>
          <w:sz w:val="24"/>
          <w:szCs w:val="24"/>
        </w:rPr>
      </w:pPr>
      <w:r w:rsidRPr="00194773">
        <w:rPr>
          <w:sz w:val="24"/>
          <w:szCs w:val="24"/>
        </w:rPr>
        <w:t xml:space="preserve">Allocate the </w:t>
      </w:r>
      <w:r w:rsidR="00C819FF" w:rsidRPr="00194773">
        <w:rPr>
          <w:sz w:val="24"/>
          <w:szCs w:val="24"/>
        </w:rPr>
        <w:t xml:space="preserve">modelled baseline cleared area to the representative </w:t>
      </w:r>
      <w:r w:rsidRPr="00194773">
        <w:rPr>
          <w:sz w:val="24"/>
          <w:szCs w:val="24"/>
        </w:rPr>
        <w:t xml:space="preserve">clearing </w:t>
      </w:r>
      <w:r w:rsidR="00C819FF" w:rsidRPr="00194773">
        <w:rPr>
          <w:sz w:val="24"/>
          <w:szCs w:val="24"/>
        </w:rPr>
        <w:t>plots from subsection 2</w:t>
      </w:r>
      <w:r w:rsidR="007902B6">
        <w:rPr>
          <w:sz w:val="24"/>
          <w:szCs w:val="24"/>
        </w:rPr>
        <w:t>7</w:t>
      </w:r>
      <w:r w:rsidR="00C819FF" w:rsidRPr="00194773">
        <w:rPr>
          <w:sz w:val="24"/>
          <w:szCs w:val="24"/>
        </w:rPr>
        <w:t>(3) in proportion to the volume of wood harvested in the baseline scenario in each forest region in the project area.</w:t>
      </w:r>
    </w:p>
    <w:p w14:paraId="2D869B6E" w14:textId="2934BEF7" w:rsidR="004E36AD" w:rsidRDefault="00480CDF" w:rsidP="004E36AD">
      <w:pPr>
        <w:pStyle w:val="subsection"/>
        <w:spacing w:before="120" w:after="120"/>
        <w:ind w:left="720" w:firstLine="0"/>
        <w:rPr>
          <w:sz w:val="24"/>
          <w:szCs w:val="24"/>
        </w:rPr>
      </w:pPr>
      <w:r w:rsidRPr="00194773">
        <w:rPr>
          <w:b/>
          <w:bCs/>
          <w:sz w:val="24"/>
          <w:szCs w:val="24"/>
        </w:rPr>
        <w:t xml:space="preserve">Step </w:t>
      </w:r>
      <w:r>
        <w:rPr>
          <w:b/>
          <w:bCs/>
          <w:sz w:val="24"/>
          <w:szCs w:val="24"/>
        </w:rPr>
        <w:t>6</w:t>
      </w:r>
      <w:r w:rsidRPr="00194773">
        <w:rPr>
          <w:b/>
          <w:bCs/>
          <w:sz w:val="24"/>
          <w:szCs w:val="24"/>
        </w:rPr>
        <w:t>:</w:t>
      </w:r>
      <w:r w:rsidRPr="00194773">
        <w:rPr>
          <w:sz w:val="24"/>
          <w:szCs w:val="24"/>
        </w:rPr>
        <w:t xml:space="preserve"> Develop a baseline </w:t>
      </w:r>
      <w:proofErr w:type="spellStart"/>
      <w:r w:rsidRPr="00194773">
        <w:rPr>
          <w:sz w:val="24"/>
          <w:szCs w:val="24"/>
        </w:rPr>
        <w:t>FullCAM</w:t>
      </w:r>
      <w:proofErr w:type="spellEnd"/>
      <w:r w:rsidRPr="00194773">
        <w:rPr>
          <w:sz w:val="24"/>
          <w:szCs w:val="24"/>
        </w:rPr>
        <w:t xml:space="preserve"> forest estate model </w:t>
      </w:r>
      <w:r w:rsidR="00E6630F">
        <w:rPr>
          <w:sz w:val="24"/>
          <w:szCs w:val="24"/>
        </w:rPr>
        <w:t>that meets the following specifications</w:t>
      </w:r>
      <w:r w:rsidR="00B645B8">
        <w:rPr>
          <w:sz w:val="24"/>
          <w:szCs w:val="24"/>
        </w:rPr>
        <w:t xml:space="preserve"> (subsection 34(2)(f))</w:t>
      </w:r>
      <w:r w:rsidR="00E6630F">
        <w:rPr>
          <w:sz w:val="24"/>
          <w:szCs w:val="24"/>
        </w:rPr>
        <w:t>.</w:t>
      </w:r>
    </w:p>
    <w:p w14:paraId="03E93997" w14:textId="10AC47C6" w:rsidR="00E6630F" w:rsidRPr="00E6630F" w:rsidRDefault="00E6630F" w:rsidP="00E6630F">
      <w:pPr>
        <w:pStyle w:val="subsection"/>
        <w:numPr>
          <w:ilvl w:val="0"/>
          <w:numId w:val="94"/>
        </w:numPr>
        <w:spacing w:before="120" w:after="120"/>
        <w:ind w:left="1443"/>
        <w:rPr>
          <w:sz w:val="24"/>
          <w:szCs w:val="24"/>
        </w:rPr>
      </w:pPr>
      <w:r w:rsidRPr="00E6630F">
        <w:rPr>
          <w:sz w:val="24"/>
          <w:szCs w:val="24"/>
        </w:rPr>
        <w:t xml:space="preserve">Harvesting in the project area must </w:t>
      </w:r>
      <w:proofErr w:type="gramStart"/>
      <w:r w:rsidRPr="00E6630F">
        <w:rPr>
          <w:sz w:val="24"/>
          <w:szCs w:val="24"/>
        </w:rPr>
        <w:t>be simulated</w:t>
      </w:r>
      <w:proofErr w:type="gramEnd"/>
      <w:r w:rsidRPr="00E6630F">
        <w:rPr>
          <w:sz w:val="24"/>
          <w:szCs w:val="24"/>
        </w:rPr>
        <w:t xml:space="preserve"> using the representative model plots developed under subsection 27(1) and the allocated modelled baseline harvested area from paragraph </w:t>
      </w:r>
      <w:r w:rsidR="0029058C">
        <w:rPr>
          <w:sz w:val="24"/>
          <w:szCs w:val="24"/>
        </w:rPr>
        <w:t>34(2)</w:t>
      </w:r>
      <w:r w:rsidRPr="00E6630F">
        <w:rPr>
          <w:sz w:val="24"/>
          <w:szCs w:val="24"/>
        </w:rPr>
        <w:t xml:space="preserve">(d) </w:t>
      </w:r>
      <w:r w:rsidR="000442FA">
        <w:rPr>
          <w:sz w:val="24"/>
          <w:szCs w:val="24"/>
        </w:rPr>
        <w:t xml:space="preserve">(Step 4) </w:t>
      </w:r>
      <w:r w:rsidRPr="00E6630F">
        <w:rPr>
          <w:sz w:val="24"/>
          <w:szCs w:val="24"/>
        </w:rPr>
        <w:t xml:space="preserve">(with harvest events scheduled to occur on the day after the date of the declaration of the project as an </w:t>
      </w:r>
      <w:proofErr w:type="gramStart"/>
      <w:r w:rsidRPr="00E6630F">
        <w:rPr>
          <w:sz w:val="24"/>
          <w:szCs w:val="24"/>
        </w:rPr>
        <w:t>eligible offsets</w:t>
      </w:r>
      <w:proofErr w:type="gramEnd"/>
      <w:r w:rsidRPr="00E6630F">
        <w:rPr>
          <w:sz w:val="24"/>
          <w:szCs w:val="24"/>
        </w:rPr>
        <w:t xml:space="preserve"> project).</w:t>
      </w:r>
    </w:p>
    <w:p w14:paraId="02CBAFCD" w14:textId="04F8CF0A" w:rsidR="00E6630F" w:rsidRPr="00E6630F" w:rsidRDefault="00E6630F" w:rsidP="00E6630F">
      <w:pPr>
        <w:pStyle w:val="subsection"/>
        <w:numPr>
          <w:ilvl w:val="0"/>
          <w:numId w:val="94"/>
        </w:numPr>
        <w:spacing w:before="120" w:after="120"/>
        <w:ind w:left="1443"/>
        <w:rPr>
          <w:sz w:val="24"/>
          <w:szCs w:val="24"/>
        </w:rPr>
      </w:pPr>
      <w:r w:rsidRPr="00E6630F">
        <w:rPr>
          <w:sz w:val="24"/>
          <w:szCs w:val="24"/>
        </w:rPr>
        <w:lastRenderedPageBreak/>
        <w:t xml:space="preserve">Clearing to facilitate timber harvesting must </w:t>
      </w:r>
      <w:proofErr w:type="gramStart"/>
      <w:r w:rsidRPr="00E6630F">
        <w:rPr>
          <w:sz w:val="24"/>
          <w:szCs w:val="24"/>
        </w:rPr>
        <w:t>be simulated</w:t>
      </w:r>
      <w:proofErr w:type="gramEnd"/>
      <w:r w:rsidRPr="00E6630F">
        <w:rPr>
          <w:sz w:val="24"/>
          <w:szCs w:val="24"/>
        </w:rPr>
        <w:t xml:space="preserve"> using the representative model plots developed under subsection 27(3) and the allocated modelled baseline cleared area from subparagraph </w:t>
      </w:r>
      <w:r w:rsidR="0029058C">
        <w:rPr>
          <w:sz w:val="24"/>
          <w:szCs w:val="24"/>
        </w:rPr>
        <w:t>34(2)</w:t>
      </w:r>
      <w:r w:rsidR="0029058C" w:rsidRPr="00E6630F">
        <w:rPr>
          <w:sz w:val="24"/>
          <w:szCs w:val="24"/>
        </w:rPr>
        <w:t xml:space="preserve"> </w:t>
      </w:r>
      <w:r w:rsidRPr="00E6630F">
        <w:rPr>
          <w:sz w:val="24"/>
          <w:szCs w:val="24"/>
        </w:rPr>
        <w:t xml:space="preserve">(e)(ii) </w:t>
      </w:r>
      <w:r w:rsidR="000442FA">
        <w:rPr>
          <w:sz w:val="24"/>
          <w:szCs w:val="24"/>
        </w:rPr>
        <w:t xml:space="preserve">(Step 5) </w:t>
      </w:r>
      <w:r w:rsidRPr="00E6630F">
        <w:rPr>
          <w:sz w:val="24"/>
          <w:szCs w:val="24"/>
        </w:rPr>
        <w:t xml:space="preserve">(with clearing events scheduled to occur on the day after the date of the declaration of the project as an </w:t>
      </w:r>
      <w:proofErr w:type="gramStart"/>
      <w:r w:rsidRPr="00E6630F">
        <w:rPr>
          <w:sz w:val="24"/>
          <w:szCs w:val="24"/>
        </w:rPr>
        <w:t>eligible offsets</w:t>
      </w:r>
      <w:proofErr w:type="gramEnd"/>
      <w:r w:rsidRPr="00E6630F">
        <w:rPr>
          <w:sz w:val="24"/>
          <w:szCs w:val="24"/>
        </w:rPr>
        <w:t xml:space="preserve"> project).</w:t>
      </w:r>
    </w:p>
    <w:p w14:paraId="4254AEE5" w14:textId="582B7013" w:rsidR="00E6630F" w:rsidRPr="00E6630F" w:rsidRDefault="00E6630F" w:rsidP="00E6630F">
      <w:pPr>
        <w:pStyle w:val="subsection"/>
        <w:numPr>
          <w:ilvl w:val="0"/>
          <w:numId w:val="94"/>
        </w:numPr>
        <w:spacing w:before="120" w:after="120"/>
        <w:ind w:left="1443"/>
        <w:rPr>
          <w:sz w:val="24"/>
          <w:szCs w:val="24"/>
        </w:rPr>
      </w:pPr>
      <w:r w:rsidRPr="00E6630F">
        <w:rPr>
          <w:sz w:val="24"/>
          <w:szCs w:val="24"/>
        </w:rPr>
        <w:t>The model simulation must start 12 months prior to the date of the declaration of the project as an eligible offsets project.</w:t>
      </w:r>
    </w:p>
    <w:p w14:paraId="7D880649" w14:textId="157760A5" w:rsidR="00E6630F" w:rsidRPr="00E6630F" w:rsidRDefault="00E6630F" w:rsidP="00E6630F">
      <w:pPr>
        <w:pStyle w:val="subsection"/>
        <w:numPr>
          <w:ilvl w:val="0"/>
          <w:numId w:val="94"/>
        </w:numPr>
        <w:spacing w:before="120" w:after="120"/>
        <w:ind w:left="1443"/>
        <w:rPr>
          <w:sz w:val="24"/>
          <w:szCs w:val="24"/>
        </w:rPr>
      </w:pPr>
      <w:r w:rsidRPr="00E6630F">
        <w:rPr>
          <w:sz w:val="24"/>
          <w:szCs w:val="24"/>
        </w:rPr>
        <w:t xml:space="preserve">The representative model plots must be added at the start of the simulation. </w:t>
      </w:r>
    </w:p>
    <w:p w14:paraId="2F557F75" w14:textId="79E8D6D5" w:rsidR="00C819FF" w:rsidRDefault="00194773" w:rsidP="00194773">
      <w:pPr>
        <w:pStyle w:val="subsection"/>
        <w:spacing w:before="120" w:after="120"/>
        <w:ind w:left="720" w:firstLine="0"/>
        <w:rPr>
          <w:sz w:val="24"/>
          <w:szCs w:val="24"/>
        </w:rPr>
      </w:pPr>
      <w:r w:rsidRPr="00194773">
        <w:rPr>
          <w:b/>
          <w:bCs/>
          <w:sz w:val="24"/>
          <w:szCs w:val="24"/>
        </w:rPr>
        <w:t>Step 7:</w:t>
      </w:r>
      <w:r w:rsidRPr="00194773">
        <w:rPr>
          <w:sz w:val="24"/>
          <w:szCs w:val="24"/>
        </w:rPr>
        <w:t xml:space="preserve"> </w:t>
      </w:r>
      <w:r w:rsidR="00CE08D3" w:rsidRPr="00194773">
        <w:rPr>
          <w:sz w:val="24"/>
          <w:szCs w:val="24"/>
        </w:rPr>
        <w:t xml:space="preserve">Estimate the forest carbon stocks </w:t>
      </w:r>
      <w:r w:rsidR="00C819FF" w:rsidRPr="00194773">
        <w:rPr>
          <w:sz w:val="24"/>
          <w:szCs w:val="24"/>
        </w:rPr>
        <w:t xml:space="preserve">at the end of the reporting period using the baseline </w:t>
      </w:r>
      <w:proofErr w:type="spellStart"/>
      <w:r w:rsidR="00C819FF" w:rsidRPr="00194773">
        <w:rPr>
          <w:sz w:val="24"/>
          <w:szCs w:val="24"/>
        </w:rPr>
        <w:t>FullCAM</w:t>
      </w:r>
      <w:proofErr w:type="spellEnd"/>
      <w:r w:rsidR="00C819FF" w:rsidRPr="00194773">
        <w:rPr>
          <w:sz w:val="24"/>
          <w:szCs w:val="24"/>
        </w:rPr>
        <w:t xml:space="preserve"> forest estate model</w:t>
      </w:r>
      <w:r w:rsidR="002A5530">
        <w:rPr>
          <w:sz w:val="24"/>
          <w:szCs w:val="24"/>
        </w:rPr>
        <w:t xml:space="preserve"> (subsection 3</w:t>
      </w:r>
      <w:r w:rsidR="007902B6">
        <w:rPr>
          <w:sz w:val="24"/>
          <w:szCs w:val="24"/>
        </w:rPr>
        <w:t>4</w:t>
      </w:r>
      <w:r w:rsidR="002A5530">
        <w:rPr>
          <w:sz w:val="24"/>
          <w:szCs w:val="24"/>
        </w:rPr>
        <w:t>(2)(g))</w:t>
      </w:r>
      <w:r w:rsidR="00C819FF" w:rsidRPr="00194773">
        <w:rPr>
          <w:sz w:val="24"/>
          <w:szCs w:val="24"/>
        </w:rPr>
        <w:t>.</w:t>
      </w:r>
    </w:p>
    <w:p w14:paraId="366CD075" w14:textId="6B026372" w:rsidR="004141E6" w:rsidRDefault="00066297" w:rsidP="00066297">
      <w:pPr>
        <w:pStyle w:val="subsection"/>
        <w:spacing w:before="120" w:after="120"/>
        <w:ind w:left="0" w:firstLine="0"/>
        <w:rPr>
          <w:sz w:val="24"/>
          <w:szCs w:val="24"/>
        </w:rPr>
      </w:pPr>
      <w:r>
        <w:rPr>
          <w:sz w:val="24"/>
          <w:szCs w:val="24"/>
        </w:rPr>
        <w:t>Subsection 3</w:t>
      </w:r>
      <w:r w:rsidR="007902B6">
        <w:rPr>
          <w:sz w:val="24"/>
          <w:szCs w:val="24"/>
        </w:rPr>
        <w:t>4</w:t>
      </w:r>
      <w:r>
        <w:rPr>
          <w:sz w:val="24"/>
          <w:szCs w:val="24"/>
        </w:rPr>
        <w:t xml:space="preserve">(3) specifies how the forest carbon stocks must be modelled in the baseline scenario for subsequent reporting periods. </w:t>
      </w:r>
      <w:r w:rsidR="00DD513B">
        <w:rPr>
          <w:sz w:val="24"/>
          <w:szCs w:val="24"/>
        </w:rPr>
        <w:t xml:space="preserve">The method for subsequent reporting periods is </w:t>
      </w:r>
      <w:proofErr w:type="gramStart"/>
      <w:r w:rsidR="006F1FC1">
        <w:rPr>
          <w:sz w:val="24"/>
          <w:szCs w:val="24"/>
        </w:rPr>
        <w:t>similar to</w:t>
      </w:r>
      <w:proofErr w:type="gramEnd"/>
      <w:r w:rsidR="00DD513B">
        <w:rPr>
          <w:sz w:val="24"/>
          <w:szCs w:val="24"/>
        </w:rPr>
        <w:t xml:space="preserve"> the first reporting period</w:t>
      </w:r>
      <w:r w:rsidR="006F1FC1">
        <w:rPr>
          <w:sz w:val="24"/>
          <w:szCs w:val="24"/>
        </w:rPr>
        <w:t xml:space="preserve">, </w:t>
      </w:r>
      <w:r w:rsidR="005629FA">
        <w:rPr>
          <w:sz w:val="24"/>
          <w:szCs w:val="24"/>
        </w:rPr>
        <w:t>involving the</w:t>
      </w:r>
      <w:r w:rsidR="004141E6">
        <w:rPr>
          <w:sz w:val="24"/>
          <w:szCs w:val="24"/>
        </w:rPr>
        <w:t>:</w:t>
      </w:r>
      <w:r w:rsidR="005629FA">
        <w:rPr>
          <w:sz w:val="24"/>
          <w:szCs w:val="24"/>
        </w:rPr>
        <w:t xml:space="preserve"> </w:t>
      </w:r>
    </w:p>
    <w:p w14:paraId="29475A24" w14:textId="0EBFB6D3" w:rsidR="004141E6" w:rsidRDefault="005629FA" w:rsidP="009D5A62">
      <w:pPr>
        <w:pStyle w:val="subsection"/>
        <w:numPr>
          <w:ilvl w:val="0"/>
          <w:numId w:val="61"/>
        </w:numPr>
        <w:spacing w:before="120" w:after="120"/>
        <w:rPr>
          <w:sz w:val="24"/>
          <w:szCs w:val="24"/>
        </w:rPr>
      </w:pPr>
      <w:r>
        <w:rPr>
          <w:sz w:val="24"/>
          <w:szCs w:val="24"/>
        </w:rPr>
        <w:t>calculation of the modelled baseline harvest area</w:t>
      </w:r>
      <w:r w:rsidR="003C21E7">
        <w:rPr>
          <w:sz w:val="24"/>
          <w:szCs w:val="24"/>
        </w:rPr>
        <w:t xml:space="preserve"> and modelled baseline cleared area</w:t>
      </w:r>
      <w:r w:rsidR="00FC325E">
        <w:rPr>
          <w:sz w:val="24"/>
          <w:szCs w:val="24"/>
        </w:rPr>
        <w:t xml:space="preserve"> (</w:t>
      </w:r>
      <w:r w:rsidR="00FC325E" w:rsidRPr="00194773">
        <w:rPr>
          <w:sz w:val="24"/>
          <w:szCs w:val="24"/>
        </w:rPr>
        <w:t>subsection</w:t>
      </w:r>
      <w:r w:rsidR="00FC325E">
        <w:rPr>
          <w:sz w:val="24"/>
          <w:szCs w:val="24"/>
        </w:rPr>
        <w:t>s</w:t>
      </w:r>
      <w:r w:rsidR="00FC325E" w:rsidRPr="00194773">
        <w:rPr>
          <w:sz w:val="24"/>
          <w:szCs w:val="24"/>
        </w:rPr>
        <w:t xml:space="preserve"> 3</w:t>
      </w:r>
      <w:r w:rsidR="007902B6">
        <w:rPr>
          <w:sz w:val="24"/>
          <w:szCs w:val="24"/>
        </w:rPr>
        <w:t>4</w:t>
      </w:r>
      <w:r w:rsidR="00FC325E" w:rsidRPr="00194773">
        <w:rPr>
          <w:sz w:val="24"/>
          <w:szCs w:val="24"/>
        </w:rPr>
        <w:t>(</w:t>
      </w:r>
      <w:r w:rsidR="00FC325E">
        <w:rPr>
          <w:sz w:val="24"/>
          <w:szCs w:val="24"/>
        </w:rPr>
        <w:t>3</w:t>
      </w:r>
      <w:r w:rsidR="00FC325E" w:rsidRPr="00194773">
        <w:rPr>
          <w:sz w:val="24"/>
          <w:szCs w:val="24"/>
        </w:rPr>
        <w:t>)</w:t>
      </w:r>
      <w:r w:rsidR="00FC325E">
        <w:rPr>
          <w:sz w:val="24"/>
          <w:szCs w:val="24"/>
        </w:rPr>
        <w:t>(a) and (c)</w:t>
      </w:r>
      <w:r w:rsidR="00FC325E" w:rsidRPr="00194773">
        <w:rPr>
          <w:sz w:val="24"/>
          <w:szCs w:val="24"/>
        </w:rPr>
        <w:t>)</w:t>
      </w:r>
      <w:r w:rsidR="004141E6">
        <w:rPr>
          <w:sz w:val="24"/>
          <w:szCs w:val="24"/>
        </w:rPr>
        <w:t>;</w:t>
      </w:r>
      <w:r w:rsidR="00AC11B6">
        <w:rPr>
          <w:sz w:val="24"/>
          <w:szCs w:val="24"/>
        </w:rPr>
        <w:t xml:space="preserve"> </w:t>
      </w:r>
      <w:r w:rsidR="004141E6">
        <w:rPr>
          <w:sz w:val="24"/>
          <w:szCs w:val="24"/>
        </w:rPr>
        <w:t>and</w:t>
      </w:r>
    </w:p>
    <w:p w14:paraId="234F53CE" w14:textId="7724492F" w:rsidR="005629FA" w:rsidRDefault="005629FA" w:rsidP="009D5A62">
      <w:pPr>
        <w:pStyle w:val="subsection"/>
        <w:numPr>
          <w:ilvl w:val="0"/>
          <w:numId w:val="61"/>
        </w:numPr>
        <w:spacing w:before="120" w:after="120"/>
        <w:rPr>
          <w:sz w:val="24"/>
          <w:szCs w:val="24"/>
        </w:rPr>
      </w:pPr>
      <w:r>
        <w:rPr>
          <w:sz w:val="24"/>
          <w:szCs w:val="24"/>
        </w:rPr>
        <w:t xml:space="preserve">allocation of </w:t>
      </w:r>
      <w:r w:rsidR="00AC11B6">
        <w:rPr>
          <w:sz w:val="24"/>
          <w:szCs w:val="24"/>
        </w:rPr>
        <w:t xml:space="preserve">the modelled baseline harvest area </w:t>
      </w:r>
      <w:r w:rsidR="003C21E7">
        <w:rPr>
          <w:sz w:val="24"/>
          <w:szCs w:val="24"/>
        </w:rPr>
        <w:t xml:space="preserve">and modelled baseline cleared area </w:t>
      </w:r>
      <w:r w:rsidR="00AC11B6">
        <w:rPr>
          <w:sz w:val="24"/>
          <w:szCs w:val="24"/>
        </w:rPr>
        <w:t>to the representative harvest plots</w:t>
      </w:r>
      <w:r w:rsidR="003C21E7">
        <w:rPr>
          <w:sz w:val="24"/>
          <w:szCs w:val="24"/>
        </w:rPr>
        <w:t xml:space="preserve"> and representative clear</w:t>
      </w:r>
      <w:r w:rsidR="002430A8">
        <w:rPr>
          <w:sz w:val="24"/>
          <w:szCs w:val="24"/>
        </w:rPr>
        <w:t xml:space="preserve">ing plots </w:t>
      </w:r>
      <w:r w:rsidR="003C21E7">
        <w:rPr>
          <w:sz w:val="24"/>
          <w:szCs w:val="24"/>
        </w:rPr>
        <w:t>respectively</w:t>
      </w:r>
      <w:r w:rsidR="00FC325E">
        <w:rPr>
          <w:sz w:val="24"/>
          <w:szCs w:val="24"/>
        </w:rPr>
        <w:t xml:space="preserve"> (</w:t>
      </w:r>
      <w:r w:rsidR="00FC325E" w:rsidRPr="00194773">
        <w:rPr>
          <w:sz w:val="24"/>
          <w:szCs w:val="24"/>
        </w:rPr>
        <w:t>subsection</w:t>
      </w:r>
      <w:r w:rsidR="00FC325E">
        <w:rPr>
          <w:sz w:val="24"/>
          <w:szCs w:val="24"/>
        </w:rPr>
        <w:t>s</w:t>
      </w:r>
      <w:r w:rsidR="00FC325E" w:rsidRPr="00194773">
        <w:rPr>
          <w:sz w:val="24"/>
          <w:szCs w:val="24"/>
        </w:rPr>
        <w:t xml:space="preserve"> 3</w:t>
      </w:r>
      <w:r w:rsidR="007902B6">
        <w:rPr>
          <w:sz w:val="24"/>
          <w:szCs w:val="24"/>
        </w:rPr>
        <w:t>4</w:t>
      </w:r>
      <w:r w:rsidR="00FC325E" w:rsidRPr="00194773">
        <w:rPr>
          <w:sz w:val="24"/>
          <w:szCs w:val="24"/>
        </w:rPr>
        <w:t>(</w:t>
      </w:r>
      <w:r w:rsidR="00FC325E">
        <w:rPr>
          <w:sz w:val="24"/>
          <w:szCs w:val="24"/>
        </w:rPr>
        <w:t>3</w:t>
      </w:r>
      <w:r w:rsidR="00FC325E" w:rsidRPr="00194773">
        <w:rPr>
          <w:sz w:val="24"/>
          <w:szCs w:val="24"/>
        </w:rPr>
        <w:t>)</w:t>
      </w:r>
      <w:r w:rsidR="00FC325E">
        <w:rPr>
          <w:sz w:val="24"/>
          <w:szCs w:val="24"/>
        </w:rPr>
        <w:t>(b) and (d)</w:t>
      </w:r>
      <w:proofErr w:type="gramStart"/>
      <w:r w:rsidR="00FC325E" w:rsidRPr="00194773">
        <w:rPr>
          <w:sz w:val="24"/>
          <w:szCs w:val="24"/>
        </w:rPr>
        <w:t>)</w:t>
      </w:r>
      <w:r w:rsidR="00B14D26">
        <w:rPr>
          <w:sz w:val="24"/>
          <w:szCs w:val="24"/>
        </w:rPr>
        <w:t>;</w:t>
      </w:r>
      <w:proofErr w:type="gramEnd"/>
      <w:r w:rsidR="00B14D26">
        <w:rPr>
          <w:sz w:val="24"/>
          <w:szCs w:val="24"/>
        </w:rPr>
        <w:t xml:space="preserve"> </w:t>
      </w:r>
      <w:r w:rsidR="004141E6">
        <w:rPr>
          <w:sz w:val="24"/>
          <w:szCs w:val="24"/>
        </w:rPr>
        <w:t xml:space="preserve"> </w:t>
      </w:r>
      <w:r w:rsidR="003C21E7">
        <w:rPr>
          <w:sz w:val="24"/>
          <w:szCs w:val="24"/>
        </w:rPr>
        <w:t xml:space="preserve"> </w:t>
      </w:r>
    </w:p>
    <w:p w14:paraId="61EF2A6E" w14:textId="334D749E" w:rsidR="00B14D26" w:rsidRDefault="00B14D26" w:rsidP="009D5A62">
      <w:pPr>
        <w:pStyle w:val="subsection"/>
        <w:numPr>
          <w:ilvl w:val="0"/>
          <w:numId w:val="61"/>
        </w:numPr>
        <w:spacing w:before="120" w:after="120"/>
        <w:rPr>
          <w:sz w:val="24"/>
          <w:szCs w:val="24"/>
        </w:rPr>
      </w:pPr>
      <w:r>
        <w:rPr>
          <w:sz w:val="24"/>
          <w:szCs w:val="24"/>
        </w:rPr>
        <w:t>modification of the</w:t>
      </w:r>
      <w:r w:rsidR="006F1FC1">
        <w:rPr>
          <w:sz w:val="24"/>
          <w:szCs w:val="24"/>
        </w:rPr>
        <w:t xml:space="preserve"> </w:t>
      </w:r>
      <w:r w:rsidR="006F1FC1" w:rsidRPr="006F1FC1">
        <w:rPr>
          <w:sz w:val="24"/>
          <w:szCs w:val="24"/>
        </w:rPr>
        <w:t xml:space="preserve">baseline </w:t>
      </w:r>
      <w:proofErr w:type="spellStart"/>
      <w:r w:rsidR="006F1FC1" w:rsidRPr="006F1FC1">
        <w:rPr>
          <w:sz w:val="24"/>
          <w:szCs w:val="24"/>
        </w:rPr>
        <w:t>FullCAM</w:t>
      </w:r>
      <w:proofErr w:type="spellEnd"/>
      <w:r w:rsidR="006F1FC1" w:rsidRPr="006F1FC1">
        <w:rPr>
          <w:sz w:val="24"/>
          <w:szCs w:val="24"/>
        </w:rPr>
        <w:t xml:space="preserve"> forest estate model from the previous reporting period</w:t>
      </w:r>
      <w:r w:rsidR="004141E6">
        <w:rPr>
          <w:sz w:val="24"/>
          <w:szCs w:val="24"/>
        </w:rPr>
        <w:t xml:space="preserve"> </w:t>
      </w:r>
      <w:r w:rsidR="00F732DE">
        <w:rPr>
          <w:sz w:val="24"/>
          <w:szCs w:val="24"/>
        </w:rPr>
        <w:t xml:space="preserve">through the addition of </w:t>
      </w:r>
      <w:r w:rsidR="004141E6">
        <w:rPr>
          <w:sz w:val="24"/>
          <w:szCs w:val="24"/>
        </w:rPr>
        <w:t xml:space="preserve">the </w:t>
      </w:r>
      <w:r w:rsidR="00F732DE">
        <w:rPr>
          <w:sz w:val="24"/>
          <w:szCs w:val="24"/>
        </w:rPr>
        <w:t xml:space="preserve">new </w:t>
      </w:r>
      <w:r w:rsidR="006F1FC1" w:rsidRPr="006F1FC1">
        <w:rPr>
          <w:sz w:val="24"/>
          <w:szCs w:val="24"/>
        </w:rPr>
        <w:t>plots</w:t>
      </w:r>
      <w:r w:rsidR="00F732DE">
        <w:rPr>
          <w:sz w:val="24"/>
          <w:szCs w:val="24"/>
        </w:rPr>
        <w:t xml:space="preserve">, </w:t>
      </w:r>
      <w:r w:rsidR="00FB0780">
        <w:rPr>
          <w:sz w:val="24"/>
          <w:szCs w:val="24"/>
        </w:rPr>
        <w:t xml:space="preserve">allocated </w:t>
      </w:r>
      <w:r w:rsidR="006F1FC1" w:rsidRPr="006F1FC1">
        <w:rPr>
          <w:sz w:val="24"/>
          <w:szCs w:val="24"/>
        </w:rPr>
        <w:t xml:space="preserve">modelled harvest </w:t>
      </w:r>
      <w:r w:rsidR="00F732DE">
        <w:rPr>
          <w:sz w:val="24"/>
          <w:szCs w:val="24"/>
        </w:rPr>
        <w:t xml:space="preserve">area and modelled </w:t>
      </w:r>
      <w:r w:rsidR="006F1FC1" w:rsidRPr="006F1FC1">
        <w:rPr>
          <w:sz w:val="24"/>
          <w:szCs w:val="24"/>
        </w:rPr>
        <w:t>cleared area</w:t>
      </w:r>
      <w:r w:rsidR="00701650">
        <w:rPr>
          <w:sz w:val="24"/>
          <w:szCs w:val="24"/>
        </w:rPr>
        <w:t xml:space="preserve"> (</w:t>
      </w:r>
      <w:r w:rsidR="00701650" w:rsidRPr="00194773">
        <w:rPr>
          <w:sz w:val="24"/>
          <w:szCs w:val="24"/>
        </w:rPr>
        <w:t>subsection 3</w:t>
      </w:r>
      <w:r w:rsidR="007902B6">
        <w:rPr>
          <w:sz w:val="24"/>
          <w:szCs w:val="24"/>
        </w:rPr>
        <w:t>4</w:t>
      </w:r>
      <w:r w:rsidR="00701650" w:rsidRPr="00194773">
        <w:rPr>
          <w:sz w:val="24"/>
          <w:szCs w:val="24"/>
        </w:rPr>
        <w:t>(</w:t>
      </w:r>
      <w:r w:rsidR="00701650">
        <w:rPr>
          <w:sz w:val="24"/>
          <w:szCs w:val="24"/>
        </w:rPr>
        <w:t>3</w:t>
      </w:r>
      <w:r w:rsidR="00701650" w:rsidRPr="00194773">
        <w:rPr>
          <w:sz w:val="24"/>
          <w:szCs w:val="24"/>
        </w:rPr>
        <w:t>)</w:t>
      </w:r>
      <w:r w:rsidR="00701650">
        <w:rPr>
          <w:sz w:val="24"/>
          <w:szCs w:val="24"/>
        </w:rPr>
        <w:t>(e)</w:t>
      </w:r>
      <w:r w:rsidR="00701650" w:rsidRPr="00194773">
        <w:rPr>
          <w:sz w:val="24"/>
          <w:szCs w:val="24"/>
        </w:rPr>
        <w:t>)</w:t>
      </w:r>
      <w:r>
        <w:rPr>
          <w:sz w:val="24"/>
          <w:szCs w:val="24"/>
        </w:rPr>
        <w:t>; and</w:t>
      </w:r>
      <w:r w:rsidR="004E3CF8">
        <w:rPr>
          <w:sz w:val="24"/>
          <w:szCs w:val="24"/>
        </w:rPr>
        <w:t xml:space="preserve"> </w:t>
      </w:r>
    </w:p>
    <w:p w14:paraId="6BCB4CD2" w14:textId="61A8E512" w:rsidR="00066297" w:rsidRDefault="00B14D26" w:rsidP="009D5A62">
      <w:pPr>
        <w:pStyle w:val="subsection"/>
        <w:numPr>
          <w:ilvl w:val="0"/>
          <w:numId w:val="61"/>
        </w:numPr>
        <w:spacing w:before="120" w:after="120"/>
        <w:rPr>
          <w:sz w:val="24"/>
          <w:szCs w:val="24"/>
        </w:rPr>
      </w:pPr>
      <w:r>
        <w:rPr>
          <w:sz w:val="24"/>
          <w:szCs w:val="24"/>
        </w:rPr>
        <w:t xml:space="preserve">calculating the </w:t>
      </w:r>
      <w:r w:rsidR="004E3CF8">
        <w:rPr>
          <w:sz w:val="24"/>
          <w:szCs w:val="24"/>
        </w:rPr>
        <w:t>forest carbon stocks at the end of the reporting period using the mod</w:t>
      </w:r>
      <w:r w:rsidR="00221867">
        <w:rPr>
          <w:sz w:val="24"/>
          <w:szCs w:val="24"/>
        </w:rPr>
        <w:t xml:space="preserve">ified </w:t>
      </w:r>
      <w:r w:rsidR="00221867" w:rsidRPr="006F1FC1">
        <w:rPr>
          <w:sz w:val="24"/>
          <w:szCs w:val="24"/>
        </w:rPr>
        <w:t xml:space="preserve">baseline </w:t>
      </w:r>
      <w:proofErr w:type="spellStart"/>
      <w:r w:rsidR="00221867" w:rsidRPr="006F1FC1">
        <w:rPr>
          <w:sz w:val="24"/>
          <w:szCs w:val="24"/>
        </w:rPr>
        <w:t>FullCAM</w:t>
      </w:r>
      <w:proofErr w:type="spellEnd"/>
      <w:r w:rsidR="00221867" w:rsidRPr="006F1FC1">
        <w:rPr>
          <w:sz w:val="24"/>
          <w:szCs w:val="24"/>
        </w:rPr>
        <w:t xml:space="preserve"> forest estate model</w:t>
      </w:r>
      <w:r w:rsidR="00701650">
        <w:rPr>
          <w:sz w:val="24"/>
          <w:szCs w:val="24"/>
        </w:rPr>
        <w:t xml:space="preserve"> (</w:t>
      </w:r>
      <w:r w:rsidR="00701650" w:rsidRPr="00194773">
        <w:rPr>
          <w:sz w:val="24"/>
          <w:szCs w:val="24"/>
        </w:rPr>
        <w:t>subsection 3</w:t>
      </w:r>
      <w:r w:rsidR="007902B6">
        <w:rPr>
          <w:sz w:val="24"/>
          <w:szCs w:val="24"/>
        </w:rPr>
        <w:t>4</w:t>
      </w:r>
      <w:r w:rsidR="00701650" w:rsidRPr="00194773">
        <w:rPr>
          <w:sz w:val="24"/>
          <w:szCs w:val="24"/>
        </w:rPr>
        <w:t>(</w:t>
      </w:r>
      <w:r w:rsidR="00701650">
        <w:rPr>
          <w:sz w:val="24"/>
          <w:szCs w:val="24"/>
        </w:rPr>
        <w:t>3</w:t>
      </w:r>
      <w:r w:rsidR="00701650" w:rsidRPr="00194773">
        <w:rPr>
          <w:sz w:val="24"/>
          <w:szCs w:val="24"/>
        </w:rPr>
        <w:t>)</w:t>
      </w:r>
      <w:r w:rsidR="00701650">
        <w:rPr>
          <w:sz w:val="24"/>
          <w:szCs w:val="24"/>
        </w:rPr>
        <w:t>(</w:t>
      </w:r>
      <w:r>
        <w:rPr>
          <w:sz w:val="24"/>
          <w:szCs w:val="24"/>
        </w:rPr>
        <w:t>f</w:t>
      </w:r>
      <w:r w:rsidR="00701650">
        <w:rPr>
          <w:sz w:val="24"/>
          <w:szCs w:val="24"/>
        </w:rPr>
        <w:t>)</w:t>
      </w:r>
      <w:r w:rsidR="00701650" w:rsidRPr="00194773">
        <w:rPr>
          <w:sz w:val="24"/>
          <w:szCs w:val="24"/>
        </w:rPr>
        <w:t>)</w:t>
      </w:r>
      <w:r w:rsidR="00221867">
        <w:rPr>
          <w:sz w:val="24"/>
          <w:szCs w:val="24"/>
        </w:rPr>
        <w:t xml:space="preserve">. </w:t>
      </w:r>
    </w:p>
    <w:p w14:paraId="61C3C252" w14:textId="78896028" w:rsidR="00152D66" w:rsidRDefault="00152D66" w:rsidP="00152D66">
      <w:pPr>
        <w:pStyle w:val="subsection"/>
        <w:spacing w:before="120" w:after="120"/>
        <w:ind w:left="0" w:firstLine="0"/>
        <w:rPr>
          <w:sz w:val="24"/>
          <w:szCs w:val="24"/>
        </w:rPr>
      </w:pPr>
      <w:r>
        <w:rPr>
          <w:sz w:val="24"/>
          <w:szCs w:val="24"/>
        </w:rPr>
        <w:t>Subsection 3</w:t>
      </w:r>
      <w:r w:rsidR="007902B6">
        <w:rPr>
          <w:sz w:val="24"/>
          <w:szCs w:val="24"/>
        </w:rPr>
        <w:t>4</w:t>
      </w:r>
      <w:r>
        <w:rPr>
          <w:sz w:val="24"/>
          <w:szCs w:val="24"/>
        </w:rPr>
        <w:t>(</w:t>
      </w:r>
      <w:r w:rsidR="00457D7E">
        <w:rPr>
          <w:sz w:val="24"/>
          <w:szCs w:val="24"/>
        </w:rPr>
        <w:t>4</w:t>
      </w:r>
      <w:r>
        <w:rPr>
          <w:sz w:val="24"/>
          <w:szCs w:val="24"/>
        </w:rPr>
        <w:t xml:space="preserve">) specifies how the forest carbon stocks must be modelled in the </w:t>
      </w:r>
      <w:r w:rsidR="00457D7E">
        <w:rPr>
          <w:sz w:val="24"/>
          <w:szCs w:val="24"/>
        </w:rPr>
        <w:t xml:space="preserve">project </w:t>
      </w:r>
      <w:r>
        <w:rPr>
          <w:sz w:val="24"/>
          <w:szCs w:val="24"/>
        </w:rPr>
        <w:t xml:space="preserve">scenario for the first reporting period. For these purposes, the forest carbon stocks must be calculated using a </w:t>
      </w:r>
      <w:r w:rsidR="008C379F">
        <w:rPr>
          <w:sz w:val="24"/>
          <w:szCs w:val="24"/>
        </w:rPr>
        <w:t>9</w:t>
      </w:r>
      <w:r w:rsidR="00955517">
        <w:rPr>
          <w:sz w:val="24"/>
          <w:szCs w:val="24"/>
        </w:rPr>
        <w:t>-step</w:t>
      </w:r>
      <w:r>
        <w:rPr>
          <w:sz w:val="24"/>
          <w:szCs w:val="24"/>
        </w:rPr>
        <w:t xml:space="preserve"> method.</w:t>
      </w:r>
    </w:p>
    <w:p w14:paraId="281D2801" w14:textId="2D76EC06" w:rsidR="00B5342C" w:rsidRPr="00194773" w:rsidRDefault="00B5342C" w:rsidP="00B5342C">
      <w:pPr>
        <w:pStyle w:val="subsection"/>
        <w:spacing w:before="120" w:after="120"/>
        <w:ind w:left="720" w:firstLine="0"/>
        <w:rPr>
          <w:sz w:val="24"/>
          <w:szCs w:val="24"/>
        </w:rPr>
      </w:pPr>
      <w:r w:rsidRPr="00194773">
        <w:rPr>
          <w:b/>
          <w:bCs/>
          <w:sz w:val="24"/>
          <w:szCs w:val="24"/>
        </w:rPr>
        <w:t>Step 1:</w:t>
      </w:r>
      <w:r w:rsidRPr="00194773">
        <w:rPr>
          <w:sz w:val="24"/>
          <w:szCs w:val="24"/>
        </w:rPr>
        <w:t xml:space="preserve"> </w:t>
      </w:r>
      <w:r w:rsidR="001C50E8" w:rsidRPr="001C50E8">
        <w:rPr>
          <w:sz w:val="24"/>
          <w:szCs w:val="24"/>
        </w:rPr>
        <w:t xml:space="preserve">The modelled avoided harvest area (in hectares) for the reporting period must be the same as </w:t>
      </w:r>
      <w:r w:rsidR="001C50E8">
        <w:rPr>
          <w:sz w:val="24"/>
          <w:szCs w:val="24"/>
        </w:rPr>
        <w:t xml:space="preserve">the </w:t>
      </w:r>
      <w:r w:rsidR="001C50E8" w:rsidRPr="001C50E8">
        <w:rPr>
          <w:sz w:val="24"/>
          <w:szCs w:val="24"/>
        </w:rPr>
        <w:t xml:space="preserve">modelled baseline harvest area </w:t>
      </w:r>
      <w:r w:rsidR="00C5139F">
        <w:rPr>
          <w:sz w:val="24"/>
          <w:szCs w:val="24"/>
        </w:rPr>
        <w:t>from subsection 3</w:t>
      </w:r>
      <w:r w:rsidR="007902B6">
        <w:rPr>
          <w:sz w:val="24"/>
          <w:szCs w:val="24"/>
        </w:rPr>
        <w:t>4</w:t>
      </w:r>
      <w:r w:rsidR="001C50E8" w:rsidRPr="001C50E8">
        <w:rPr>
          <w:sz w:val="24"/>
          <w:szCs w:val="24"/>
        </w:rPr>
        <w:t>(2)(c)</w:t>
      </w:r>
      <w:r w:rsidR="003404E4">
        <w:rPr>
          <w:sz w:val="24"/>
          <w:szCs w:val="24"/>
        </w:rPr>
        <w:t xml:space="preserve"> </w:t>
      </w:r>
      <w:r w:rsidR="003404E4" w:rsidRPr="00194773">
        <w:rPr>
          <w:sz w:val="24"/>
          <w:szCs w:val="24"/>
        </w:rPr>
        <w:t>(subsection 3</w:t>
      </w:r>
      <w:r w:rsidR="007902B6">
        <w:rPr>
          <w:sz w:val="24"/>
          <w:szCs w:val="24"/>
        </w:rPr>
        <w:t>4</w:t>
      </w:r>
      <w:r w:rsidR="003404E4" w:rsidRPr="00194773">
        <w:rPr>
          <w:sz w:val="24"/>
          <w:szCs w:val="24"/>
        </w:rPr>
        <w:t>(</w:t>
      </w:r>
      <w:r w:rsidR="003404E4">
        <w:rPr>
          <w:sz w:val="24"/>
          <w:szCs w:val="24"/>
        </w:rPr>
        <w:t>4</w:t>
      </w:r>
      <w:r w:rsidR="003404E4" w:rsidRPr="00194773">
        <w:rPr>
          <w:sz w:val="24"/>
          <w:szCs w:val="24"/>
        </w:rPr>
        <w:t>)(</w:t>
      </w:r>
      <w:r w:rsidR="003404E4">
        <w:rPr>
          <w:sz w:val="24"/>
          <w:szCs w:val="24"/>
        </w:rPr>
        <w:t>a</w:t>
      </w:r>
      <w:r w:rsidR="003404E4" w:rsidRPr="00194773">
        <w:rPr>
          <w:sz w:val="24"/>
          <w:szCs w:val="24"/>
        </w:rPr>
        <w:t>))</w:t>
      </w:r>
      <w:r w:rsidR="00AC7C84">
        <w:rPr>
          <w:sz w:val="24"/>
          <w:szCs w:val="24"/>
        </w:rPr>
        <w:t>.</w:t>
      </w:r>
    </w:p>
    <w:p w14:paraId="0194801D" w14:textId="6B4517A0" w:rsidR="00B5342C" w:rsidRPr="00194773" w:rsidRDefault="00B5342C" w:rsidP="00B5342C">
      <w:pPr>
        <w:pStyle w:val="subsection"/>
        <w:spacing w:before="120" w:after="120"/>
        <w:ind w:left="720" w:firstLine="0"/>
        <w:rPr>
          <w:sz w:val="24"/>
          <w:szCs w:val="24"/>
        </w:rPr>
      </w:pPr>
      <w:r w:rsidRPr="00194773">
        <w:rPr>
          <w:b/>
          <w:bCs/>
          <w:sz w:val="24"/>
          <w:szCs w:val="24"/>
        </w:rPr>
        <w:t>Step 2:</w:t>
      </w:r>
      <w:r w:rsidRPr="00194773">
        <w:rPr>
          <w:sz w:val="24"/>
          <w:szCs w:val="24"/>
        </w:rPr>
        <w:t xml:space="preserve"> </w:t>
      </w:r>
      <w:r w:rsidR="00AC7C84" w:rsidRPr="00AC7C84">
        <w:rPr>
          <w:sz w:val="24"/>
          <w:szCs w:val="24"/>
        </w:rPr>
        <w:t xml:space="preserve">Allocate the </w:t>
      </w:r>
      <w:r w:rsidR="00F75DCF" w:rsidRPr="001C50E8">
        <w:rPr>
          <w:sz w:val="24"/>
          <w:szCs w:val="24"/>
        </w:rPr>
        <w:t xml:space="preserve">modelled avoided harvest area (in hectares) </w:t>
      </w:r>
      <w:r w:rsidR="00AC7C84" w:rsidRPr="00AC7C84">
        <w:rPr>
          <w:sz w:val="24"/>
          <w:szCs w:val="24"/>
        </w:rPr>
        <w:t>to the representative harvest plots from subsection 2</w:t>
      </w:r>
      <w:r w:rsidR="007902B6">
        <w:rPr>
          <w:sz w:val="24"/>
          <w:szCs w:val="24"/>
        </w:rPr>
        <w:t>7</w:t>
      </w:r>
      <w:r w:rsidR="00AC7C84" w:rsidRPr="00AC7C84">
        <w:rPr>
          <w:sz w:val="24"/>
          <w:szCs w:val="24"/>
        </w:rPr>
        <w:t xml:space="preserve">(1) by multiplying the proportion </w:t>
      </w:r>
      <w:r w:rsidR="008F61D5">
        <w:rPr>
          <w:sz w:val="24"/>
          <w:szCs w:val="24"/>
        </w:rPr>
        <w:t xml:space="preserve">from </w:t>
      </w:r>
      <w:r w:rsidR="00AC7C84" w:rsidRPr="00AC7C84">
        <w:rPr>
          <w:sz w:val="24"/>
          <w:szCs w:val="24"/>
        </w:rPr>
        <w:t>subsection 3</w:t>
      </w:r>
      <w:r w:rsidR="007902B6">
        <w:rPr>
          <w:sz w:val="24"/>
          <w:szCs w:val="24"/>
        </w:rPr>
        <w:t>4</w:t>
      </w:r>
      <w:r w:rsidR="00AC7C84" w:rsidRPr="00AC7C84">
        <w:rPr>
          <w:sz w:val="24"/>
          <w:szCs w:val="24"/>
        </w:rPr>
        <w:t xml:space="preserve">(2)(a) for each plot by the </w:t>
      </w:r>
      <w:r w:rsidR="00045B36">
        <w:rPr>
          <w:sz w:val="24"/>
          <w:szCs w:val="24"/>
        </w:rPr>
        <w:t xml:space="preserve">total </w:t>
      </w:r>
      <w:r w:rsidR="00C62E2D" w:rsidRPr="001C50E8">
        <w:rPr>
          <w:sz w:val="24"/>
          <w:szCs w:val="24"/>
        </w:rPr>
        <w:t xml:space="preserve">modelled avoided harvest area </w:t>
      </w:r>
      <w:r w:rsidR="00AC7C84" w:rsidRPr="00AC7C84">
        <w:rPr>
          <w:sz w:val="24"/>
          <w:szCs w:val="24"/>
        </w:rPr>
        <w:t>for the reporting period</w:t>
      </w:r>
      <w:r w:rsidR="003404E4">
        <w:rPr>
          <w:sz w:val="24"/>
          <w:szCs w:val="24"/>
        </w:rPr>
        <w:t xml:space="preserve"> </w:t>
      </w:r>
      <w:r w:rsidR="003404E4" w:rsidRPr="00194773">
        <w:rPr>
          <w:sz w:val="24"/>
          <w:szCs w:val="24"/>
        </w:rPr>
        <w:t>(subsection 3</w:t>
      </w:r>
      <w:r w:rsidR="007902B6">
        <w:rPr>
          <w:sz w:val="24"/>
          <w:szCs w:val="24"/>
        </w:rPr>
        <w:t>4</w:t>
      </w:r>
      <w:r w:rsidR="003404E4" w:rsidRPr="00194773">
        <w:rPr>
          <w:sz w:val="24"/>
          <w:szCs w:val="24"/>
        </w:rPr>
        <w:t>(</w:t>
      </w:r>
      <w:r w:rsidR="003404E4">
        <w:rPr>
          <w:sz w:val="24"/>
          <w:szCs w:val="24"/>
        </w:rPr>
        <w:t>4</w:t>
      </w:r>
      <w:r w:rsidR="003404E4" w:rsidRPr="00194773">
        <w:rPr>
          <w:sz w:val="24"/>
          <w:szCs w:val="24"/>
        </w:rPr>
        <w:t>)(</w:t>
      </w:r>
      <w:r w:rsidR="003404E4">
        <w:rPr>
          <w:sz w:val="24"/>
          <w:szCs w:val="24"/>
        </w:rPr>
        <w:t>b</w:t>
      </w:r>
      <w:r w:rsidR="003404E4" w:rsidRPr="00194773">
        <w:rPr>
          <w:sz w:val="24"/>
          <w:szCs w:val="24"/>
        </w:rPr>
        <w:t>))</w:t>
      </w:r>
      <w:r w:rsidR="00AC7C84" w:rsidRPr="00AC7C84">
        <w:rPr>
          <w:sz w:val="24"/>
          <w:szCs w:val="24"/>
        </w:rPr>
        <w:t>.</w:t>
      </w:r>
    </w:p>
    <w:p w14:paraId="7C85A107" w14:textId="53BCA470" w:rsidR="00D93FAB" w:rsidRDefault="00B5342C" w:rsidP="00B5342C">
      <w:pPr>
        <w:pStyle w:val="subsection"/>
        <w:spacing w:before="120" w:after="120"/>
        <w:ind w:left="720" w:firstLine="0"/>
        <w:rPr>
          <w:sz w:val="24"/>
          <w:szCs w:val="24"/>
        </w:rPr>
      </w:pPr>
      <w:r w:rsidRPr="00194773">
        <w:rPr>
          <w:b/>
          <w:bCs/>
          <w:sz w:val="24"/>
          <w:szCs w:val="24"/>
        </w:rPr>
        <w:t>Step 3:</w:t>
      </w:r>
      <w:r w:rsidRPr="00194773">
        <w:rPr>
          <w:sz w:val="24"/>
          <w:szCs w:val="24"/>
        </w:rPr>
        <w:t xml:space="preserve"> </w:t>
      </w:r>
      <w:r w:rsidR="00D93FAB">
        <w:rPr>
          <w:sz w:val="24"/>
          <w:szCs w:val="24"/>
        </w:rPr>
        <w:t xml:space="preserve">Remove the </w:t>
      </w:r>
      <w:r w:rsidR="00D93FAB" w:rsidRPr="00D93FAB">
        <w:rPr>
          <w:sz w:val="24"/>
          <w:szCs w:val="24"/>
        </w:rPr>
        <w:t xml:space="preserve">harvest events from the representative </w:t>
      </w:r>
      <w:r w:rsidR="00D93FAB">
        <w:rPr>
          <w:sz w:val="24"/>
          <w:szCs w:val="24"/>
        </w:rPr>
        <w:t>harvest</w:t>
      </w:r>
      <w:r w:rsidR="00D93FAB" w:rsidRPr="00D93FAB">
        <w:rPr>
          <w:sz w:val="24"/>
          <w:szCs w:val="24"/>
        </w:rPr>
        <w:t xml:space="preserve"> plots</w:t>
      </w:r>
      <w:r w:rsidR="00B5384A">
        <w:rPr>
          <w:sz w:val="24"/>
          <w:szCs w:val="24"/>
        </w:rPr>
        <w:t>, thereby creat</w:t>
      </w:r>
      <w:r w:rsidR="0091206A">
        <w:rPr>
          <w:sz w:val="24"/>
          <w:szCs w:val="24"/>
        </w:rPr>
        <w:t>ing</w:t>
      </w:r>
      <w:r w:rsidR="00B5384A">
        <w:rPr>
          <w:sz w:val="24"/>
          <w:szCs w:val="24"/>
        </w:rPr>
        <w:t xml:space="preserve"> ‘mirror’ avoided harvest plots</w:t>
      </w:r>
      <w:r w:rsidR="003404E4">
        <w:rPr>
          <w:sz w:val="24"/>
          <w:szCs w:val="24"/>
        </w:rPr>
        <w:t xml:space="preserve"> </w:t>
      </w:r>
      <w:r w:rsidR="003404E4" w:rsidRPr="00194773">
        <w:rPr>
          <w:sz w:val="24"/>
          <w:szCs w:val="24"/>
        </w:rPr>
        <w:t>(subsection 3</w:t>
      </w:r>
      <w:r w:rsidR="007902B6">
        <w:rPr>
          <w:sz w:val="24"/>
          <w:szCs w:val="24"/>
        </w:rPr>
        <w:t>4</w:t>
      </w:r>
      <w:r w:rsidR="003404E4" w:rsidRPr="00194773">
        <w:rPr>
          <w:sz w:val="24"/>
          <w:szCs w:val="24"/>
        </w:rPr>
        <w:t>(</w:t>
      </w:r>
      <w:r w:rsidR="003404E4">
        <w:rPr>
          <w:sz w:val="24"/>
          <w:szCs w:val="24"/>
        </w:rPr>
        <w:t>4</w:t>
      </w:r>
      <w:r w:rsidR="003404E4" w:rsidRPr="00194773">
        <w:rPr>
          <w:sz w:val="24"/>
          <w:szCs w:val="24"/>
        </w:rPr>
        <w:t>)(</w:t>
      </w:r>
      <w:r w:rsidR="003404E4">
        <w:rPr>
          <w:sz w:val="24"/>
          <w:szCs w:val="24"/>
        </w:rPr>
        <w:t>c</w:t>
      </w:r>
      <w:r w:rsidR="003404E4" w:rsidRPr="00194773">
        <w:rPr>
          <w:sz w:val="24"/>
          <w:szCs w:val="24"/>
        </w:rPr>
        <w:t>))</w:t>
      </w:r>
      <w:r w:rsidR="00D93FAB" w:rsidRPr="00D93FAB">
        <w:rPr>
          <w:sz w:val="24"/>
          <w:szCs w:val="24"/>
        </w:rPr>
        <w:t>.</w:t>
      </w:r>
    </w:p>
    <w:p w14:paraId="137745BD" w14:textId="7DA8E243" w:rsidR="00F05ED5" w:rsidRDefault="00B5342C" w:rsidP="00B5342C">
      <w:pPr>
        <w:pStyle w:val="subsection"/>
        <w:spacing w:before="120" w:after="120"/>
        <w:ind w:left="720" w:firstLine="0"/>
        <w:rPr>
          <w:sz w:val="24"/>
          <w:szCs w:val="24"/>
        </w:rPr>
      </w:pPr>
      <w:r w:rsidRPr="00194773">
        <w:rPr>
          <w:b/>
          <w:bCs/>
          <w:sz w:val="24"/>
          <w:szCs w:val="24"/>
        </w:rPr>
        <w:t xml:space="preserve">Step </w:t>
      </w:r>
      <w:r w:rsidR="00E44C8A">
        <w:rPr>
          <w:b/>
          <w:bCs/>
          <w:sz w:val="24"/>
          <w:szCs w:val="24"/>
        </w:rPr>
        <w:t>4</w:t>
      </w:r>
      <w:r w:rsidRPr="00194773">
        <w:rPr>
          <w:b/>
          <w:bCs/>
          <w:sz w:val="24"/>
          <w:szCs w:val="24"/>
        </w:rPr>
        <w:t>:</w:t>
      </w:r>
      <w:r w:rsidRPr="00194773">
        <w:rPr>
          <w:sz w:val="24"/>
          <w:szCs w:val="24"/>
        </w:rPr>
        <w:t xml:space="preserve"> </w:t>
      </w:r>
      <w:r w:rsidR="00F05ED5" w:rsidRPr="00F05ED5">
        <w:rPr>
          <w:sz w:val="24"/>
          <w:szCs w:val="24"/>
        </w:rPr>
        <w:t xml:space="preserve">The modelled avoided cleared area to facilitate timber harvesting (in hectares) for the reporting period must be the same as in </w:t>
      </w:r>
      <w:r w:rsidR="007B2057">
        <w:rPr>
          <w:sz w:val="24"/>
          <w:szCs w:val="24"/>
        </w:rPr>
        <w:t>subsection</w:t>
      </w:r>
      <w:r w:rsidR="00F05ED5" w:rsidRPr="00F05ED5">
        <w:rPr>
          <w:sz w:val="24"/>
          <w:szCs w:val="24"/>
        </w:rPr>
        <w:t xml:space="preserve"> </w:t>
      </w:r>
      <w:r w:rsidR="00565490">
        <w:rPr>
          <w:sz w:val="24"/>
          <w:szCs w:val="24"/>
        </w:rPr>
        <w:t>3</w:t>
      </w:r>
      <w:r w:rsidR="007902B6">
        <w:rPr>
          <w:sz w:val="24"/>
          <w:szCs w:val="24"/>
        </w:rPr>
        <w:t>4</w:t>
      </w:r>
      <w:r w:rsidR="00F05ED5" w:rsidRPr="00F05ED5">
        <w:rPr>
          <w:sz w:val="24"/>
          <w:szCs w:val="24"/>
        </w:rPr>
        <w:t>(2)(</w:t>
      </w:r>
      <w:r w:rsidR="00E44C8A">
        <w:rPr>
          <w:sz w:val="24"/>
          <w:szCs w:val="24"/>
        </w:rPr>
        <w:t>e</w:t>
      </w:r>
      <w:r w:rsidR="00F05ED5" w:rsidRPr="00F05ED5">
        <w:rPr>
          <w:sz w:val="24"/>
          <w:szCs w:val="24"/>
        </w:rPr>
        <w:t>)(</w:t>
      </w:r>
      <w:proofErr w:type="spellStart"/>
      <w:r w:rsidR="00F05ED5" w:rsidRPr="00F05ED5">
        <w:rPr>
          <w:sz w:val="24"/>
          <w:szCs w:val="24"/>
        </w:rPr>
        <w:t>i</w:t>
      </w:r>
      <w:proofErr w:type="spellEnd"/>
      <w:r w:rsidR="00F05ED5" w:rsidRPr="00F05ED5">
        <w:rPr>
          <w:sz w:val="24"/>
          <w:szCs w:val="24"/>
        </w:rPr>
        <w:t>)</w:t>
      </w:r>
      <w:r w:rsidR="00565490">
        <w:rPr>
          <w:sz w:val="24"/>
          <w:szCs w:val="24"/>
        </w:rPr>
        <w:t xml:space="preserve"> </w:t>
      </w:r>
      <w:r w:rsidR="00565490" w:rsidRPr="00194773">
        <w:rPr>
          <w:sz w:val="24"/>
          <w:szCs w:val="24"/>
        </w:rPr>
        <w:t>(subsection 3</w:t>
      </w:r>
      <w:r w:rsidR="007902B6">
        <w:rPr>
          <w:sz w:val="24"/>
          <w:szCs w:val="24"/>
        </w:rPr>
        <w:t>4</w:t>
      </w:r>
      <w:r w:rsidR="00565490" w:rsidRPr="00194773">
        <w:rPr>
          <w:sz w:val="24"/>
          <w:szCs w:val="24"/>
        </w:rPr>
        <w:t>(</w:t>
      </w:r>
      <w:r w:rsidR="00565490">
        <w:rPr>
          <w:sz w:val="24"/>
          <w:szCs w:val="24"/>
        </w:rPr>
        <w:t>4</w:t>
      </w:r>
      <w:r w:rsidR="00565490" w:rsidRPr="00194773">
        <w:rPr>
          <w:sz w:val="24"/>
          <w:szCs w:val="24"/>
        </w:rPr>
        <w:t>)(</w:t>
      </w:r>
      <w:r w:rsidR="004359EF">
        <w:rPr>
          <w:sz w:val="24"/>
          <w:szCs w:val="24"/>
        </w:rPr>
        <w:t>d</w:t>
      </w:r>
      <w:r w:rsidR="00565490" w:rsidRPr="00194773">
        <w:rPr>
          <w:sz w:val="24"/>
          <w:szCs w:val="24"/>
        </w:rPr>
        <w:t>))</w:t>
      </w:r>
      <w:r w:rsidR="00593D9F">
        <w:rPr>
          <w:sz w:val="24"/>
          <w:szCs w:val="24"/>
        </w:rPr>
        <w:t>.</w:t>
      </w:r>
    </w:p>
    <w:p w14:paraId="3DE049F4" w14:textId="5E7C78CE" w:rsidR="00593D9F" w:rsidRDefault="001116BC" w:rsidP="00B5342C">
      <w:pPr>
        <w:pStyle w:val="subsection"/>
        <w:spacing w:before="120" w:after="120"/>
        <w:ind w:left="720" w:firstLine="0"/>
        <w:rPr>
          <w:sz w:val="24"/>
          <w:szCs w:val="24"/>
        </w:rPr>
      </w:pPr>
      <w:r w:rsidRPr="00194773">
        <w:rPr>
          <w:b/>
          <w:bCs/>
          <w:sz w:val="24"/>
          <w:szCs w:val="24"/>
        </w:rPr>
        <w:t xml:space="preserve">Step </w:t>
      </w:r>
      <w:r w:rsidR="004359EF">
        <w:rPr>
          <w:b/>
          <w:bCs/>
          <w:sz w:val="24"/>
          <w:szCs w:val="24"/>
        </w:rPr>
        <w:t>5</w:t>
      </w:r>
      <w:r w:rsidRPr="00194773">
        <w:rPr>
          <w:b/>
          <w:bCs/>
          <w:sz w:val="24"/>
          <w:szCs w:val="24"/>
        </w:rPr>
        <w:t>:</w:t>
      </w:r>
      <w:r w:rsidRPr="00194773">
        <w:rPr>
          <w:sz w:val="24"/>
          <w:szCs w:val="24"/>
        </w:rPr>
        <w:t xml:space="preserve"> </w:t>
      </w:r>
      <w:r w:rsidR="002632A7">
        <w:rPr>
          <w:sz w:val="24"/>
          <w:szCs w:val="24"/>
        </w:rPr>
        <w:t xml:space="preserve">Allocate the </w:t>
      </w:r>
      <w:r w:rsidR="002632A7" w:rsidRPr="002632A7">
        <w:rPr>
          <w:sz w:val="24"/>
          <w:szCs w:val="24"/>
        </w:rPr>
        <w:t xml:space="preserve">modelled avoided cleared area to the representative </w:t>
      </w:r>
      <w:r w:rsidR="00765368">
        <w:rPr>
          <w:sz w:val="24"/>
          <w:szCs w:val="24"/>
        </w:rPr>
        <w:t>clearing</w:t>
      </w:r>
      <w:r w:rsidR="002632A7" w:rsidRPr="002632A7">
        <w:rPr>
          <w:sz w:val="24"/>
          <w:szCs w:val="24"/>
        </w:rPr>
        <w:t xml:space="preserve"> plots from subsection 2</w:t>
      </w:r>
      <w:r w:rsidR="007902B6">
        <w:rPr>
          <w:sz w:val="24"/>
          <w:szCs w:val="24"/>
        </w:rPr>
        <w:t>7</w:t>
      </w:r>
      <w:r w:rsidR="002632A7" w:rsidRPr="002632A7">
        <w:rPr>
          <w:sz w:val="24"/>
          <w:szCs w:val="24"/>
        </w:rPr>
        <w:t>(3) in proportion to the volume of wood harvested in the baseline scenario in each forest region in the project area</w:t>
      </w:r>
      <w:r>
        <w:rPr>
          <w:sz w:val="24"/>
          <w:szCs w:val="24"/>
        </w:rPr>
        <w:t xml:space="preserve"> </w:t>
      </w:r>
      <w:r w:rsidRPr="00194773">
        <w:rPr>
          <w:sz w:val="24"/>
          <w:szCs w:val="24"/>
        </w:rPr>
        <w:t>(subsection 3</w:t>
      </w:r>
      <w:r w:rsidR="007902B6">
        <w:rPr>
          <w:sz w:val="24"/>
          <w:szCs w:val="24"/>
        </w:rPr>
        <w:t>4</w:t>
      </w:r>
      <w:r w:rsidRPr="00194773">
        <w:rPr>
          <w:sz w:val="24"/>
          <w:szCs w:val="24"/>
        </w:rPr>
        <w:t>(</w:t>
      </w:r>
      <w:r>
        <w:rPr>
          <w:sz w:val="24"/>
          <w:szCs w:val="24"/>
        </w:rPr>
        <w:t>4</w:t>
      </w:r>
      <w:r w:rsidRPr="00194773">
        <w:rPr>
          <w:sz w:val="24"/>
          <w:szCs w:val="24"/>
        </w:rPr>
        <w:t>)(</w:t>
      </w:r>
      <w:r w:rsidR="00930EDD">
        <w:rPr>
          <w:sz w:val="24"/>
          <w:szCs w:val="24"/>
        </w:rPr>
        <w:t>e</w:t>
      </w:r>
      <w:r w:rsidRPr="00194773">
        <w:rPr>
          <w:sz w:val="24"/>
          <w:szCs w:val="24"/>
        </w:rPr>
        <w:t>))</w:t>
      </w:r>
      <w:r>
        <w:rPr>
          <w:sz w:val="24"/>
          <w:szCs w:val="24"/>
        </w:rPr>
        <w:t>.</w:t>
      </w:r>
    </w:p>
    <w:p w14:paraId="78BE568E" w14:textId="15571B41" w:rsidR="001116BC" w:rsidRDefault="001116BC" w:rsidP="00B5342C">
      <w:pPr>
        <w:pStyle w:val="subsection"/>
        <w:spacing w:before="120" w:after="120"/>
        <w:ind w:left="720" w:firstLine="0"/>
        <w:rPr>
          <w:sz w:val="24"/>
          <w:szCs w:val="24"/>
        </w:rPr>
      </w:pPr>
      <w:r w:rsidRPr="00194773">
        <w:rPr>
          <w:b/>
          <w:bCs/>
          <w:sz w:val="24"/>
          <w:szCs w:val="24"/>
        </w:rPr>
        <w:t xml:space="preserve">Step </w:t>
      </w:r>
      <w:r w:rsidR="00930EDD">
        <w:rPr>
          <w:b/>
          <w:bCs/>
          <w:sz w:val="24"/>
          <w:szCs w:val="24"/>
        </w:rPr>
        <w:t>6</w:t>
      </w:r>
      <w:r w:rsidRPr="00194773">
        <w:rPr>
          <w:b/>
          <w:bCs/>
          <w:sz w:val="24"/>
          <w:szCs w:val="24"/>
        </w:rPr>
        <w:t>:</w:t>
      </w:r>
      <w:r w:rsidRPr="00194773">
        <w:rPr>
          <w:sz w:val="24"/>
          <w:szCs w:val="24"/>
        </w:rPr>
        <w:t xml:space="preserve"> </w:t>
      </w:r>
      <w:r w:rsidR="00765368">
        <w:rPr>
          <w:sz w:val="24"/>
          <w:szCs w:val="24"/>
        </w:rPr>
        <w:t xml:space="preserve">Remove the </w:t>
      </w:r>
      <w:r w:rsidR="00765368" w:rsidRPr="00765368">
        <w:rPr>
          <w:sz w:val="24"/>
          <w:szCs w:val="24"/>
        </w:rPr>
        <w:t xml:space="preserve">clearing events from the representative </w:t>
      </w:r>
      <w:r w:rsidR="00765368">
        <w:rPr>
          <w:sz w:val="24"/>
          <w:szCs w:val="24"/>
        </w:rPr>
        <w:t xml:space="preserve">clearing </w:t>
      </w:r>
      <w:r w:rsidR="00765368" w:rsidRPr="00765368">
        <w:rPr>
          <w:sz w:val="24"/>
          <w:szCs w:val="24"/>
        </w:rPr>
        <w:t>plots</w:t>
      </w:r>
      <w:r w:rsidR="0091206A">
        <w:rPr>
          <w:sz w:val="24"/>
          <w:szCs w:val="24"/>
        </w:rPr>
        <w:t>, thereby creating ‘mirror’ avoided clearing plots</w:t>
      </w:r>
      <w:r w:rsidR="0091206A" w:rsidRPr="00194773">
        <w:rPr>
          <w:sz w:val="24"/>
          <w:szCs w:val="24"/>
        </w:rPr>
        <w:t xml:space="preserve"> </w:t>
      </w:r>
      <w:r w:rsidRPr="00194773">
        <w:rPr>
          <w:sz w:val="24"/>
          <w:szCs w:val="24"/>
        </w:rPr>
        <w:t>(subsection 3</w:t>
      </w:r>
      <w:r w:rsidR="007902B6">
        <w:rPr>
          <w:sz w:val="24"/>
          <w:szCs w:val="24"/>
        </w:rPr>
        <w:t>4</w:t>
      </w:r>
      <w:r w:rsidRPr="00194773">
        <w:rPr>
          <w:sz w:val="24"/>
          <w:szCs w:val="24"/>
        </w:rPr>
        <w:t>(</w:t>
      </w:r>
      <w:r>
        <w:rPr>
          <w:sz w:val="24"/>
          <w:szCs w:val="24"/>
        </w:rPr>
        <w:t>4</w:t>
      </w:r>
      <w:r w:rsidRPr="00194773">
        <w:rPr>
          <w:sz w:val="24"/>
          <w:szCs w:val="24"/>
        </w:rPr>
        <w:t>)(</w:t>
      </w:r>
      <w:r w:rsidR="00930EDD">
        <w:rPr>
          <w:sz w:val="24"/>
          <w:szCs w:val="24"/>
        </w:rPr>
        <w:t>f</w:t>
      </w:r>
      <w:r w:rsidRPr="00194773">
        <w:rPr>
          <w:sz w:val="24"/>
          <w:szCs w:val="24"/>
        </w:rPr>
        <w:t>))</w:t>
      </w:r>
      <w:r w:rsidR="00765368">
        <w:rPr>
          <w:sz w:val="24"/>
          <w:szCs w:val="24"/>
        </w:rPr>
        <w:t>.</w:t>
      </w:r>
    </w:p>
    <w:p w14:paraId="485D25F5" w14:textId="3885F089" w:rsidR="00A661AC" w:rsidRDefault="00984A4A" w:rsidP="00B5342C">
      <w:pPr>
        <w:pStyle w:val="subsection"/>
        <w:spacing w:before="120" w:after="120"/>
        <w:ind w:left="720" w:firstLine="0"/>
        <w:rPr>
          <w:sz w:val="24"/>
          <w:szCs w:val="24"/>
        </w:rPr>
      </w:pPr>
      <w:r w:rsidRPr="00194773">
        <w:rPr>
          <w:b/>
          <w:bCs/>
          <w:sz w:val="24"/>
          <w:szCs w:val="24"/>
        </w:rPr>
        <w:lastRenderedPageBreak/>
        <w:t xml:space="preserve">Step </w:t>
      </w:r>
      <w:r w:rsidR="004816F2">
        <w:rPr>
          <w:b/>
          <w:bCs/>
          <w:sz w:val="24"/>
          <w:szCs w:val="24"/>
        </w:rPr>
        <w:t>7</w:t>
      </w:r>
      <w:r w:rsidRPr="00194773">
        <w:rPr>
          <w:b/>
          <w:bCs/>
          <w:sz w:val="24"/>
          <w:szCs w:val="24"/>
        </w:rPr>
        <w:t>:</w:t>
      </w:r>
      <w:r w:rsidRPr="00194773">
        <w:rPr>
          <w:sz w:val="24"/>
          <w:szCs w:val="24"/>
        </w:rPr>
        <w:t xml:space="preserve"> </w:t>
      </w:r>
      <w:r>
        <w:rPr>
          <w:sz w:val="24"/>
          <w:szCs w:val="24"/>
        </w:rPr>
        <w:t>Establish the basis for m</w:t>
      </w:r>
      <w:r w:rsidRPr="00194773">
        <w:rPr>
          <w:sz w:val="24"/>
          <w:szCs w:val="24"/>
        </w:rPr>
        <w:t>odel</w:t>
      </w:r>
      <w:r>
        <w:rPr>
          <w:sz w:val="24"/>
          <w:szCs w:val="24"/>
        </w:rPr>
        <w:t>ling</w:t>
      </w:r>
      <w:r w:rsidRPr="00194773">
        <w:rPr>
          <w:sz w:val="24"/>
          <w:szCs w:val="24"/>
        </w:rPr>
        <w:t xml:space="preserve"> clearing </w:t>
      </w:r>
      <w:r w:rsidR="00F15037">
        <w:rPr>
          <w:sz w:val="24"/>
          <w:szCs w:val="24"/>
        </w:rPr>
        <w:t xml:space="preserve">in the project area over the reporting period for purposes unrelated to timber harvesting </w:t>
      </w:r>
      <w:r w:rsidR="00A661AC">
        <w:rPr>
          <w:sz w:val="24"/>
          <w:szCs w:val="24"/>
        </w:rPr>
        <w:t xml:space="preserve">by: </w:t>
      </w:r>
    </w:p>
    <w:p w14:paraId="229A34D1" w14:textId="61D29347" w:rsidR="00047B86" w:rsidRDefault="00D828C4" w:rsidP="009D5A62">
      <w:pPr>
        <w:pStyle w:val="subsection"/>
        <w:numPr>
          <w:ilvl w:val="0"/>
          <w:numId w:val="83"/>
        </w:numPr>
        <w:spacing w:before="120" w:after="120"/>
        <w:rPr>
          <w:sz w:val="24"/>
          <w:szCs w:val="24"/>
        </w:rPr>
      </w:pPr>
      <w:r>
        <w:rPr>
          <w:sz w:val="24"/>
          <w:szCs w:val="24"/>
        </w:rPr>
        <w:t>m</w:t>
      </w:r>
      <w:r w:rsidR="00793CED">
        <w:rPr>
          <w:sz w:val="24"/>
          <w:szCs w:val="24"/>
        </w:rPr>
        <w:t xml:space="preserve">apping the </w:t>
      </w:r>
      <w:r>
        <w:rPr>
          <w:sz w:val="24"/>
          <w:szCs w:val="24"/>
        </w:rPr>
        <w:t xml:space="preserve">relevant </w:t>
      </w:r>
      <w:r w:rsidR="00793CED">
        <w:rPr>
          <w:sz w:val="24"/>
          <w:szCs w:val="24"/>
        </w:rPr>
        <w:t xml:space="preserve">cleared area </w:t>
      </w:r>
      <w:r w:rsidR="00793CED" w:rsidRPr="00190D69">
        <w:rPr>
          <w:sz w:val="24"/>
          <w:szCs w:val="24"/>
        </w:rPr>
        <w:t>in accordance with the Mapping Guidelines</w:t>
      </w:r>
      <w:r w:rsidR="00047B86">
        <w:rPr>
          <w:sz w:val="24"/>
          <w:szCs w:val="24"/>
        </w:rPr>
        <w:t xml:space="preserve">; and </w:t>
      </w:r>
    </w:p>
    <w:p w14:paraId="34D8B4C9" w14:textId="7C36A530" w:rsidR="00984A4A" w:rsidRPr="00D828C4" w:rsidRDefault="00D828C4" w:rsidP="009D5A62">
      <w:pPr>
        <w:pStyle w:val="subsection"/>
        <w:numPr>
          <w:ilvl w:val="0"/>
          <w:numId w:val="83"/>
        </w:numPr>
        <w:spacing w:before="120" w:after="120"/>
        <w:rPr>
          <w:sz w:val="24"/>
          <w:szCs w:val="24"/>
        </w:rPr>
      </w:pPr>
      <w:r>
        <w:rPr>
          <w:sz w:val="24"/>
          <w:szCs w:val="24"/>
        </w:rPr>
        <w:t>a</w:t>
      </w:r>
      <w:r w:rsidRPr="00D828C4">
        <w:rPr>
          <w:sz w:val="24"/>
          <w:szCs w:val="24"/>
        </w:rPr>
        <w:t>llocat</w:t>
      </w:r>
      <w:r>
        <w:rPr>
          <w:sz w:val="24"/>
          <w:szCs w:val="24"/>
        </w:rPr>
        <w:t>ing the cleared area</w:t>
      </w:r>
      <w:r w:rsidRPr="00D828C4">
        <w:rPr>
          <w:sz w:val="24"/>
          <w:szCs w:val="24"/>
        </w:rPr>
        <w:t xml:space="preserve"> to representative </w:t>
      </w:r>
      <w:proofErr w:type="spellStart"/>
      <w:r w:rsidRPr="00D828C4">
        <w:rPr>
          <w:sz w:val="24"/>
          <w:szCs w:val="24"/>
        </w:rPr>
        <w:t>FullCAM</w:t>
      </w:r>
      <w:proofErr w:type="spellEnd"/>
      <w:r w:rsidRPr="00D828C4">
        <w:rPr>
          <w:sz w:val="24"/>
          <w:szCs w:val="24"/>
        </w:rPr>
        <w:t xml:space="preserve"> model plots developed in accordance with the </w:t>
      </w:r>
      <w:proofErr w:type="spellStart"/>
      <w:r w:rsidRPr="00D828C4">
        <w:rPr>
          <w:sz w:val="24"/>
          <w:szCs w:val="24"/>
        </w:rPr>
        <w:t>FullCAM</w:t>
      </w:r>
      <w:proofErr w:type="spellEnd"/>
      <w:r w:rsidRPr="00D828C4">
        <w:rPr>
          <w:sz w:val="24"/>
          <w:szCs w:val="24"/>
        </w:rPr>
        <w:t xml:space="preserve"> Guidelines that simulate the clearing events </w:t>
      </w:r>
      <w:r w:rsidR="00047B86" w:rsidRPr="00194773">
        <w:rPr>
          <w:sz w:val="24"/>
          <w:szCs w:val="24"/>
        </w:rPr>
        <w:t>(subsection 3</w:t>
      </w:r>
      <w:r w:rsidR="007902B6">
        <w:rPr>
          <w:sz w:val="24"/>
          <w:szCs w:val="24"/>
        </w:rPr>
        <w:t>4</w:t>
      </w:r>
      <w:r w:rsidR="00047B86" w:rsidRPr="00194773">
        <w:rPr>
          <w:sz w:val="24"/>
          <w:szCs w:val="24"/>
        </w:rPr>
        <w:t>(</w:t>
      </w:r>
      <w:r w:rsidR="00047B86">
        <w:rPr>
          <w:sz w:val="24"/>
          <w:szCs w:val="24"/>
        </w:rPr>
        <w:t>4</w:t>
      </w:r>
      <w:r w:rsidR="00047B86" w:rsidRPr="00194773">
        <w:rPr>
          <w:sz w:val="24"/>
          <w:szCs w:val="24"/>
        </w:rPr>
        <w:t>)(</w:t>
      </w:r>
      <w:r w:rsidR="00047B86">
        <w:rPr>
          <w:sz w:val="24"/>
          <w:szCs w:val="24"/>
        </w:rPr>
        <w:t>g</w:t>
      </w:r>
      <w:r w:rsidR="00047B86" w:rsidRPr="00194773">
        <w:rPr>
          <w:sz w:val="24"/>
          <w:szCs w:val="24"/>
        </w:rPr>
        <w:t>))</w:t>
      </w:r>
      <w:r w:rsidR="00793CED">
        <w:rPr>
          <w:sz w:val="24"/>
          <w:szCs w:val="24"/>
        </w:rPr>
        <w:t>.</w:t>
      </w:r>
    </w:p>
    <w:p w14:paraId="2538AD57" w14:textId="66102E5E" w:rsidR="00095FDD" w:rsidRDefault="00AD4125" w:rsidP="00AD4125">
      <w:pPr>
        <w:pStyle w:val="subsection"/>
        <w:spacing w:before="120" w:after="120"/>
        <w:ind w:left="720" w:firstLine="0"/>
        <w:rPr>
          <w:sz w:val="24"/>
          <w:szCs w:val="24"/>
        </w:rPr>
      </w:pPr>
      <w:r w:rsidRPr="00194773">
        <w:rPr>
          <w:b/>
          <w:bCs/>
          <w:sz w:val="24"/>
          <w:szCs w:val="24"/>
        </w:rPr>
        <w:t xml:space="preserve">Step </w:t>
      </w:r>
      <w:r w:rsidR="00D828C4">
        <w:rPr>
          <w:b/>
          <w:bCs/>
          <w:sz w:val="24"/>
          <w:szCs w:val="24"/>
        </w:rPr>
        <w:t>8</w:t>
      </w:r>
      <w:r w:rsidRPr="00194773">
        <w:rPr>
          <w:b/>
          <w:bCs/>
          <w:sz w:val="24"/>
          <w:szCs w:val="24"/>
        </w:rPr>
        <w:t>:</w:t>
      </w:r>
      <w:r w:rsidRPr="00194773">
        <w:rPr>
          <w:sz w:val="24"/>
          <w:szCs w:val="24"/>
        </w:rPr>
        <w:t xml:space="preserve"> Develop a </w:t>
      </w:r>
      <w:r>
        <w:rPr>
          <w:sz w:val="24"/>
          <w:szCs w:val="24"/>
        </w:rPr>
        <w:t xml:space="preserve">project </w:t>
      </w:r>
      <w:proofErr w:type="spellStart"/>
      <w:r w:rsidRPr="00194773">
        <w:rPr>
          <w:sz w:val="24"/>
          <w:szCs w:val="24"/>
        </w:rPr>
        <w:t>FullCAM</w:t>
      </w:r>
      <w:proofErr w:type="spellEnd"/>
      <w:r w:rsidRPr="00194773">
        <w:rPr>
          <w:sz w:val="24"/>
          <w:szCs w:val="24"/>
        </w:rPr>
        <w:t xml:space="preserve"> forest estate model </w:t>
      </w:r>
      <w:r w:rsidR="00FA3173">
        <w:rPr>
          <w:sz w:val="24"/>
          <w:szCs w:val="24"/>
        </w:rPr>
        <w:t>that meets the following specifications (subsection 34(</w:t>
      </w:r>
      <w:r w:rsidR="008729E3">
        <w:rPr>
          <w:sz w:val="24"/>
          <w:szCs w:val="24"/>
        </w:rPr>
        <w:t>4</w:t>
      </w:r>
      <w:r w:rsidR="00FA3173">
        <w:rPr>
          <w:sz w:val="24"/>
          <w:szCs w:val="24"/>
        </w:rPr>
        <w:t>)(</w:t>
      </w:r>
      <w:r w:rsidR="00411471">
        <w:rPr>
          <w:sz w:val="24"/>
          <w:szCs w:val="24"/>
        </w:rPr>
        <w:t>h</w:t>
      </w:r>
      <w:r w:rsidR="00FA3173">
        <w:rPr>
          <w:sz w:val="24"/>
          <w:szCs w:val="24"/>
        </w:rPr>
        <w:t>)).</w:t>
      </w:r>
    </w:p>
    <w:p w14:paraId="2D97873F" w14:textId="1BD09ED3" w:rsidR="00AD4125" w:rsidRDefault="00DC248A" w:rsidP="009D5A62">
      <w:pPr>
        <w:pStyle w:val="subsection"/>
        <w:numPr>
          <w:ilvl w:val="0"/>
          <w:numId w:val="84"/>
        </w:numPr>
        <w:spacing w:before="120" w:after="120"/>
        <w:rPr>
          <w:sz w:val="24"/>
          <w:szCs w:val="24"/>
        </w:rPr>
      </w:pPr>
      <w:r w:rsidRPr="00DC248A">
        <w:rPr>
          <w:sz w:val="24"/>
          <w:szCs w:val="24"/>
        </w:rPr>
        <w:t xml:space="preserve">Avoided timber harvesting events must be modelled using the modified representative model plots from paragraph (c) </w:t>
      </w:r>
      <w:r w:rsidR="005904FF">
        <w:rPr>
          <w:sz w:val="24"/>
          <w:szCs w:val="24"/>
        </w:rPr>
        <w:t xml:space="preserve">(Step 3) </w:t>
      </w:r>
      <w:r w:rsidRPr="00DC248A">
        <w:rPr>
          <w:sz w:val="24"/>
          <w:szCs w:val="24"/>
        </w:rPr>
        <w:t>and the allocated modelled avoided harvest area from paragraph (b)</w:t>
      </w:r>
      <w:r w:rsidR="005904FF">
        <w:rPr>
          <w:sz w:val="24"/>
          <w:szCs w:val="24"/>
        </w:rPr>
        <w:t xml:space="preserve"> (Step 2)</w:t>
      </w:r>
      <w:r w:rsidRPr="00DC248A">
        <w:rPr>
          <w:sz w:val="24"/>
          <w:szCs w:val="24"/>
        </w:rPr>
        <w:t>.</w:t>
      </w:r>
    </w:p>
    <w:p w14:paraId="6D984CA8" w14:textId="0B00CB2E" w:rsidR="00435BF5" w:rsidRDefault="006E2B77" w:rsidP="009D5A62">
      <w:pPr>
        <w:pStyle w:val="subsection"/>
        <w:numPr>
          <w:ilvl w:val="0"/>
          <w:numId w:val="84"/>
        </w:numPr>
        <w:spacing w:before="120" w:after="120"/>
        <w:rPr>
          <w:sz w:val="24"/>
          <w:szCs w:val="24"/>
        </w:rPr>
      </w:pPr>
      <w:r w:rsidRPr="006E2B77">
        <w:rPr>
          <w:sz w:val="24"/>
          <w:szCs w:val="24"/>
        </w:rPr>
        <w:t xml:space="preserve">Avoided clearing (to facilitate timber harvesting) events must be modelled using the modified representative model plots from paragraph (f) </w:t>
      </w:r>
      <w:r w:rsidR="005904FF">
        <w:rPr>
          <w:sz w:val="24"/>
          <w:szCs w:val="24"/>
        </w:rPr>
        <w:t xml:space="preserve">(Step </w:t>
      </w:r>
      <w:r w:rsidR="00966BC9">
        <w:rPr>
          <w:sz w:val="24"/>
          <w:szCs w:val="24"/>
        </w:rPr>
        <w:t>6</w:t>
      </w:r>
      <w:r w:rsidR="005904FF">
        <w:rPr>
          <w:sz w:val="24"/>
          <w:szCs w:val="24"/>
        </w:rPr>
        <w:t xml:space="preserve">) </w:t>
      </w:r>
      <w:r w:rsidRPr="006E2B77">
        <w:rPr>
          <w:sz w:val="24"/>
          <w:szCs w:val="24"/>
        </w:rPr>
        <w:t>and the allocated modelled avoided cleared area from paragraph (e)</w:t>
      </w:r>
      <w:r w:rsidR="00966BC9">
        <w:rPr>
          <w:sz w:val="24"/>
          <w:szCs w:val="24"/>
        </w:rPr>
        <w:t xml:space="preserve"> (Step 5)</w:t>
      </w:r>
      <w:r w:rsidR="009C7F2D">
        <w:rPr>
          <w:sz w:val="24"/>
          <w:szCs w:val="24"/>
        </w:rPr>
        <w:t>.</w:t>
      </w:r>
    </w:p>
    <w:p w14:paraId="7532CD8A" w14:textId="336200F9" w:rsidR="00105C27" w:rsidRDefault="009C7F2D" w:rsidP="009D5A62">
      <w:pPr>
        <w:pStyle w:val="subsection"/>
        <w:numPr>
          <w:ilvl w:val="0"/>
          <w:numId w:val="84"/>
        </w:numPr>
        <w:spacing w:before="120" w:after="120"/>
        <w:rPr>
          <w:sz w:val="24"/>
          <w:szCs w:val="24"/>
        </w:rPr>
      </w:pPr>
      <w:r w:rsidRPr="009C7F2D">
        <w:rPr>
          <w:sz w:val="24"/>
          <w:szCs w:val="24"/>
        </w:rPr>
        <w:t xml:space="preserve">Clearing events must </w:t>
      </w:r>
      <w:proofErr w:type="gramStart"/>
      <w:r w:rsidRPr="009C7F2D">
        <w:rPr>
          <w:sz w:val="24"/>
          <w:szCs w:val="24"/>
        </w:rPr>
        <w:t>be modelled</w:t>
      </w:r>
      <w:proofErr w:type="gramEnd"/>
      <w:r w:rsidRPr="009C7F2D">
        <w:rPr>
          <w:sz w:val="24"/>
          <w:szCs w:val="24"/>
        </w:rPr>
        <w:t xml:space="preserve"> using the representative cleared area model plots and allocated areas from paragraph (g) </w:t>
      </w:r>
      <w:r w:rsidR="00755AF6">
        <w:rPr>
          <w:sz w:val="24"/>
          <w:szCs w:val="24"/>
        </w:rPr>
        <w:t xml:space="preserve">(Step 7) </w:t>
      </w:r>
      <w:r w:rsidRPr="009C7F2D">
        <w:rPr>
          <w:sz w:val="24"/>
          <w:szCs w:val="24"/>
        </w:rPr>
        <w:t xml:space="preserve">(with the clearing events scheduled to occur on the day after the date of the declaration of the project as an </w:t>
      </w:r>
      <w:proofErr w:type="gramStart"/>
      <w:r w:rsidRPr="009C7F2D">
        <w:rPr>
          <w:sz w:val="24"/>
          <w:szCs w:val="24"/>
        </w:rPr>
        <w:t>eligible offsets</w:t>
      </w:r>
      <w:proofErr w:type="gramEnd"/>
      <w:r w:rsidRPr="009C7F2D">
        <w:rPr>
          <w:sz w:val="24"/>
          <w:szCs w:val="24"/>
        </w:rPr>
        <w:t xml:space="preserve"> project)</w:t>
      </w:r>
      <w:r w:rsidR="00721F3E">
        <w:rPr>
          <w:sz w:val="24"/>
          <w:szCs w:val="24"/>
        </w:rPr>
        <w:t>.</w:t>
      </w:r>
    </w:p>
    <w:p w14:paraId="2DC51E1C" w14:textId="68F905DE" w:rsidR="009C7F2D" w:rsidRDefault="00731BCF" w:rsidP="009D5A62">
      <w:pPr>
        <w:pStyle w:val="subsection"/>
        <w:numPr>
          <w:ilvl w:val="0"/>
          <w:numId w:val="84"/>
        </w:numPr>
        <w:spacing w:before="120" w:after="120"/>
        <w:rPr>
          <w:sz w:val="24"/>
          <w:szCs w:val="24"/>
        </w:rPr>
      </w:pPr>
      <w:r w:rsidRPr="00731BCF">
        <w:rPr>
          <w:sz w:val="24"/>
          <w:szCs w:val="24"/>
        </w:rPr>
        <w:t>The model simulation must start 12 months prior to the date of the declaration of the project as an eligible offsets project</w:t>
      </w:r>
      <w:r>
        <w:rPr>
          <w:sz w:val="24"/>
          <w:szCs w:val="24"/>
        </w:rPr>
        <w:t>.</w:t>
      </w:r>
    </w:p>
    <w:p w14:paraId="5593291B" w14:textId="140EEDD8" w:rsidR="00717408" w:rsidRPr="00755AF6" w:rsidRDefault="007B577C" w:rsidP="00755AF6">
      <w:pPr>
        <w:pStyle w:val="subsection"/>
        <w:numPr>
          <w:ilvl w:val="0"/>
          <w:numId w:val="84"/>
        </w:numPr>
        <w:spacing w:before="120" w:after="120"/>
        <w:rPr>
          <w:sz w:val="24"/>
          <w:szCs w:val="24"/>
        </w:rPr>
      </w:pPr>
      <w:r w:rsidRPr="007B577C">
        <w:rPr>
          <w:sz w:val="24"/>
          <w:szCs w:val="24"/>
        </w:rPr>
        <w:t>The representative model plots must be added at the start of the simulation</w:t>
      </w:r>
      <w:r>
        <w:rPr>
          <w:sz w:val="24"/>
          <w:szCs w:val="24"/>
        </w:rPr>
        <w:t>.</w:t>
      </w:r>
    </w:p>
    <w:p w14:paraId="5F37B0D8" w14:textId="6B54D8D2" w:rsidR="00E27E66" w:rsidRDefault="00E27E66" w:rsidP="00E27E66">
      <w:pPr>
        <w:pStyle w:val="subsection"/>
        <w:spacing w:before="120" w:after="120"/>
        <w:ind w:left="720" w:firstLine="0"/>
        <w:rPr>
          <w:sz w:val="24"/>
          <w:szCs w:val="24"/>
        </w:rPr>
      </w:pPr>
      <w:r w:rsidRPr="00194773">
        <w:rPr>
          <w:b/>
          <w:bCs/>
          <w:sz w:val="24"/>
          <w:szCs w:val="24"/>
        </w:rPr>
        <w:t xml:space="preserve">Step </w:t>
      </w:r>
      <w:r w:rsidR="001C0EB7">
        <w:rPr>
          <w:b/>
          <w:bCs/>
          <w:sz w:val="24"/>
          <w:szCs w:val="24"/>
        </w:rPr>
        <w:t>9</w:t>
      </w:r>
      <w:r w:rsidRPr="00194773">
        <w:rPr>
          <w:b/>
          <w:bCs/>
          <w:sz w:val="24"/>
          <w:szCs w:val="24"/>
        </w:rPr>
        <w:t>:</w:t>
      </w:r>
      <w:r w:rsidRPr="00194773">
        <w:rPr>
          <w:sz w:val="24"/>
          <w:szCs w:val="24"/>
        </w:rPr>
        <w:t xml:space="preserve"> </w:t>
      </w:r>
      <w:r w:rsidR="00CB3B6B" w:rsidRPr="00CB3B6B">
        <w:rPr>
          <w:sz w:val="24"/>
          <w:szCs w:val="24"/>
        </w:rPr>
        <w:t xml:space="preserve">Estimate the forest carbon stocks at the end of the reporting period using the </w:t>
      </w:r>
      <w:r w:rsidR="00CB3B6B">
        <w:rPr>
          <w:sz w:val="24"/>
          <w:szCs w:val="24"/>
        </w:rPr>
        <w:t>project</w:t>
      </w:r>
      <w:r w:rsidR="00CB3B6B" w:rsidRPr="00CB3B6B">
        <w:rPr>
          <w:sz w:val="24"/>
          <w:szCs w:val="24"/>
        </w:rPr>
        <w:t xml:space="preserve"> </w:t>
      </w:r>
      <w:proofErr w:type="spellStart"/>
      <w:r w:rsidR="00CB3B6B" w:rsidRPr="00CB3B6B">
        <w:rPr>
          <w:sz w:val="24"/>
          <w:szCs w:val="24"/>
        </w:rPr>
        <w:t>FullCAM</w:t>
      </w:r>
      <w:proofErr w:type="spellEnd"/>
      <w:r w:rsidR="00CB3B6B" w:rsidRPr="00CB3B6B">
        <w:rPr>
          <w:sz w:val="24"/>
          <w:szCs w:val="24"/>
        </w:rPr>
        <w:t xml:space="preserve"> forest estate model </w:t>
      </w:r>
      <w:r w:rsidRPr="00194773">
        <w:rPr>
          <w:sz w:val="24"/>
          <w:szCs w:val="24"/>
        </w:rPr>
        <w:t>(subsection 3</w:t>
      </w:r>
      <w:r w:rsidR="007902B6">
        <w:rPr>
          <w:sz w:val="24"/>
          <w:szCs w:val="24"/>
        </w:rPr>
        <w:t>4</w:t>
      </w:r>
      <w:r w:rsidRPr="00194773">
        <w:rPr>
          <w:sz w:val="24"/>
          <w:szCs w:val="24"/>
        </w:rPr>
        <w:t>(</w:t>
      </w:r>
      <w:r>
        <w:rPr>
          <w:sz w:val="24"/>
          <w:szCs w:val="24"/>
        </w:rPr>
        <w:t>4</w:t>
      </w:r>
      <w:r w:rsidRPr="00194773">
        <w:rPr>
          <w:sz w:val="24"/>
          <w:szCs w:val="24"/>
        </w:rPr>
        <w:t>)(</w:t>
      </w:r>
      <w:proofErr w:type="spellStart"/>
      <w:r w:rsidR="003D1D2B">
        <w:rPr>
          <w:sz w:val="24"/>
          <w:szCs w:val="24"/>
        </w:rPr>
        <w:t>i</w:t>
      </w:r>
      <w:proofErr w:type="spellEnd"/>
      <w:r w:rsidRPr="00194773">
        <w:rPr>
          <w:sz w:val="24"/>
          <w:szCs w:val="24"/>
        </w:rPr>
        <w:t>))</w:t>
      </w:r>
      <w:r>
        <w:rPr>
          <w:sz w:val="24"/>
          <w:szCs w:val="24"/>
        </w:rPr>
        <w:t xml:space="preserve">. </w:t>
      </w:r>
    </w:p>
    <w:p w14:paraId="3A413158" w14:textId="643353EE" w:rsidR="00D4071B" w:rsidRDefault="00D4071B" w:rsidP="00D4071B">
      <w:pPr>
        <w:pStyle w:val="subsection"/>
        <w:spacing w:before="120" w:after="120"/>
        <w:ind w:left="0" w:firstLine="0"/>
        <w:rPr>
          <w:sz w:val="24"/>
          <w:szCs w:val="24"/>
        </w:rPr>
      </w:pPr>
      <w:r>
        <w:rPr>
          <w:sz w:val="24"/>
          <w:szCs w:val="24"/>
        </w:rPr>
        <w:t>Subsection 3</w:t>
      </w:r>
      <w:r w:rsidR="007902B6">
        <w:rPr>
          <w:sz w:val="24"/>
          <w:szCs w:val="24"/>
        </w:rPr>
        <w:t>4</w:t>
      </w:r>
      <w:r>
        <w:rPr>
          <w:sz w:val="24"/>
          <w:szCs w:val="24"/>
        </w:rPr>
        <w:t xml:space="preserve">(5) specifies how the forest carbon stocks must be modelled in the </w:t>
      </w:r>
      <w:r w:rsidR="00C161AD">
        <w:rPr>
          <w:sz w:val="24"/>
          <w:szCs w:val="24"/>
        </w:rPr>
        <w:t xml:space="preserve">project </w:t>
      </w:r>
      <w:r>
        <w:rPr>
          <w:sz w:val="24"/>
          <w:szCs w:val="24"/>
        </w:rPr>
        <w:t xml:space="preserve">scenario for subsequent reporting periods. The method for subsequent reporting periods is </w:t>
      </w:r>
      <w:proofErr w:type="gramStart"/>
      <w:r>
        <w:rPr>
          <w:sz w:val="24"/>
          <w:szCs w:val="24"/>
        </w:rPr>
        <w:t>similar to</w:t>
      </w:r>
      <w:proofErr w:type="gramEnd"/>
      <w:r>
        <w:rPr>
          <w:sz w:val="24"/>
          <w:szCs w:val="24"/>
        </w:rPr>
        <w:t xml:space="preserve"> the first reporting period, involving the: </w:t>
      </w:r>
    </w:p>
    <w:p w14:paraId="720ED455" w14:textId="78654B3A" w:rsidR="00D4071B" w:rsidRDefault="00D4071B" w:rsidP="009D5A62">
      <w:pPr>
        <w:pStyle w:val="subsection"/>
        <w:numPr>
          <w:ilvl w:val="0"/>
          <w:numId w:val="61"/>
        </w:numPr>
        <w:spacing w:before="120" w:after="120"/>
        <w:rPr>
          <w:sz w:val="24"/>
          <w:szCs w:val="24"/>
        </w:rPr>
      </w:pPr>
      <w:r>
        <w:rPr>
          <w:sz w:val="24"/>
          <w:szCs w:val="24"/>
        </w:rPr>
        <w:t xml:space="preserve">calculation of the modelled </w:t>
      </w:r>
      <w:r w:rsidR="00795A79">
        <w:rPr>
          <w:sz w:val="24"/>
          <w:szCs w:val="24"/>
        </w:rPr>
        <w:t xml:space="preserve">avoided </w:t>
      </w:r>
      <w:r>
        <w:rPr>
          <w:sz w:val="24"/>
          <w:szCs w:val="24"/>
        </w:rPr>
        <w:t xml:space="preserve">harvest area and modelled </w:t>
      </w:r>
      <w:r w:rsidR="00795A79">
        <w:rPr>
          <w:sz w:val="24"/>
          <w:szCs w:val="24"/>
        </w:rPr>
        <w:t>avoided</w:t>
      </w:r>
      <w:r>
        <w:rPr>
          <w:sz w:val="24"/>
          <w:szCs w:val="24"/>
        </w:rPr>
        <w:t xml:space="preserve"> cleared area (</w:t>
      </w:r>
      <w:r w:rsidRPr="00194773">
        <w:rPr>
          <w:sz w:val="24"/>
          <w:szCs w:val="24"/>
        </w:rPr>
        <w:t>subsection</w:t>
      </w:r>
      <w:r>
        <w:rPr>
          <w:sz w:val="24"/>
          <w:szCs w:val="24"/>
        </w:rPr>
        <w:t>s</w:t>
      </w:r>
      <w:r w:rsidRPr="00194773">
        <w:rPr>
          <w:sz w:val="24"/>
          <w:szCs w:val="24"/>
        </w:rPr>
        <w:t xml:space="preserve"> 3</w:t>
      </w:r>
      <w:r w:rsidR="007902B6">
        <w:rPr>
          <w:sz w:val="24"/>
          <w:szCs w:val="24"/>
        </w:rPr>
        <w:t>4</w:t>
      </w:r>
      <w:r w:rsidRPr="00194773">
        <w:rPr>
          <w:sz w:val="24"/>
          <w:szCs w:val="24"/>
        </w:rPr>
        <w:t>(</w:t>
      </w:r>
      <w:r w:rsidR="00E10902">
        <w:rPr>
          <w:sz w:val="24"/>
          <w:szCs w:val="24"/>
        </w:rPr>
        <w:t>5</w:t>
      </w:r>
      <w:r w:rsidRPr="00194773">
        <w:rPr>
          <w:sz w:val="24"/>
          <w:szCs w:val="24"/>
        </w:rPr>
        <w:t>)</w:t>
      </w:r>
      <w:r>
        <w:rPr>
          <w:sz w:val="24"/>
          <w:szCs w:val="24"/>
        </w:rPr>
        <w:t>(a) and (</w:t>
      </w:r>
      <w:r w:rsidR="00E10902">
        <w:rPr>
          <w:sz w:val="24"/>
          <w:szCs w:val="24"/>
        </w:rPr>
        <w:t>d</w:t>
      </w:r>
      <w:r>
        <w:rPr>
          <w:sz w:val="24"/>
          <w:szCs w:val="24"/>
        </w:rPr>
        <w:t>)</w:t>
      </w:r>
      <w:r w:rsidRPr="00194773">
        <w:rPr>
          <w:sz w:val="24"/>
          <w:szCs w:val="24"/>
        </w:rPr>
        <w:t>)</w:t>
      </w:r>
      <w:r>
        <w:rPr>
          <w:sz w:val="24"/>
          <w:szCs w:val="24"/>
        </w:rPr>
        <w:t>; and</w:t>
      </w:r>
    </w:p>
    <w:p w14:paraId="3DF4B924" w14:textId="6BBE8649" w:rsidR="00D4071B" w:rsidRDefault="00D4071B" w:rsidP="009D5A62">
      <w:pPr>
        <w:pStyle w:val="subsection"/>
        <w:numPr>
          <w:ilvl w:val="0"/>
          <w:numId w:val="61"/>
        </w:numPr>
        <w:spacing w:before="120" w:after="120"/>
        <w:rPr>
          <w:sz w:val="24"/>
          <w:szCs w:val="24"/>
        </w:rPr>
      </w:pPr>
      <w:r>
        <w:rPr>
          <w:sz w:val="24"/>
          <w:szCs w:val="24"/>
        </w:rPr>
        <w:t xml:space="preserve">allocation of the modelled </w:t>
      </w:r>
      <w:r w:rsidR="00211BDE">
        <w:rPr>
          <w:sz w:val="24"/>
          <w:szCs w:val="24"/>
        </w:rPr>
        <w:t>avoided</w:t>
      </w:r>
      <w:r>
        <w:rPr>
          <w:sz w:val="24"/>
          <w:szCs w:val="24"/>
        </w:rPr>
        <w:t xml:space="preserve"> harvest area and modelled </w:t>
      </w:r>
      <w:r w:rsidR="00211BDE">
        <w:rPr>
          <w:sz w:val="24"/>
          <w:szCs w:val="24"/>
        </w:rPr>
        <w:t xml:space="preserve">avoided </w:t>
      </w:r>
      <w:r>
        <w:rPr>
          <w:sz w:val="24"/>
          <w:szCs w:val="24"/>
        </w:rPr>
        <w:t>cleared area to the representative harvest plots and representative clear</w:t>
      </w:r>
      <w:r w:rsidR="00F50BE7">
        <w:rPr>
          <w:sz w:val="24"/>
          <w:szCs w:val="24"/>
        </w:rPr>
        <w:t>ed</w:t>
      </w:r>
      <w:r w:rsidR="002430A8">
        <w:rPr>
          <w:sz w:val="24"/>
          <w:szCs w:val="24"/>
        </w:rPr>
        <w:t xml:space="preserve"> plots </w:t>
      </w:r>
      <w:r>
        <w:rPr>
          <w:sz w:val="24"/>
          <w:szCs w:val="24"/>
        </w:rPr>
        <w:t>respectively (</w:t>
      </w:r>
      <w:r w:rsidRPr="00194773">
        <w:rPr>
          <w:sz w:val="24"/>
          <w:szCs w:val="24"/>
        </w:rPr>
        <w:t>subsection</w:t>
      </w:r>
      <w:r>
        <w:rPr>
          <w:sz w:val="24"/>
          <w:szCs w:val="24"/>
        </w:rPr>
        <w:t>s</w:t>
      </w:r>
      <w:r w:rsidRPr="00194773">
        <w:rPr>
          <w:sz w:val="24"/>
          <w:szCs w:val="24"/>
        </w:rPr>
        <w:t xml:space="preserve"> 3</w:t>
      </w:r>
      <w:r w:rsidR="007902B6">
        <w:rPr>
          <w:sz w:val="24"/>
          <w:szCs w:val="24"/>
        </w:rPr>
        <w:t>4</w:t>
      </w:r>
      <w:r w:rsidRPr="00194773">
        <w:rPr>
          <w:sz w:val="24"/>
          <w:szCs w:val="24"/>
        </w:rPr>
        <w:t>(</w:t>
      </w:r>
      <w:r w:rsidR="002430A8">
        <w:rPr>
          <w:sz w:val="24"/>
          <w:szCs w:val="24"/>
        </w:rPr>
        <w:t>5</w:t>
      </w:r>
      <w:r w:rsidRPr="00194773">
        <w:rPr>
          <w:sz w:val="24"/>
          <w:szCs w:val="24"/>
        </w:rPr>
        <w:t>)</w:t>
      </w:r>
      <w:r>
        <w:rPr>
          <w:sz w:val="24"/>
          <w:szCs w:val="24"/>
        </w:rPr>
        <w:t>(b) and (</w:t>
      </w:r>
      <w:r w:rsidR="00F50BE7">
        <w:rPr>
          <w:sz w:val="24"/>
          <w:szCs w:val="24"/>
        </w:rPr>
        <w:t>e</w:t>
      </w:r>
      <w:r>
        <w:rPr>
          <w:sz w:val="24"/>
          <w:szCs w:val="24"/>
        </w:rPr>
        <w:t>)</w:t>
      </w:r>
      <w:proofErr w:type="gramStart"/>
      <w:r w:rsidRPr="00194773">
        <w:rPr>
          <w:sz w:val="24"/>
          <w:szCs w:val="24"/>
        </w:rPr>
        <w:t>)</w:t>
      </w:r>
      <w:r>
        <w:rPr>
          <w:sz w:val="24"/>
          <w:szCs w:val="24"/>
        </w:rPr>
        <w:t>;</w:t>
      </w:r>
      <w:proofErr w:type="gramEnd"/>
    </w:p>
    <w:p w14:paraId="01A0F252" w14:textId="3956AFAE" w:rsidR="00F50BE7" w:rsidRDefault="00F50BE7" w:rsidP="009D5A62">
      <w:pPr>
        <w:pStyle w:val="subsection"/>
        <w:numPr>
          <w:ilvl w:val="0"/>
          <w:numId w:val="61"/>
        </w:numPr>
        <w:spacing w:before="120" w:after="120"/>
        <w:rPr>
          <w:sz w:val="24"/>
          <w:szCs w:val="24"/>
        </w:rPr>
      </w:pPr>
      <w:r>
        <w:rPr>
          <w:sz w:val="24"/>
          <w:szCs w:val="24"/>
        </w:rPr>
        <w:t>removal of the harvest events from the representative harvest plots and clearing from the representative cleared plots (</w:t>
      </w:r>
      <w:r w:rsidRPr="00194773">
        <w:rPr>
          <w:sz w:val="24"/>
          <w:szCs w:val="24"/>
        </w:rPr>
        <w:t>subsection</w:t>
      </w:r>
      <w:r>
        <w:rPr>
          <w:sz w:val="24"/>
          <w:szCs w:val="24"/>
        </w:rPr>
        <w:t>s</w:t>
      </w:r>
      <w:r w:rsidRPr="00194773">
        <w:rPr>
          <w:sz w:val="24"/>
          <w:szCs w:val="24"/>
        </w:rPr>
        <w:t xml:space="preserve"> 3</w:t>
      </w:r>
      <w:r w:rsidR="007902B6">
        <w:rPr>
          <w:sz w:val="24"/>
          <w:szCs w:val="24"/>
        </w:rPr>
        <w:t>4</w:t>
      </w:r>
      <w:r w:rsidRPr="00194773">
        <w:rPr>
          <w:sz w:val="24"/>
          <w:szCs w:val="24"/>
        </w:rPr>
        <w:t>(</w:t>
      </w:r>
      <w:r>
        <w:rPr>
          <w:sz w:val="24"/>
          <w:szCs w:val="24"/>
        </w:rPr>
        <w:t>5</w:t>
      </w:r>
      <w:r w:rsidRPr="00194773">
        <w:rPr>
          <w:sz w:val="24"/>
          <w:szCs w:val="24"/>
        </w:rPr>
        <w:t>)</w:t>
      </w:r>
      <w:r>
        <w:rPr>
          <w:sz w:val="24"/>
          <w:szCs w:val="24"/>
        </w:rPr>
        <w:t>(c) and (f)</w:t>
      </w:r>
      <w:proofErr w:type="gramStart"/>
      <w:r w:rsidRPr="00194773">
        <w:rPr>
          <w:sz w:val="24"/>
          <w:szCs w:val="24"/>
        </w:rPr>
        <w:t>)</w:t>
      </w:r>
      <w:r w:rsidR="00F80E16">
        <w:rPr>
          <w:sz w:val="24"/>
          <w:szCs w:val="24"/>
        </w:rPr>
        <w:t>;</w:t>
      </w:r>
      <w:proofErr w:type="gramEnd"/>
    </w:p>
    <w:p w14:paraId="10402A17" w14:textId="538C70F0" w:rsidR="00F80E16" w:rsidRDefault="00F80E16" w:rsidP="009D5A62">
      <w:pPr>
        <w:pStyle w:val="subsection"/>
        <w:numPr>
          <w:ilvl w:val="0"/>
          <w:numId w:val="61"/>
        </w:numPr>
        <w:spacing w:before="120" w:after="120"/>
        <w:rPr>
          <w:sz w:val="24"/>
          <w:szCs w:val="24"/>
        </w:rPr>
      </w:pPr>
      <w:r>
        <w:rPr>
          <w:sz w:val="24"/>
          <w:szCs w:val="24"/>
        </w:rPr>
        <w:t xml:space="preserve">mapping </w:t>
      </w:r>
      <w:r w:rsidR="005C2F16">
        <w:rPr>
          <w:sz w:val="24"/>
          <w:szCs w:val="24"/>
        </w:rPr>
        <w:t>of a</w:t>
      </w:r>
      <w:r w:rsidR="005C2F16" w:rsidRPr="005C2F16">
        <w:rPr>
          <w:sz w:val="24"/>
          <w:szCs w:val="24"/>
        </w:rPr>
        <w:t>ny forests cleared in the project area during the reporting period (other than for timber harvesting or to facilitate timber harvesting) in accordance with the Mapping Guidelines</w:t>
      </w:r>
      <w:r w:rsidR="00E007C7">
        <w:rPr>
          <w:sz w:val="24"/>
          <w:szCs w:val="24"/>
        </w:rPr>
        <w:t xml:space="preserve"> and </w:t>
      </w:r>
      <w:r w:rsidR="006522AA">
        <w:rPr>
          <w:sz w:val="24"/>
          <w:szCs w:val="24"/>
        </w:rPr>
        <w:t xml:space="preserve">the development of </w:t>
      </w:r>
      <w:r w:rsidR="006522AA" w:rsidRPr="006522AA">
        <w:rPr>
          <w:sz w:val="24"/>
          <w:szCs w:val="24"/>
        </w:rPr>
        <w:t xml:space="preserve">representative model plots </w:t>
      </w:r>
      <w:r w:rsidR="006522AA">
        <w:rPr>
          <w:sz w:val="24"/>
          <w:szCs w:val="24"/>
        </w:rPr>
        <w:t xml:space="preserve">to </w:t>
      </w:r>
      <w:r w:rsidR="006522AA" w:rsidRPr="006522AA">
        <w:rPr>
          <w:sz w:val="24"/>
          <w:szCs w:val="24"/>
        </w:rPr>
        <w:t>simulate the</w:t>
      </w:r>
      <w:r w:rsidR="006522AA">
        <w:rPr>
          <w:sz w:val="24"/>
          <w:szCs w:val="24"/>
        </w:rPr>
        <w:t>se</w:t>
      </w:r>
      <w:r w:rsidR="006522AA" w:rsidRPr="006522AA">
        <w:rPr>
          <w:sz w:val="24"/>
          <w:szCs w:val="24"/>
        </w:rPr>
        <w:t xml:space="preserve"> clearing events</w:t>
      </w:r>
      <w:r w:rsidR="006D40C5">
        <w:rPr>
          <w:sz w:val="24"/>
          <w:szCs w:val="24"/>
        </w:rPr>
        <w:t xml:space="preserve"> (</w:t>
      </w:r>
      <w:r w:rsidR="006D40C5" w:rsidRPr="00194773">
        <w:rPr>
          <w:sz w:val="24"/>
          <w:szCs w:val="24"/>
        </w:rPr>
        <w:t>subsection</w:t>
      </w:r>
      <w:r w:rsidR="006D40C5">
        <w:rPr>
          <w:sz w:val="24"/>
          <w:szCs w:val="24"/>
        </w:rPr>
        <w:t>s</w:t>
      </w:r>
      <w:r w:rsidR="006D40C5" w:rsidRPr="00194773">
        <w:rPr>
          <w:sz w:val="24"/>
          <w:szCs w:val="24"/>
        </w:rPr>
        <w:t xml:space="preserve"> 3</w:t>
      </w:r>
      <w:r w:rsidR="007902B6">
        <w:rPr>
          <w:sz w:val="24"/>
          <w:szCs w:val="24"/>
        </w:rPr>
        <w:t>4</w:t>
      </w:r>
      <w:r w:rsidR="006D40C5" w:rsidRPr="00194773">
        <w:rPr>
          <w:sz w:val="24"/>
          <w:szCs w:val="24"/>
        </w:rPr>
        <w:t>(</w:t>
      </w:r>
      <w:r w:rsidR="006D40C5">
        <w:rPr>
          <w:sz w:val="24"/>
          <w:szCs w:val="24"/>
        </w:rPr>
        <w:t>5</w:t>
      </w:r>
      <w:r w:rsidR="006D40C5" w:rsidRPr="00194773">
        <w:rPr>
          <w:sz w:val="24"/>
          <w:szCs w:val="24"/>
        </w:rPr>
        <w:t>)</w:t>
      </w:r>
      <w:r w:rsidR="006D40C5">
        <w:rPr>
          <w:sz w:val="24"/>
          <w:szCs w:val="24"/>
        </w:rPr>
        <w:t>(</w:t>
      </w:r>
      <w:r w:rsidR="008B033F">
        <w:rPr>
          <w:sz w:val="24"/>
          <w:szCs w:val="24"/>
        </w:rPr>
        <w:t>g</w:t>
      </w:r>
      <w:r w:rsidR="006D40C5">
        <w:rPr>
          <w:sz w:val="24"/>
          <w:szCs w:val="24"/>
        </w:rPr>
        <w:t>)</w:t>
      </w:r>
      <w:proofErr w:type="gramStart"/>
      <w:r w:rsidR="006D40C5" w:rsidRPr="00194773">
        <w:rPr>
          <w:sz w:val="24"/>
          <w:szCs w:val="24"/>
        </w:rPr>
        <w:t>)</w:t>
      </w:r>
      <w:r w:rsidR="006D40C5">
        <w:rPr>
          <w:sz w:val="24"/>
          <w:szCs w:val="24"/>
        </w:rPr>
        <w:t>;</w:t>
      </w:r>
      <w:proofErr w:type="gramEnd"/>
      <w:r w:rsidR="006D40C5">
        <w:rPr>
          <w:sz w:val="24"/>
          <w:szCs w:val="24"/>
        </w:rPr>
        <w:t xml:space="preserve"> </w:t>
      </w:r>
    </w:p>
    <w:p w14:paraId="706F6215" w14:textId="151C8030" w:rsidR="00D4071B" w:rsidRDefault="00D4071B" w:rsidP="009D5A62">
      <w:pPr>
        <w:pStyle w:val="subsection"/>
        <w:numPr>
          <w:ilvl w:val="0"/>
          <w:numId w:val="61"/>
        </w:numPr>
        <w:spacing w:before="120" w:after="120"/>
        <w:rPr>
          <w:sz w:val="24"/>
          <w:szCs w:val="24"/>
        </w:rPr>
      </w:pPr>
      <w:r>
        <w:rPr>
          <w:sz w:val="24"/>
          <w:szCs w:val="24"/>
        </w:rPr>
        <w:t xml:space="preserve">modification of the </w:t>
      </w:r>
      <w:r w:rsidR="008B033F">
        <w:rPr>
          <w:sz w:val="24"/>
          <w:szCs w:val="24"/>
        </w:rPr>
        <w:t>project</w:t>
      </w:r>
      <w:r w:rsidRPr="006F1FC1">
        <w:rPr>
          <w:sz w:val="24"/>
          <w:szCs w:val="24"/>
        </w:rPr>
        <w:t xml:space="preserve"> </w:t>
      </w:r>
      <w:proofErr w:type="spellStart"/>
      <w:r w:rsidRPr="006F1FC1">
        <w:rPr>
          <w:sz w:val="24"/>
          <w:szCs w:val="24"/>
        </w:rPr>
        <w:t>FullCAM</w:t>
      </w:r>
      <w:proofErr w:type="spellEnd"/>
      <w:r w:rsidRPr="006F1FC1">
        <w:rPr>
          <w:sz w:val="24"/>
          <w:szCs w:val="24"/>
        </w:rPr>
        <w:t xml:space="preserve"> forest estate model from the previous reporting period</w:t>
      </w:r>
      <w:r>
        <w:rPr>
          <w:sz w:val="24"/>
          <w:szCs w:val="24"/>
        </w:rPr>
        <w:t xml:space="preserve"> through the addition of the new </w:t>
      </w:r>
      <w:r w:rsidRPr="006F1FC1">
        <w:rPr>
          <w:sz w:val="24"/>
          <w:szCs w:val="24"/>
        </w:rPr>
        <w:t>plots</w:t>
      </w:r>
      <w:r>
        <w:rPr>
          <w:sz w:val="24"/>
          <w:szCs w:val="24"/>
        </w:rPr>
        <w:t xml:space="preserve">, </w:t>
      </w:r>
      <w:r w:rsidRPr="006F1FC1">
        <w:rPr>
          <w:sz w:val="24"/>
          <w:szCs w:val="24"/>
        </w:rPr>
        <w:t xml:space="preserve">modelled </w:t>
      </w:r>
      <w:r w:rsidR="008B033F">
        <w:rPr>
          <w:sz w:val="24"/>
          <w:szCs w:val="24"/>
        </w:rPr>
        <w:t xml:space="preserve">avoided </w:t>
      </w:r>
      <w:r w:rsidRPr="006F1FC1">
        <w:rPr>
          <w:sz w:val="24"/>
          <w:szCs w:val="24"/>
        </w:rPr>
        <w:t xml:space="preserve">harvest </w:t>
      </w:r>
      <w:r>
        <w:rPr>
          <w:sz w:val="24"/>
          <w:szCs w:val="24"/>
        </w:rPr>
        <w:t>area</w:t>
      </w:r>
      <w:r w:rsidR="008B033F">
        <w:rPr>
          <w:sz w:val="24"/>
          <w:szCs w:val="24"/>
        </w:rPr>
        <w:t xml:space="preserve">, </w:t>
      </w:r>
      <w:r>
        <w:rPr>
          <w:sz w:val="24"/>
          <w:szCs w:val="24"/>
        </w:rPr>
        <w:t xml:space="preserve">modelled </w:t>
      </w:r>
      <w:r w:rsidR="008B033F">
        <w:rPr>
          <w:sz w:val="24"/>
          <w:szCs w:val="24"/>
        </w:rPr>
        <w:t xml:space="preserve">avoided </w:t>
      </w:r>
      <w:r w:rsidRPr="006F1FC1">
        <w:rPr>
          <w:sz w:val="24"/>
          <w:szCs w:val="24"/>
        </w:rPr>
        <w:t>cleared area</w:t>
      </w:r>
      <w:r>
        <w:rPr>
          <w:sz w:val="24"/>
          <w:szCs w:val="24"/>
        </w:rPr>
        <w:t xml:space="preserve"> </w:t>
      </w:r>
      <w:r w:rsidR="0003264D">
        <w:rPr>
          <w:sz w:val="24"/>
          <w:szCs w:val="24"/>
        </w:rPr>
        <w:t xml:space="preserve">and area cleared for </w:t>
      </w:r>
      <w:r w:rsidR="009E1E49">
        <w:rPr>
          <w:sz w:val="24"/>
          <w:szCs w:val="24"/>
        </w:rPr>
        <w:t xml:space="preserve">purposes not directly related to timber harvesting </w:t>
      </w:r>
      <w:r>
        <w:rPr>
          <w:sz w:val="24"/>
          <w:szCs w:val="24"/>
        </w:rPr>
        <w:t>(</w:t>
      </w:r>
      <w:r w:rsidRPr="00194773">
        <w:rPr>
          <w:sz w:val="24"/>
          <w:szCs w:val="24"/>
        </w:rPr>
        <w:t>subsection</w:t>
      </w:r>
      <w:r w:rsidR="00F72481">
        <w:rPr>
          <w:sz w:val="24"/>
          <w:szCs w:val="24"/>
        </w:rPr>
        <w:t>s</w:t>
      </w:r>
      <w:r w:rsidRPr="00194773">
        <w:rPr>
          <w:sz w:val="24"/>
          <w:szCs w:val="24"/>
        </w:rPr>
        <w:t xml:space="preserve"> 3</w:t>
      </w:r>
      <w:r w:rsidR="007902B6">
        <w:rPr>
          <w:sz w:val="24"/>
          <w:szCs w:val="24"/>
        </w:rPr>
        <w:t>4</w:t>
      </w:r>
      <w:r w:rsidRPr="00194773">
        <w:rPr>
          <w:sz w:val="24"/>
          <w:szCs w:val="24"/>
        </w:rPr>
        <w:t>(</w:t>
      </w:r>
      <w:r w:rsidR="00F72481">
        <w:rPr>
          <w:sz w:val="24"/>
          <w:szCs w:val="24"/>
        </w:rPr>
        <w:t>5</w:t>
      </w:r>
      <w:r w:rsidRPr="00194773">
        <w:rPr>
          <w:sz w:val="24"/>
          <w:szCs w:val="24"/>
        </w:rPr>
        <w:t>)</w:t>
      </w:r>
      <w:r>
        <w:rPr>
          <w:sz w:val="24"/>
          <w:szCs w:val="24"/>
        </w:rPr>
        <w:t>(</w:t>
      </w:r>
      <w:r w:rsidR="00C6445F">
        <w:rPr>
          <w:sz w:val="24"/>
          <w:szCs w:val="24"/>
        </w:rPr>
        <w:t>h</w:t>
      </w:r>
      <w:r>
        <w:rPr>
          <w:sz w:val="24"/>
          <w:szCs w:val="24"/>
        </w:rPr>
        <w:t>)</w:t>
      </w:r>
      <w:r w:rsidRPr="00194773">
        <w:rPr>
          <w:sz w:val="24"/>
          <w:szCs w:val="24"/>
        </w:rPr>
        <w:t>)</w:t>
      </w:r>
      <w:r>
        <w:rPr>
          <w:sz w:val="24"/>
          <w:szCs w:val="24"/>
        </w:rPr>
        <w:t xml:space="preserve">; and </w:t>
      </w:r>
    </w:p>
    <w:p w14:paraId="2781C645" w14:textId="0638B31E" w:rsidR="00E85936" w:rsidRPr="008C379F" w:rsidRDefault="00D4071B" w:rsidP="009D5A62">
      <w:pPr>
        <w:pStyle w:val="subsection"/>
        <w:numPr>
          <w:ilvl w:val="0"/>
          <w:numId w:val="61"/>
        </w:numPr>
        <w:spacing w:before="120" w:after="120"/>
        <w:rPr>
          <w:sz w:val="24"/>
          <w:szCs w:val="24"/>
        </w:rPr>
      </w:pPr>
      <w:r>
        <w:rPr>
          <w:sz w:val="24"/>
          <w:szCs w:val="24"/>
        </w:rPr>
        <w:lastRenderedPageBreak/>
        <w:t xml:space="preserve">calculating the forest carbon stocks at the end of the reporting period using the modified </w:t>
      </w:r>
      <w:r w:rsidR="00B63EFC">
        <w:rPr>
          <w:sz w:val="24"/>
          <w:szCs w:val="24"/>
        </w:rPr>
        <w:t xml:space="preserve">project </w:t>
      </w:r>
      <w:proofErr w:type="spellStart"/>
      <w:r w:rsidRPr="006F1FC1">
        <w:rPr>
          <w:sz w:val="24"/>
          <w:szCs w:val="24"/>
        </w:rPr>
        <w:t>FullCAM</w:t>
      </w:r>
      <w:proofErr w:type="spellEnd"/>
      <w:r w:rsidRPr="006F1FC1">
        <w:rPr>
          <w:sz w:val="24"/>
          <w:szCs w:val="24"/>
        </w:rPr>
        <w:t xml:space="preserve"> forest estate model</w:t>
      </w:r>
      <w:r>
        <w:rPr>
          <w:sz w:val="24"/>
          <w:szCs w:val="24"/>
        </w:rPr>
        <w:t xml:space="preserve"> (</w:t>
      </w:r>
      <w:r w:rsidRPr="00194773">
        <w:rPr>
          <w:sz w:val="24"/>
          <w:szCs w:val="24"/>
        </w:rPr>
        <w:t>subsection 3</w:t>
      </w:r>
      <w:r w:rsidR="007902B6">
        <w:rPr>
          <w:sz w:val="24"/>
          <w:szCs w:val="24"/>
        </w:rPr>
        <w:t>4</w:t>
      </w:r>
      <w:r w:rsidRPr="00194773">
        <w:rPr>
          <w:sz w:val="24"/>
          <w:szCs w:val="24"/>
        </w:rPr>
        <w:t>(</w:t>
      </w:r>
      <w:r w:rsidR="003D694B">
        <w:rPr>
          <w:sz w:val="24"/>
          <w:szCs w:val="24"/>
        </w:rPr>
        <w:t>5</w:t>
      </w:r>
      <w:r w:rsidRPr="00194773">
        <w:rPr>
          <w:sz w:val="24"/>
          <w:szCs w:val="24"/>
        </w:rPr>
        <w:t>)</w:t>
      </w:r>
      <w:r>
        <w:rPr>
          <w:sz w:val="24"/>
          <w:szCs w:val="24"/>
        </w:rPr>
        <w:t>(</w:t>
      </w:r>
      <w:proofErr w:type="spellStart"/>
      <w:r w:rsidR="00C6445F">
        <w:rPr>
          <w:sz w:val="24"/>
          <w:szCs w:val="24"/>
        </w:rPr>
        <w:t>i</w:t>
      </w:r>
      <w:proofErr w:type="spellEnd"/>
      <w:r>
        <w:rPr>
          <w:sz w:val="24"/>
          <w:szCs w:val="24"/>
        </w:rPr>
        <w:t>)</w:t>
      </w:r>
      <w:r w:rsidRPr="00194773">
        <w:rPr>
          <w:sz w:val="24"/>
          <w:szCs w:val="24"/>
        </w:rPr>
        <w:t>)</w:t>
      </w:r>
      <w:r>
        <w:rPr>
          <w:sz w:val="24"/>
          <w:szCs w:val="24"/>
        </w:rPr>
        <w:t xml:space="preserve">. </w:t>
      </w:r>
    </w:p>
    <w:p w14:paraId="7A9EBAD4" w14:textId="58F1543B" w:rsidR="00E85936" w:rsidRPr="00310D38" w:rsidRDefault="00433D96" w:rsidP="00E85936">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E85936">
        <w:rPr>
          <w:rFonts w:ascii="Times New Roman" w:hAnsi="Times New Roman" w:cs="Times New Roman"/>
          <w:sz w:val="24"/>
          <w:szCs w:val="24"/>
          <w:u w:val="single"/>
        </w:rPr>
        <w:t>3</w:t>
      </w:r>
      <w:r w:rsidR="007902B6">
        <w:rPr>
          <w:rFonts w:ascii="Times New Roman" w:hAnsi="Times New Roman" w:cs="Times New Roman"/>
          <w:sz w:val="24"/>
          <w:szCs w:val="24"/>
          <w:u w:val="single"/>
        </w:rPr>
        <w:t>5</w:t>
      </w:r>
      <w:r w:rsidR="00E85936" w:rsidRPr="00310D38">
        <w:rPr>
          <w:rFonts w:ascii="Times New Roman" w:hAnsi="Times New Roman" w:cs="Times New Roman"/>
          <w:sz w:val="24"/>
          <w:szCs w:val="24"/>
          <w:u w:val="single"/>
        </w:rPr>
        <w:t xml:space="preserve"> – </w:t>
      </w:r>
      <w:r w:rsidR="007644C5" w:rsidRPr="007644C5">
        <w:rPr>
          <w:rFonts w:ascii="Times New Roman" w:hAnsi="Times New Roman" w:cs="Times New Roman"/>
          <w:sz w:val="24"/>
          <w:szCs w:val="24"/>
          <w:u w:val="single"/>
        </w:rPr>
        <w:t>Estimation of carbon stocks in harvested wood products</w:t>
      </w:r>
    </w:p>
    <w:p w14:paraId="707E2B15" w14:textId="55C09B7B" w:rsidR="00E85936" w:rsidRDefault="001443FA" w:rsidP="00E85936">
      <w:pPr>
        <w:pStyle w:val="subsection"/>
        <w:spacing w:before="120" w:after="120"/>
        <w:ind w:left="0" w:firstLine="0"/>
        <w:rPr>
          <w:sz w:val="24"/>
          <w:szCs w:val="24"/>
        </w:rPr>
      </w:pPr>
      <w:r w:rsidRPr="001443FA">
        <w:rPr>
          <w:sz w:val="24"/>
          <w:szCs w:val="24"/>
        </w:rPr>
        <w:t>Section 3</w:t>
      </w:r>
      <w:r w:rsidR="007644C5">
        <w:rPr>
          <w:sz w:val="24"/>
          <w:szCs w:val="24"/>
        </w:rPr>
        <w:t>5</w:t>
      </w:r>
      <w:r w:rsidRPr="001443FA">
        <w:rPr>
          <w:sz w:val="24"/>
          <w:szCs w:val="24"/>
        </w:rPr>
        <w:t xml:space="preserve"> specifies how </w:t>
      </w:r>
      <w:r>
        <w:rPr>
          <w:sz w:val="24"/>
          <w:szCs w:val="24"/>
        </w:rPr>
        <w:t xml:space="preserve">the </w:t>
      </w:r>
      <w:r w:rsidRPr="001443FA">
        <w:rPr>
          <w:sz w:val="24"/>
          <w:szCs w:val="24"/>
        </w:rPr>
        <w:t>harvested wood products</w:t>
      </w:r>
      <w:r w:rsidR="00B37627">
        <w:rPr>
          <w:sz w:val="24"/>
          <w:szCs w:val="24"/>
        </w:rPr>
        <w:t xml:space="preserve"> (HWP) carbon pool (</w:t>
      </w:r>
      <w:r w:rsidR="00B37627" w:rsidRPr="001443FA">
        <w:rPr>
          <w:sz w:val="24"/>
          <w:szCs w:val="24"/>
        </w:rPr>
        <w:t xml:space="preserve">carbon mass of </w:t>
      </w:r>
      <w:r w:rsidR="00B37627">
        <w:rPr>
          <w:sz w:val="24"/>
          <w:szCs w:val="24"/>
        </w:rPr>
        <w:t xml:space="preserve">HWP) must be modelled in the baseline </w:t>
      </w:r>
      <w:r w:rsidR="00705338">
        <w:rPr>
          <w:sz w:val="24"/>
          <w:szCs w:val="24"/>
        </w:rPr>
        <w:t xml:space="preserve">and project </w:t>
      </w:r>
      <w:r w:rsidR="00B37627">
        <w:rPr>
          <w:sz w:val="24"/>
          <w:szCs w:val="24"/>
        </w:rPr>
        <w:t xml:space="preserve">scenarios </w:t>
      </w:r>
      <w:r w:rsidR="006E3814">
        <w:rPr>
          <w:sz w:val="24"/>
          <w:szCs w:val="24"/>
        </w:rPr>
        <w:t>(</w:t>
      </w:r>
      <w:r w:rsidRPr="001443FA">
        <w:rPr>
          <w:sz w:val="24"/>
          <w:szCs w:val="24"/>
        </w:rPr>
        <w:t>for the purposes of Equation 3</w:t>
      </w:r>
      <w:r w:rsidR="006E3814">
        <w:rPr>
          <w:sz w:val="24"/>
          <w:szCs w:val="24"/>
        </w:rPr>
        <w:t>)</w:t>
      </w:r>
      <w:r w:rsidRPr="001443FA">
        <w:rPr>
          <w:sz w:val="24"/>
          <w:szCs w:val="24"/>
        </w:rPr>
        <w:t>.</w:t>
      </w:r>
    </w:p>
    <w:p w14:paraId="7586BD33" w14:textId="58231A4D" w:rsidR="00796ED3" w:rsidRPr="00796ED3" w:rsidRDefault="009A4242" w:rsidP="00D06633">
      <w:pPr>
        <w:pStyle w:val="subsection"/>
        <w:spacing w:before="120" w:after="120"/>
        <w:ind w:left="0" w:firstLine="0"/>
        <w:rPr>
          <w:sz w:val="24"/>
          <w:szCs w:val="24"/>
        </w:rPr>
      </w:pPr>
      <w:r>
        <w:rPr>
          <w:sz w:val="24"/>
          <w:szCs w:val="24"/>
        </w:rPr>
        <w:t>Section 3</w:t>
      </w:r>
      <w:r w:rsidR="007644C5">
        <w:rPr>
          <w:sz w:val="24"/>
          <w:szCs w:val="24"/>
        </w:rPr>
        <w:t>5</w:t>
      </w:r>
      <w:r>
        <w:rPr>
          <w:sz w:val="24"/>
          <w:szCs w:val="24"/>
        </w:rPr>
        <w:t xml:space="preserve">(1) specifies that </w:t>
      </w:r>
      <w:proofErr w:type="spellStart"/>
      <w:r w:rsidR="000A2CD3">
        <w:rPr>
          <w:sz w:val="24"/>
          <w:szCs w:val="24"/>
        </w:rPr>
        <w:t>FullCAM</w:t>
      </w:r>
      <w:proofErr w:type="spellEnd"/>
      <w:r w:rsidR="000A2CD3">
        <w:rPr>
          <w:sz w:val="24"/>
          <w:szCs w:val="24"/>
        </w:rPr>
        <w:t xml:space="preserve"> </w:t>
      </w:r>
      <w:r w:rsidR="00796ED3" w:rsidRPr="00796ED3">
        <w:rPr>
          <w:sz w:val="24"/>
          <w:szCs w:val="24"/>
        </w:rPr>
        <w:t>must be used to determine the</w:t>
      </w:r>
      <w:r w:rsidR="00D06633">
        <w:rPr>
          <w:sz w:val="24"/>
          <w:szCs w:val="24"/>
        </w:rPr>
        <w:t xml:space="preserve"> HWP</w:t>
      </w:r>
      <w:r w:rsidR="00796ED3" w:rsidRPr="00796ED3">
        <w:rPr>
          <w:sz w:val="24"/>
          <w:szCs w:val="24"/>
        </w:rPr>
        <w:t xml:space="preserve"> </w:t>
      </w:r>
      <w:r w:rsidR="009D57E7">
        <w:rPr>
          <w:sz w:val="24"/>
          <w:szCs w:val="24"/>
        </w:rPr>
        <w:t xml:space="preserve">carbon </w:t>
      </w:r>
      <w:r w:rsidR="00D06633">
        <w:rPr>
          <w:sz w:val="24"/>
          <w:szCs w:val="24"/>
        </w:rPr>
        <w:t xml:space="preserve">pool at the end of the reporting period </w:t>
      </w:r>
      <w:r w:rsidR="00796ED3" w:rsidRPr="00796ED3">
        <w:rPr>
          <w:sz w:val="24"/>
          <w:szCs w:val="24"/>
        </w:rPr>
        <w:t xml:space="preserve">in the baseline and project scenarios. </w:t>
      </w:r>
    </w:p>
    <w:p w14:paraId="003113BB" w14:textId="6924F017" w:rsidR="00BF427C" w:rsidRDefault="00DB034F" w:rsidP="00BF427C">
      <w:pPr>
        <w:pStyle w:val="subsection"/>
        <w:spacing w:before="120" w:after="120"/>
        <w:ind w:left="0" w:firstLine="0"/>
        <w:rPr>
          <w:sz w:val="24"/>
          <w:szCs w:val="24"/>
        </w:rPr>
      </w:pPr>
      <w:r>
        <w:rPr>
          <w:sz w:val="24"/>
          <w:szCs w:val="24"/>
        </w:rPr>
        <w:t>Section 3</w:t>
      </w:r>
      <w:r w:rsidR="007644C5">
        <w:rPr>
          <w:sz w:val="24"/>
          <w:szCs w:val="24"/>
        </w:rPr>
        <w:t>5</w:t>
      </w:r>
      <w:r>
        <w:rPr>
          <w:sz w:val="24"/>
          <w:szCs w:val="24"/>
        </w:rPr>
        <w:t>(2) provides that, i</w:t>
      </w:r>
      <w:r w:rsidR="00796ED3" w:rsidRPr="00796ED3">
        <w:rPr>
          <w:sz w:val="24"/>
          <w:szCs w:val="24"/>
        </w:rPr>
        <w:t xml:space="preserve">n the baseline scenario, the volume of wood harvested in a reporting period that is inputted to </w:t>
      </w:r>
      <w:proofErr w:type="spellStart"/>
      <w:r w:rsidR="000A2CD3">
        <w:rPr>
          <w:sz w:val="24"/>
          <w:szCs w:val="24"/>
        </w:rPr>
        <w:t>FullCAM</w:t>
      </w:r>
      <w:proofErr w:type="spellEnd"/>
      <w:r w:rsidR="00796ED3" w:rsidRPr="00796ED3">
        <w:rPr>
          <w:sz w:val="24"/>
          <w:szCs w:val="24"/>
        </w:rPr>
        <w:t xml:space="preserve"> must be equal to the baseline harvest levels, in cubic metres (m3) of logs produced, for the reporting period, calculated by:</w:t>
      </w:r>
    </w:p>
    <w:p w14:paraId="0817D2C5" w14:textId="77777777" w:rsidR="00BF427C" w:rsidRDefault="00796ED3" w:rsidP="009D5A62">
      <w:pPr>
        <w:pStyle w:val="subsection"/>
        <w:numPr>
          <w:ilvl w:val="0"/>
          <w:numId w:val="62"/>
        </w:numPr>
        <w:spacing w:before="120" w:after="120"/>
        <w:rPr>
          <w:sz w:val="24"/>
          <w:szCs w:val="24"/>
        </w:rPr>
      </w:pPr>
      <w:r w:rsidRPr="00796ED3">
        <w:rPr>
          <w:sz w:val="24"/>
          <w:szCs w:val="24"/>
        </w:rPr>
        <w:t xml:space="preserve">dividing the baseline harvest level for each financial year covered by the reporting period by 12 (to derive a monthly baseline harvest level); and </w:t>
      </w:r>
    </w:p>
    <w:p w14:paraId="6D1997DA" w14:textId="6B49C502" w:rsidR="00796ED3" w:rsidRPr="00796ED3" w:rsidRDefault="00796ED3" w:rsidP="009D5A62">
      <w:pPr>
        <w:pStyle w:val="subsection"/>
        <w:numPr>
          <w:ilvl w:val="0"/>
          <w:numId w:val="62"/>
        </w:numPr>
        <w:spacing w:before="120" w:after="120"/>
        <w:rPr>
          <w:sz w:val="24"/>
          <w:szCs w:val="24"/>
        </w:rPr>
      </w:pPr>
      <w:r w:rsidRPr="00796ED3">
        <w:rPr>
          <w:sz w:val="24"/>
          <w:szCs w:val="24"/>
        </w:rPr>
        <w:t xml:space="preserve">summing the baseline harvest level for each month in the reporting period. </w:t>
      </w:r>
    </w:p>
    <w:p w14:paraId="09E37278" w14:textId="675C0B85" w:rsidR="00796ED3" w:rsidRPr="00796ED3" w:rsidRDefault="0072242B" w:rsidP="00BF427C">
      <w:pPr>
        <w:pStyle w:val="subsection"/>
        <w:spacing w:before="120" w:after="120"/>
        <w:ind w:left="0" w:firstLine="0"/>
        <w:rPr>
          <w:sz w:val="24"/>
          <w:szCs w:val="24"/>
        </w:rPr>
      </w:pPr>
      <w:r>
        <w:rPr>
          <w:sz w:val="24"/>
          <w:szCs w:val="24"/>
        </w:rPr>
        <w:t>Section 3</w:t>
      </w:r>
      <w:r w:rsidR="007644C5">
        <w:rPr>
          <w:sz w:val="24"/>
          <w:szCs w:val="24"/>
        </w:rPr>
        <w:t>5</w:t>
      </w:r>
      <w:r>
        <w:rPr>
          <w:sz w:val="24"/>
          <w:szCs w:val="24"/>
        </w:rPr>
        <w:t>(3) provides that, i</w:t>
      </w:r>
      <w:r w:rsidR="00796ED3" w:rsidRPr="00796ED3">
        <w:rPr>
          <w:sz w:val="24"/>
          <w:szCs w:val="24"/>
        </w:rPr>
        <w:t xml:space="preserve">n the project scenario, the volume of wood harvested in a reporting period that is inputted to </w:t>
      </w:r>
      <w:proofErr w:type="spellStart"/>
      <w:r w:rsidR="000A2CD3">
        <w:rPr>
          <w:sz w:val="24"/>
          <w:szCs w:val="24"/>
        </w:rPr>
        <w:t>FullCAM</w:t>
      </w:r>
      <w:proofErr w:type="spellEnd"/>
      <w:r w:rsidR="00796ED3" w:rsidRPr="00796ED3">
        <w:rPr>
          <w:sz w:val="24"/>
          <w:szCs w:val="24"/>
        </w:rPr>
        <w:t xml:space="preserve"> must be the actual logs harvested over the reporting period, minus </w:t>
      </w:r>
      <w:proofErr w:type="spellStart"/>
      <w:r w:rsidR="00796ED3" w:rsidRPr="00796ED3">
        <w:rPr>
          <w:sz w:val="24"/>
          <w:szCs w:val="24"/>
        </w:rPr>
        <w:t>pulplogs</w:t>
      </w:r>
      <w:proofErr w:type="spellEnd"/>
      <w:r w:rsidR="00796ED3" w:rsidRPr="00796ED3">
        <w:rPr>
          <w:sz w:val="24"/>
          <w:szCs w:val="24"/>
        </w:rPr>
        <w:t xml:space="preserve"> and other residue logs (e.g. firewood).</w:t>
      </w:r>
      <w:r>
        <w:rPr>
          <w:sz w:val="24"/>
          <w:szCs w:val="24"/>
        </w:rPr>
        <w:t xml:space="preserve"> </w:t>
      </w:r>
      <w:r w:rsidR="00086177">
        <w:rPr>
          <w:sz w:val="24"/>
          <w:szCs w:val="24"/>
        </w:rPr>
        <w:t xml:space="preserve">The exclusion of </w:t>
      </w:r>
      <w:proofErr w:type="spellStart"/>
      <w:r w:rsidR="00086177" w:rsidRPr="00796ED3">
        <w:rPr>
          <w:sz w:val="24"/>
          <w:szCs w:val="24"/>
        </w:rPr>
        <w:t>pulplogs</w:t>
      </w:r>
      <w:proofErr w:type="spellEnd"/>
      <w:r w:rsidR="00086177" w:rsidRPr="00796ED3">
        <w:rPr>
          <w:sz w:val="24"/>
          <w:szCs w:val="24"/>
        </w:rPr>
        <w:t xml:space="preserve"> and other residue</w:t>
      </w:r>
      <w:r w:rsidR="00487F2B">
        <w:rPr>
          <w:sz w:val="24"/>
          <w:szCs w:val="24"/>
        </w:rPr>
        <w:t xml:space="preserve"> logs promotes conservativism</w:t>
      </w:r>
      <w:r w:rsidR="00CA0BAF">
        <w:rPr>
          <w:sz w:val="24"/>
          <w:szCs w:val="24"/>
        </w:rPr>
        <w:t xml:space="preserve">. This is because it </w:t>
      </w:r>
      <w:r w:rsidR="00705338">
        <w:rPr>
          <w:sz w:val="24"/>
          <w:szCs w:val="24"/>
        </w:rPr>
        <w:t>creat</w:t>
      </w:r>
      <w:r w:rsidR="00CA0BAF">
        <w:rPr>
          <w:sz w:val="24"/>
          <w:szCs w:val="24"/>
        </w:rPr>
        <w:t>es</w:t>
      </w:r>
      <w:r w:rsidR="00705338">
        <w:rPr>
          <w:sz w:val="24"/>
          <w:szCs w:val="24"/>
        </w:rPr>
        <w:t xml:space="preserve"> an artificial imbalance in the coverage of the stocks in the project and baseline scenarios</w:t>
      </w:r>
      <w:r w:rsidR="001435D4">
        <w:rPr>
          <w:sz w:val="24"/>
          <w:szCs w:val="24"/>
        </w:rPr>
        <w:t xml:space="preserve">, </w:t>
      </w:r>
      <w:r w:rsidR="00CA0BAF">
        <w:rPr>
          <w:sz w:val="24"/>
          <w:szCs w:val="24"/>
        </w:rPr>
        <w:t xml:space="preserve">whereby </w:t>
      </w:r>
      <w:r w:rsidR="009D57E7">
        <w:rPr>
          <w:sz w:val="24"/>
          <w:szCs w:val="24"/>
        </w:rPr>
        <w:t xml:space="preserve">the carbon in these logs is assumed to persist (and degrade) in the baseline scenario but </w:t>
      </w:r>
      <w:r w:rsidR="001435D4">
        <w:rPr>
          <w:sz w:val="24"/>
          <w:szCs w:val="24"/>
        </w:rPr>
        <w:t>instantly oxidise</w:t>
      </w:r>
      <w:r w:rsidR="009D57E7">
        <w:rPr>
          <w:sz w:val="24"/>
          <w:szCs w:val="24"/>
        </w:rPr>
        <w:t xml:space="preserve"> in the project scenario.</w:t>
      </w:r>
    </w:p>
    <w:p w14:paraId="60CA6E68" w14:textId="7A091859" w:rsidR="00E85936" w:rsidRDefault="009D57E7" w:rsidP="00796ED3">
      <w:pPr>
        <w:pStyle w:val="subsection"/>
        <w:spacing w:before="120" w:after="120"/>
        <w:ind w:left="0" w:firstLine="0"/>
        <w:rPr>
          <w:sz w:val="24"/>
          <w:szCs w:val="24"/>
        </w:rPr>
      </w:pPr>
      <w:r>
        <w:rPr>
          <w:sz w:val="24"/>
          <w:szCs w:val="24"/>
        </w:rPr>
        <w:t>Subsection 3</w:t>
      </w:r>
      <w:r w:rsidR="007644C5">
        <w:rPr>
          <w:sz w:val="24"/>
          <w:szCs w:val="24"/>
        </w:rPr>
        <w:t>5</w:t>
      </w:r>
      <w:r>
        <w:rPr>
          <w:sz w:val="24"/>
          <w:szCs w:val="24"/>
        </w:rPr>
        <w:t>(4) requires the m</w:t>
      </w:r>
      <w:r w:rsidR="00796ED3" w:rsidRPr="00796ED3">
        <w:rPr>
          <w:sz w:val="24"/>
          <w:szCs w:val="24"/>
        </w:rPr>
        <w:t xml:space="preserve">odelling of the </w:t>
      </w:r>
      <w:r>
        <w:rPr>
          <w:sz w:val="24"/>
          <w:szCs w:val="24"/>
        </w:rPr>
        <w:t>HWP carbon pool to</w:t>
      </w:r>
      <w:r w:rsidR="00796ED3" w:rsidRPr="00796ED3">
        <w:rPr>
          <w:sz w:val="24"/>
          <w:szCs w:val="24"/>
        </w:rPr>
        <w:t xml:space="preserve"> be carried out in accordance with the </w:t>
      </w:r>
      <w:proofErr w:type="spellStart"/>
      <w:r w:rsidR="000A2CD3">
        <w:rPr>
          <w:sz w:val="24"/>
          <w:szCs w:val="24"/>
        </w:rPr>
        <w:t>FullCAM</w:t>
      </w:r>
      <w:proofErr w:type="spellEnd"/>
      <w:r w:rsidR="000A2CD3">
        <w:rPr>
          <w:sz w:val="24"/>
          <w:szCs w:val="24"/>
        </w:rPr>
        <w:t xml:space="preserve"> Guidelines</w:t>
      </w:r>
      <w:r w:rsidR="00796ED3" w:rsidRPr="00796ED3">
        <w:rPr>
          <w:sz w:val="24"/>
          <w:szCs w:val="24"/>
        </w:rPr>
        <w:t>.</w:t>
      </w:r>
    </w:p>
    <w:p w14:paraId="54A66DE5" w14:textId="559865D1" w:rsidR="009F71EC" w:rsidRDefault="009F71EC" w:rsidP="009F71EC">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6</w:t>
      </w:r>
      <w:r w:rsidRPr="00A656D9">
        <w:rPr>
          <w:rFonts w:ascii="Times New Roman" w:hAnsi="Times New Roman" w:cs="Times New Roman"/>
          <w:b/>
          <w:bCs/>
          <w:sz w:val="24"/>
          <w:szCs w:val="24"/>
        </w:rPr>
        <w:t>—</w:t>
      </w:r>
      <w:r w:rsidR="00407519" w:rsidRPr="00407519">
        <w:rPr>
          <w:rFonts w:ascii="Times New Roman" w:hAnsi="Times New Roman" w:cs="Times New Roman"/>
          <w:b/>
          <w:bCs/>
          <w:sz w:val="24"/>
          <w:szCs w:val="24"/>
        </w:rPr>
        <w:t>Emissions from included sources</w:t>
      </w:r>
    </w:p>
    <w:p w14:paraId="3C332284" w14:textId="1E25D678" w:rsidR="00FA3F10" w:rsidRDefault="00407519" w:rsidP="00AC2376">
      <w:pPr>
        <w:pStyle w:val="subsection"/>
        <w:spacing w:before="120" w:after="120"/>
        <w:ind w:left="0" w:firstLine="0"/>
        <w:rPr>
          <w:sz w:val="24"/>
          <w:szCs w:val="24"/>
        </w:rPr>
      </w:pPr>
      <w:r w:rsidRPr="00407519">
        <w:rPr>
          <w:sz w:val="24"/>
          <w:szCs w:val="24"/>
        </w:rPr>
        <w:t>Division 5.</w:t>
      </w:r>
      <w:r w:rsidR="00406507">
        <w:rPr>
          <w:sz w:val="24"/>
          <w:szCs w:val="24"/>
        </w:rPr>
        <w:t>6</w:t>
      </w:r>
      <w:r>
        <w:rPr>
          <w:sz w:val="24"/>
          <w:szCs w:val="24"/>
        </w:rPr>
        <w:t xml:space="preserve"> details how </w:t>
      </w:r>
      <w:r w:rsidR="00FA3F10">
        <w:rPr>
          <w:sz w:val="24"/>
          <w:szCs w:val="24"/>
        </w:rPr>
        <w:t xml:space="preserve">emissions from included sources must be calculated. The included sources for these purposes are: </w:t>
      </w:r>
    </w:p>
    <w:p w14:paraId="4B3BDD2F" w14:textId="7E3E9E5B" w:rsidR="00DB4FBF" w:rsidRDefault="00DB4FBF" w:rsidP="009D5A62">
      <w:pPr>
        <w:pStyle w:val="subsection"/>
        <w:numPr>
          <w:ilvl w:val="0"/>
          <w:numId w:val="63"/>
        </w:numPr>
        <w:spacing w:before="120" w:after="120"/>
        <w:rPr>
          <w:sz w:val="24"/>
          <w:szCs w:val="24"/>
        </w:rPr>
      </w:pPr>
      <w:r w:rsidRPr="00DB4FBF">
        <w:rPr>
          <w:sz w:val="24"/>
          <w:szCs w:val="24"/>
        </w:rPr>
        <w:t>CH</w:t>
      </w:r>
      <w:r w:rsidRPr="00E62822">
        <w:rPr>
          <w:sz w:val="24"/>
          <w:szCs w:val="24"/>
          <w:vertAlign w:val="subscript"/>
        </w:rPr>
        <w:t>4</w:t>
      </w:r>
      <w:r w:rsidRPr="00DB4FBF">
        <w:rPr>
          <w:sz w:val="24"/>
          <w:szCs w:val="24"/>
        </w:rPr>
        <w:t xml:space="preserve"> and N</w:t>
      </w:r>
      <w:r w:rsidRPr="00E62822">
        <w:rPr>
          <w:sz w:val="24"/>
          <w:szCs w:val="24"/>
          <w:vertAlign w:val="subscript"/>
        </w:rPr>
        <w:t>2</w:t>
      </w:r>
      <w:r w:rsidRPr="00DB4FBF">
        <w:rPr>
          <w:sz w:val="24"/>
          <w:szCs w:val="24"/>
        </w:rPr>
        <w:t xml:space="preserve">O </w:t>
      </w:r>
      <w:r w:rsidR="00E62822">
        <w:rPr>
          <w:sz w:val="24"/>
          <w:szCs w:val="24"/>
        </w:rPr>
        <w:t xml:space="preserve">emissions </w:t>
      </w:r>
      <w:r w:rsidRPr="00DB4FBF">
        <w:rPr>
          <w:sz w:val="24"/>
          <w:szCs w:val="24"/>
        </w:rPr>
        <w:t>from post-harvest (slash) burns</w:t>
      </w:r>
      <w:r>
        <w:rPr>
          <w:sz w:val="24"/>
          <w:szCs w:val="24"/>
        </w:rPr>
        <w:t xml:space="preserve">; and </w:t>
      </w:r>
    </w:p>
    <w:p w14:paraId="0BA204BC" w14:textId="434DFE3F" w:rsidR="00DB4FBF" w:rsidRDefault="00E62822" w:rsidP="009D5A62">
      <w:pPr>
        <w:pStyle w:val="subsection"/>
        <w:numPr>
          <w:ilvl w:val="0"/>
          <w:numId w:val="63"/>
        </w:numPr>
        <w:spacing w:before="120" w:after="120"/>
        <w:rPr>
          <w:sz w:val="24"/>
          <w:szCs w:val="24"/>
        </w:rPr>
      </w:pPr>
      <w:r w:rsidRPr="00E62822">
        <w:rPr>
          <w:sz w:val="24"/>
          <w:szCs w:val="24"/>
        </w:rPr>
        <w:t>CO</w:t>
      </w:r>
      <w:r w:rsidRPr="00E62822">
        <w:rPr>
          <w:sz w:val="24"/>
          <w:szCs w:val="24"/>
          <w:vertAlign w:val="subscript"/>
        </w:rPr>
        <w:t>2</w:t>
      </w:r>
      <w:r w:rsidRPr="00E62822">
        <w:rPr>
          <w:sz w:val="24"/>
          <w:szCs w:val="24"/>
        </w:rPr>
        <w:t>, CH</w:t>
      </w:r>
      <w:r w:rsidRPr="00E62822">
        <w:rPr>
          <w:sz w:val="24"/>
          <w:szCs w:val="24"/>
          <w:vertAlign w:val="subscript"/>
        </w:rPr>
        <w:t>4</w:t>
      </w:r>
      <w:r w:rsidRPr="00E62822">
        <w:rPr>
          <w:sz w:val="24"/>
          <w:szCs w:val="24"/>
        </w:rPr>
        <w:t xml:space="preserve"> and N</w:t>
      </w:r>
      <w:r w:rsidRPr="00E62822">
        <w:rPr>
          <w:sz w:val="24"/>
          <w:szCs w:val="24"/>
          <w:vertAlign w:val="subscript"/>
        </w:rPr>
        <w:t>2</w:t>
      </w:r>
      <w:r w:rsidRPr="00E62822">
        <w:rPr>
          <w:sz w:val="24"/>
          <w:szCs w:val="24"/>
        </w:rPr>
        <w:t xml:space="preserve">O </w:t>
      </w:r>
      <w:r>
        <w:rPr>
          <w:sz w:val="24"/>
          <w:szCs w:val="24"/>
        </w:rPr>
        <w:t>emissions</w:t>
      </w:r>
      <w:r w:rsidRPr="00E62822">
        <w:rPr>
          <w:sz w:val="24"/>
          <w:szCs w:val="24"/>
        </w:rPr>
        <w:t xml:space="preserve"> from the combustion of fossil fuels associated with timber harvesting and haulage operations</w:t>
      </w:r>
      <w:r>
        <w:rPr>
          <w:sz w:val="24"/>
          <w:szCs w:val="24"/>
        </w:rPr>
        <w:t>.</w:t>
      </w:r>
    </w:p>
    <w:p w14:paraId="307E7B8E" w14:textId="7C5807F5" w:rsidR="00E62822" w:rsidRDefault="00B32A29" w:rsidP="00AC2376">
      <w:pPr>
        <w:pStyle w:val="subsection"/>
        <w:spacing w:before="120" w:after="120"/>
        <w:ind w:left="0" w:firstLine="0"/>
        <w:rPr>
          <w:sz w:val="24"/>
          <w:szCs w:val="24"/>
        </w:rPr>
      </w:pPr>
      <w:r>
        <w:rPr>
          <w:sz w:val="24"/>
          <w:szCs w:val="24"/>
        </w:rPr>
        <w:t xml:space="preserve">Other emissions that can occur in the project scenario, including </w:t>
      </w:r>
      <w:r w:rsidRPr="00DB4FBF">
        <w:rPr>
          <w:sz w:val="24"/>
          <w:szCs w:val="24"/>
        </w:rPr>
        <w:t>CH</w:t>
      </w:r>
      <w:r w:rsidRPr="00E62822">
        <w:rPr>
          <w:sz w:val="24"/>
          <w:szCs w:val="24"/>
          <w:vertAlign w:val="subscript"/>
        </w:rPr>
        <w:t>4</w:t>
      </w:r>
      <w:r w:rsidRPr="00DB4FBF">
        <w:rPr>
          <w:sz w:val="24"/>
          <w:szCs w:val="24"/>
        </w:rPr>
        <w:t xml:space="preserve"> and N</w:t>
      </w:r>
      <w:r w:rsidRPr="00E62822">
        <w:rPr>
          <w:sz w:val="24"/>
          <w:szCs w:val="24"/>
          <w:vertAlign w:val="subscript"/>
        </w:rPr>
        <w:t>2</w:t>
      </w:r>
      <w:r w:rsidRPr="00DB4FBF">
        <w:rPr>
          <w:sz w:val="24"/>
          <w:szCs w:val="24"/>
        </w:rPr>
        <w:t xml:space="preserve">O </w:t>
      </w:r>
      <w:r>
        <w:rPr>
          <w:sz w:val="24"/>
          <w:szCs w:val="24"/>
        </w:rPr>
        <w:t xml:space="preserve">emissions from wildfires, are excluded on the basis they are </w:t>
      </w:r>
      <w:r w:rsidR="00DB1B5C">
        <w:rPr>
          <w:sz w:val="24"/>
          <w:szCs w:val="24"/>
        </w:rPr>
        <w:t xml:space="preserve">likely to be the same or lower in the project scenario relative to the levels </w:t>
      </w:r>
      <w:r w:rsidR="002B049A">
        <w:rPr>
          <w:sz w:val="24"/>
          <w:szCs w:val="24"/>
        </w:rPr>
        <w:t>that would have occurred if the INFM project had not been registered</w:t>
      </w:r>
      <w:r w:rsidR="008B4625">
        <w:rPr>
          <w:sz w:val="24"/>
          <w:szCs w:val="24"/>
        </w:rPr>
        <w:t xml:space="preserve"> (baseline)</w:t>
      </w:r>
      <w:r w:rsidR="00DB1B5C">
        <w:rPr>
          <w:sz w:val="24"/>
          <w:szCs w:val="24"/>
        </w:rPr>
        <w:t xml:space="preserve">. </w:t>
      </w:r>
    </w:p>
    <w:p w14:paraId="6FBD0EB5" w14:textId="63D34816" w:rsidR="00E42759" w:rsidRPr="00310D38" w:rsidRDefault="00433D96" w:rsidP="00E42759">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E42759">
        <w:rPr>
          <w:rFonts w:ascii="Times New Roman" w:hAnsi="Times New Roman" w:cs="Times New Roman"/>
          <w:sz w:val="24"/>
          <w:szCs w:val="24"/>
          <w:u w:val="single"/>
        </w:rPr>
        <w:t>3</w:t>
      </w:r>
      <w:r w:rsidR="00884668">
        <w:rPr>
          <w:rFonts w:ascii="Times New Roman" w:hAnsi="Times New Roman" w:cs="Times New Roman"/>
          <w:sz w:val="24"/>
          <w:szCs w:val="24"/>
          <w:u w:val="single"/>
        </w:rPr>
        <w:t>6</w:t>
      </w:r>
      <w:r w:rsidR="00E42759" w:rsidRPr="00310D38">
        <w:rPr>
          <w:rFonts w:ascii="Times New Roman" w:hAnsi="Times New Roman" w:cs="Times New Roman"/>
          <w:sz w:val="24"/>
          <w:szCs w:val="24"/>
          <w:u w:val="single"/>
        </w:rPr>
        <w:t xml:space="preserve"> – </w:t>
      </w:r>
      <w:r w:rsidR="00E42759" w:rsidRPr="00E42759">
        <w:rPr>
          <w:rFonts w:ascii="Times New Roman" w:hAnsi="Times New Roman" w:cs="Times New Roman"/>
          <w:sz w:val="24"/>
          <w:szCs w:val="24"/>
          <w:u w:val="single"/>
        </w:rPr>
        <w:t>Emissions from included sources</w:t>
      </w:r>
    </w:p>
    <w:p w14:paraId="72154168" w14:textId="6B1DAFD7" w:rsidR="00584E5F" w:rsidRDefault="00584E5F" w:rsidP="00AC2376">
      <w:pPr>
        <w:pStyle w:val="subsection"/>
        <w:spacing w:before="120" w:after="120"/>
        <w:ind w:left="0" w:firstLine="0"/>
        <w:rPr>
          <w:sz w:val="24"/>
          <w:szCs w:val="24"/>
        </w:rPr>
      </w:pPr>
      <w:r>
        <w:rPr>
          <w:sz w:val="24"/>
          <w:szCs w:val="24"/>
        </w:rPr>
        <w:t>Section 3</w:t>
      </w:r>
      <w:r w:rsidR="00884668">
        <w:rPr>
          <w:sz w:val="24"/>
          <w:szCs w:val="24"/>
        </w:rPr>
        <w:t>6</w:t>
      </w:r>
      <w:r w:rsidR="00323B60" w:rsidRPr="00323B60">
        <w:t xml:space="preserve"> </w:t>
      </w:r>
      <w:r w:rsidR="00323B60" w:rsidRPr="00323B60">
        <w:rPr>
          <w:sz w:val="24"/>
          <w:szCs w:val="24"/>
        </w:rPr>
        <w:t xml:space="preserve">contains Equation </w:t>
      </w:r>
      <w:r w:rsidR="00323B60">
        <w:rPr>
          <w:sz w:val="24"/>
          <w:szCs w:val="24"/>
        </w:rPr>
        <w:t>4</w:t>
      </w:r>
      <w:r w:rsidR="00323B60" w:rsidRPr="00323B60">
        <w:rPr>
          <w:sz w:val="24"/>
          <w:szCs w:val="24"/>
        </w:rPr>
        <w:t xml:space="preserve">, which is used to calculate </w:t>
      </w:r>
      <w:r w:rsidR="00745316" w:rsidRPr="00745316">
        <w:rPr>
          <w:sz w:val="24"/>
          <w:szCs w:val="24"/>
        </w:rPr>
        <w:t>emissions from included sources (in tonnes CO</w:t>
      </w:r>
      <w:r w:rsidR="00745316" w:rsidRPr="00745316">
        <w:rPr>
          <w:sz w:val="24"/>
          <w:szCs w:val="24"/>
          <w:vertAlign w:val="subscript"/>
        </w:rPr>
        <w:t>2</w:t>
      </w:r>
      <w:r w:rsidR="00745316" w:rsidRPr="00745316">
        <w:rPr>
          <w:sz w:val="24"/>
          <w:szCs w:val="24"/>
        </w:rPr>
        <w:t xml:space="preserve">-e) in </w:t>
      </w:r>
      <w:r w:rsidR="00745316">
        <w:rPr>
          <w:sz w:val="24"/>
          <w:szCs w:val="24"/>
        </w:rPr>
        <w:t>the</w:t>
      </w:r>
      <w:r w:rsidR="00745316" w:rsidRPr="00745316">
        <w:rPr>
          <w:sz w:val="24"/>
          <w:szCs w:val="24"/>
        </w:rPr>
        <w:t xml:space="preserve"> reporting period, in either the project scenario or the baseline scenario</w:t>
      </w:r>
      <w:r w:rsidR="00745316">
        <w:rPr>
          <w:sz w:val="24"/>
          <w:szCs w:val="24"/>
        </w:rPr>
        <w:t xml:space="preserve"> </w:t>
      </w:r>
      <w:r w:rsidR="006E3814">
        <w:rPr>
          <w:sz w:val="24"/>
          <w:szCs w:val="24"/>
        </w:rPr>
        <w:t>(</w:t>
      </w:r>
      <w:r w:rsidR="00323B60" w:rsidRPr="00323B60">
        <w:rPr>
          <w:sz w:val="24"/>
          <w:szCs w:val="24"/>
        </w:rPr>
        <w:t xml:space="preserve">for the purposes of Equation </w:t>
      </w:r>
      <w:r w:rsidR="00745316">
        <w:rPr>
          <w:sz w:val="24"/>
          <w:szCs w:val="24"/>
        </w:rPr>
        <w:t>1</w:t>
      </w:r>
      <w:r w:rsidR="006E3814">
        <w:rPr>
          <w:sz w:val="24"/>
          <w:szCs w:val="24"/>
        </w:rPr>
        <w:t>)</w:t>
      </w:r>
      <w:r w:rsidR="00323B60" w:rsidRPr="00323B60">
        <w:rPr>
          <w:sz w:val="24"/>
          <w:szCs w:val="24"/>
        </w:rPr>
        <w:t>.</w:t>
      </w:r>
    </w:p>
    <w:p w14:paraId="1638EC54" w14:textId="45603291" w:rsidR="00E6644E" w:rsidRPr="00310D38" w:rsidRDefault="00433D96" w:rsidP="00E6644E">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E6644E">
        <w:rPr>
          <w:rFonts w:ascii="Times New Roman" w:hAnsi="Times New Roman" w:cs="Times New Roman"/>
          <w:sz w:val="24"/>
          <w:szCs w:val="24"/>
          <w:u w:val="single"/>
        </w:rPr>
        <w:t>3</w:t>
      </w:r>
      <w:r w:rsidR="00884668">
        <w:rPr>
          <w:rFonts w:ascii="Times New Roman" w:hAnsi="Times New Roman" w:cs="Times New Roman"/>
          <w:sz w:val="24"/>
          <w:szCs w:val="24"/>
          <w:u w:val="single"/>
        </w:rPr>
        <w:t>7</w:t>
      </w:r>
      <w:r w:rsidR="00E6644E" w:rsidRPr="00310D38">
        <w:rPr>
          <w:rFonts w:ascii="Times New Roman" w:hAnsi="Times New Roman" w:cs="Times New Roman"/>
          <w:sz w:val="24"/>
          <w:szCs w:val="24"/>
          <w:u w:val="single"/>
        </w:rPr>
        <w:t xml:space="preserve"> – </w:t>
      </w:r>
      <w:r w:rsidR="00C65213" w:rsidRPr="00C65213">
        <w:rPr>
          <w:rFonts w:ascii="Times New Roman" w:hAnsi="Times New Roman" w:cs="Times New Roman"/>
          <w:sz w:val="24"/>
          <w:szCs w:val="24"/>
          <w:u w:val="single"/>
        </w:rPr>
        <w:t>Calculating emissions from post-harvest (slash) burns</w:t>
      </w:r>
    </w:p>
    <w:p w14:paraId="1800D85E" w14:textId="66754477" w:rsidR="00C65213" w:rsidRDefault="00C65213" w:rsidP="00C65213">
      <w:pPr>
        <w:pStyle w:val="subsection"/>
        <w:spacing w:before="120" w:after="120"/>
        <w:ind w:left="0" w:firstLine="0"/>
        <w:rPr>
          <w:sz w:val="24"/>
          <w:szCs w:val="24"/>
        </w:rPr>
      </w:pPr>
      <w:r>
        <w:rPr>
          <w:sz w:val="24"/>
          <w:szCs w:val="24"/>
        </w:rPr>
        <w:t>S</w:t>
      </w:r>
      <w:r w:rsidR="00F23EDD">
        <w:rPr>
          <w:sz w:val="24"/>
          <w:szCs w:val="24"/>
        </w:rPr>
        <w:t>ubs</w:t>
      </w:r>
      <w:r>
        <w:rPr>
          <w:sz w:val="24"/>
          <w:szCs w:val="24"/>
        </w:rPr>
        <w:t>ection 3</w:t>
      </w:r>
      <w:r w:rsidR="00884668">
        <w:rPr>
          <w:sz w:val="24"/>
          <w:szCs w:val="24"/>
        </w:rPr>
        <w:t>7</w:t>
      </w:r>
      <w:r w:rsidR="00F23EDD">
        <w:rPr>
          <w:sz w:val="24"/>
          <w:szCs w:val="24"/>
        </w:rPr>
        <w:t>(1)</w:t>
      </w:r>
      <w:r w:rsidRPr="00323B60">
        <w:t xml:space="preserve"> </w:t>
      </w:r>
      <w:r w:rsidRPr="00323B60">
        <w:rPr>
          <w:sz w:val="24"/>
          <w:szCs w:val="24"/>
        </w:rPr>
        <w:t xml:space="preserve">contains Equation </w:t>
      </w:r>
      <w:r w:rsidR="00190624">
        <w:rPr>
          <w:sz w:val="24"/>
          <w:szCs w:val="24"/>
        </w:rPr>
        <w:t>5</w:t>
      </w:r>
      <w:r w:rsidRPr="00323B60">
        <w:rPr>
          <w:sz w:val="24"/>
          <w:szCs w:val="24"/>
        </w:rPr>
        <w:t xml:space="preserve">, which is used to calculate </w:t>
      </w:r>
      <w:r w:rsidR="00190624" w:rsidRPr="00190624">
        <w:rPr>
          <w:sz w:val="24"/>
          <w:szCs w:val="24"/>
        </w:rPr>
        <w:t>CH</w:t>
      </w:r>
      <w:r w:rsidR="00190624" w:rsidRPr="00190624">
        <w:rPr>
          <w:sz w:val="24"/>
          <w:szCs w:val="24"/>
          <w:vertAlign w:val="subscript"/>
        </w:rPr>
        <w:t>4</w:t>
      </w:r>
      <w:r w:rsidR="00190624" w:rsidRPr="00190624">
        <w:rPr>
          <w:sz w:val="24"/>
          <w:szCs w:val="24"/>
        </w:rPr>
        <w:t xml:space="preserve"> and N</w:t>
      </w:r>
      <w:r w:rsidR="00190624" w:rsidRPr="00190624">
        <w:rPr>
          <w:sz w:val="24"/>
          <w:szCs w:val="24"/>
          <w:vertAlign w:val="subscript"/>
        </w:rPr>
        <w:t>2</w:t>
      </w:r>
      <w:r w:rsidR="00190624" w:rsidRPr="00190624">
        <w:rPr>
          <w:sz w:val="24"/>
          <w:szCs w:val="24"/>
        </w:rPr>
        <w:t xml:space="preserve">O </w:t>
      </w:r>
      <w:r w:rsidR="00190624">
        <w:rPr>
          <w:sz w:val="24"/>
          <w:szCs w:val="24"/>
        </w:rPr>
        <w:t xml:space="preserve">emissions </w:t>
      </w:r>
      <w:r w:rsidR="00190624" w:rsidRPr="00190624">
        <w:rPr>
          <w:sz w:val="24"/>
          <w:szCs w:val="24"/>
        </w:rPr>
        <w:t>(in tonnes CO</w:t>
      </w:r>
      <w:r w:rsidR="00190624" w:rsidRPr="001C550E">
        <w:rPr>
          <w:sz w:val="24"/>
          <w:szCs w:val="24"/>
          <w:vertAlign w:val="subscript"/>
        </w:rPr>
        <w:t>2</w:t>
      </w:r>
      <w:r w:rsidR="00190624" w:rsidRPr="00190624">
        <w:rPr>
          <w:sz w:val="24"/>
          <w:szCs w:val="24"/>
        </w:rPr>
        <w:t xml:space="preserve">-e) from post-harvest (slash) burns in </w:t>
      </w:r>
      <w:r w:rsidR="00190624">
        <w:rPr>
          <w:sz w:val="24"/>
          <w:szCs w:val="24"/>
        </w:rPr>
        <w:t xml:space="preserve">the </w:t>
      </w:r>
      <w:r w:rsidR="00190624" w:rsidRPr="00190624">
        <w:rPr>
          <w:sz w:val="24"/>
          <w:szCs w:val="24"/>
        </w:rPr>
        <w:t>reporting period, in either the project scenario or baseline scenario</w:t>
      </w:r>
      <w:r w:rsidR="006E3814">
        <w:rPr>
          <w:sz w:val="24"/>
          <w:szCs w:val="24"/>
        </w:rPr>
        <w:t xml:space="preserve"> (</w:t>
      </w:r>
      <w:r w:rsidRPr="00323B60">
        <w:rPr>
          <w:sz w:val="24"/>
          <w:szCs w:val="24"/>
        </w:rPr>
        <w:t xml:space="preserve">for the purposes of Equation </w:t>
      </w:r>
      <w:r w:rsidR="00190624">
        <w:rPr>
          <w:sz w:val="24"/>
          <w:szCs w:val="24"/>
        </w:rPr>
        <w:t>4</w:t>
      </w:r>
      <w:r w:rsidR="006E3814">
        <w:rPr>
          <w:sz w:val="24"/>
          <w:szCs w:val="24"/>
        </w:rPr>
        <w:t>)</w:t>
      </w:r>
      <w:r w:rsidRPr="00323B60">
        <w:rPr>
          <w:sz w:val="24"/>
          <w:szCs w:val="24"/>
        </w:rPr>
        <w:t>.</w:t>
      </w:r>
    </w:p>
    <w:p w14:paraId="4D4B626C" w14:textId="46EDDEC2" w:rsidR="00F23EDD" w:rsidRDefault="00F23EDD" w:rsidP="00F23EDD">
      <w:pPr>
        <w:pStyle w:val="subsection"/>
        <w:spacing w:before="120" w:after="120"/>
        <w:ind w:left="0" w:firstLine="0"/>
        <w:rPr>
          <w:sz w:val="24"/>
          <w:szCs w:val="24"/>
        </w:rPr>
      </w:pPr>
      <w:r>
        <w:rPr>
          <w:sz w:val="24"/>
          <w:szCs w:val="24"/>
        </w:rPr>
        <w:lastRenderedPageBreak/>
        <w:t>Subsection 3</w:t>
      </w:r>
      <w:r w:rsidR="00884668">
        <w:rPr>
          <w:sz w:val="24"/>
          <w:szCs w:val="24"/>
        </w:rPr>
        <w:t>7</w:t>
      </w:r>
      <w:r>
        <w:rPr>
          <w:sz w:val="24"/>
          <w:szCs w:val="24"/>
        </w:rPr>
        <w:t xml:space="preserve">(2) </w:t>
      </w:r>
      <w:r w:rsidRPr="00323B60">
        <w:rPr>
          <w:sz w:val="24"/>
          <w:szCs w:val="24"/>
        </w:rPr>
        <w:t xml:space="preserve">contains Equation </w:t>
      </w:r>
      <w:r>
        <w:rPr>
          <w:sz w:val="24"/>
          <w:szCs w:val="24"/>
        </w:rPr>
        <w:t>6</w:t>
      </w:r>
      <w:r w:rsidRPr="00323B60">
        <w:rPr>
          <w:sz w:val="24"/>
          <w:szCs w:val="24"/>
        </w:rPr>
        <w:t xml:space="preserve">, which is used to calculate </w:t>
      </w:r>
      <w:r w:rsidR="0004695C" w:rsidRPr="0004695C">
        <w:rPr>
          <w:sz w:val="24"/>
          <w:szCs w:val="24"/>
        </w:rPr>
        <w:t>CH</w:t>
      </w:r>
      <w:r w:rsidR="0004695C" w:rsidRPr="00416513">
        <w:rPr>
          <w:sz w:val="24"/>
          <w:szCs w:val="24"/>
          <w:vertAlign w:val="subscript"/>
        </w:rPr>
        <w:t>4</w:t>
      </w:r>
      <w:r w:rsidR="0004695C">
        <w:rPr>
          <w:sz w:val="24"/>
          <w:szCs w:val="24"/>
        </w:rPr>
        <w:t xml:space="preserve"> emissions</w:t>
      </w:r>
      <w:r w:rsidR="0004695C" w:rsidRPr="0004695C">
        <w:rPr>
          <w:sz w:val="24"/>
          <w:szCs w:val="24"/>
        </w:rPr>
        <w:t xml:space="preserve"> (in tonnes CO</w:t>
      </w:r>
      <w:r w:rsidR="0004695C" w:rsidRPr="0004695C">
        <w:rPr>
          <w:sz w:val="24"/>
          <w:szCs w:val="24"/>
          <w:vertAlign w:val="subscript"/>
        </w:rPr>
        <w:t>2</w:t>
      </w:r>
      <w:r w:rsidR="0004695C" w:rsidRPr="0004695C">
        <w:rPr>
          <w:sz w:val="24"/>
          <w:szCs w:val="24"/>
        </w:rPr>
        <w:t xml:space="preserve">-e) from post-harvest (slash) burns </w:t>
      </w:r>
      <w:r w:rsidR="006E3814">
        <w:rPr>
          <w:sz w:val="24"/>
          <w:szCs w:val="24"/>
        </w:rPr>
        <w:t>(</w:t>
      </w:r>
      <w:r w:rsidRPr="00323B60">
        <w:rPr>
          <w:sz w:val="24"/>
          <w:szCs w:val="24"/>
        </w:rPr>
        <w:t xml:space="preserve">for the purposes of Equation </w:t>
      </w:r>
      <w:r w:rsidR="00C03E83">
        <w:rPr>
          <w:sz w:val="24"/>
          <w:szCs w:val="24"/>
        </w:rPr>
        <w:t>5</w:t>
      </w:r>
      <w:r w:rsidR="006E3814">
        <w:rPr>
          <w:sz w:val="24"/>
          <w:szCs w:val="24"/>
        </w:rPr>
        <w:t>)</w:t>
      </w:r>
      <w:r w:rsidRPr="00323B60">
        <w:rPr>
          <w:sz w:val="24"/>
          <w:szCs w:val="24"/>
        </w:rPr>
        <w:t>.</w:t>
      </w:r>
    </w:p>
    <w:p w14:paraId="0AF11964" w14:textId="24102790" w:rsidR="00C03E83" w:rsidRDefault="00C03E83" w:rsidP="00C03E83">
      <w:pPr>
        <w:pStyle w:val="subsection"/>
        <w:spacing w:before="120" w:after="120"/>
        <w:ind w:left="0" w:firstLine="0"/>
        <w:rPr>
          <w:sz w:val="24"/>
          <w:szCs w:val="24"/>
        </w:rPr>
      </w:pPr>
      <w:r>
        <w:rPr>
          <w:sz w:val="24"/>
          <w:szCs w:val="24"/>
        </w:rPr>
        <w:t>Subsection 3</w:t>
      </w:r>
      <w:r w:rsidR="00884668">
        <w:rPr>
          <w:sz w:val="24"/>
          <w:szCs w:val="24"/>
        </w:rPr>
        <w:t>7</w:t>
      </w:r>
      <w:r>
        <w:rPr>
          <w:sz w:val="24"/>
          <w:szCs w:val="24"/>
        </w:rPr>
        <w:t>(</w:t>
      </w:r>
      <w:r w:rsidR="00416513">
        <w:rPr>
          <w:sz w:val="24"/>
          <w:szCs w:val="24"/>
        </w:rPr>
        <w:t>3</w:t>
      </w:r>
      <w:r>
        <w:rPr>
          <w:sz w:val="24"/>
          <w:szCs w:val="24"/>
        </w:rPr>
        <w:t xml:space="preserve">) </w:t>
      </w:r>
      <w:r w:rsidRPr="00323B60">
        <w:rPr>
          <w:sz w:val="24"/>
          <w:szCs w:val="24"/>
        </w:rPr>
        <w:t xml:space="preserve">contains Equation </w:t>
      </w:r>
      <w:r w:rsidR="00416513">
        <w:rPr>
          <w:sz w:val="24"/>
          <w:szCs w:val="24"/>
        </w:rPr>
        <w:t>7</w:t>
      </w:r>
      <w:r w:rsidRPr="00323B60">
        <w:rPr>
          <w:sz w:val="24"/>
          <w:szCs w:val="24"/>
        </w:rPr>
        <w:t xml:space="preserve">, which is used to calculate </w:t>
      </w:r>
      <w:r w:rsidR="00416513" w:rsidRPr="00190624">
        <w:rPr>
          <w:sz w:val="24"/>
          <w:szCs w:val="24"/>
        </w:rPr>
        <w:t>N</w:t>
      </w:r>
      <w:r w:rsidR="00416513" w:rsidRPr="00190624">
        <w:rPr>
          <w:sz w:val="24"/>
          <w:szCs w:val="24"/>
          <w:vertAlign w:val="subscript"/>
        </w:rPr>
        <w:t>2</w:t>
      </w:r>
      <w:r w:rsidR="00416513" w:rsidRPr="00190624">
        <w:rPr>
          <w:sz w:val="24"/>
          <w:szCs w:val="24"/>
        </w:rPr>
        <w:t>O</w:t>
      </w:r>
      <w:r w:rsidR="00416513">
        <w:rPr>
          <w:sz w:val="24"/>
          <w:szCs w:val="24"/>
        </w:rPr>
        <w:t xml:space="preserve"> </w:t>
      </w:r>
      <w:r>
        <w:rPr>
          <w:sz w:val="24"/>
          <w:szCs w:val="24"/>
        </w:rPr>
        <w:t>emissions</w:t>
      </w:r>
      <w:r w:rsidRPr="0004695C">
        <w:rPr>
          <w:sz w:val="24"/>
          <w:szCs w:val="24"/>
        </w:rPr>
        <w:t xml:space="preserve"> (in tonnes CO</w:t>
      </w:r>
      <w:r w:rsidRPr="0004695C">
        <w:rPr>
          <w:sz w:val="24"/>
          <w:szCs w:val="24"/>
          <w:vertAlign w:val="subscript"/>
        </w:rPr>
        <w:t>2</w:t>
      </w:r>
      <w:r w:rsidRPr="0004695C">
        <w:rPr>
          <w:sz w:val="24"/>
          <w:szCs w:val="24"/>
        </w:rPr>
        <w:t xml:space="preserve">-e) from post-harvest (slash) burns </w:t>
      </w:r>
      <w:r w:rsidR="006E3814">
        <w:rPr>
          <w:sz w:val="24"/>
          <w:szCs w:val="24"/>
        </w:rPr>
        <w:t>(</w:t>
      </w:r>
      <w:r w:rsidRPr="00323B60">
        <w:rPr>
          <w:sz w:val="24"/>
          <w:szCs w:val="24"/>
        </w:rPr>
        <w:t xml:space="preserve">for the purposes of Equation </w:t>
      </w:r>
      <w:r>
        <w:rPr>
          <w:sz w:val="24"/>
          <w:szCs w:val="24"/>
        </w:rPr>
        <w:t>5</w:t>
      </w:r>
      <w:r w:rsidR="006E3814">
        <w:rPr>
          <w:sz w:val="24"/>
          <w:szCs w:val="24"/>
        </w:rPr>
        <w:t>)</w:t>
      </w:r>
      <w:r w:rsidRPr="00323B60">
        <w:rPr>
          <w:sz w:val="24"/>
          <w:szCs w:val="24"/>
        </w:rPr>
        <w:t>.</w:t>
      </w:r>
    </w:p>
    <w:p w14:paraId="408EC0A0" w14:textId="4C349471" w:rsidR="00391130" w:rsidRDefault="00391130" w:rsidP="00C03E83">
      <w:pPr>
        <w:pStyle w:val="subsection"/>
        <w:spacing w:before="120" w:after="120"/>
        <w:ind w:left="0" w:firstLine="0"/>
        <w:rPr>
          <w:sz w:val="24"/>
          <w:szCs w:val="24"/>
        </w:rPr>
      </w:pPr>
      <w:r>
        <w:rPr>
          <w:sz w:val="24"/>
          <w:szCs w:val="24"/>
        </w:rPr>
        <w:t>Subsection 3</w:t>
      </w:r>
      <w:r w:rsidR="00884668">
        <w:rPr>
          <w:sz w:val="24"/>
          <w:szCs w:val="24"/>
        </w:rPr>
        <w:t>7</w:t>
      </w:r>
      <w:r w:rsidRPr="00391130">
        <w:rPr>
          <w:sz w:val="24"/>
          <w:szCs w:val="24"/>
        </w:rPr>
        <w:t>(4)</w:t>
      </w:r>
      <w:r>
        <w:rPr>
          <w:sz w:val="24"/>
          <w:szCs w:val="24"/>
        </w:rPr>
        <w:t xml:space="preserve"> </w:t>
      </w:r>
      <w:r w:rsidR="003C1EBC">
        <w:rPr>
          <w:sz w:val="24"/>
          <w:szCs w:val="24"/>
        </w:rPr>
        <w:t xml:space="preserve">requires </w:t>
      </w:r>
      <w:r w:rsidRPr="00391130">
        <w:rPr>
          <w:sz w:val="24"/>
          <w:szCs w:val="24"/>
        </w:rPr>
        <w:t>emissions of CH</w:t>
      </w:r>
      <w:r w:rsidRPr="003C1EBC">
        <w:rPr>
          <w:sz w:val="24"/>
          <w:szCs w:val="24"/>
          <w:vertAlign w:val="subscript"/>
        </w:rPr>
        <w:t>4</w:t>
      </w:r>
      <w:r w:rsidRPr="00391130">
        <w:rPr>
          <w:sz w:val="24"/>
          <w:szCs w:val="24"/>
        </w:rPr>
        <w:t xml:space="preserve"> and N</w:t>
      </w:r>
      <w:r w:rsidRPr="003C1EBC">
        <w:rPr>
          <w:sz w:val="24"/>
          <w:szCs w:val="24"/>
          <w:vertAlign w:val="subscript"/>
        </w:rPr>
        <w:t>2</w:t>
      </w:r>
      <w:r w:rsidRPr="00391130">
        <w:rPr>
          <w:sz w:val="24"/>
          <w:szCs w:val="24"/>
        </w:rPr>
        <w:t xml:space="preserve">O from post-harvest (slash) burns </w:t>
      </w:r>
      <w:r w:rsidR="003C1EBC">
        <w:rPr>
          <w:sz w:val="24"/>
          <w:szCs w:val="24"/>
        </w:rPr>
        <w:t>to</w:t>
      </w:r>
      <w:r w:rsidRPr="00391130">
        <w:rPr>
          <w:sz w:val="24"/>
          <w:szCs w:val="24"/>
        </w:rPr>
        <w:t xml:space="preserve"> be determined using </w:t>
      </w:r>
      <w:proofErr w:type="spellStart"/>
      <w:r w:rsidRPr="00391130">
        <w:rPr>
          <w:sz w:val="24"/>
          <w:szCs w:val="24"/>
        </w:rPr>
        <w:t>FullCAM</w:t>
      </w:r>
      <w:proofErr w:type="spellEnd"/>
      <w:r w:rsidRPr="00391130">
        <w:rPr>
          <w:sz w:val="24"/>
          <w:szCs w:val="24"/>
        </w:rPr>
        <w:t xml:space="preserve"> in accordance with the </w:t>
      </w:r>
      <w:proofErr w:type="spellStart"/>
      <w:r w:rsidRPr="00391130">
        <w:rPr>
          <w:sz w:val="24"/>
          <w:szCs w:val="24"/>
        </w:rPr>
        <w:t>FullCAM</w:t>
      </w:r>
      <w:proofErr w:type="spellEnd"/>
      <w:r w:rsidRPr="00391130">
        <w:rPr>
          <w:sz w:val="24"/>
          <w:szCs w:val="24"/>
        </w:rPr>
        <w:t xml:space="preserve"> Guidelines and the modelling procedures in section 3</w:t>
      </w:r>
      <w:r w:rsidR="009E1C16">
        <w:rPr>
          <w:sz w:val="24"/>
          <w:szCs w:val="24"/>
        </w:rPr>
        <w:t>4</w:t>
      </w:r>
      <w:r w:rsidRPr="00391130">
        <w:rPr>
          <w:sz w:val="24"/>
          <w:szCs w:val="24"/>
        </w:rPr>
        <w:t>.</w:t>
      </w:r>
    </w:p>
    <w:p w14:paraId="0120A606" w14:textId="27983FF7" w:rsidR="00935A4A" w:rsidRPr="00310D38" w:rsidRDefault="00433D96" w:rsidP="00935A4A">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935A4A">
        <w:rPr>
          <w:rFonts w:ascii="Times New Roman" w:hAnsi="Times New Roman" w:cs="Times New Roman"/>
          <w:sz w:val="24"/>
          <w:szCs w:val="24"/>
          <w:u w:val="single"/>
        </w:rPr>
        <w:t>3</w:t>
      </w:r>
      <w:r w:rsidR="00B315FE">
        <w:rPr>
          <w:rFonts w:ascii="Times New Roman" w:hAnsi="Times New Roman" w:cs="Times New Roman"/>
          <w:sz w:val="24"/>
          <w:szCs w:val="24"/>
          <w:u w:val="single"/>
        </w:rPr>
        <w:t>8</w:t>
      </w:r>
      <w:r w:rsidR="00935A4A" w:rsidRPr="00310D38">
        <w:rPr>
          <w:rFonts w:ascii="Times New Roman" w:hAnsi="Times New Roman" w:cs="Times New Roman"/>
          <w:sz w:val="24"/>
          <w:szCs w:val="24"/>
          <w:u w:val="single"/>
        </w:rPr>
        <w:t xml:space="preserve"> – </w:t>
      </w:r>
      <w:r w:rsidR="00B315FE" w:rsidRPr="00B315FE">
        <w:rPr>
          <w:rFonts w:ascii="Times New Roman" w:hAnsi="Times New Roman" w:cs="Times New Roman"/>
          <w:sz w:val="24"/>
          <w:szCs w:val="24"/>
          <w:u w:val="single"/>
        </w:rPr>
        <w:t>Calculating emissions from combustion of fossil fuels in harvesting and haulage operations in project scenario</w:t>
      </w:r>
    </w:p>
    <w:p w14:paraId="41BFCA85" w14:textId="5D1840E1" w:rsidR="00C72341" w:rsidRDefault="00C72341" w:rsidP="00BD7BB4">
      <w:pPr>
        <w:pStyle w:val="subsection"/>
        <w:spacing w:before="120" w:after="120"/>
        <w:ind w:left="0" w:firstLine="0"/>
        <w:rPr>
          <w:sz w:val="24"/>
          <w:szCs w:val="24"/>
        </w:rPr>
      </w:pPr>
      <w:r>
        <w:rPr>
          <w:sz w:val="24"/>
          <w:szCs w:val="24"/>
        </w:rPr>
        <w:t>Subsection 3</w:t>
      </w:r>
      <w:r w:rsidR="00B315FE">
        <w:rPr>
          <w:sz w:val="24"/>
          <w:szCs w:val="24"/>
        </w:rPr>
        <w:t>8</w:t>
      </w:r>
      <w:r>
        <w:rPr>
          <w:sz w:val="24"/>
          <w:szCs w:val="24"/>
        </w:rPr>
        <w:t>(1)</w:t>
      </w:r>
      <w:r w:rsidRPr="00323B60">
        <w:t xml:space="preserve"> </w:t>
      </w:r>
      <w:r w:rsidRPr="00323B60">
        <w:rPr>
          <w:sz w:val="24"/>
          <w:szCs w:val="24"/>
        </w:rPr>
        <w:t xml:space="preserve">contains Equation </w:t>
      </w:r>
      <w:r w:rsidR="000C6A40">
        <w:rPr>
          <w:sz w:val="24"/>
          <w:szCs w:val="24"/>
        </w:rPr>
        <w:t>8</w:t>
      </w:r>
      <w:r w:rsidRPr="00323B60">
        <w:rPr>
          <w:sz w:val="24"/>
          <w:szCs w:val="24"/>
        </w:rPr>
        <w:t xml:space="preserve">, which is used to calculate </w:t>
      </w:r>
      <w:r w:rsidR="001C550E" w:rsidRPr="001C550E">
        <w:rPr>
          <w:sz w:val="24"/>
          <w:szCs w:val="24"/>
        </w:rPr>
        <w:t>CO</w:t>
      </w:r>
      <w:r w:rsidR="001C550E" w:rsidRPr="001C550E">
        <w:rPr>
          <w:sz w:val="24"/>
          <w:szCs w:val="24"/>
          <w:vertAlign w:val="subscript"/>
        </w:rPr>
        <w:t>2</w:t>
      </w:r>
      <w:r w:rsidR="001C550E" w:rsidRPr="001C550E">
        <w:rPr>
          <w:sz w:val="24"/>
          <w:szCs w:val="24"/>
        </w:rPr>
        <w:t>, CH</w:t>
      </w:r>
      <w:r w:rsidR="001C550E" w:rsidRPr="001C550E">
        <w:rPr>
          <w:sz w:val="24"/>
          <w:szCs w:val="24"/>
          <w:vertAlign w:val="subscript"/>
        </w:rPr>
        <w:t>4</w:t>
      </w:r>
      <w:r w:rsidR="001C550E" w:rsidRPr="001C550E">
        <w:rPr>
          <w:sz w:val="24"/>
          <w:szCs w:val="24"/>
        </w:rPr>
        <w:t xml:space="preserve"> and N</w:t>
      </w:r>
      <w:r w:rsidR="001C550E" w:rsidRPr="001C550E">
        <w:rPr>
          <w:sz w:val="24"/>
          <w:szCs w:val="24"/>
          <w:vertAlign w:val="subscript"/>
        </w:rPr>
        <w:t>2</w:t>
      </w:r>
      <w:r w:rsidR="001C550E" w:rsidRPr="001C550E">
        <w:rPr>
          <w:sz w:val="24"/>
          <w:szCs w:val="24"/>
        </w:rPr>
        <w:t xml:space="preserve">O </w:t>
      </w:r>
      <w:r w:rsidR="001C550E">
        <w:rPr>
          <w:sz w:val="24"/>
          <w:szCs w:val="24"/>
        </w:rPr>
        <w:t xml:space="preserve">emissions </w:t>
      </w:r>
      <w:r w:rsidR="001C550E" w:rsidRPr="001C550E">
        <w:rPr>
          <w:sz w:val="24"/>
          <w:szCs w:val="24"/>
        </w:rPr>
        <w:t>(in tonnes CO</w:t>
      </w:r>
      <w:r w:rsidR="001C550E" w:rsidRPr="001C550E">
        <w:rPr>
          <w:sz w:val="24"/>
          <w:szCs w:val="24"/>
          <w:vertAlign w:val="subscript"/>
        </w:rPr>
        <w:t>2</w:t>
      </w:r>
      <w:r w:rsidR="001C550E" w:rsidRPr="001C550E">
        <w:rPr>
          <w:sz w:val="24"/>
          <w:szCs w:val="24"/>
        </w:rPr>
        <w:t>-e) from the combustion of fossil fuels associated with timber harvesting and haulage operations over a reporting period in the project scenario</w:t>
      </w:r>
      <w:r w:rsidR="006E3814">
        <w:rPr>
          <w:sz w:val="24"/>
          <w:szCs w:val="24"/>
        </w:rPr>
        <w:t xml:space="preserve"> (</w:t>
      </w:r>
      <w:r w:rsidR="0069000A">
        <w:rPr>
          <w:sz w:val="24"/>
          <w:szCs w:val="24"/>
        </w:rPr>
        <w:t xml:space="preserve">for the purposes of </w:t>
      </w:r>
      <w:r w:rsidRPr="00323B60">
        <w:rPr>
          <w:sz w:val="24"/>
          <w:szCs w:val="24"/>
        </w:rPr>
        <w:t xml:space="preserve">Equation </w:t>
      </w:r>
      <w:r>
        <w:rPr>
          <w:sz w:val="24"/>
          <w:szCs w:val="24"/>
        </w:rPr>
        <w:t>4</w:t>
      </w:r>
      <w:r w:rsidR="006E3814">
        <w:rPr>
          <w:sz w:val="24"/>
          <w:szCs w:val="24"/>
        </w:rPr>
        <w:t>)</w:t>
      </w:r>
      <w:r w:rsidRPr="00323B60">
        <w:rPr>
          <w:sz w:val="24"/>
          <w:szCs w:val="24"/>
        </w:rPr>
        <w:t>.</w:t>
      </w:r>
      <w:r w:rsidR="000C4068">
        <w:rPr>
          <w:sz w:val="24"/>
          <w:szCs w:val="24"/>
        </w:rPr>
        <w:t xml:space="preserve"> Equation 8 specifies that these emissions are calculated as the sum of </w:t>
      </w:r>
      <w:r w:rsidR="00517E27" w:rsidRPr="001C550E">
        <w:rPr>
          <w:sz w:val="24"/>
          <w:szCs w:val="24"/>
        </w:rPr>
        <w:t>CO</w:t>
      </w:r>
      <w:r w:rsidR="00517E27" w:rsidRPr="001C550E">
        <w:rPr>
          <w:sz w:val="24"/>
          <w:szCs w:val="24"/>
          <w:vertAlign w:val="subscript"/>
        </w:rPr>
        <w:t>2</w:t>
      </w:r>
      <w:r w:rsidR="00517E27" w:rsidRPr="001C550E">
        <w:rPr>
          <w:sz w:val="24"/>
          <w:szCs w:val="24"/>
        </w:rPr>
        <w:t>, CH</w:t>
      </w:r>
      <w:r w:rsidR="00517E27" w:rsidRPr="001C550E">
        <w:rPr>
          <w:sz w:val="24"/>
          <w:szCs w:val="24"/>
          <w:vertAlign w:val="subscript"/>
        </w:rPr>
        <w:t>4</w:t>
      </w:r>
      <w:r w:rsidR="00517E27" w:rsidRPr="001C550E">
        <w:rPr>
          <w:sz w:val="24"/>
          <w:szCs w:val="24"/>
        </w:rPr>
        <w:t xml:space="preserve"> and N</w:t>
      </w:r>
      <w:r w:rsidR="00517E27" w:rsidRPr="001C550E">
        <w:rPr>
          <w:sz w:val="24"/>
          <w:szCs w:val="24"/>
          <w:vertAlign w:val="subscript"/>
        </w:rPr>
        <w:t>2</w:t>
      </w:r>
      <w:r w:rsidR="00517E27" w:rsidRPr="001C550E">
        <w:rPr>
          <w:sz w:val="24"/>
          <w:szCs w:val="24"/>
        </w:rPr>
        <w:t xml:space="preserve">O </w:t>
      </w:r>
      <w:r w:rsidR="00517E27">
        <w:rPr>
          <w:sz w:val="24"/>
          <w:szCs w:val="24"/>
        </w:rPr>
        <w:t xml:space="preserve">emissions </w:t>
      </w:r>
      <w:r w:rsidR="00517E27" w:rsidRPr="001C550E">
        <w:rPr>
          <w:sz w:val="24"/>
          <w:szCs w:val="24"/>
        </w:rPr>
        <w:t>(in tonnes CO</w:t>
      </w:r>
      <w:r w:rsidR="00517E27" w:rsidRPr="001C550E">
        <w:rPr>
          <w:sz w:val="24"/>
          <w:szCs w:val="24"/>
          <w:vertAlign w:val="subscript"/>
        </w:rPr>
        <w:t>2</w:t>
      </w:r>
      <w:r w:rsidR="00517E27" w:rsidRPr="001C550E">
        <w:rPr>
          <w:sz w:val="24"/>
          <w:szCs w:val="24"/>
        </w:rPr>
        <w:t>-e)</w:t>
      </w:r>
      <w:r w:rsidR="005D5195">
        <w:rPr>
          <w:sz w:val="24"/>
          <w:szCs w:val="24"/>
        </w:rPr>
        <w:t xml:space="preserve"> from the combustion of each fuel used for these purposes. </w:t>
      </w:r>
    </w:p>
    <w:p w14:paraId="427718E0" w14:textId="25CF3611" w:rsidR="006E3814" w:rsidRDefault="006E3814" w:rsidP="00BD7BB4">
      <w:pPr>
        <w:pStyle w:val="subsection"/>
        <w:spacing w:before="120" w:after="120"/>
        <w:ind w:left="0" w:firstLine="0"/>
        <w:rPr>
          <w:sz w:val="24"/>
          <w:szCs w:val="24"/>
        </w:rPr>
      </w:pPr>
      <w:r>
        <w:rPr>
          <w:sz w:val="24"/>
          <w:szCs w:val="24"/>
        </w:rPr>
        <w:t>Subsection 3</w:t>
      </w:r>
      <w:r w:rsidR="00B315FE">
        <w:rPr>
          <w:sz w:val="24"/>
          <w:szCs w:val="24"/>
        </w:rPr>
        <w:t>8</w:t>
      </w:r>
      <w:r>
        <w:rPr>
          <w:sz w:val="24"/>
          <w:szCs w:val="24"/>
        </w:rPr>
        <w:t xml:space="preserve">(2) </w:t>
      </w:r>
      <w:r w:rsidR="000834F5">
        <w:rPr>
          <w:sz w:val="24"/>
          <w:szCs w:val="24"/>
        </w:rPr>
        <w:t xml:space="preserve">contains Equation 9, which is used to </w:t>
      </w:r>
      <w:r w:rsidR="000834F5" w:rsidRPr="000834F5">
        <w:rPr>
          <w:sz w:val="24"/>
          <w:szCs w:val="24"/>
        </w:rPr>
        <w:t xml:space="preserve">calculate </w:t>
      </w:r>
      <w:r w:rsidR="00BD7BB4" w:rsidRPr="001C550E">
        <w:rPr>
          <w:sz w:val="24"/>
          <w:szCs w:val="24"/>
        </w:rPr>
        <w:t>CO</w:t>
      </w:r>
      <w:r w:rsidR="00BD7BB4" w:rsidRPr="001C550E">
        <w:rPr>
          <w:sz w:val="24"/>
          <w:szCs w:val="24"/>
          <w:vertAlign w:val="subscript"/>
        </w:rPr>
        <w:t>2</w:t>
      </w:r>
      <w:r w:rsidR="00BD7BB4" w:rsidRPr="001C550E">
        <w:rPr>
          <w:sz w:val="24"/>
          <w:szCs w:val="24"/>
        </w:rPr>
        <w:t>, CH</w:t>
      </w:r>
      <w:r w:rsidR="00BD7BB4" w:rsidRPr="001C550E">
        <w:rPr>
          <w:sz w:val="24"/>
          <w:szCs w:val="24"/>
          <w:vertAlign w:val="subscript"/>
        </w:rPr>
        <w:t>4</w:t>
      </w:r>
      <w:r w:rsidR="00BD7BB4" w:rsidRPr="001C550E">
        <w:rPr>
          <w:sz w:val="24"/>
          <w:szCs w:val="24"/>
        </w:rPr>
        <w:t xml:space="preserve"> and N</w:t>
      </w:r>
      <w:r w:rsidR="00BD7BB4" w:rsidRPr="001C550E">
        <w:rPr>
          <w:sz w:val="24"/>
          <w:szCs w:val="24"/>
          <w:vertAlign w:val="subscript"/>
        </w:rPr>
        <w:t>2</w:t>
      </w:r>
      <w:r w:rsidR="00BD7BB4" w:rsidRPr="001C550E">
        <w:rPr>
          <w:sz w:val="24"/>
          <w:szCs w:val="24"/>
        </w:rPr>
        <w:t xml:space="preserve">O </w:t>
      </w:r>
      <w:r w:rsidR="00BD7BB4">
        <w:rPr>
          <w:sz w:val="24"/>
          <w:szCs w:val="24"/>
        </w:rPr>
        <w:t xml:space="preserve">emissions from the combustion of different fuels </w:t>
      </w:r>
      <w:r w:rsidR="000834F5" w:rsidRPr="000834F5">
        <w:rPr>
          <w:sz w:val="24"/>
          <w:szCs w:val="24"/>
        </w:rPr>
        <w:t>in the reporting period</w:t>
      </w:r>
      <w:r w:rsidR="00BD7BB4">
        <w:rPr>
          <w:sz w:val="24"/>
          <w:szCs w:val="24"/>
        </w:rPr>
        <w:t xml:space="preserve"> (for the purposes of </w:t>
      </w:r>
      <w:r w:rsidR="00BD7BB4" w:rsidRPr="00323B60">
        <w:rPr>
          <w:sz w:val="24"/>
          <w:szCs w:val="24"/>
        </w:rPr>
        <w:t xml:space="preserve">Equation </w:t>
      </w:r>
      <w:r w:rsidR="00BD7BB4">
        <w:rPr>
          <w:sz w:val="24"/>
          <w:szCs w:val="24"/>
        </w:rPr>
        <w:t>8)</w:t>
      </w:r>
      <w:r w:rsidR="00BD7BB4" w:rsidRPr="00323B60">
        <w:rPr>
          <w:sz w:val="24"/>
          <w:szCs w:val="24"/>
        </w:rPr>
        <w:t>.</w:t>
      </w:r>
    </w:p>
    <w:p w14:paraId="079DF9A3" w14:textId="3972E1D6" w:rsidR="00162B6D" w:rsidRPr="00310D38" w:rsidRDefault="00433D96" w:rsidP="00162B6D">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B315FE">
        <w:rPr>
          <w:rFonts w:ascii="Times New Roman" w:hAnsi="Times New Roman" w:cs="Times New Roman"/>
          <w:sz w:val="24"/>
          <w:szCs w:val="24"/>
          <w:u w:val="single"/>
        </w:rPr>
        <w:t>39</w:t>
      </w:r>
      <w:r w:rsidR="00162B6D" w:rsidRPr="00310D38">
        <w:rPr>
          <w:rFonts w:ascii="Times New Roman" w:hAnsi="Times New Roman" w:cs="Times New Roman"/>
          <w:sz w:val="24"/>
          <w:szCs w:val="24"/>
          <w:u w:val="single"/>
        </w:rPr>
        <w:t xml:space="preserve"> – </w:t>
      </w:r>
      <w:r w:rsidR="009F0381" w:rsidRPr="009F0381">
        <w:rPr>
          <w:rFonts w:ascii="Times New Roman" w:hAnsi="Times New Roman" w:cs="Times New Roman"/>
          <w:sz w:val="24"/>
          <w:szCs w:val="24"/>
          <w:u w:val="single"/>
        </w:rPr>
        <w:t xml:space="preserve">Calculating emissions from combustion of fossil fuels </w:t>
      </w:r>
      <w:r w:rsidR="004C4070" w:rsidRPr="004C4070">
        <w:rPr>
          <w:rFonts w:ascii="Times New Roman" w:hAnsi="Times New Roman" w:cs="Times New Roman"/>
          <w:sz w:val="24"/>
          <w:szCs w:val="24"/>
          <w:u w:val="single"/>
        </w:rPr>
        <w:t xml:space="preserve">in harvesting and haulage operations </w:t>
      </w:r>
      <w:r w:rsidR="009F0381" w:rsidRPr="009F0381">
        <w:rPr>
          <w:rFonts w:ascii="Times New Roman" w:hAnsi="Times New Roman" w:cs="Times New Roman"/>
          <w:sz w:val="24"/>
          <w:szCs w:val="24"/>
          <w:u w:val="single"/>
        </w:rPr>
        <w:t>in baseline scenario</w:t>
      </w:r>
    </w:p>
    <w:p w14:paraId="5C430D0E" w14:textId="77777777" w:rsidR="00050B65" w:rsidRDefault="009F0381" w:rsidP="009F0381">
      <w:pPr>
        <w:pStyle w:val="subsection"/>
        <w:spacing w:before="120" w:after="120"/>
        <w:ind w:left="0" w:firstLine="0"/>
        <w:rPr>
          <w:sz w:val="24"/>
          <w:szCs w:val="24"/>
        </w:rPr>
      </w:pPr>
      <w:r>
        <w:rPr>
          <w:sz w:val="24"/>
          <w:szCs w:val="24"/>
        </w:rPr>
        <w:t xml:space="preserve">Section </w:t>
      </w:r>
      <w:r w:rsidR="00B315FE">
        <w:rPr>
          <w:sz w:val="24"/>
          <w:szCs w:val="24"/>
        </w:rPr>
        <w:t>39</w:t>
      </w:r>
      <w:r w:rsidR="00960DA6">
        <w:rPr>
          <w:sz w:val="24"/>
          <w:szCs w:val="24"/>
        </w:rPr>
        <w:t xml:space="preserve"> </w:t>
      </w:r>
      <w:r w:rsidRPr="00323B60">
        <w:rPr>
          <w:sz w:val="24"/>
          <w:szCs w:val="24"/>
        </w:rPr>
        <w:t>contains Equation</w:t>
      </w:r>
      <w:r w:rsidR="000C67F6">
        <w:rPr>
          <w:sz w:val="24"/>
          <w:szCs w:val="24"/>
        </w:rPr>
        <w:t>s</w:t>
      </w:r>
      <w:r w:rsidRPr="00323B60">
        <w:rPr>
          <w:sz w:val="24"/>
          <w:szCs w:val="24"/>
        </w:rPr>
        <w:t xml:space="preserve"> </w:t>
      </w:r>
      <w:r w:rsidR="004E3D10">
        <w:rPr>
          <w:sz w:val="24"/>
          <w:szCs w:val="24"/>
        </w:rPr>
        <w:t>10</w:t>
      </w:r>
      <w:r w:rsidR="000C67F6">
        <w:rPr>
          <w:sz w:val="24"/>
          <w:szCs w:val="24"/>
        </w:rPr>
        <w:t xml:space="preserve"> and 11</w:t>
      </w:r>
      <w:r w:rsidRPr="00323B60">
        <w:rPr>
          <w:sz w:val="24"/>
          <w:szCs w:val="24"/>
        </w:rPr>
        <w:t xml:space="preserve">, which </w:t>
      </w:r>
      <w:r w:rsidR="000C67F6">
        <w:rPr>
          <w:sz w:val="24"/>
          <w:szCs w:val="24"/>
        </w:rPr>
        <w:t>are</w:t>
      </w:r>
      <w:r w:rsidRPr="00323B60">
        <w:rPr>
          <w:sz w:val="24"/>
          <w:szCs w:val="24"/>
        </w:rPr>
        <w:t xml:space="preserve"> used to calculate </w:t>
      </w:r>
      <w:r w:rsidRPr="001C550E">
        <w:rPr>
          <w:sz w:val="24"/>
          <w:szCs w:val="24"/>
        </w:rPr>
        <w:t>CO</w:t>
      </w:r>
      <w:r w:rsidRPr="001C550E">
        <w:rPr>
          <w:sz w:val="24"/>
          <w:szCs w:val="24"/>
          <w:vertAlign w:val="subscript"/>
        </w:rPr>
        <w:t>2</w:t>
      </w:r>
      <w:r w:rsidRPr="001C550E">
        <w:rPr>
          <w:sz w:val="24"/>
          <w:szCs w:val="24"/>
        </w:rPr>
        <w:t>, CH</w:t>
      </w:r>
      <w:r w:rsidRPr="001C550E">
        <w:rPr>
          <w:sz w:val="24"/>
          <w:szCs w:val="24"/>
          <w:vertAlign w:val="subscript"/>
        </w:rPr>
        <w:t>4</w:t>
      </w:r>
      <w:r w:rsidRPr="001C550E">
        <w:rPr>
          <w:sz w:val="24"/>
          <w:szCs w:val="24"/>
        </w:rPr>
        <w:t xml:space="preserve"> and N</w:t>
      </w:r>
      <w:r w:rsidRPr="001C550E">
        <w:rPr>
          <w:sz w:val="24"/>
          <w:szCs w:val="24"/>
          <w:vertAlign w:val="subscript"/>
        </w:rPr>
        <w:t>2</w:t>
      </w:r>
      <w:r w:rsidRPr="001C550E">
        <w:rPr>
          <w:sz w:val="24"/>
          <w:szCs w:val="24"/>
        </w:rPr>
        <w:t xml:space="preserve">O </w:t>
      </w:r>
      <w:r>
        <w:rPr>
          <w:sz w:val="24"/>
          <w:szCs w:val="24"/>
        </w:rPr>
        <w:t xml:space="preserve">emissions </w:t>
      </w:r>
      <w:r w:rsidRPr="001C550E">
        <w:rPr>
          <w:sz w:val="24"/>
          <w:szCs w:val="24"/>
        </w:rPr>
        <w:t>(in tonnes CO</w:t>
      </w:r>
      <w:r w:rsidRPr="001C550E">
        <w:rPr>
          <w:sz w:val="24"/>
          <w:szCs w:val="24"/>
          <w:vertAlign w:val="subscript"/>
        </w:rPr>
        <w:t>2</w:t>
      </w:r>
      <w:r w:rsidRPr="001C550E">
        <w:rPr>
          <w:sz w:val="24"/>
          <w:szCs w:val="24"/>
        </w:rPr>
        <w:t xml:space="preserve">-e) from the combustion of fossil fuels associated with timber harvesting and haulage operations over a reporting period in the </w:t>
      </w:r>
      <w:r w:rsidR="004E3D10">
        <w:rPr>
          <w:sz w:val="24"/>
          <w:szCs w:val="24"/>
        </w:rPr>
        <w:t>baseline</w:t>
      </w:r>
      <w:r w:rsidRPr="001C550E">
        <w:rPr>
          <w:sz w:val="24"/>
          <w:szCs w:val="24"/>
        </w:rPr>
        <w:t xml:space="preserve"> scenario</w:t>
      </w:r>
      <w:r>
        <w:rPr>
          <w:sz w:val="24"/>
          <w:szCs w:val="24"/>
        </w:rPr>
        <w:t xml:space="preserve"> (for the purposes of </w:t>
      </w:r>
      <w:r w:rsidRPr="00323B60">
        <w:rPr>
          <w:sz w:val="24"/>
          <w:szCs w:val="24"/>
        </w:rPr>
        <w:t xml:space="preserve">Equation </w:t>
      </w:r>
      <w:r>
        <w:rPr>
          <w:sz w:val="24"/>
          <w:szCs w:val="24"/>
        </w:rPr>
        <w:t>4)</w:t>
      </w:r>
      <w:r w:rsidRPr="00323B60">
        <w:rPr>
          <w:sz w:val="24"/>
          <w:szCs w:val="24"/>
        </w:rPr>
        <w:t>.</w:t>
      </w:r>
      <w:r w:rsidR="0085000C">
        <w:rPr>
          <w:sz w:val="24"/>
          <w:szCs w:val="24"/>
        </w:rPr>
        <w:t xml:space="preserve"> </w:t>
      </w:r>
    </w:p>
    <w:p w14:paraId="4E7FD238" w14:textId="0A6CBB3E" w:rsidR="009F0381" w:rsidRDefault="007E58F1" w:rsidP="009F0381">
      <w:pPr>
        <w:pStyle w:val="subsection"/>
        <w:spacing w:before="120" w:after="120"/>
        <w:ind w:left="0" w:firstLine="0"/>
        <w:rPr>
          <w:sz w:val="24"/>
          <w:szCs w:val="24"/>
        </w:rPr>
      </w:pPr>
      <w:r w:rsidRPr="007E58F1">
        <w:rPr>
          <w:sz w:val="24"/>
          <w:szCs w:val="24"/>
        </w:rPr>
        <w:tab/>
        <w:t xml:space="preserve">If the logs harvested in the project area in </w:t>
      </w:r>
      <w:r>
        <w:rPr>
          <w:sz w:val="24"/>
          <w:szCs w:val="24"/>
        </w:rPr>
        <w:t xml:space="preserve">the </w:t>
      </w:r>
      <w:r w:rsidRPr="007E58F1">
        <w:rPr>
          <w:sz w:val="24"/>
          <w:szCs w:val="24"/>
        </w:rPr>
        <w:t>reporting period</w:t>
      </w:r>
      <w:r>
        <w:rPr>
          <w:sz w:val="24"/>
          <w:szCs w:val="24"/>
        </w:rPr>
        <w:t xml:space="preserve"> </w:t>
      </w:r>
      <w:r w:rsidRPr="007E58F1">
        <w:rPr>
          <w:sz w:val="24"/>
          <w:szCs w:val="24"/>
        </w:rPr>
        <w:t>are greater than zero,</w:t>
      </w:r>
      <w:r w:rsidR="00E31E04">
        <w:rPr>
          <w:sz w:val="24"/>
          <w:szCs w:val="24"/>
        </w:rPr>
        <w:t xml:space="preserve"> </w:t>
      </w:r>
      <w:r w:rsidR="00E31E04" w:rsidRPr="00323B60">
        <w:rPr>
          <w:sz w:val="24"/>
          <w:szCs w:val="24"/>
        </w:rPr>
        <w:t xml:space="preserve">Equation </w:t>
      </w:r>
      <w:r w:rsidR="00E31E04">
        <w:rPr>
          <w:sz w:val="24"/>
          <w:szCs w:val="24"/>
        </w:rPr>
        <w:t>10 must be used to calculate these emissions</w:t>
      </w:r>
      <w:r w:rsidR="00996FD4">
        <w:rPr>
          <w:sz w:val="24"/>
          <w:szCs w:val="24"/>
        </w:rPr>
        <w:t xml:space="preserve"> (subsection 39(1))</w:t>
      </w:r>
      <w:r w:rsidR="00E31E04">
        <w:rPr>
          <w:sz w:val="24"/>
          <w:szCs w:val="24"/>
        </w:rPr>
        <w:t xml:space="preserve">. </w:t>
      </w:r>
      <w:r w:rsidR="00363019">
        <w:rPr>
          <w:sz w:val="24"/>
          <w:szCs w:val="24"/>
        </w:rPr>
        <w:t xml:space="preserve">Under </w:t>
      </w:r>
      <w:r w:rsidR="00E31E04">
        <w:rPr>
          <w:sz w:val="24"/>
          <w:szCs w:val="24"/>
        </w:rPr>
        <w:t xml:space="preserve">this equation, </w:t>
      </w:r>
      <w:r w:rsidR="00363019">
        <w:rPr>
          <w:sz w:val="24"/>
          <w:szCs w:val="24"/>
        </w:rPr>
        <w:t xml:space="preserve">the </w:t>
      </w:r>
      <w:r w:rsidR="0085000C">
        <w:rPr>
          <w:sz w:val="24"/>
          <w:szCs w:val="24"/>
        </w:rPr>
        <w:t xml:space="preserve">emissions are calculated </w:t>
      </w:r>
      <w:r w:rsidR="005438DB">
        <w:rPr>
          <w:sz w:val="24"/>
          <w:szCs w:val="24"/>
        </w:rPr>
        <w:t>using</w:t>
      </w:r>
      <w:r w:rsidR="0085000C">
        <w:rPr>
          <w:sz w:val="24"/>
          <w:szCs w:val="24"/>
        </w:rPr>
        <w:t xml:space="preserve"> the emissions intensity of </w:t>
      </w:r>
      <w:r w:rsidR="008E6763" w:rsidRPr="008E6763">
        <w:rPr>
          <w:sz w:val="24"/>
          <w:szCs w:val="24"/>
        </w:rPr>
        <w:t xml:space="preserve">harvesting and haulage operations </w:t>
      </w:r>
      <w:r w:rsidR="005438DB">
        <w:rPr>
          <w:sz w:val="24"/>
          <w:szCs w:val="24"/>
        </w:rPr>
        <w:t>in the reporting period (</w:t>
      </w:r>
      <w:r w:rsidR="00475093">
        <w:rPr>
          <w:sz w:val="24"/>
          <w:szCs w:val="24"/>
        </w:rPr>
        <w:t xml:space="preserve">emissions from the </w:t>
      </w:r>
      <w:r w:rsidR="00475093" w:rsidRPr="00475093">
        <w:rPr>
          <w:sz w:val="24"/>
          <w:szCs w:val="24"/>
        </w:rPr>
        <w:t>combustion of fossil fuels associated with timber harvesting and haulage operations</w:t>
      </w:r>
      <w:r w:rsidR="00475093">
        <w:rPr>
          <w:sz w:val="24"/>
          <w:szCs w:val="24"/>
        </w:rPr>
        <w:t xml:space="preserve"> divided by the logs harvested</w:t>
      </w:r>
      <w:r w:rsidR="00D2794B">
        <w:rPr>
          <w:sz w:val="24"/>
          <w:szCs w:val="24"/>
        </w:rPr>
        <w:t xml:space="preserve">, </w:t>
      </w:r>
      <w:r w:rsidR="00D06757">
        <w:rPr>
          <w:sz w:val="24"/>
          <w:szCs w:val="24"/>
        </w:rPr>
        <w:t>in cubic metres, m</w:t>
      </w:r>
      <w:r w:rsidR="00D06757" w:rsidRPr="00D2794B">
        <w:rPr>
          <w:sz w:val="24"/>
          <w:szCs w:val="24"/>
          <w:vertAlign w:val="superscript"/>
        </w:rPr>
        <w:t>3</w:t>
      </w:r>
      <w:r w:rsidR="00D2794B">
        <w:rPr>
          <w:sz w:val="24"/>
          <w:szCs w:val="24"/>
        </w:rPr>
        <w:t>)</w:t>
      </w:r>
      <w:r w:rsidR="00D06757">
        <w:rPr>
          <w:sz w:val="24"/>
          <w:szCs w:val="24"/>
        </w:rPr>
        <w:t>.</w:t>
      </w:r>
      <w:r w:rsidR="00030B5E">
        <w:rPr>
          <w:sz w:val="24"/>
          <w:szCs w:val="24"/>
        </w:rPr>
        <w:t xml:space="preserve"> The emissions intensity of </w:t>
      </w:r>
      <w:r w:rsidR="00030B5E" w:rsidRPr="008E6763">
        <w:rPr>
          <w:sz w:val="24"/>
          <w:szCs w:val="24"/>
        </w:rPr>
        <w:t xml:space="preserve">harvesting and haulage operations </w:t>
      </w:r>
      <w:r w:rsidR="00030B5E">
        <w:rPr>
          <w:sz w:val="24"/>
          <w:szCs w:val="24"/>
        </w:rPr>
        <w:t xml:space="preserve">in the reporting period </w:t>
      </w:r>
      <w:r w:rsidR="00640381">
        <w:rPr>
          <w:sz w:val="24"/>
          <w:szCs w:val="24"/>
        </w:rPr>
        <w:t xml:space="preserve">is multiped by the </w:t>
      </w:r>
      <w:r w:rsidR="00030B5E" w:rsidRPr="00030B5E">
        <w:rPr>
          <w:sz w:val="24"/>
          <w:szCs w:val="24"/>
        </w:rPr>
        <w:t>baseline harvest level (in cubic metres, m</w:t>
      </w:r>
      <w:r w:rsidR="00030B5E" w:rsidRPr="00640381">
        <w:rPr>
          <w:sz w:val="24"/>
          <w:szCs w:val="24"/>
          <w:vertAlign w:val="superscript"/>
        </w:rPr>
        <w:t>3</w:t>
      </w:r>
      <w:r w:rsidR="00030B5E" w:rsidRPr="00030B5E">
        <w:rPr>
          <w:sz w:val="24"/>
          <w:szCs w:val="24"/>
        </w:rPr>
        <w:t xml:space="preserve">) in </w:t>
      </w:r>
      <w:r w:rsidR="00640381">
        <w:rPr>
          <w:sz w:val="24"/>
          <w:szCs w:val="24"/>
        </w:rPr>
        <w:t xml:space="preserve">the </w:t>
      </w:r>
      <w:r w:rsidR="00030B5E" w:rsidRPr="00030B5E">
        <w:rPr>
          <w:sz w:val="24"/>
          <w:szCs w:val="24"/>
        </w:rPr>
        <w:t xml:space="preserve">reporting period, </w:t>
      </w:r>
      <w:r w:rsidR="00640381">
        <w:rPr>
          <w:sz w:val="24"/>
          <w:szCs w:val="24"/>
        </w:rPr>
        <w:t xml:space="preserve">as </w:t>
      </w:r>
      <w:r w:rsidR="00030B5E" w:rsidRPr="00030B5E">
        <w:rPr>
          <w:sz w:val="24"/>
          <w:szCs w:val="24"/>
        </w:rPr>
        <w:t xml:space="preserve">calculated </w:t>
      </w:r>
      <w:r w:rsidR="00640381">
        <w:rPr>
          <w:sz w:val="24"/>
          <w:szCs w:val="24"/>
        </w:rPr>
        <w:t>under</w:t>
      </w:r>
      <w:r w:rsidR="00030B5E" w:rsidRPr="00030B5E">
        <w:rPr>
          <w:sz w:val="24"/>
          <w:szCs w:val="24"/>
        </w:rPr>
        <w:t xml:space="preserve"> Division 5.</w:t>
      </w:r>
      <w:r w:rsidR="0040065E">
        <w:rPr>
          <w:sz w:val="24"/>
          <w:szCs w:val="24"/>
        </w:rPr>
        <w:t>4</w:t>
      </w:r>
      <w:r w:rsidR="00640381">
        <w:rPr>
          <w:sz w:val="24"/>
          <w:szCs w:val="24"/>
        </w:rPr>
        <w:t xml:space="preserve"> (section 2</w:t>
      </w:r>
      <w:r w:rsidR="00B315FE">
        <w:rPr>
          <w:sz w:val="24"/>
          <w:szCs w:val="24"/>
        </w:rPr>
        <w:t>8</w:t>
      </w:r>
      <w:r w:rsidR="00640381">
        <w:rPr>
          <w:sz w:val="24"/>
          <w:szCs w:val="24"/>
        </w:rPr>
        <w:t>).</w:t>
      </w:r>
      <w:r w:rsidR="00960DA6">
        <w:rPr>
          <w:sz w:val="24"/>
          <w:szCs w:val="24"/>
        </w:rPr>
        <w:t xml:space="preserve"> Th</w:t>
      </w:r>
      <w:r w:rsidR="002F1740">
        <w:rPr>
          <w:sz w:val="24"/>
          <w:szCs w:val="24"/>
        </w:rPr>
        <w:t xml:space="preserve">is </w:t>
      </w:r>
      <w:r w:rsidR="00960DA6">
        <w:rPr>
          <w:sz w:val="24"/>
          <w:szCs w:val="24"/>
        </w:rPr>
        <w:t xml:space="preserve">approach ensures </w:t>
      </w:r>
      <w:r w:rsidR="002F1740">
        <w:rPr>
          <w:sz w:val="24"/>
          <w:szCs w:val="24"/>
        </w:rPr>
        <w:t xml:space="preserve">projects are not credited for improvements in the emissions intensity of </w:t>
      </w:r>
      <w:r w:rsidR="002F1740" w:rsidRPr="008E6763">
        <w:rPr>
          <w:sz w:val="24"/>
          <w:szCs w:val="24"/>
        </w:rPr>
        <w:t>harvesting and haulage operations</w:t>
      </w:r>
      <w:r w:rsidR="002F1740">
        <w:rPr>
          <w:sz w:val="24"/>
          <w:szCs w:val="24"/>
        </w:rPr>
        <w:t xml:space="preserve">, based on the </w:t>
      </w:r>
      <w:r w:rsidR="00876308">
        <w:rPr>
          <w:sz w:val="24"/>
          <w:szCs w:val="24"/>
        </w:rPr>
        <w:t xml:space="preserve">conservative </w:t>
      </w:r>
      <w:r w:rsidR="002F1740">
        <w:rPr>
          <w:sz w:val="24"/>
          <w:szCs w:val="24"/>
        </w:rPr>
        <w:t>assumption that these improvements</w:t>
      </w:r>
      <w:r w:rsidR="00876308">
        <w:rPr>
          <w:sz w:val="24"/>
          <w:szCs w:val="24"/>
        </w:rPr>
        <w:t xml:space="preserve"> would have occurred in the absence of the INFM project.</w:t>
      </w:r>
    </w:p>
    <w:p w14:paraId="7B5FCC65" w14:textId="7FDA1013" w:rsidR="00363019" w:rsidRDefault="00996FD4" w:rsidP="009F0381">
      <w:pPr>
        <w:pStyle w:val="subsection"/>
        <w:spacing w:before="120" w:after="120"/>
        <w:ind w:left="0" w:firstLine="0"/>
        <w:rPr>
          <w:sz w:val="24"/>
          <w:szCs w:val="24"/>
        </w:rPr>
      </w:pPr>
      <w:r w:rsidRPr="007E58F1">
        <w:rPr>
          <w:sz w:val="24"/>
          <w:szCs w:val="24"/>
        </w:rPr>
        <w:t xml:space="preserve">If </w:t>
      </w:r>
      <w:r>
        <w:rPr>
          <w:sz w:val="24"/>
          <w:szCs w:val="24"/>
        </w:rPr>
        <w:t xml:space="preserve">no </w:t>
      </w:r>
      <w:r w:rsidRPr="007E58F1">
        <w:rPr>
          <w:sz w:val="24"/>
          <w:szCs w:val="24"/>
        </w:rPr>
        <w:t xml:space="preserve">logs </w:t>
      </w:r>
      <w:r>
        <w:rPr>
          <w:sz w:val="24"/>
          <w:szCs w:val="24"/>
        </w:rPr>
        <w:t xml:space="preserve">are </w:t>
      </w:r>
      <w:r w:rsidRPr="007E58F1">
        <w:rPr>
          <w:sz w:val="24"/>
          <w:szCs w:val="24"/>
        </w:rPr>
        <w:t xml:space="preserve">harvested in the project area in </w:t>
      </w:r>
      <w:r>
        <w:rPr>
          <w:sz w:val="24"/>
          <w:szCs w:val="24"/>
        </w:rPr>
        <w:t xml:space="preserve">the </w:t>
      </w:r>
      <w:r w:rsidRPr="007E58F1">
        <w:rPr>
          <w:sz w:val="24"/>
          <w:szCs w:val="24"/>
        </w:rPr>
        <w:t>reporting period,</w:t>
      </w:r>
      <w:r>
        <w:rPr>
          <w:sz w:val="24"/>
          <w:szCs w:val="24"/>
        </w:rPr>
        <w:t xml:space="preserve"> </w:t>
      </w:r>
      <w:r w:rsidRPr="00323B60">
        <w:rPr>
          <w:sz w:val="24"/>
          <w:szCs w:val="24"/>
        </w:rPr>
        <w:t xml:space="preserve">Equation </w:t>
      </w:r>
      <w:r>
        <w:rPr>
          <w:sz w:val="24"/>
          <w:szCs w:val="24"/>
        </w:rPr>
        <w:t xml:space="preserve">11 must be used to calculate these emissions (subsection 39(2)). Under this equation, the emissions are calculated using the emissions intensity of </w:t>
      </w:r>
      <w:r w:rsidRPr="008E6763">
        <w:rPr>
          <w:sz w:val="24"/>
          <w:szCs w:val="24"/>
        </w:rPr>
        <w:t xml:space="preserve">harvesting and haulage operations </w:t>
      </w:r>
      <w:r>
        <w:rPr>
          <w:sz w:val="24"/>
          <w:szCs w:val="24"/>
        </w:rPr>
        <w:t xml:space="preserve">in the </w:t>
      </w:r>
      <w:r w:rsidR="000C0E4E">
        <w:rPr>
          <w:sz w:val="24"/>
          <w:szCs w:val="24"/>
        </w:rPr>
        <w:t xml:space="preserve">prior </w:t>
      </w:r>
      <w:r>
        <w:rPr>
          <w:sz w:val="24"/>
          <w:szCs w:val="24"/>
        </w:rPr>
        <w:t>period (</w:t>
      </w:r>
      <w:r w:rsidR="00A63C2D" w:rsidRPr="00A63C2D">
        <w:rPr>
          <w:sz w:val="24"/>
          <w:szCs w:val="24"/>
        </w:rPr>
        <w:t>the 5-year period prior to the end of the last financial year prior to the making of the application for the declaration of the project as an eligible offsets project</w:t>
      </w:r>
      <w:r w:rsidR="00A63C2D">
        <w:rPr>
          <w:sz w:val="24"/>
          <w:szCs w:val="24"/>
        </w:rPr>
        <w:t xml:space="preserve"> (</w:t>
      </w:r>
      <w:r w:rsidR="00C52732">
        <w:rPr>
          <w:sz w:val="24"/>
          <w:szCs w:val="24"/>
        </w:rPr>
        <w:t>see subsection 27(1)</w:t>
      </w:r>
      <w:r>
        <w:rPr>
          <w:sz w:val="24"/>
          <w:szCs w:val="24"/>
        </w:rPr>
        <w:t xml:space="preserve">). The emissions intensity of </w:t>
      </w:r>
      <w:r w:rsidRPr="008E6763">
        <w:rPr>
          <w:sz w:val="24"/>
          <w:szCs w:val="24"/>
        </w:rPr>
        <w:t xml:space="preserve">harvesting and haulage operations </w:t>
      </w:r>
      <w:r>
        <w:rPr>
          <w:sz w:val="24"/>
          <w:szCs w:val="24"/>
        </w:rPr>
        <w:t xml:space="preserve">in the </w:t>
      </w:r>
      <w:r w:rsidR="00C52732">
        <w:rPr>
          <w:sz w:val="24"/>
          <w:szCs w:val="24"/>
        </w:rPr>
        <w:t>prior</w:t>
      </w:r>
      <w:r>
        <w:rPr>
          <w:sz w:val="24"/>
          <w:szCs w:val="24"/>
        </w:rPr>
        <w:t xml:space="preserve"> period is </w:t>
      </w:r>
      <w:r w:rsidR="00E22EE8">
        <w:rPr>
          <w:sz w:val="24"/>
          <w:szCs w:val="24"/>
        </w:rPr>
        <w:t>adjusted</w:t>
      </w:r>
      <w:r w:rsidR="009F2FBA">
        <w:rPr>
          <w:sz w:val="24"/>
          <w:szCs w:val="24"/>
        </w:rPr>
        <w:t xml:space="preserve"> </w:t>
      </w:r>
      <w:r w:rsidR="00E22EE8">
        <w:rPr>
          <w:sz w:val="24"/>
          <w:szCs w:val="24"/>
        </w:rPr>
        <w:t xml:space="preserve">by multiplying it by 0.9 to </w:t>
      </w:r>
      <w:r w:rsidR="00907CEE">
        <w:rPr>
          <w:sz w:val="24"/>
          <w:szCs w:val="24"/>
        </w:rPr>
        <w:t xml:space="preserve">ensure conservativism (i.e. reducing </w:t>
      </w:r>
      <w:r w:rsidR="002F33EF">
        <w:rPr>
          <w:sz w:val="24"/>
          <w:szCs w:val="24"/>
        </w:rPr>
        <w:t xml:space="preserve">fossil fuel emissions in the baseline to account for reductions in emissions intensity </w:t>
      </w:r>
      <w:r w:rsidR="002B5172">
        <w:rPr>
          <w:sz w:val="24"/>
          <w:szCs w:val="24"/>
        </w:rPr>
        <w:t xml:space="preserve">of </w:t>
      </w:r>
      <w:r w:rsidR="002B5172" w:rsidRPr="008E6763">
        <w:rPr>
          <w:sz w:val="24"/>
          <w:szCs w:val="24"/>
        </w:rPr>
        <w:t xml:space="preserve">harvesting and haulage operations </w:t>
      </w:r>
      <w:r w:rsidR="002F33EF">
        <w:rPr>
          <w:sz w:val="24"/>
          <w:szCs w:val="24"/>
        </w:rPr>
        <w:t xml:space="preserve">that </w:t>
      </w:r>
      <w:r w:rsidR="004A6A5C">
        <w:rPr>
          <w:sz w:val="24"/>
          <w:szCs w:val="24"/>
        </w:rPr>
        <w:t>are likely to have occurred if harvesting continued</w:t>
      </w:r>
      <w:r w:rsidR="002F33EF">
        <w:rPr>
          <w:sz w:val="24"/>
          <w:szCs w:val="24"/>
        </w:rPr>
        <w:t xml:space="preserve">). </w:t>
      </w:r>
      <w:r w:rsidR="002B5172">
        <w:rPr>
          <w:sz w:val="24"/>
          <w:szCs w:val="24"/>
        </w:rPr>
        <w:t xml:space="preserve">The adjusted </w:t>
      </w:r>
      <w:r w:rsidR="00266B91">
        <w:rPr>
          <w:sz w:val="24"/>
          <w:szCs w:val="24"/>
        </w:rPr>
        <w:t>emission intensity factor from the prior period is than</w:t>
      </w:r>
      <w:r w:rsidR="00E22EE8">
        <w:rPr>
          <w:sz w:val="24"/>
          <w:szCs w:val="24"/>
        </w:rPr>
        <w:t xml:space="preserve"> </w:t>
      </w:r>
      <w:r>
        <w:rPr>
          <w:sz w:val="24"/>
          <w:szCs w:val="24"/>
        </w:rPr>
        <w:t xml:space="preserve">multiped by the </w:t>
      </w:r>
      <w:r w:rsidRPr="00030B5E">
        <w:rPr>
          <w:sz w:val="24"/>
          <w:szCs w:val="24"/>
        </w:rPr>
        <w:t>baseline harvest level (in cubic metres, m</w:t>
      </w:r>
      <w:r w:rsidRPr="00640381">
        <w:rPr>
          <w:sz w:val="24"/>
          <w:szCs w:val="24"/>
          <w:vertAlign w:val="superscript"/>
        </w:rPr>
        <w:t>3</w:t>
      </w:r>
      <w:r w:rsidRPr="00030B5E">
        <w:rPr>
          <w:sz w:val="24"/>
          <w:szCs w:val="24"/>
        </w:rPr>
        <w:t xml:space="preserve">) in </w:t>
      </w:r>
      <w:r>
        <w:rPr>
          <w:sz w:val="24"/>
          <w:szCs w:val="24"/>
        </w:rPr>
        <w:t xml:space="preserve">the </w:t>
      </w:r>
      <w:r w:rsidRPr="00030B5E">
        <w:rPr>
          <w:sz w:val="24"/>
          <w:szCs w:val="24"/>
        </w:rPr>
        <w:t xml:space="preserve">reporting period, </w:t>
      </w:r>
      <w:r>
        <w:rPr>
          <w:sz w:val="24"/>
          <w:szCs w:val="24"/>
        </w:rPr>
        <w:t xml:space="preserve">as </w:t>
      </w:r>
      <w:r w:rsidRPr="00030B5E">
        <w:rPr>
          <w:sz w:val="24"/>
          <w:szCs w:val="24"/>
        </w:rPr>
        <w:t xml:space="preserve">calculated </w:t>
      </w:r>
      <w:r>
        <w:rPr>
          <w:sz w:val="24"/>
          <w:szCs w:val="24"/>
        </w:rPr>
        <w:t>under</w:t>
      </w:r>
      <w:r w:rsidRPr="00030B5E">
        <w:rPr>
          <w:sz w:val="24"/>
          <w:szCs w:val="24"/>
        </w:rPr>
        <w:t xml:space="preserve"> Division 5.</w:t>
      </w:r>
      <w:r>
        <w:rPr>
          <w:sz w:val="24"/>
          <w:szCs w:val="24"/>
        </w:rPr>
        <w:t>4 (section 28).</w:t>
      </w:r>
    </w:p>
    <w:p w14:paraId="1A782DCD" w14:textId="77777777" w:rsidR="00266B91" w:rsidRDefault="00266B91">
      <w:pPr>
        <w:rPr>
          <w:rFonts w:ascii="Times New Roman" w:hAnsi="Times New Roman" w:cs="Times New Roman"/>
          <w:b/>
          <w:bCs/>
          <w:sz w:val="24"/>
          <w:szCs w:val="24"/>
        </w:rPr>
      </w:pPr>
      <w:r>
        <w:rPr>
          <w:rFonts w:ascii="Times New Roman" w:hAnsi="Times New Roman" w:cs="Times New Roman"/>
          <w:b/>
          <w:bCs/>
          <w:sz w:val="24"/>
          <w:szCs w:val="24"/>
        </w:rPr>
        <w:br w:type="page"/>
      </w:r>
    </w:p>
    <w:p w14:paraId="1EA1F5F9" w14:textId="6BA7ABD6" w:rsidR="005434E5" w:rsidRDefault="005434E5" w:rsidP="005434E5">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lastRenderedPageBreak/>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7</w:t>
      </w:r>
      <w:r w:rsidRPr="00A656D9">
        <w:rPr>
          <w:rFonts w:ascii="Times New Roman" w:hAnsi="Times New Roman" w:cs="Times New Roman"/>
          <w:b/>
          <w:bCs/>
          <w:sz w:val="24"/>
          <w:szCs w:val="24"/>
        </w:rPr>
        <w:t>—</w:t>
      </w:r>
      <w:r w:rsidR="002F00E3" w:rsidRPr="002F00E3">
        <w:rPr>
          <w:rFonts w:ascii="Times New Roman" w:hAnsi="Times New Roman" w:cs="Times New Roman"/>
          <w:b/>
          <w:bCs/>
          <w:sz w:val="24"/>
          <w:szCs w:val="24"/>
        </w:rPr>
        <w:t>Leakage deductions</w:t>
      </w:r>
    </w:p>
    <w:p w14:paraId="538F0CDE" w14:textId="185063A6" w:rsidR="00126705" w:rsidRDefault="00B14288" w:rsidP="009F0381">
      <w:pPr>
        <w:pStyle w:val="subsection"/>
        <w:spacing w:before="120" w:after="120"/>
        <w:ind w:left="0" w:firstLine="0"/>
        <w:rPr>
          <w:sz w:val="24"/>
          <w:szCs w:val="24"/>
        </w:rPr>
      </w:pPr>
      <w:r>
        <w:rPr>
          <w:sz w:val="24"/>
          <w:szCs w:val="24"/>
        </w:rPr>
        <w:t>Division 5.</w:t>
      </w:r>
      <w:r w:rsidR="00406507">
        <w:rPr>
          <w:sz w:val="24"/>
          <w:szCs w:val="24"/>
        </w:rPr>
        <w:t>7</w:t>
      </w:r>
      <w:r>
        <w:rPr>
          <w:sz w:val="24"/>
          <w:szCs w:val="24"/>
        </w:rPr>
        <w:t xml:space="preserve"> specifies how the leakage deduction must be calculated for the purposes of Equation 1 when determining the net abatement amount for a reporting period. </w:t>
      </w:r>
    </w:p>
    <w:p w14:paraId="66DF4689" w14:textId="688864C7" w:rsidR="005434E5" w:rsidRDefault="00DC2B31" w:rsidP="009F0381">
      <w:pPr>
        <w:pStyle w:val="subsection"/>
        <w:spacing w:before="120" w:after="120"/>
        <w:ind w:left="0" w:firstLine="0"/>
        <w:rPr>
          <w:sz w:val="24"/>
          <w:szCs w:val="24"/>
        </w:rPr>
      </w:pPr>
      <w:r>
        <w:rPr>
          <w:sz w:val="24"/>
          <w:szCs w:val="24"/>
        </w:rPr>
        <w:t xml:space="preserve">The leakage deduction is comprised of three components: </w:t>
      </w:r>
    </w:p>
    <w:p w14:paraId="2EFCF073" w14:textId="0EE99D9F" w:rsidR="00DC2B31" w:rsidRDefault="00CF2029" w:rsidP="009D5A62">
      <w:pPr>
        <w:pStyle w:val="subsection"/>
        <w:numPr>
          <w:ilvl w:val="0"/>
          <w:numId w:val="65"/>
        </w:numPr>
        <w:spacing w:before="120" w:after="120"/>
        <w:rPr>
          <w:sz w:val="24"/>
          <w:szCs w:val="24"/>
        </w:rPr>
      </w:pPr>
      <w:r>
        <w:rPr>
          <w:sz w:val="24"/>
          <w:szCs w:val="24"/>
        </w:rPr>
        <w:t>t</w:t>
      </w:r>
      <w:r w:rsidR="00DC2B31">
        <w:rPr>
          <w:sz w:val="24"/>
          <w:szCs w:val="24"/>
        </w:rPr>
        <w:t xml:space="preserve">he </w:t>
      </w:r>
      <w:r w:rsidR="00DC2B31" w:rsidRPr="00B14288">
        <w:rPr>
          <w:sz w:val="24"/>
          <w:szCs w:val="24"/>
        </w:rPr>
        <w:t xml:space="preserve">direct leakage </w:t>
      </w:r>
      <w:proofErr w:type="gramStart"/>
      <w:r w:rsidR="00DC2B31" w:rsidRPr="00B14288">
        <w:rPr>
          <w:sz w:val="24"/>
          <w:szCs w:val="24"/>
        </w:rPr>
        <w:t>deduction</w:t>
      </w:r>
      <w:r w:rsidR="00DC2B31">
        <w:rPr>
          <w:sz w:val="24"/>
          <w:szCs w:val="24"/>
        </w:rPr>
        <w:t>;</w:t>
      </w:r>
      <w:proofErr w:type="gramEnd"/>
      <w:r w:rsidR="00DC2B31">
        <w:rPr>
          <w:sz w:val="24"/>
          <w:szCs w:val="24"/>
        </w:rPr>
        <w:t xml:space="preserve"> </w:t>
      </w:r>
    </w:p>
    <w:p w14:paraId="4052E12A" w14:textId="3452CA7D" w:rsidR="00DC2B31" w:rsidRDefault="00CF2029" w:rsidP="009D5A62">
      <w:pPr>
        <w:pStyle w:val="subsection"/>
        <w:numPr>
          <w:ilvl w:val="0"/>
          <w:numId w:val="65"/>
        </w:numPr>
        <w:spacing w:before="120" w:after="120"/>
        <w:rPr>
          <w:sz w:val="24"/>
          <w:szCs w:val="24"/>
        </w:rPr>
      </w:pPr>
      <w:r>
        <w:rPr>
          <w:sz w:val="24"/>
          <w:szCs w:val="24"/>
        </w:rPr>
        <w:t>t</w:t>
      </w:r>
      <w:r w:rsidR="00DC2B31">
        <w:rPr>
          <w:sz w:val="24"/>
          <w:szCs w:val="24"/>
        </w:rPr>
        <w:t xml:space="preserve">he </w:t>
      </w:r>
      <w:r w:rsidR="00DC2B31" w:rsidRPr="00B14288">
        <w:rPr>
          <w:sz w:val="24"/>
          <w:szCs w:val="24"/>
        </w:rPr>
        <w:t>private native forests leakage deduction</w:t>
      </w:r>
      <w:r w:rsidR="00DC2B31">
        <w:rPr>
          <w:sz w:val="24"/>
          <w:szCs w:val="24"/>
        </w:rPr>
        <w:t xml:space="preserve">; and </w:t>
      </w:r>
    </w:p>
    <w:p w14:paraId="150FF0C3" w14:textId="60F2E0D8" w:rsidR="00DC2B31" w:rsidRDefault="00CF2029" w:rsidP="009D5A62">
      <w:pPr>
        <w:pStyle w:val="subsection"/>
        <w:numPr>
          <w:ilvl w:val="0"/>
          <w:numId w:val="65"/>
        </w:numPr>
        <w:spacing w:before="120" w:after="120"/>
        <w:rPr>
          <w:sz w:val="24"/>
          <w:szCs w:val="24"/>
        </w:rPr>
      </w:pPr>
      <w:r>
        <w:rPr>
          <w:sz w:val="24"/>
          <w:szCs w:val="24"/>
        </w:rPr>
        <w:t xml:space="preserve">the </w:t>
      </w:r>
      <w:r w:rsidR="00DC2B31" w:rsidRPr="00DC2B31">
        <w:rPr>
          <w:sz w:val="24"/>
          <w:szCs w:val="24"/>
        </w:rPr>
        <w:t>indirect leakage deduction</w:t>
      </w:r>
      <w:r w:rsidR="00DC2B31">
        <w:rPr>
          <w:sz w:val="24"/>
          <w:szCs w:val="24"/>
        </w:rPr>
        <w:t>.</w:t>
      </w:r>
    </w:p>
    <w:p w14:paraId="0439E124" w14:textId="6EA78B57" w:rsidR="00AC5F82" w:rsidRDefault="00A63BCE" w:rsidP="00A63BCE">
      <w:pPr>
        <w:pStyle w:val="subsection"/>
        <w:spacing w:before="120" w:after="120"/>
        <w:ind w:left="0" w:firstLine="0"/>
        <w:rPr>
          <w:sz w:val="24"/>
          <w:szCs w:val="24"/>
        </w:rPr>
      </w:pPr>
      <w:r>
        <w:rPr>
          <w:sz w:val="24"/>
          <w:szCs w:val="24"/>
        </w:rPr>
        <w:t xml:space="preserve">The </w:t>
      </w:r>
      <w:r w:rsidRPr="00A63BCE">
        <w:rPr>
          <w:sz w:val="24"/>
          <w:szCs w:val="24"/>
        </w:rPr>
        <w:t>direct leakage deduction</w:t>
      </w:r>
      <w:r>
        <w:rPr>
          <w:sz w:val="24"/>
          <w:szCs w:val="24"/>
        </w:rPr>
        <w:t xml:space="preserve"> and </w:t>
      </w:r>
      <w:r w:rsidRPr="00A63BCE">
        <w:rPr>
          <w:sz w:val="24"/>
          <w:szCs w:val="24"/>
        </w:rPr>
        <w:t>private native forests leakage deduction</w:t>
      </w:r>
      <w:r>
        <w:rPr>
          <w:sz w:val="24"/>
          <w:szCs w:val="24"/>
        </w:rPr>
        <w:t xml:space="preserve"> are only applied when specified </w:t>
      </w:r>
      <w:r w:rsidR="00772AE8">
        <w:rPr>
          <w:sz w:val="24"/>
          <w:szCs w:val="24"/>
        </w:rPr>
        <w:t xml:space="preserve">thresholds are exceeded for log production in the relevant forest estates. The indirect leakage deduction is always applied, regardless of </w:t>
      </w:r>
      <w:r w:rsidR="002C4B27">
        <w:rPr>
          <w:sz w:val="24"/>
          <w:szCs w:val="24"/>
        </w:rPr>
        <w:t xml:space="preserve">evidence on the existence of </w:t>
      </w:r>
      <w:r w:rsidR="00F222B4">
        <w:rPr>
          <w:sz w:val="24"/>
          <w:szCs w:val="24"/>
        </w:rPr>
        <w:t xml:space="preserve">relevant </w:t>
      </w:r>
      <w:r w:rsidR="002C4B27">
        <w:rPr>
          <w:sz w:val="24"/>
          <w:szCs w:val="24"/>
        </w:rPr>
        <w:t>indirect leakage.</w:t>
      </w:r>
    </w:p>
    <w:p w14:paraId="47431F9A" w14:textId="17D93151" w:rsidR="00DC2B31" w:rsidRDefault="00DC2B31" w:rsidP="00DC2B31">
      <w:pPr>
        <w:pStyle w:val="subsection"/>
        <w:spacing w:before="120" w:after="120"/>
        <w:ind w:left="0" w:firstLine="0"/>
        <w:rPr>
          <w:sz w:val="24"/>
          <w:szCs w:val="24"/>
        </w:rPr>
      </w:pPr>
      <w:r>
        <w:rPr>
          <w:sz w:val="24"/>
          <w:szCs w:val="24"/>
        </w:rPr>
        <w:t xml:space="preserve">The </w:t>
      </w:r>
      <w:r w:rsidRPr="00B14288">
        <w:rPr>
          <w:sz w:val="24"/>
          <w:szCs w:val="24"/>
        </w:rPr>
        <w:t xml:space="preserve">direct leakage deduction must be applied if the volume of wood extracted from the excluded sections of the proponent’s public native forest estate exceeds the direct leakage baseline harvest level. If the direct leakage baseline harvest level is exceeded, the exceedance is deemed to be attributable to the </w:t>
      </w:r>
      <w:r w:rsidR="0096352E">
        <w:rPr>
          <w:sz w:val="24"/>
          <w:szCs w:val="24"/>
        </w:rPr>
        <w:t xml:space="preserve">INFM projects in the State </w:t>
      </w:r>
      <w:r w:rsidRPr="00B14288">
        <w:rPr>
          <w:sz w:val="24"/>
          <w:szCs w:val="24"/>
        </w:rPr>
        <w:t xml:space="preserve">and credited abatement is reduced accordingly. This </w:t>
      </w:r>
      <w:r w:rsidR="00AC5F82">
        <w:rPr>
          <w:sz w:val="24"/>
          <w:szCs w:val="24"/>
        </w:rPr>
        <w:t xml:space="preserve">is intended to </w:t>
      </w:r>
      <w:r w:rsidRPr="00B14288">
        <w:rPr>
          <w:sz w:val="24"/>
          <w:szCs w:val="24"/>
        </w:rPr>
        <w:t>address the risk of direct leakage through activity shifting.</w:t>
      </w:r>
    </w:p>
    <w:p w14:paraId="16A010EC" w14:textId="293DD9C6" w:rsidR="00DC2B31" w:rsidRPr="00B14288" w:rsidRDefault="00AC5F82" w:rsidP="00AC5F82">
      <w:pPr>
        <w:pStyle w:val="subsection"/>
        <w:spacing w:before="120" w:after="120"/>
        <w:ind w:left="0" w:firstLine="0"/>
        <w:rPr>
          <w:sz w:val="24"/>
          <w:szCs w:val="24"/>
        </w:rPr>
      </w:pPr>
      <w:r>
        <w:rPr>
          <w:sz w:val="24"/>
          <w:szCs w:val="24"/>
        </w:rPr>
        <w:t>The</w:t>
      </w:r>
      <w:r w:rsidR="00DC2B31" w:rsidRPr="00B14288">
        <w:rPr>
          <w:sz w:val="24"/>
          <w:szCs w:val="24"/>
        </w:rPr>
        <w:t xml:space="preserve"> private native forests leakage deduction must be applied if the volume of wood extracted from private native forests in the jurisdiction in which the project is located exceeds the private native forests leakage baseline harvest level. If the private native forests leakage baseline harvest level is exceeded, the exceedance is deemed to be attributable to the </w:t>
      </w:r>
      <w:r w:rsidR="00404393">
        <w:rPr>
          <w:sz w:val="24"/>
          <w:szCs w:val="24"/>
        </w:rPr>
        <w:t xml:space="preserve">INFM projects in the State </w:t>
      </w:r>
      <w:r w:rsidR="00DC2B31" w:rsidRPr="00B14288">
        <w:rPr>
          <w:sz w:val="24"/>
          <w:szCs w:val="24"/>
        </w:rPr>
        <w:t xml:space="preserve">and credited abatement is reduced accordingly. </w:t>
      </w:r>
      <w:r w:rsidRPr="00B14288">
        <w:rPr>
          <w:sz w:val="24"/>
          <w:szCs w:val="24"/>
        </w:rPr>
        <w:t xml:space="preserve">This </w:t>
      </w:r>
      <w:r>
        <w:rPr>
          <w:sz w:val="24"/>
          <w:szCs w:val="24"/>
        </w:rPr>
        <w:t xml:space="preserve">is intended to </w:t>
      </w:r>
      <w:r w:rsidRPr="00B14288">
        <w:rPr>
          <w:sz w:val="24"/>
          <w:szCs w:val="24"/>
        </w:rPr>
        <w:t xml:space="preserve">address </w:t>
      </w:r>
      <w:r w:rsidR="00DC2B31" w:rsidRPr="00B14288">
        <w:rPr>
          <w:sz w:val="24"/>
          <w:szCs w:val="24"/>
        </w:rPr>
        <w:t>the risk of indirect leakage to private native forests.</w:t>
      </w:r>
    </w:p>
    <w:p w14:paraId="7CE5E156" w14:textId="318301A5" w:rsidR="00400C08" w:rsidRDefault="00400C08" w:rsidP="00AC5F82">
      <w:pPr>
        <w:pStyle w:val="subsection"/>
        <w:spacing w:before="120" w:after="120"/>
        <w:ind w:left="0" w:firstLine="0"/>
        <w:rPr>
          <w:sz w:val="24"/>
          <w:szCs w:val="24"/>
        </w:rPr>
      </w:pPr>
      <w:r>
        <w:rPr>
          <w:sz w:val="24"/>
          <w:szCs w:val="24"/>
        </w:rPr>
        <w:t xml:space="preserve">If there are two or more INFM projects in a state, </w:t>
      </w:r>
      <w:r w:rsidR="004E1FEF">
        <w:rPr>
          <w:sz w:val="24"/>
          <w:szCs w:val="24"/>
        </w:rPr>
        <w:t xml:space="preserve">any exceedances above the </w:t>
      </w:r>
      <w:r w:rsidR="004E1FEF" w:rsidRPr="004E1FEF">
        <w:rPr>
          <w:sz w:val="24"/>
          <w:szCs w:val="24"/>
        </w:rPr>
        <w:t>direct leakage baseline harvest level</w:t>
      </w:r>
      <w:r w:rsidR="004E1FEF">
        <w:rPr>
          <w:sz w:val="24"/>
          <w:szCs w:val="24"/>
        </w:rPr>
        <w:t xml:space="preserve"> and </w:t>
      </w:r>
      <w:r w:rsidR="004E1FEF" w:rsidRPr="00B14288">
        <w:rPr>
          <w:sz w:val="24"/>
          <w:szCs w:val="24"/>
        </w:rPr>
        <w:t>private native forests leakage baseline harvest level</w:t>
      </w:r>
      <w:r w:rsidR="004E1FEF">
        <w:rPr>
          <w:sz w:val="24"/>
          <w:szCs w:val="24"/>
        </w:rPr>
        <w:t xml:space="preserve"> are allocated between the projects based on </w:t>
      </w:r>
      <w:r w:rsidR="00985D6F">
        <w:rPr>
          <w:sz w:val="24"/>
          <w:szCs w:val="24"/>
        </w:rPr>
        <w:t xml:space="preserve">the log production from the public native forests in the project areas over the </w:t>
      </w:r>
      <w:r w:rsidR="00317C02" w:rsidRPr="00317C02">
        <w:rPr>
          <w:sz w:val="24"/>
          <w:szCs w:val="24"/>
        </w:rPr>
        <w:t xml:space="preserve">10-year period before the end of the last financial year before the application was made </w:t>
      </w:r>
      <w:r w:rsidR="00317C02">
        <w:rPr>
          <w:sz w:val="24"/>
          <w:szCs w:val="24"/>
        </w:rPr>
        <w:t>for the registration of the</w:t>
      </w:r>
      <w:r w:rsidR="00317C02" w:rsidRPr="00317C02">
        <w:rPr>
          <w:sz w:val="24"/>
          <w:szCs w:val="24"/>
        </w:rPr>
        <w:t xml:space="preserve"> first </w:t>
      </w:r>
      <w:r w:rsidR="00317C02">
        <w:rPr>
          <w:sz w:val="24"/>
          <w:szCs w:val="24"/>
        </w:rPr>
        <w:t xml:space="preserve">INFM </w:t>
      </w:r>
      <w:r w:rsidR="00317C02" w:rsidRPr="00317C02">
        <w:rPr>
          <w:sz w:val="24"/>
          <w:szCs w:val="24"/>
        </w:rPr>
        <w:t>project in the State</w:t>
      </w:r>
      <w:r w:rsidR="00317C02">
        <w:rPr>
          <w:sz w:val="24"/>
          <w:szCs w:val="24"/>
        </w:rPr>
        <w:t xml:space="preserve">. This amount is adjusted </w:t>
      </w:r>
      <w:r w:rsidR="00EC1DDD">
        <w:rPr>
          <w:sz w:val="24"/>
          <w:szCs w:val="24"/>
        </w:rPr>
        <w:t xml:space="preserve">if a new INFM project is created </w:t>
      </w:r>
      <w:r w:rsidR="00C03F43">
        <w:rPr>
          <w:sz w:val="24"/>
          <w:szCs w:val="24"/>
        </w:rPr>
        <w:t xml:space="preserve">in the State </w:t>
      </w:r>
      <w:r w:rsidR="00EC1DDD">
        <w:rPr>
          <w:sz w:val="24"/>
          <w:szCs w:val="24"/>
        </w:rPr>
        <w:t xml:space="preserve">during </w:t>
      </w:r>
      <w:r w:rsidR="00E34CD0">
        <w:rPr>
          <w:sz w:val="24"/>
          <w:szCs w:val="24"/>
        </w:rPr>
        <w:t>a project’s</w:t>
      </w:r>
      <w:r w:rsidR="00EC1DDD">
        <w:rPr>
          <w:sz w:val="24"/>
          <w:szCs w:val="24"/>
        </w:rPr>
        <w:t xml:space="preserve"> reporting period.</w:t>
      </w:r>
    </w:p>
    <w:p w14:paraId="15B5F73E" w14:textId="33E1EA4A" w:rsidR="00DC2B31" w:rsidRPr="00B14288" w:rsidRDefault="00AC5F82" w:rsidP="00AC5F82">
      <w:pPr>
        <w:pStyle w:val="subsection"/>
        <w:spacing w:before="120" w:after="120"/>
        <w:ind w:left="0" w:firstLine="0"/>
        <w:rPr>
          <w:sz w:val="24"/>
          <w:szCs w:val="24"/>
        </w:rPr>
      </w:pPr>
      <w:r>
        <w:rPr>
          <w:sz w:val="24"/>
          <w:szCs w:val="24"/>
        </w:rPr>
        <w:t>The</w:t>
      </w:r>
      <w:r w:rsidR="00DC2B31" w:rsidRPr="00B14288">
        <w:rPr>
          <w:sz w:val="24"/>
          <w:szCs w:val="24"/>
        </w:rPr>
        <w:t xml:space="preserve"> indirect leakage deduction must be applied when calculating the net abatement amount. This accounts for indirect leakage risks, other than those associated with private native forests in the jurisdiction in which the project is located.</w:t>
      </w:r>
      <w:r w:rsidR="00404393">
        <w:rPr>
          <w:sz w:val="24"/>
          <w:szCs w:val="24"/>
        </w:rPr>
        <w:t xml:space="preserve"> </w:t>
      </w:r>
    </w:p>
    <w:p w14:paraId="6A1AD276" w14:textId="77777777" w:rsidR="0062368E" w:rsidRDefault="0062368E" w:rsidP="0062368E">
      <w:pPr>
        <w:pStyle w:val="subsection"/>
        <w:spacing w:before="120" w:after="120"/>
        <w:ind w:left="0" w:firstLine="0"/>
        <w:rPr>
          <w:sz w:val="24"/>
          <w:szCs w:val="24"/>
        </w:rPr>
      </w:pPr>
      <w:r>
        <w:rPr>
          <w:sz w:val="24"/>
          <w:szCs w:val="24"/>
        </w:rPr>
        <w:t xml:space="preserve">The leakage deduction complements the other mechanisms in the Determination to address leakage risks, including: </w:t>
      </w:r>
    </w:p>
    <w:p w14:paraId="090A21CC" w14:textId="42D915EE" w:rsidR="0062368E" w:rsidRDefault="0062368E" w:rsidP="009D5A62">
      <w:pPr>
        <w:pStyle w:val="subsection"/>
        <w:numPr>
          <w:ilvl w:val="0"/>
          <w:numId w:val="64"/>
        </w:numPr>
        <w:spacing w:before="120" w:after="120"/>
        <w:rPr>
          <w:sz w:val="24"/>
          <w:szCs w:val="24"/>
        </w:rPr>
      </w:pPr>
      <w:r>
        <w:rPr>
          <w:sz w:val="24"/>
          <w:szCs w:val="24"/>
        </w:rPr>
        <w:t xml:space="preserve">the requirement for project areas to </w:t>
      </w:r>
      <w:r w:rsidR="00B14288" w:rsidRPr="00B14288">
        <w:rPr>
          <w:sz w:val="24"/>
          <w:szCs w:val="24"/>
        </w:rPr>
        <w:t>consist of all public native forests designated for commercial forestry use in at least one whole forestry region</w:t>
      </w:r>
      <w:r>
        <w:rPr>
          <w:sz w:val="24"/>
          <w:szCs w:val="24"/>
        </w:rPr>
        <w:t xml:space="preserve"> (which </w:t>
      </w:r>
      <w:r w:rsidRPr="00B14288">
        <w:rPr>
          <w:sz w:val="24"/>
          <w:szCs w:val="24"/>
        </w:rPr>
        <w:t>reduces the scope for direct leakage through activity shifting</w:t>
      </w:r>
      <w:r>
        <w:rPr>
          <w:sz w:val="24"/>
          <w:szCs w:val="24"/>
        </w:rPr>
        <w:t xml:space="preserve">); and </w:t>
      </w:r>
    </w:p>
    <w:p w14:paraId="6A2BC0BD" w14:textId="74DC4F3F" w:rsidR="005A01D7" w:rsidRDefault="0062368E" w:rsidP="009D5A62">
      <w:pPr>
        <w:pStyle w:val="subsection"/>
        <w:numPr>
          <w:ilvl w:val="0"/>
          <w:numId w:val="64"/>
        </w:numPr>
        <w:spacing w:before="120" w:after="120"/>
        <w:rPr>
          <w:sz w:val="24"/>
          <w:szCs w:val="24"/>
        </w:rPr>
      </w:pPr>
      <w:r>
        <w:rPr>
          <w:sz w:val="24"/>
          <w:szCs w:val="24"/>
        </w:rPr>
        <w:t xml:space="preserve">the </w:t>
      </w:r>
      <w:r w:rsidR="00B14288" w:rsidRPr="00B14288">
        <w:rPr>
          <w:sz w:val="24"/>
          <w:szCs w:val="24"/>
        </w:rPr>
        <w:t xml:space="preserve">hurdle requirement </w:t>
      </w:r>
      <w:r>
        <w:rPr>
          <w:sz w:val="24"/>
          <w:szCs w:val="24"/>
        </w:rPr>
        <w:t xml:space="preserve">(which </w:t>
      </w:r>
      <w:r w:rsidR="00B14288" w:rsidRPr="00B14288">
        <w:rPr>
          <w:sz w:val="24"/>
          <w:szCs w:val="24"/>
        </w:rPr>
        <w:t>mitigate</w:t>
      </w:r>
      <w:r>
        <w:rPr>
          <w:sz w:val="24"/>
          <w:szCs w:val="24"/>
        </w:rPr>
        <w:t>s</w:t>
      </w:r>
      <w:r w:rsidR="00B14288" w:rsidRPr="00B14288">
        <w:rPr>
          <w:sz w:val="24"/>
          <w:szCs w:val="24"/>
        </w:rPr>
        <w:t xml:space="preserve"> the risk of leakage through cross-subsidisation by ensuring there is a structural shift in the native forest industry in the relevant region</w:t>
      </w:r>
      <w:r>
        <w:rPr>
          <w:sz w:val="24"/>
          <w:szCs w:val="24"/>
        </w:rPr>
        <w:t>)</w:t>
      </w:r>
      <w:r w:rsidR="005A01D7">
        <w:rPr>
          <w:sz w:val="24"/>
          <w:szCs w:val="24"/>
        </w:rPr>
        <w:t xml:space="preserve">; and </w:t>
      </w:r>
    </w:p>
    <w:p w14:paraId="72662738" w14:textId="63F39528" w:rsidR="00B14288" w:rsidRPr="00CF2029" w:rsidRDefault="005A01D7" w:rsidP="009D5A62">
      <w:pPr>
        <w:pStyle w:val="subsection"/>
        <w:numPr>
          <w:ilvl w:val="0"/>
          <w:numId w:val="64"/>
        </w:numPr>
        <w:spacing w:before="120" w:after="120"/>
        <w:rPr>
          <w:sz w:val="24"/>
          <w:szCs w:val="24"/>
        </w:rPr>
      </w:pPr>
      <w:r>
        <w:rPr>
          <w:sz w:val="24"/>
          <w:szCs w:val="24"/>
        </w:rPr>
        <w:t>the additional permanence provisions contained in section 18</w:t>
      </w:r>
      <w:r w:rsidR="00CF2029">
        <w:rPr>
          <w:sz w:val="24"/>
          <w:szCs w:val="24"/>
        </w:rPr>
        <w:t xml:space="preserve">, which </w:t>
      </w:r>
      <w:r w:rsidR="00B14288" w:rsidRPr="00CF2029">
        <w:rPr>
          <w:sz w:val="24"/>
          <w:szCs w:val="24"/>
        </w:rPr>
        <w:t>mitigates the risk of activity shifting after the crediting period.</w:t>
      </w:r>
    </w:p>
    <w:p w14:paraId="1AAD236C" w14:textId="322534C8" w:rsidR="00876308" w:rsidRPr="00310D38" w:rsidRDefault="00433D96" w:rsidP="00876308">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876308">
        <w:rPr>
          <w:rFonts w:ascii="Times New Roman" w:hAnsi="Times New Roman" w:cs="Times New Roman"/>
          <w:sz w:val="24"/>
          <w:szCs w:val="24"/>
          <w:u w:val="single"/>
        </w:rPr>
        <w:t>4</w:t>
      </w:r>
      <w:r w:rsidR="008A606C">
        <w:rPr>
          <w:rFonts w:ascii="Times New Roman" w:hAnsi="Times New Roman" w:cs="Times New Roman"/>
          <w:sz w:val="24"/>
          <w:szCs w:val="24"/>
          <w:u w:val="single"/>
        </w:rPr>
        <w:t>0</w:t>
      </w:r>
      <w:r w:rsidR="00876308" w:rsidRPr="00310D38">
        <w:rPr>
          <w:rFonts w:ascii="Times New Roman" w:hAnsi="Times New Roman" w:cs="Times New Roman"/>
          <w:sz w:val="24"/>
          <w:szCs w:val="24"/>
          <w:u w:val="single"/>
        </w:rPr>
        <w:t xml:space="preserve"> – </w:t>
      </w:r>
      <w:r w:rsidR="002F608C" w:rsidRPr="002F608C">
        <w:rPr>
          <w:rFonts w:ascii="Times New Roman" w:hAnsi="Times New Roman" w:cs="Times New Roman"/>
          <w:sz w:val="24"/>
          <w:szCs w:val="24"/>
          <w:u w:val="single"/>
        </w:rPr>
        <w:t>Leakage deduction for reporting period (</w:t>
      </w:r>
      <w:proofErr w:type="spellStart"/>
      <w:r w:rsidR="002F608C" w:rsidRPr="002F608C">
        <w:rPr>
          <w:rFonts w:ascii="Times New Roman" w:hAnsi="Times New Roman" w:cs="Times New Roman"/>
          <w:sz w:val="24"/>
          <w:szCs w:val="24"/>
          <w:u w:val="single"/>
        </w:rPr>
        <w:t>LD</w:t>
      </w:r>
      <w:r w:rsidR="002F608C" w:rsidRPr="00EF0971">
        <w:rPr>
          <w:rFonts w:ascii="Times New Roman" w:hAnsi="Times New Roman" w:cs="Times New Roman"/>
          <w:sz w:val="24"/>
          <w:szCs w:val="24"/>
          <w:u w:val="single"/>
          <w:vertAlign w:val="subscript"/>
        </w:rPr>
        <w:t>i</w:t>
      </w:r>
      <w:proofErr w:type="spellEnd"/>
      <w:r w:rsidR="002F608C" w:rsidRPr="002F608C">
        <w:rPr>
          <w:rFonts w:ascii="Times New Roman" w:hAnsi="Times New Roman" w:cs="Times New Roman"/>
          <w:sz w:val="24"/>
          <w:szCs w:val="24"/>
          <w:u w:val="single"/>
        </w:rPr>
        <w:t>)</w:t>
      </w:r>
    </w:p>
    <w:p w14:paraId="6D7B4A0D" w14:textId="0FAAB294" w:rsidR="00960DA6" w:rsidRDefault="002F608C" w:rsidP="00675960">
      <w:pPr>
        <w:pStyle w:val="subsection"/>
        <w:spacing w:before="120" w:after="120"/>
        <w:ind w:left="0" w:firstLine="0"/>
        <w:rPr>
          <w:sz w:val="24"/>
          <w:szCs w:val="24"/>
        </w:rPr>
      </w:pPr>
      <w:r w:rsidRPr="002F608C">
        <w:rPr>
          <w:sz w:val="24"/>
          <w:szCs w:val="24"/>
        </w:rPr>
        <w:lastRenderedPageBreak/>
        <w:t xml:space="preserve">Section </w:t>
      </w:r>
      <w:r>
        <w:rPr>
          <w:sz w:val="24"/>
          <w:szCs w:val="24"/>
        </w:rPr>
        <w:t>4</w:t>
      </w:r>
      <w:r w:rsidR="008A606C">
        <w:rPr>
          <w:sz w:val="24"/>
          <w:szCs w:val="24"/>
        </w:rPr>
        <w:t>0</w:t>
      </w:r>
      <w:r w:rsidRPr="002F608C">
        <w:rPr>
          <w:sz w:val="24"/>
          <w:szCs w:val="24"/>
        </w:rPr>
        <w:t xml:space="preserve"> contains Equation </w:t>
      </w:r>
      <w:r w:rsidR="00EF0971">
        <w:rPr>
          <w:sz w:val="24"/>
          <w:szCs w:val="24"/>
        </w:rPr>
        <w:t>1</w:t>
      </w:r>
      <w:r w:rsidR="00266B91">
        <w:rPr>
          <w:sz w:val="24"/>
          <w:szCs w:val="24"/>
        </w:rPr>
        <w:t>2</w:t>
      </w:r>
      <w:r w:rsidRPr="002F608C">
        <w:rPr>
          <w:sz w:val="24"/>
          <w:szCs w:val="24"/>
        </w:rPr>
        <w:t xml:space="preserve">, which is used to calculate </w:t>
      </w:r>
      <w:r w:rsidR="00EF0971">
        <w:rPr>
          <w:sz w:val="24"/>
          <w:szCs w:val="24"/>
        </w:rPr>
        <w:t>the leakage deduction (</w:t>
      </w:r>
      <w:proofErr w:type="spellStart"/>
      <w:r w:rsidR="00EF0971">
        <w:rPr>
          <w:sz w:val="24"/>
          <w:szCs w:val="24"/>
        </w:rPr>
        <w:t>LD</w:t>
      </w:r>
      <w:r w:rsidR="00EF0971" w:rsidRPr="00EF0971">
        <w:rPr>
          <w:sz w:val="24"/>
          <w:szCs w:val="24"/>
          <w:vertAlign w:val="subscript"/>
        </w:rPr>
        <w:t>i</w:t>
      </w:r>
      <w:proofErr w:type="spellEnd"/>
      <w:r w:rsidR="00EF0971">
        <w:rPr>
          <w:sz w:val="24"/>
          <w:szCs w:val="24"/>
        </w:rPr>
        <w:t xml:space="preserve">) </w:t>
      </w:r>
      <w:r w:rsidRPr="002F608C">
        <w:rPr>
          <w:sz w:val="24"/>
          <w:szCs w:val="24"/>
        </w:rPr>
        <w:t>in the reporting period</w:t>
      </w:r>
      <w:r w:rsidR="00EF0971">
        <w:rPr>
          <w:sz w:val="24"/>
          <w:szCs w:val="24"/>
        </w:rPr>
        <w:t xml:space="preserve"> (</w:t>
      </w:r>
      <w:r w:rsidRPr="002F608C">
        <w:rPr>
          <w:sz w:val="24"/>
          <w:szCs w:val="24"/>
        </w:rPr>
        <w:t>for the purposes of Equation 1</w:t>
      </w:r>
      <w:r w:rsidR="00EF0971">
        <w:rPr>
          <w:sz w:val="24"/>
          <w:szCs w:val="24"/>
        </w:rPr>
        <w:t>).</w:t>
      </w:r>
      <w:r w:rsidR="00675960">
        <w:rPr>
          <w:sz w:val="24"/>
          <w:szCs w:val="24"/>
        </w:rPr>
        <w:t xml:space="preserve"> The leakage deduction is calculated for these purposes as the sum of </w:t>
      </w:r>
      <w:r w:rsidR="00675960" w:rsidRPr="00675960">
        <w:rPr>
          <w:sz w:val="24"/>
          <w:szCs w:val="24"/>
        </w:rPr>
        <w:t>the direct leakage deduction</w:t>
      </w:r>
      <w:r w:rsidR="008B7768">
        <w:rPr>
          <w:sz w:val="24"/>
          <w:szCs w:val="24"/>
        </w:rPr>
        <w:t xml:space="preserve"> (Equation 15)</w:t>
      </w:r>
      <w:r w:rsidR="00675960">
        <w:rPr>
          <w:sz w:val="24"/>
          <w:szCs w:val="24"/>
        </w:rPr>
        <w:t xml:space="preserve">, </w:t>
      </w:r>
      <w:r w:rsidR="00675960" w:rsidRPr="00675960">
        <w:rPr>
          <w:sz w:val="24"/>
          <w:szCs w:val="24"/>
        </w:rPr>
        <w:t xml:space="preserve">private native forests leakage deduction </w:t>
      </w:r>
      <w:r w:rsidR="008B7768">
        <w:rPr>
          <w:sz w:val="24"/>
          <w:szCs w:val="24"/>
        </w:rPr>
        <w:t>(Equation 1</w:t>
      </w:r>
      <w:r w:rsidR="00B14BF1">
        <w:rPr>
          <w:sz w:val="24"/>
          <w:szCs w:val="24"/>
        </w:rPr>
        <w:t>7</w:t>
      </w:r>
      <w:r w:rsidR="008B7768">
        <w:rPr>
          <w:sz w:val="24"/>
          <w:szCs w:val="24"/>
        </w:rPr>
        <w:t xml:space="preserve">) </w:t>
      </w:r>
      <w:r w:rsidR="00675960" w:rsidRPr="00675960">
        <w:rPr>
          <w:sz w:val="24"/>
          <w:szCs w:val="24"/>
        </w:rPr>
        <w:t>and</w:t>
      </w:r>
      <w:r w:rsidR="00675960">
        <w:rPr>
          <w:sz w:val="24"/>
          <w:szCs w:val="24"/>
        </w:rPr>
        <w:t xml:space="preserve"> </w:t>
      </w:r>
      <w:r w:rsidR="00675960" w:rsidRPr="00675960">
        <w:rPr>
          <w:sz w:val="24"/>
          <w:szCs w:val="24"/>
        </w:rPr>
        <w:t>indirect leakage deduction</w:t>
      </w:r>
      <w:r w:rsidR="00B14BF1">
        <w:rPr>
          <w:sz w:val="24"/>
          <w:szCs w:val="24"/>
        </w:rPr>
        <w:t xml:space="preserve"> (Equation 18)</w:t>
      </w:r>
      <w:r w:rsidR="00675960" w:rsidRPr="00675960">
        <w:rPr>
          <w:sz w:val="24"/>
          <w:szCs w:val="24"/>
        </w:rPr>
        <w:t>.</w:t>
      </w:r>
    </w:p>
    <w:p w14:paraId="560ED1E7" w14:textId="10000147" w:rsidR="00675960" w:rsidRPr="00310D38" w:rsidRDefault="00433D96" w:rsidP="00675960">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675960">
        <w:rPr>
          <w:rFonts w:ascii="Times New Roman" w:hAnsi="Times New Roman" w:cs="Times New Roman"/>
          <w:sz w:val="24"/>
          <w:szCs w:val="24"/>
          <w:u w:val="single"/>
        </w:rPr>
        <w:t>4</w:t>
      </w:r>
      <w:r w:rsidR="00BE24A5">
        <w:rPr>
          <w:rFonts w:ascii="Times New Roman" w:hAnsi="Times New Roman" w:cs="Times New Roman"/>
          <w:sz w:val="24"/>
          <w:szCs w:val="24"/>
          <w:u w:val="single"/>
        </w:rPr>
        <w:t>1</w:t>
      </w:r>
      <w:r w:rsidR="00675960" w:rsidRPr="00310D38">
        <w:rPr>
          <w:rFonts w:ascii="Times New Roman" w:hAnsi="Times New Roman" w:cs="Times New Roman"/>
          <w:sz w:val="24"/>
          <w:szCs w:val="24"/>
          <w:u w:val="single"/>
        </w:rPr>
        <w:t xml:space="preserve"> – </w:t>
      </w:r>
      <w:r w:rsidR="008A42D0" w:rsidRPr="008A42D0">
        <w:rPr>
          <w:rFonts w:ascii="Times New Roman" w:hAnsi="Times New Roman" w:cs="Times New Roman"/>
          <w:sz w:val="24"/>
          <w:szCs w:val="24"/>
          <w:u w:val="single"/>
        </w:rPr>
        <w:t>Direct leakage deduction (</w:t>
      </w:r>
      <w:proofErr w:type="spellStart"/>
      <w:r w:rsidR="008A42D0" w:rsidRPr="008A42D0">
        <w:rPr>
          <w:rFonts w:ascii="Times New Roman" w:hAnsi="Times New Roman" w:cs="Times New Roman"/>
          <w:sz w:val="24"/>
          <w:szCs w:val="24"/>
          <w:u w:val="single"/>
        </w:rPr>
        <w:t>DLD</w:t>
      </w:r>
      <w:r w:rsidR="008A42D0" w:rsidRPr="008A42D0">
        <w:rPr>
          <w:rFonts w:ascii="Times New Roman" w:hAnsi="Times New Roman" w:cs="Times New Roman"/>
          <w:sz w:val="24"/>
          <w:szCs w:val="24"/>
          <w:u w:val="single"/>
          <w:vertAlign w:val="subscript"/>
        </w:rPr>
        <w:t>i</w:t>
      </w:r>
      <w:proofErr w:type="spellEnd"/>
      <w:r w:rsidR="008A42D0" w:rsidRPr="008A42D0">
        <w:rPr>
          <w:rFonts w:ascii="Times New Roman" w:hAnsi="Times New Roman" w:cs="Times New Roman"/>
          <w:sz w:val="24"/>
          <w:szCs w:val="24"/>
          <w:u w:val="single"/>
        </w:rPr>
        <w:t>)</w:t>
      </w:r>
    </w:p>
    <w:p w14:paraId="27180E39" w14:textId="74643554" w:rsidR="00426647" w:rsidRPr="001D4010" w:rsidRDefault="00675960" w:rsidP="00675960">
      <w:pPr>
        <w:pStyle w:val="subsection"/>
        <w:spacing w:before="120" w:after="120"/>
        <w:ind w:left="0" w:firstLine="0"/>
        <w:rPr>
          <w:sz w:val="24"/>
          <w:szCs w:val="24"/>
        </w:rPr>
      </w:pPr>
      <w:r w:rsidRPr="001D4010">
        <w:rPr>
          <w:sz w:val="24"/>
          <w:szCs w:val="24"/>
        </w:rPr>
        <w:t>S</w:t>
      </w:r>
      <w:r w:rsidR="00426647" w:rsidRPr="001D4010">
        <w:rPr>
          <w:sz w:val="24"/>
          <w:szCs w:val="24"/>
        </w:rPr>
        <w:t>ubs</w:t>
      </w:r>
      <w:r w:rsidRPr="001D4010">
        <w:rPr>
          <w:sz w:val="24"/>
          <w:szCs w:val="24"/>
        </w:rPr>
        <w:t>ection 4</w:t>
      </w:r>
      <w:r w:rsidR="00BE24A5">
        <w:rPr>
          <w:sz w:val="24"/>
          <w:szCs w:val="24"/>
        </w:rPr>
        <w:t>1</w:t>
      </w:r>
      <w:r w:rsidR="00426647" w:rsidRPr="001D4010">
        <w:rPr>
          <w:sz w:val="24"/>
          <w:szCs w:val="24"/>
        </w:rPr>
        <w:t xml:space="preserve">(1) </w:t>
      </w:r>
      <w:r w:rsidR="00377803" w:rsidRPr="001D4010">
        <w:rPr>
          <w:sz w:val="24"/>
          <w:szCs w:val="24"/>
        </w:rPr>
        <w:t>specifies</w:t>
      </w:r>
      <w:r w:rsidR="00426647" w:rsidRPr="001D4010">
        <w:rPr>
          <w:sz w:val="24"/>
          <w:szCs w:val="24"/>
        </w:rPr>
        <w:t xml:space="preserve"> that</w:t>
      </w:r>
      <w:r w:rsidR="00D72DD9" w:rsidRPr="001D4010">
        <w:rPr>
          <w:sz w:val="24"/>
          <w:szCs w:val="24"/>
        </w:rPr>
        <w:t xml:space="preserve">, subject to subsections (7) and (8), </w:t>
      </w:r>
      <w:r w:rsidR="00426647" w:rsidRPr="001D4010">
        <w:rPr>
          <w:sz w:val="24"/>
          <w:szCs w:val="24"/>
        </w:rPr>
        <w:t xml:space="preserve">the </w:t>
      </w:r>
      <w:r w:rsidR="00E3448D" w:rsidRPr="001D4010">
        <w:rPr>
          <w:sz w:val="24"/>
          <w:szCs w:val="24"/>
        </w:rPr>
        <w:t xml:space="preserve">direct leakage deduction </w:t>
      </w:r>
      <w:r w:rsidR="0003732E" w:rsidRPr="001D4010">
        <w:rPr>
          <w:sz w:val="24"/>
          <w:szCs w:val="24"/>
        </w:rPr>
        <w:t>provisions in section 4</w:t>
      </w:r>
      <w:r w:rsidR="00BE24A5">
        <w:rPr>
          <w:sz w:val="24"/>
          <w:szCs w:val="24"/>
        </w:rPr>
        <w:t>1</w:t>
      </w:r>
      <w:r w:rsidR="0003732E" w:rsidRPr="001D4010">
        <w:rPr>
          <w:sz w:val="24"/>
          <w:szCs w:val="24"/>
        </w:rPr>
        <w:t xml:space="preserve"> apply</w:t>
      </w:r>
      <w:r w:rsidR="00E3448D" w:rsidRPr="001D4010">
        <w:rPr>
          <w:sz w:val="24"/>
          <w:szCs w:val="24"/>
        </w:rPr>
        <w:t xml:space="preserve"> to</w:t>
      </w:r>
      <w:r w:rsidR="00426647" w:rsidRPr="001D4010">
        <w:rPr>
          <w:sz w:val="24"/>
          <w:szCs w:val="24"/>
        </w:rPr>
        <w:t xml:space="preserve"> the </w:t>
      </w:r>
      <w:r w:rsidR="00FD4F62" w:rsidRPr="001D4010">
        <w:rPr>
          <w:sz w:val="24"/>
          <w:szCs w:val="24"/>
        </w:rPr>
        <w:t>public native forests that are designated for commercial forestry use in the State in which the eligible offsets project is located, other than those in the project area for the project or in the project area for another eligible offsets project that was registered under this determination prior the start of the reporting period</w:t>
      </w:r>
      <w:r w:rsidR="00426647" w:rsidRPr="001D4010">
        <w:rPr>
          <w:sz w:val="24"/>
          <w:szCs w:val="24"/>
        </w:rPr>
        <w:t>.</w:t>
      </w:r>
    </w:p>
    <w:p w14:paraId="50C1CC10" w14:textId="1F627D73" w:rsidR="00604441" w:rsidRPr="001D4010" w:rsidRDefault="00E3448D" w:rsidP="00675960">
      <w:pPr>
        <w:pStyle w:val="subsection"/>
        <w:spacing w:before="120" w:after="120"/>
        <w:ind w:left="0" w:firstLine="0"/>
        <w:rPr>
          <w:sz w:val="24"/>
          <w:szCs w:val="24"/>
        </w:rPr>
      </w:pPr>
      <w:r w:rsidRPr="001D4010">
        <w:rPr>
          <w:sz w:val="24"/>
          <w:szCs w:val="24"/>
        </w:rPr>
        <w:t>Subsection 4</w:t>
      </w:r>
      <w:r w:rsidR="00B44419">
        <w:rPr>
          <w:sz w:val="24"/>
          <w:szCs w:val="24"/>
        </w:rPr>
        <w:t>1</w:t>
      </w:r>
      <w:r w:rsidRPr="001D4010">
        <w:rPr>
          <w:sz w:val="24"/>
          <w:szCs w:val="24"/>
        </w:rPr>
        <w:t xml:space="preserve">(2) </w:t>
      </w:r>
      <w:r w:rsidR="00AD68F4" w:rsidRPr="001D4010">
        <w:rPr>
          <w:sz w:val="24"/>
          <w:szCs w:val="24"/>
        </w:rPr>
        <w:t xml:space="preserve">specifies that a direct leakage deduction applies in calculating the leakage deduction for a reporting period if </w:t>
      </w:r>
      <w:r w:rsidR="00604441" w:rsidRPr="001D4010">
        <w:rPr>
          <w:sz w:val="24"/>
          <w:szCs w:val="24"/>
        </w:rPr>
        <w:t>there is a direct leakage exceedance.</w:t>
      </w:r>
    </w:p>
    <w:p w14:paraId="168570AD" w14:textId="06ED662E" w:rsidR="00C720EF" w:rsidRPr="001D4010" w:rsidRDefault="00604441" w:rsidP="00675960">
      <w:pPr>
        <w:pStyle w:val="subsection"/>
        <w:spacing w:before="120" w:after="120"/>
        <w:ind w:left="0" w:firstLine="0"/>
        <w:rPr>
          <w:sz w:val="24"/>
          <w:szCs w:val="24"/>
        </w:rPr>
      </w:pPr>
      <w:r w:rsidRPr="001D4010">
        <w:rPr>
          <w:sz w:val="24"/>
          <w:szCs w:val="24"/>
        </w:rPr>
        <w:t>Subsection 4</w:t>
      </w:r>
      <w:r w:rsidR="00B44419">
        <w:rPr>
          <w:sz w:val="24"/>
          <w:szCs w:val="24"/>
        </w:rPr>
        <w:t>1</w:t>
      </w:r>
      <w:r w:rsidRPr="001D4010">
        <w:rPr>
          <w:sz w:val="24"/>
          <w:szCs w:val="24"/>
        </w:rPr>
        <w:t>(3) provides that</w:t>
      </w:r>
      <w:r w:rsidR="00C720EF" w:rsidRPr="001D4010">
        <w:rPr>
          <w:sz w:val="24"/>
          <w:szCs w:val="24"/>
        </w:rPr>
        <w:t xml:space="preserve"> there is a direct leakage exceedance if the exceedance volume for the relevant public native forests for the reporting period is greater than zero</w:t>
      </w:r>
      <w:r w:rsidR="001D4010" w:rsidRPr="001D4010">
        <w:rPr>
          <w:sz w:val="24"/>
          <w:szCs w:val="24"/>
        </w:rPr>
        <w:t xml:space="preserve">. </w:t>
      </w:r>
    </w:p>
    <w:p w14:paraId="4ED67CD6" w14:textId="003F5DDC" w:rsidR="00A7200D" w:rsidRPr="009035BC" w:rsidRDefault="001D4010" w:rsidP="00675960">
      <w:pPr>
        <w:pStyle w:val="subsection"/>
        <w:spacing w:before="120" w:after="120"/>
        <w:ind w:left="0" w:firstLine="0"/>
        <w:rPr>
          <w:sz w:val="24"/>
          <w:szCs w:val="24"/>
        </w:rPr>
      </w:pPr>
      <w:r w:rsidRPr="009035BC">
        <w:rPr>
          <w:sz w:val="24"/>
          <w:szCs w:val="24"/>
        </w:rPr>
        <w:t>Subsection 4</w:t>
      </w:r>
      <w:r w:rsidR="00B44419">
        <w:rPr>
          <w:sz w:val="24"/>
          <w:szCs w:val="24"/>
        </w:rPr>
        <w:t>1</w:t>
      </w:r>
      <w:r w:rsidRPr="009035BC">
        <w:rPr>
          <w:sz w:val="24"/>
          <w:szCs w:val="24"/>
        </w:rPr>
        <w:t xml:space="preserve">(4) </w:t>
      </w:r>
      <w:r w:rsidR="00E02689" w:rsidRPr="009035BC">
        <w:rPr>
          <w:sz w:val="24"/>
          <w:szCs w:val="24"/>
        </w:rPr>
        <w:t xml:space="preserve">provides the equation </w:t>
      </w:r>
      <w:r w:rsidR="009035BC">
        <w:rPr>
          <w:sz w:val="24"/>
          <w:szCs w:val="24"/>
        </w:rPr>
        <w:t>(Equation 1</w:t>
      </w:r>
      <w:r w:rsidR="00916304">
        <w:rPr>
          <w:sz w:val="24"/>
          <w:szCs w:val="24"/>
        </w:rPr>
        <w:t>3</w:t>
      </w:r>
      <w:r w:rsidR="009035BC">
        <w:rPr>
          <w:sz w:val="24"/>
          <w:szCs w:val="24"/>
        </w:rPr>
        <w:t xml:space="preserve">) </w:t>
      </w:r>
      <w:r w:rsidR="00E02689" w:rsidRPr="009035BC">
        <w:rPr>
          <w:sz w:val="24"/>
          <w:szCs w:val="24"/>
        </w:rPr>
        <w:t>for the calculation of the exceedance volume</w:t>
      </w:r>
      <w:r w:rsidR="007873BB" w:rsidRPr="009035BC">
        <w:rPr>
          <w:sz w:val="24"/>
          <w:szCs w:val="24"/>
        </w:rPr>
        <w:t xml:space="preserve">, which </w:t>
      </w:r>
      <w:r w:rsidR="00A7200D" w:rsidRPr="009035BC">
        <w:rPr>
          <w:sz w:val="24"/>
          <w:szCs w:val="24"/>
        </w:rPr>
        <w:t xml:space="preserve">involves the subtraction of the direct leakage baseline harvest level for </w:t>
      </w:r>
      <w:r w:rsidR="000C02BF">
        <w:rPr>
          <w:sz w:val="24"/>
          <w:szCs w:val="24"/>
        </w:rPr>
        <w:t xml:space="preserve">the </w:t>
      </w:r>
      <w:r w:rsidR="00A7200D" w:rsidRPr="009035BC">
        <w:rPr>
          <w:sz w:val="24"/>
          <w:szCs w:val="24"/>
        </w:rPr>
        <w:t xml:space="preserve">reporting period from the </w:t>
      </w:r>
      <w:r w:rsidR="00FB16EC" w:rsidRPr="009035BC">
        <w:rPr>
          <w:sz w:val="24"/>
          <w:szCs w:val="24"/>
        </w:rPr>
        <w:t>wood volume extracted from the relevant public native forests over the reporting period</w:t>
      </w:r>
      <w:r w:rsidR="00F058F8">
        <w:rPr>
          <w:sz w:val="24"/>
          <w:szCs w:val="24"/>
        </w:rPr>
        <w:t>, and the multiplication of th</w:t>
      </w:r>
      <w:r w:rsidR="00862C09">
        <w:rPr>
          <w:sz w:val="24"/>
          <w:szCs w:val="24"/>
        </w:rPr>
        <w:t>e</w:t>
      </w:r>
      <w:r w:rsidR="00F058F8">
        <w:rPr>
          <w:sz w:val="24"/>
          <w:szCs w:val="24"/>
        </w:rPr>
        <w:t xml:space="preserve"> </w:t>
      </w:r>
      <w:r w:rsidR="00862C09">
        <w:rPr>
          <w:sz w:val="24"/>
          <w:szCs w:val="24"/>
        </w:rPr>
        <w:t>result</w:t>
      </w:r>
      <w:r w:rsidR="00F058F8">
        <w:rPr>
          <w:sz w:val="24"/>
          <w:szCs w:val="24"/>
        </w:rPr>
        <w:t xml:space="preserve"> (where it is positive) by the ‘</w:t>
      </w:r>
      <w:r w:rsidR="00F058F8" w:rsidRPr="00F058F8">
        <w:rPr>
          <w:sz w:val="24"/>
          <w:szCs w:val="24"/>
        </w:rPr>
        <w:t>project allocation factor</w:t>
      </w:r>
      <w:r w:rsidR="00F058F8">
        <w:rPr>
          <w:sz w:val="24"/>
          <w:szCs w:val="24"/>
        </w:rPr>
        <w:t xml:space="preserve">’ </w:t>
      </w:r>
      <w:r w:rsidR="00862C09">
        <w:rPr>
          <w:sz w:val="24"/>
          <w:szCs w:val="24"/>
        </w:rPr>
        <w:t>calculated</w:t>
      </w:r>
      <w:r w:rsidR="00F058F8">
        <w:rPr>
          <w:sz w:val="24"/>
          <w:szCs w:val="24"/>
        </w:rPr>
        <w:t xml:space="preserve"> under subsection (6). </w:t>
      </w:r>
    </w:p>
    <w:p w14:paraId="631D1EFF" w14:textId="00654D3C" w:rsidR="009B7E4C" w:rsidRPr="00C9682F" w:rsidRDefault="00C9682F" w:rsidP="009B7E4C">
      <w:pPr>
        <w:pStyle w:val="subsection"/>
        <w:spacing w:before="120" w:after="120"/>
        <w:ind w:left="0" w:firstLine="0"/>
      </w:pPr>
      <w:r>
        <w:t>Subsection 4</w:t>
      </w:r>
      <w:r w:rsidR="00B44419">
        <w:t>1</w:t>
      </w:r>
      <w:r>
        <w:t xml:space="preserve">(5) </w:t>
      </w:r>
      <w:r w:rsidR="009B7E4C">
        <w:rPr>
          <w:sz w:val="24"/>
          <w:szCs w:val="24"/>
        </w:rPr>
        <w:t xml:space="preserve">provides that the </w:t>
      </w:r>
      <w:r w:rsidR="009B7E4C" w:rsidRPr="009B7E4C">
        <w:rPr>
          <w:sz w:val="24"/>
          <w:szCs w:val="24"/>
        </w:rPr>
        <w:t>direct leakage baseline harvest level (in cubic metres, m</w:t>
      </w:r>
      <w:r w:rsidR="009B7E4C" w:rsidRPr="009B7E4C">
        <w:rPr>
          <w:sz w:val="24"/>
          <w:szCs w:val="24"/>
          <w:vertAlign w:val="superscript"/>
        </w:rPr>
        <w:t>3</w:t>
      </w:r>
      <w:r w:rsidR="009B7E4C" w:rsidRPr="009B7E4C">
        <w:rPr>
          <w:sz w:val="24"/>
          <w:szCs w:val="24"/>
        </w:rPr>
        <w:t xml:space="preserve">) </w:t>
      </w:r>
      <w:r w:rsidR="0011430F">
        <w:rPr>
          <w:sz w:val="24"/>
          <w:szCs w:val="24"/>
        </w:rPr>
        <w:t xml:space="preserve">for the reporting period </w:t>
      </w:r>
      <w:r w:rsidR="009B7E4C" w:rsidRPr="009B7E4C">
        <w:rPr>
          <w:sz w:val="24"/>
          <w:szCs w:val="24"/>
        </w:rPr>
        <w:t>is the lower of:</w:t>
      </w:r>
    </w:p>
    <w:p w14:paraId="271AA387" w14:textId="77527045" w:rsidR="009B7E4C" w:rsidRDefault="009B7E4C" w:rsidP="009D5A62">
      <w:pPr>
        <w:pStyle w:val="subsection"/>
        <w:numPr>
          <w:ilvl w:val="0"/>
          <w:numId w:val="66"/>
        </w:numPr>
        <w:spacing w:before="120" w:after="120"/>
        <w:rPr>
          <w:sz w:val="24"/>
          <w:szCs w:val="24"/>
        </w:rPr>
      </w:pPr>
      <w:r w:rsidRPr="009B7E4C">
        <w:rPr>
          <w:sz w:val="24"/>
          <w:szCs w:val="24"/>
        </w:rPr>
        <w:t xml:space="preserve">the average volume of wood </w:t>
      </w:r>
      <w:r w:rsidR="00736A95">
        <w:t>(in cubic metres, m</w:t>
      </w:r>
      <w:r w:rsidR="00736A95" w:rsidRPr="00983E2B">
        <w:rPr>
          <w:vertAlign w:val="superscript"/>
        </w:rPr>
        <w:t>3</w:t>
      </w:r>
      <w:r w:rsidR="00736A95" w:rsidRPr="00E96796">
        <w:t xml:space="preserve"> </w:t>
      </w:r>
      <w:r w:rsidR="00736A95">
        <w:t xml:space="preserve">per month) </w:t>
      </w:r>
      <w:r w:rsidRPr="009B7E4C">
        <w:rPr>
          <w:sz w:val="24"/>
          <w:szCs w:val="24"/>
        </w:rPr>
        <w:t xml:space="preserve">extracted from the excluded sections of the public </w:t>
      </w:r>
      <w:r w:rsidRPr="0001150D">
        <w:rPr>
          <w:sz w:val="24"/>
          <w:szCs w:val="24"/>
        </w:rPr>
        <w:t>native forest estate over the baseline period (determined in accordance with Division 5.</w:t>
      </w:r>
      <w:r w:rsidR="00A60861">
        <w:rPr>
          <w:sz w:val="24"/>
          <w:szCs w:val="24"/>
        </w:rPr>
        <w:t>4</w:t>
      </w:r>
      <w:r w:rsidRPr="0001150D">
        <w:rPr>
          <w:sz w:val="24"/>
          <w:szCs w:val="24"/>
        </w:rPr>
        <w:t>)</w:t>
      </w:r>
      <w:r w:rsidR="00736A95" w:rsidRPr="0001150D">
        <w:rPr>
          <w:sz w:val="24"/>
          <w:szCs w:val="24"/>
        </w:rPr>
        <w:t xml:space="preserve">, </w:t>
      </w:r>
      <w:r w:rsidR="0001150D" w:rsidRPr="0001150D">
        <w:rPr>
          <w:sz w:val="24"/>
          <w:szCs w:val="24"/>
        </w:rPr>
        <w:t>multiplied by the number of months in the reporting period</w:t>
      </w:r>
      <w:r w:rsidRPr="009B7E4C">
        <w:rPr>
          <w:sz w:val="24"/>
          <w:szCs w:val="24"/>
        </w:rPr>
        <w:t>;</w:t>
      </w:r>
      <w:r>
        <w:rPr>
          <w:sz w:val="24"/>
          <w:szCs w:val="24"/>
        </w:rPr>
        <w:t xml:space="preserve"> and</w:t>
      </w:r>
    </w:p>
    <w:p w14:paraId="0FDA9904" w14:textId="07418418" w:rsidR="0003732E" w:rsidRDefault="009B7E4C" w:rsidP="009D5A62">
      <w:pPr>
        <w:pStyle w:val="subsection"/>
        <w:numPr>
          <w:ilvl w:val="0"/>
          <w:numId w:val="66"/>
        </w:numPr>
        <w:spacing w:before="120" w:after="120"/>
        <w:rPr>
          <w:sz w:val="24"/>
          <w:szCs w:val="24"/>
        </w:rPr>
      </w:pPr>
      <w:r w:rsidRPr="009B7E4C">
        <w:rPr>
          <w:sz w:val="24"/>
          <w:szCs w:val="24"/>
        </w:rPr>
        <w:t xml:space="preserve">the modified sustainable yield for </w:t>
      </w:r>
      <w:r>
        <w:rPr>
          <w:sz w:val="24"/>
          <w:szCs w:val="24"/>
        </w:rPr>
        <w:t xml:space="preserve">the excluded sections of the public native forest estate </w:t>
      </w:r>
      <w:r w:rsidR="00ED5B1B">
        <w:rPr>
          <w:sz w:val="24"/>
          <w:szCs w:val="24"/>
        </w:rPr>
        <w:t xml:space="preserve">over the reporting period </w:t>
      </w:r>
      <w:r>
        <w:rPr>
          <w:sz w:val="24"/>
          <w:szCs w:val="24"/>
        </w:rPr>
        <w:t>(</w:t>
      </w:r>
      <w:r w:rsidRPr="009B7E4C">
        <w:rPr>
          <w:sz w:val="24"/>
          <w:szCs w:val="24"/>
        </w:rPr>
        <w:t>determined in accordance with Division 5.</w:t>
      </w:r>
      <w:r w:rsidR="00A60861">
        <w:rPr>
          <w:sz w:val="24"/>
          <w:szCs w:val="24"/>
        </w:rPr>
        <w:t>4</w:t>
      </w:r>
      <w:r>
        <w:rPr>
          <w:sz w:val="24"/>
          <w:szCs w:val="24"/>
        </w:rPr>
        <w:t>)</w:t>
      </w:r>
      <w:r w:rsidRPr="009B7E4C">
        <w:rPr>
          <w:sz w:val="24"/>
          <w:szCs w:val="24"/>
        </w:rPr>
        <w:t>.</w:t>
      </w:r>
    </w:p>
    <w:p w14:paraId="5DC94ABD" w14:textId="1E953DB2" w:rsidR="00ED5B1B" w:rsidRDefault="00ED5B1B" w:rsidP="00E11118">
      <w:pPr>
        <w:pStyle w:val="subsection"/>
        <w:spacing w:before="120" w:after="120"/>
        <w:ind w:left="0" w:firstLine="0"/>
        <w:rPr>
          <w:sz w:val="24"/>
          <w:szCs w:val="24"/>
        </w:rPr>
      </w:pPr>
      <w:r>
        <w:t>Subsection 4</w:t>
      </w:r>
      <w:r w:rsidR="00A60861">
        <w:t>1</w:t>
      </w:r>
      <w:r>
        <w:t xml:space="preserve">(6) </w:t>
      </w:r>
      <w:r w:rsidR="00545881">
        <w:rPr>
          <w:sz w:val="24"/>
          <w:szCs w:val="24"/>
        </w:rPr>
        <w:t xml:space="preserve">contains the equation </w:t>
      </w:r>
      <w:r w:rsidR="00A220A7">
        <w:rPr>
          <w:sz w:val="24"/>
          <w:szCs w:val="24"/>
        </w:rPr>
        <w:t>(Equation 1</w:t>
      </w:r>
      <w:r w:rsidR="00916304">
        <w:rPr>
          <w:sz w:val="24"/>
          <w:szCs w:val="24"/>
        </w:rPr>
        <w:t>4</w:t>
      </w:r>
      <w:r w:rsidR="00A220A7">
        <w:rPr>
          <w:sz w:val="24"/>
          <w:szCs w:val="24"/>
        </w:rPr>
        <w:t xml:space="preserve">) </w:t>
      </w:r>
      <w:r w:rsidR="00545881">
        <w:rPr>
          <w:sz w:val="24"/>
          <w:szCs w:val="24"/>
        </w:rPr>
        <w:t xml:space="preserve">for the calculation of the </w:t>
      </w:r>
      <w:r w:rsidR="00545881" w:rsidRPr="00545881">
        <w:rPr>
          <w:sz w:val="24"/>
          <w:szCs w:val="24"/>
        </w:rPr>
        <w:t>project allocation factor (AF)</w:t>
      </w:r>
      <w:r w:rsidR="00862C09">
        <w:rPr>
          <w:sz w:val="24"/>
          <w:szCs w:val="24"/>
        </w:rPr>
        <w:t>.</w:t>
      </w:r>
      <w:r w:rsidR="00545881" w:rsidRPr="00545881">
        <w:rPr>
          <w:sz w:val="24"/>
          <w:szCs w:val="24"/>
        </w:rPr>
        <w:t xml:space="preserve"> </w:t>
      </w:r>
      <w:r w:rsidR="00EF5746">
        <w:rPr>
          <w:sz w:val="24"/>
          <w:szCs w:val="24"/>
        </w:rPr>
        <w:t xml:space="preserve">The project allocation factor </w:t>
      </w:r>
      <w:r w:rsidR="00545881" w:rsidRPr="00545881">
        <w:rPr>
          <w:sz w:val="24"/>
          <w:szCs w:val="24"/>
        </w:rPr>
        <w:t xml:space="preserve">represents the proportion of the exceedance volume for the relevant forests (if any) that is attributable to each </w:t>
      </w:r>
      <w:r w:rsidR="00EF5746">
        <w:rPr>
          <w:sz w:val="24"/>
          <w:szCs w:val="24"/>
        </w:rPr>
        <w:t xml:space="preserve">INFM project in the State. </w:t>
      </w:r>
      <w:r w:rsidR="00A220A7">
        <w:rPr>
          <w:sz w:val="24"/>
          <w:szCs w:val="24"/>
        </w:rPr>
        <w:t xml:space="preserve">The allocation factor is based on the </w:t>
      </w:r>
      <w:r w:rsidR="009B6F67" w:rsidRPr="009B6F67">
        <w:rPr>
          <w:sz w:val="24"/>
          <w:szCs w:val="24"/>
        </w:rPr>
        <w:t xml:space="preserve">volume of wood extracted from the public native forests in the </w:t>
      </w:r>
      <w:r w:rsidR="002F76E8">
        <w:rPr>
          <w:sz w:val="24"/>
          <w:szCs w:val="24"/>
        </w:rPr>
        <w:t xml:space="preserve">relevant </w:t>
      </w:r>
      <w:r w:rsidR="009B6F67" w:rsidRPr="009B6F67">
        <w:rPr>
          <w:sz w:val="24"/>
          <w:szCs w:val="24"/>
        </w:rPr>
        <w:t>project area</w:t>
      </w:r>
      <w:r w:rsidR="002F76E8">
        <w:rPr>
          <w:sz w:val="24"/>
          <w:szCs w:val="24"/>
        </w:rPr>
        <w:t>s</w:t>
      </w:r>
      <w:r w:rsidR="009B6F67" w:rsidRPr="009B6F67">
        <w:rPr>
          <w:sz w:val="24"/>
          <w:szCs w:val="24"/>
        </w:rPr>
        <w:t xml:space="preserve"> in the 10-year period before the end of the last financial year before the application was made </w:t>
      </w:r>
      <w:r w:rsidR="00737F75">
        <w:rPr>
          <w:sz w:val="24"/>
          <w:szCs w:val="24"/>
        </w:rPr>
        <w:t xml:space="preserve">for the registration of the first INFM project in the State and the number of months </w:t>
      </w:r>
      <w:r w:rsidR="00A3724F">
        <w:rPr>
          <w:sz w:val="24"/>
          <w:szCs w:val="24"/>
        </w:rPr>
        <w:t xml:space="preserve">each </w:t>
      </w:r>
      <w:r w:rsidR="00282C87">
        <w:rPr>
          <w:sz w:val="24"/>
          <w:szCs w:val="24"/>
        </w:rPr>
        <w:t xml:space="preserve">INFM </w:t>
      </w:r>
      <w:r w:rsidR="00A3724F">
        <w:rPr>
          <w:sz w:val="24"/>
          <w:szCs w:val="24"/>
        </w:rPr>
        <w:t xml:space="preserve">project was registered </w:t>
      </w:r>
      <w:r w:rsidR="0013030B">
        <w:rPr>
          <w:sz w:val="24"/>
          <w:szCs w:val="24"/>
        </w:rPr>
        <w:t xml:space="preserve">over the reporting period. </w:t>
      </w:r>
    </w:p>
    <w:p w14:paraId="1B5BCD71" w14:textId="0F92CA2F" w:rsidR="007F616C" w:rsidRDefault="007F616C" w:rsidP="003017C9">
      <w:pPr>
        <w:pStyle w:val="subsection"/>
        <w:spacing w:before="120" w:after="120"/>
        <w:ind w:left="0" w:firstLine="0"/>
        <w:rPr>
          <w:sz w:val="24"/>
          <w:szCs w:val="24"/>
        </w:rPr>
      </w:pPr>
      <w:r>
        <w:rPr>
          <w:sz w:val="24"/>
          <w:szCs w:val="24"/>
        </w:rPr>
        <w:t>Subsection 4</w:t>
      </w:r>
      <w:r w:rsidR="00597474">
        <w:rPr>
          <w:sz w:val="24"/>
          <w:szCs w:val="24"/>
        </w:rPr>
        <w:t>1</w:t>
      </w:r>
      <w:r>
        <w:rPr>
          <w:sz w:val="24"/>
          <w:szCs w:val="24"/>
        </w:rPr>
        <w:t xml:space="preserve">(7) </w:t>
      </w:r>
      <w:r w:rsidR="00E974ED">
        <w:rPr>
          <w:sz w:val="24"/>
          <w:szCs w:val="24"/>
        </w:rPr>
        <w:t xml:space="preserve">contains rules governing situations </w:t>
      </w:r>
      <w:r w:rsidR="00F30CA7">
        <w:rPr>
          <w:sz w:val="24"/>
          <w:szCs w:val="24"/>
        </w:rPr>
        <w:t>where</w:t>
      </w:r>
      <w:r w:rsidR="00E974ED" w:rsidRPr="00E974ED">
        <w:rPr>
          <w:sz w:val="24"/>
          <w:szCs w:val="24"/>
        </w:rPr>
        <w:t xml:space="preserve"> public native forests are included in an </w:t>
      </w:r>
      <w:r w:rsidR="00F30CA7">
        <w:rPr>
          <w:sz w:val="24"/>
          <w:szCs w:val="24"/>
        </w:rPr>
        <w:t xml:space="preserve">INFM project </w:t>
      </w:r>
      <w:r w:rsidR="00E974ED" w:rsidRPr="00E974ED">
        <w:rPr>
          <w:sz w:val="24"/>
          <w:szCs w:val="24"/>
        </w:rPr>
        <w:t>during the reporting period</w:t>
      </w:r>
      <w:r w:rsidR="00F30CA7">
        <w:rPr>
          <w:sz w:val="24"/>
          <w:szCs w:val="24"/>
        </w:rPr>
        <w:t xml:space="preserve"> of a project. </w:t>
      </w:r>
      <w:r w:rsidR="003017C9">
        <w:rPr>
          <w:sz w:val="24"/>
          <w:szCs w:val="24"/>
        </w:rPr>
        <w:t>Subsection 4</w:t>
      </w:r>
      <w:r w:rsidR="00597474">
        <w:rPr>
          <w:sz w:val="24"/>
          <w:szCs w:val="24"/>
        </w:rPr>
        <w:t>1</w:t>
      </w:r>
      <w:r w:rsidR="003017C9">
        <w:rPr>
          <w:sz w:val="24"/>
          <w:szCs w:val="24"/>
        </w:rPr>
        <w:t>(7)(a) specifies that t</w:t>
      </w:r>
      <w:r w:rsidR="003017C9" w:rsidRPr="003017C9">
        <w:rPr>
          <w:sz w:val="24"/>
          <w:szCs w:val="24"/>
        </w:rPr>
        <w:t xml:space="preserve">he direct leakage baseline harvest level and exceedance volume must be calculated separately for the periods before and after the date the relevant public native forests were included in the </w:t>
      </w:r>
      <w:r w:rsidR="003017C9">
        <w:rPr>
          <w:sz w:val="24"/>
          <w:szCs w:val="24"/>
        </w:rPr>
        <w:t>new INFM project. Subsection 4</w:t>
      </w:r>
      <w:r w:rsidR="00597474">
        <w:rPr>
          <w:sz w:val="24"/>
          <w:szCs w:val="24"/>
        </w:rPr>
        <w:t>1</w:t>
      </w:r>
      <w:r w:rsidR="003017C9">
        <w:rPr>
          <w:sz w:val="24"/>
          <w:szCs w:val="24"/>
        </w:rPr>
        <w:t xml:space="preserve">(7)(b) </w:t>
      </w:r>
      <w:r w:rsidR="002112E0">
        <w:rPr>
          <w:sz w:val="24"/>
          <w:szCs w:val="24"/>
        </w:rPr>
        <w:t xml:space="preserve">provides that, for </w:t>
      </w:r>
      <w:r w:rsidR="003017C9" w:rsidRPr="003017C9">
        <w:rPr>
          <w:sz w:val="24"/>
          <w:szCs w:val="24"/>
        </w:rPr>
        <w:t xml:space="preserve">the period before this date, the relevant public native forests must be </w:t>
      </w:r>
      <w:r w:rsidR="003017C9" w:rsidRPr="000577BC">
        <w:rPr>
          <w:sz w:val="24"/>
          <w:szCs w:val="24"/>
          <w:u w:val="single"/>
        </w:rPr>
        <w:t>included</w:t>
      </w:r>
      <w:r w:rsidR="003017C9" w:rsidRPr="003017C9">
        <w:rPr>
          <w:sz w:val="24"/>
          <w:szCs w:val="24"/>
        </w:rPr>
        <w:t xml:space="preserve"> in the calculation of the direct leakage baseline harvest level and the volume of wood extracted from these forests in the reporting period must be </w:t>
      </w:r>
      <w:r w:rsidR="003017C9" w:rsidRPr="000577BC">
        <w:rPr>
          <w:sz w:val="24"/>
          <w:szCs w:val="24"/>
          <w:u w:val="single"/>
        </w:rPr>
        <w:t>included</w:t>
      </w:r>
      <w:r w:rsidR="003017C9" w:rsidRPr="003017C9">
        <w:rPr>
          <w:sz w:val="24"/>
          <w:szCs w:val="24"/>
        </w:rPr>
        <w:t xml:space="preserve"> in the calculation of the exceedance volume.</w:t>
      </w:r>
      <w:r w:rsidR="00A1664B">
        <w:rPr>
          <w:sz w:val="24"/>
          <w:szCs w:val="24"/>
        </w:rPr>
        <w:t xml:space="preserve"> </w:t>
      </w:r>
      <w:r w:rsidR="0097167A">
        <w:rPr>
          <w:sz w:val="24"/>
          <w:szCs w:val="24"/>
        </w:rPr>
        <w:t>Subsection 4</w:t>
      </w:r>
      <w:r w:rsidR="00597474">
        <w:rPr>
          <w:sz w:val="24"/>
          <w:szCs w:val="24"/>
        </w:rPr>
        <w:t>1</w:t>
      </w:r>
      <w:r w:rsidR="0097167A">
        <w:rPr>
          <w:sz w:val="24"/>
          <w:szCs w:val="24"/>
        </w:rPr>
        <w:t>(7)</w:t>
      </w:r>
      <w:r w:rsidR="003017C9" w:rsidRPr="003017C9">
        <w:rPr>
          <w:sz w:val="24"/>
          <w:szCs w:val="24"/>
        </w:rPr>
        <w:t>(c)</w:t>
      </w:r>
      <w:r w:rsidR="0097167A">
        <w:rPr>
          <w:sz w:val="24"/>
          <w:szCs w:val="24"/>
        </w:rPr>
        <w:t xml:space="preserve"> </w:t>
      </w:r>
      <w:r w:rsidR="000577BC">
        <w:rPr>
          <w:sz w:val="24"/>
          <w:szCs w:val="24"/>
        </w:rPr>
        <w:t>provides that, f</w:t>
      </w:r>
      <w:r w:rsidR="003017C9" w:rsidRPr="003017C9">
        <w:rPr>
          <w:sz w:val="24"/>
          <w:szCs w:val="24"/>
        </w:rPr>
        <w:t xml:space="preserve">or the period after this date, the relevant public native forests and the volume of wood extracted from these forests must be </w:t>
      </w:r>
      <w:r w:rsidR="003017C9" w:rsidRPr="000577BC">
        <w:rPr>
          <w:sz w:val="24"/>
          <w:szCs w:val="24"/>
          <w:u w:val="single"/>
        </w:rPr>
        <w:t>excluded</w:t>
      </w:r>
      <w:r w:rsidR="003017C9" w:rsidRPr="003017C9">
        <w:rPr>
          <w:sz w:val="24"/>
          <w:szCs w:val="24"/>
        </w:rPr>
        <w:t xml:space="preserve"> from the calculation of the direct leakage baseline harvest level and exceedance volume.</w:t>
      </w:r>
      <w:r w:rsidR="00AA7329">
        <w:rPr>
          <w:sz w:val="24"/>
          <w:szCs w:val="24"/>
        </w:rPr>
        <w:t xml:space="preserve"> Subsection 4</w:t>
      </w:r>
      <w:r w:rsidR="00597474">
        <w:rPr>
          <w:sz w:val="24"/>
          <w:szCs w:val="24"/>
        </w:rPr>
        <w:t>1</w:t>
      </w:r>
      <w:r w:rsidR="00AA7329">
        <w:rPr>
          <w:sz w:val="24"/>
          <w:szCs w:val="24"/>
        </w:rPr>
        <w:t>(7)</w:t>
      </w:r>
      <w:r w:rsidR="003017C9" w:rsidRPr="003017C9">
        <w:rPr>
          <w:sz w:val="24"/>
          <w:szCs w:val="24"/>
        </w:rPr>
        <w:t>(d)</w:t>
      </w:r>
      <w:r w:rsidR="00AA7329">
        <w:rPr>
          <w:sz w:val="24"/>
          <w:szCs w:val="24"/>
        </w:rPr>
        <w:t xml:space="preserve"> specifies that t</w:t>
      </w:r>
      <w:r w:rsidR="003017C9" w:rsidRPr="003017C9">
        <w:rPr>
          <w:sz w:val="24"/>
          <w:szCs w:val="24"/>
        </w:rPr>
        <w:t xml:space="preserve">he </w:t>
      </w:r>
      <w:r w:rsidR="003017C9" w:rsidRPr="003017C9">
        <w:rPr>
          <w:sz w:val="24"/>
          <w:szCs w:val="24"/>
        </w:rPr>
        <w:lastRenderedPageBreak/>
        <w:t>exceedance volume for the reporting period must be calculated as the sum of the amounts calculated for the relevant periods.</w:t>
      </w:r>
    </w:p>
    <w:p w14:paraId="2F230C4E" w14:textId="087ACA82" w:rsidR="00937498" w:rsidRPr="005C0864" w:rsidRDefault="00937498" w:rsidP="005A03CB">
      <w:pPr>
        <w:pStyle w:val="subsection"/>
        <w:spacing w:before="120" w:after="120"/>
        <w:ind w:left="0" w:firstLine="0"/>
        <w:rPr>
          <w:sz w:val="24"/>
          <w:szCs w:val="24"/>
        </w:rPr>
      </w:pPr>
      <w:r w:rsidRPr="005C0864">
        <w:rPr>
          <w:sz w:val="24"/>
          <w:szCs w:val="24"/>
        </w:rPr>
        <w:t>Subsection 4</w:t>
      </w:r>
      <w:r w:rsidR="00597474">
        <w:rPr>
          <w:sz w:val="24"/>
          <w:szCs w:val="24"/>
        </w:rPr>
        <w:t>1</w:t>
      </w:r>
      <w:r w:rsidRPr="005C0864">
        <w:rPr>
          <w:sz w:val="24"/>
          <w:szCs w:val="24"/>
        </w:rPr>
        <w:t xml:space="preserve">(8) contains rules governing situations where new areas of public native forest are designated for commercial forestry use after the first INFM project </w:t>
      </w:r>
      <w:r w:rsidR="005C0864" w:rsidRPr="005C0864">
        <w:rPr>
          <w:sz w:val="24"/>
          <w:szCs w:val="24"/>
        </w:rPr>
        <w:t xml:space="preserve">in the State is registered. </w:t>
      </w:r>
      <w:r w:rsidR="005A03CB">
        <w:rPr>
          <w:sz w:val="24"/>
          <w:szCs w:val="24"/>
        </w:rPr>
        <w:t>Subsection 4</w:t>
      </w:r>
      <w:r w:rsidR="00597474">
        <w:rPr>
          <w:sz w:val="24"/>
          <w:szCs w:val="24"/>
        </w:rPr>
        <w:t>1</w:t>
      </w:r>
      <w:r w:rsidR="005A03CB">
        <w:rPr>
          <w:sz w:val="24"/>
          <w:szCs w:val="24"/>
        </w:rPr>
        <w:t>(8)(a) specifies that t</w:t>
      </w:r>
      <w:r w:rsidR="005A03CB" w:rsidRPr="005A03CB">
        <w:rPr>
          <w:sz w:val="24"/>
          <w:szCs w:val="24"/>
        </w:rPr>
        <w:t>he direct leakage baseline harvest level and exceedance volume must be calculated separately for the pre-existing public native forest areas and the new areas.</w:t>
      </w:r>
      <w:r w:rsidR="005A03CB">
        <w:rPr>
          <w:sz w:val="24"/>
          <w:szCs w:val="24"/>
        </w:rPr>
        <w:t xml:space="preserve"> Subsection 4</w:t>
      </w:r>
      <w:r w:rsidR="00597474">
        <w:rPr>
          <w:sz w:val="24"/>
          <w:szCs w:val="24"/>
        </w:rPr>
        <w:t>1</w:t>
      </w:r>
      <w:r w:rsidR="005A03CB">
        <w:rPr>
          <w:sz w:val="24"/>
          <w:szCs w:val="24"/>
        </w:rPr>
        <w:t xml:space="preserve">(8)(b) clarifies that </w:t>
      </w:r>
      <w:r w:rsidR="005A03CB" w:rsidRPr="005A03CB">
        <w:rPr>
          <w:sz w:val="24"/>
          <w:szCs w:val="24"/>
        </w:rPr>
        <w:t>the pre-existing public native forest areas</w:t>
      </w:r>
      <w:r w:rsidR="005372E1">
        <w:rPr>
          <w:sz w:val="24"/>
          <w:szCs w:val="24"/>
        </w:rPr>
        <w:t xml:space="preserve"> </w:t>
      </w:r>
      <w:r w:rsidR="005A03CB" w:rsidRPr="005A03CB">
        <w:rPr>
          <w:sz w:val="24"/>
          <w:szCs w:val="24"/>
        </w:rPr>
        <w:t xml:space="preserve">must be </w:t>
      </w:r>
      <w:r w:rsidR="005A03CB" w:rsidRPr="00B168B4">
        <w:rPr>
          <w:sz w:val="24"/>
          <w:szCs w:val="24"/>
          <w:u w:val="single"/>
        </w:rPr>
        <w:t>included</w:t>
      </w:r>
      <w:r w:rsidR="005A03CB" w:rsidRPr="005A03CB">
        <w:rPr>
          <w:sz w:val="24"/>
          <w:szCs w:val="24"/>
        </w:rPr>
        <w:t xml:space="preserve"> in the calculation of the direct leakage baseline harvest level and the volume of wood extracted from these forests in the reporting period must be </w:t>
      </w:r>
      <w:r w:rsidR="005A03CB" w:rsidRPr="00B168B4">
        <w:rPr>
          <w:sz w:val="24"/>
          <w:szCs w:val="24"/>
          <w:u w:val="single"/>
        </w:rPr>
        <w:t>included</w:t>
      </w:r>
      <w:r w:rsidR="005A03CB" w:rsidRPr="005A03CB">
        <w:rPr>
          <w:sz w:val="24"/>
          <w:szCs w:val="24"/>
        </w:rPr>
        <w:t xml:space="preserve"> in the calculation of the exceedance volume.</w:t>
      </w:r>
      <w:r w:rsidR="005372E1">
        <w:rPr>
          <w:sz w:val="24"/>
          <w:szCs w:val="24"/>
        </w:rPr>
        <w:t xml:space="preserve"> Subsection 4</w:t>
      </w:r>
      <w:r w:rsidR="00597474">
        <w:rPr>
          <w:sz w:val="24"/>
          <w:szCs w:val="24"/>
        </w:rPr>
        <w:t>1</w:t>
      </w:r>
      <w:r w:rsidR="005372E1">
        <w:rPr>
          <w:sz w:val="24"/>
          <w:szCs w:val="24"/>
        </w:rPr>
        <w:t>(8)(c)</w:t>
      </w:r>
      <w:r w:rsidR="00B168B4">
        <w:rPr>
          <w:sz w:val="24"/>
          <w:szCs w:val="24"/>
        </w:rPr>
        <w:t xml:space="preserve"> provides that, f</w:t>
      </w:r>
      <w:r w:rsidR="005A03CB" w:rsidRPr="005A03CB">
        <w:rPr>
          <w:sz w:val="24"/>
          <w:szCs w:val="24"/>
        </w:rPr>
        <w:t xml:space="preserve">or new public native forest areas, the relevant public native forests must be </w:t>
      </w:r>
      <w:r w:rsidR="005A03CB" w:rsidRPr="00B168B4">
        <w:rPr>
          <w:sz w:val="24"/>
          <w:szCs w:val="24"/>
          <w:u w:val="single"/>
        </w:rPr>
        <w:t>excluded</w:t>
      </w:r>
      <w:r w:rsidR="005A03CB" w:rsidRPr="005A03CB">
        <w:rPr>
          <w:sz w:val="24"/>
          <w:szCs w:val="24"/>
        </w:rPr>
        <w:t xml:space="preserve"> from the calculation of the direct leakage baseline harvest level, but the volume of wood extracted from the forests in the reporting period must be </w:t>
      </w:r>
      <w:r w:rsidR="005A03CB" w:rsidRPr="00B168B4">
        <w:rPr>
          <w:sz w:val="24"/>
          <w:szCs w:val="24"/>
          <w:u w:val="single"/>
        </w:rPr>
        <w:t>included</w:t>
      </w:r>
      <w:r w:rsidR="005A03CB" w:rsidRPr="005A03CB">
        <w:rPr>
          <w:sz w:val="24"/>
          <w:szCs w:val="24"/>
        </w:rPr>
        <w:t xml:space="preserve"> in the calculation of the exceedance volume. </w:t>
      </w:r>
      <w:r w:rsidR="00DA2BCE">
        <w:rPr>
          <w:sz w:val="24"/>
          <w:szCs w:val="24"/>
        </w:rPr>
        <w:t xml:space="preserve">The effect of this provision is </w:t>
      </w:r>
      <w:r w:rsidR="00A17DAF">
        <w:rPr>
          <w:sz w:val="24"/>
          <w:szCs w:val="24"/>
        </w:rPr>
        <w:t xml:space="preserve">to set </w:t>
      </w:r>
      <w:r w:rsidR="00DA2BCE">
        <w:rPr>
          <w:sz w:val="24"/>
          <w:szCs w:val="24"/>
        </w:rPr>
        <w:t xml:space="preserve">the </w:t>
      </w:r>
      <w:r w:rsidR="00DA2BCE" w:rsidRPr="005A03CB">
        <w:rPr>
          <w:sz w:val="24"/>
          <w:szCs w:val="24"/>
        </w:rPr>
        <w:t>direct leakage baseline harvest level</w:t>
      </w:r>
      <w:r w:rsidR="00DA2BCE">
        <w:rPr>
          <w:sz w:val="24"/>
          <w:szCs w:val="24"/>
        </w:rPr>
        <w:t xml:space="preserve"> for these new areas </w:t>
      </w:r>
      <w:r w:rsidR="00A17DAF">
        <w:rPr>
          <w:sz w:val="24"/>
          <w:szCs w:val="24"/>
        </w:rPr>
        <w:t>as</w:t>
      </w:r>
      <w:r w:rsidR="00DA2BCE">
        <w:rPr>
          <w:sz w:val="24"/>
          <w:szCs w:val="24"/>
        </w:rPr>
        <w:t xml:space="preserve"> zero</w:t>
      </w:r>
      <w:r w:rsidR="00A17DAF">
        <w:rPr>
          <w:sz w:val="24"/>
          <w:szCs w:val="24"/>
        </w:rPr>
        <w:t>.</w:t>
      </w:r>
      <w:r w:rsidR="00DA2BCE">
        <w:rPr>
          <w:sz w:val="24"/>
          <w:szCs w:val="24"/>
        </w:rPr>
        <w:t xml:space="preserve"> </w:t>
      </w:r>
      <w:r w:rsidR="00A17DAF">
        <w:rPr>
          <w:sz w:val="24"/>
          <w:szCs w:val="24"/>
        </w:rPr>
        <w:t>Subsection 4</w:t>
      </w:r>
      <w:r w:rsidR="00597474">
        <w:rPr>
          <w:sz w:val="24"/>
          <w:szCs w:val="24"/>
        </w:rPr>
        <w:t>1</w:t>
      </w:r>
      <w:r w:rsidR="00A17DAF">
        <w:rPr>
          <w:sz w:val="24"/>
          <w:szCs w:val="24"/>
        </w:rPr>
        <w:t xml:space="preserve">(8)(d) provides that the </w:t>
      </w:r>
      <w:r w:rsidR="005A03CB" w:rsidRPr="005A03CB">
        <w:rPr>
          <w:sz w:val="24"/>
          <w:szCs w:val="24"/>
        </w:rPr>
        <w:t>exceedance volume for the reporting period must be calculated as the sum of the amounts calculated for the pre-existing and new public native forests.</w:t>
      </w:r>
    </w:p>
    <w:p w14:paraId="78173819" w14:textId="712C3497" w:rsidR="003262AF" w:rsidRDefault="00617C56" w:rsidP="003262AF">
      <w:pPr>
        <w:pStyle w:val="subsection"/>
        <w:spacing w:before="120" w:after="120"/>
        <w:ind w:left="0" w:firstLine="0"/>
        <w:rPr>
          <w:sz w:val="24"/>
          <w:szCs w:val="24"/>
        </w:rPr>
      </w:pPr>
      <w:r w:rsidRPr="002C3257">
        <w:rPr>
          <w:sz w:val="24"/>
          <w:szCs w:val="24"/>
        </w:rPr>
        <w:t>Subsection 4</w:t>
      </w:r>
      <w:r w:rsidR="00597474">
        <w:rPr>
          <w:sz w:val="24"/>
          <w:szCs w:val="24"/>
        </w:rPr>
        <w:t>1</w:t>
      </w:r>
      <w:r w:rsidRPr="002C3257">
        <w:rPr>
          <w:sz w:val="24"/>
          <w:szCs w:val="24"/>
        </w:rPr>
        <w:t>(</w:t>
      </w:r>
      <w:r w:rsidR="00A17DAF" w:rsidRPr="002C3257">
        <w:rPr>
          <w:sz w:val="24"/>
          <w:szCs w:val="24"/>
        </w:rPr>
        <w:t>9</w:t>
      </w:r>
      <w:r w:rsidRPr="002C3257">
        <w:rPr>
          <w:sz w:val="24"/>
          <w:szCs w:val="24"/>
        </w:rPr>
        <w:t xml:space="preserve">) </w:t>
      </w:r>
      <w:r w:rsidR="00813366" w:rsidRPr="002C3257">
        <w:rPr>
          <w:sz w:val="24"/>
          <w:szCs w:val="24"/>
        </w:rPr>
        <w:t>contains the rules for calculating the direct leakage deduction</w:t>
      </w:r>
      <w:r w:rsidR="004C7221" w:rsidRPr="002C3257">
        <w:rPr>
          <w:sz w:val="24"/>
          <w:szCs w:val="24"/>
        </w:rPr>
        <w:t xml:space="preserve"> </w:t>
      </w:r>
      <w:r w:rsidR="004C7221" w:rsidRPr="002C3257" w:rsidDel="003A5507">
        <w:rPr>
          <w:sz w:val="24"/>
          <w:szCs w:val="24"/>
        </w:rPr>
        <w:t>(</w:t>
      </w:r>
      <w:proofErr w:type="spellStart"/>
      <w:r w:rsidR="004C7221" w:rsidRPr="002C3257" w:rsidDel="003A5507">
        <w:rPr>
          <w:sz w:val="24"/>
          <w:szCs w:val="24"/>
        </w:rPr>
        <w:t>DLD</w:t>
      </w:r>
      <w:r w:rsidR="004C7221" w:rsidRPr="002C3257" w:rsidDel="003A5507">
        <w:rPr>
          <w:sz w:val="24"/>
          <w:szCs w:val="24"/>
          <w:vertAlign w:val="subscript"/>
        </w:rPr>
        <w:t>i</w:t>
      </w:r>
      <w:proofErr w:type="spellEnd"/>
      <w:r w:rsidR="004C7221" w:rsidRPr="002C3257">
        <w:rPr>
          <w:sz w:val="24"/>
          <w:szCs w:val="24"/>
        </w:rPr>
        <w:t xml:space="preserve"> in Equation </w:t>
      </w:r>
      <w:r w:rsidR="00C50DC6" w:rsidRPr="002C3257">
        <w:rPr>
          <w:sz w:val="24"/>
          <w:szCs w:val="24"/>
        </w:rPr>
        <w:t>1</w:t>
      </w:r>
      <w:r w:rsidR="00154792">
        <w:rPr>
          <w:sz w:val="24"/>
          <w:szCs w:val="24"/>
        </w:rPr>
        <w:t>2</w:t>
      </w:r>
      <w:r w:rsidR="00C50DC6" w:rsidRPr="002C3257">
        <w:rPr>
          <w:sz w:val="24"/>
          <w:szCs w:val="24"/>
        </w:rPr>
        <w:t>)</w:t>
      </w:r>
      <w:r w:rsidR="00813366" w:rsidRPr="002C3257">
        <w:rPr>
          <w:sz w:val="24"/>
          <w:szCs w:val="24"/>
        </w:rPr>
        <w:t xml:space="preserve">, where </w:t>
      </w:r>
      <w:r w:rsidR="0093339B" w:rsidRPr="002C3257">
        <w:rPr>
          <w:sz w:val="24"/>
          <w:szCs w:val="24"/>
        </w:rPr>
        <w:t>a direct leakage deduction applies</w:t>
      </w:r>
      <w:r w:rsidR="00C50DC6" w:rsidRPr="002C3257">
        <w:rPr>
          <w:sz w:val="24"/>
          <w:szCs w:val="24"/>
        </w:rPr>
        <w:t>. Subsection 4</w:t>
      </w:r>
      <w:r w:rsidR="00597474">
        <w:rPr>
          <w:sz w:val="24"/>
          <w:szCs w:val="24"/>
        </w:rPr>
        <w:t>1</w:t>
      </w:r>
      <w:r w:rsidR="00C50DC6" w:rsidRPr="002C3257">
        <w:rPr>
          <w:sz w:val="24"/>
          <w:szCs w:val="24"/>
        </w:rPr>
        <w:t>(9)(a) provides that</w:t>
      </w:r>
      <w:r w:rsidR="00142FF7">
        <w:rPr>
          <w:sz w:val="24"/>
          <w:szCs w:val="24"/>
        </w:rPr>
        <w:t xml:space="preserve"> a </w:t>
      </w:r>
      <w:r w:rsidR="002C3257" w:rsidRPr="002C3257">
        <w:rPr>
          <w:sz w:val="24"/>
          <w:szCs w:val="24"/>
        </w:rPr>
        <w:t>modelled harvested area must be derived by dividing the exceedance volume (calculated under subsection (4)) by the area-weighted average log yield (in m</w:t>
      </w:r>
      <w:r w:rsidR="002C3257" w:rsidRPr="002C3257">
        <w:rPr>
          <w:sz w:val="24"/>
          <w:szCs w:val="24"/>
          <w:vertAlign w:val="superscript"/>
        </w:rPr>
        <w:t>3</w:t>
      </w:r>
      <w:r w:rsidR="002C3257" w:rsidRPr="002C3257">
        <w:rPr>
          <w:sz w:val="24"/>
          <w:szCs w:val="24"/>
        </w:rPr>
        <w:t xml:space="preserve"> per hectare) from the prior period </w:t>
      </w:r>
      <w:proofErr w:type="spellStart"/>
      <w:r w:rsidR="002C3257" w:rsidRPr="002C3257">
        <w:rPr>
          <w:sz w:val="24"/>
          <w:szCs w:val="24"/>
        </w:rPr>
        <w:t>FullCAM</w:t>
      </w:r>
      <w:proofErr w:type="spellEnd"/>
      <w:r w:rsidR="002C3257" w:rsidRPr="002C3257">
        <w:rPr>
          <w:sz w:val="24"/>
          <w:szCs w:val="24"/>
        </w:rPr>
        <w:t xml:space="preserve"> forest estate model developed under section 28</w:t>
      </w:r>
      <w:r w:rsidR="00CE1DF3">
        <w:rPr>
          <w:sz w:val="24"/>
          <w:szCs w:val="24"/>
        </w:rPr>
        <w:t xml:space="preserve">. </w:t>
      </w:r>
      <w:r w:rsidR="00CE1DF3" w:rsidRPr="002C3257">
        <w:rPr>
          <w:sz w:val="24"/>
          <w:szCs w:val="24"/>
        </w:rPr>
        <w:t>Subsection 4</w:t>
      </w:r>
      <w:r w:rsidR="00597474">
        <w:rPr>
          <w:sz w:val="24"/>
          <w:szCs w:val="24"/>
        </w:rPr>
        <w:t>1</w:t>
      </w:r>
      <w:r w:rsidR="00CE1DF3" w:rsidRPr="002C3257">
        <w:rPr>
          <w:sz w:val="24"/>
          <w:szCs w:val="24"/>
        </w:rPr>
        <w:t>(9)(</w:t>
      </w:r>
      <w:r w:rsidR="00CE1DF3">
        <w:rPr>
          <w:sz w:val="24"/>
          <w:szCs w:val="24"/>
        </w:rPr>
        <w:t>b</w:t>
      </w:r>
      <w:r w:rsidR="00CE1DF3" w:rsidRPr="002C3257">
        <w:rPr>
          <w:sz w:val="24"/>
          <w:szCs w:val="24"/>
        </w:rPr>
        <w:t>)</w:t>
      </w:r>
      <w:r w:rsidR="00CE1DF3">
        <w:rPr>
          <w:sz w:val="24"/>
          <w:szCs w:val="24"/>
        </w:rPr>
        <w:t xml:space="preserve"> </w:t>
      </w:r>
      <w:r w:rsidR="00D74B8E">
        <w:rPr>
          <w:sz w:val="24"/>
          <w:szCs w:val="24"/>
        </w:rPr>
        <w:t>specifies that t</w:t>
      </w:r>
      <w:r w:rsidR="00D74B8E" w:rsidRPr="00D74B8E">
        <w:rPr>
          <w:sz w:val="24"/>
          <w:szCs w:val="24"/>
        </w:rPr>
        <w:t>he direct leakage deduction (</w:t>
      </w:r>
      <w:proofErr w:type="spellStart"/>
      <w:r w:rsidR="00D74B8E" w:rsidRPr="00D74B8E">
        <w:rPr>
          <w:sz w:val="24"/>
          <w:szCs w:val="24"/>
        </w:rPr>
        <w:t>DLD</w:t>
      </w:r>
      <w:r w:rsidR="00D74B8E" w:rsidRPr="00D74B8E">
        <w:rPr>
          <w:sz w:val="24"/>
          <w:szCs w:val="24"/>
          <w:vertAlign w:val="subscript"/>
        </w:rPr>
        <w:t>i</w:t>
      </w:r>
      <w:proofErr w:type="spellEnd"/>
      <w:r w:rsidR="00D74B8E" w:rsidRPr="00D74B8E">
        <w:rPr>
          <w:sz w:val="24"/>
          <w:szCs w:val="24"/>
        </w:rPr>
        <w:t xml:space="preserve">) </w:t>
      </w:r>
      <w:r w:rsidR="00D74B8E">
        <w:rPr>
          <w:sz w:val="24"/>
          <w:szCs w:val="24"/>
        </w:rPr>
        <w:t>must be calculated as</w:t>
      </w:r>
      <w:r w:rsidR="00D74B8E" w:rsidRPr="00D74B8E">
        <w:rPr>
          <w:sz w:val="24"/>
          <w:szCs w:val="24"/>
        </w:rPr>
        <w:t xml:space="preserve"> the difference between the net emissions (in tonnes CO</w:t>
      </w:r>
      <w:r w:rsidR="00D74B8E" w:rsidRPr="00D74B8E">
        <w:rPr>
          <w:sz w:val="24"/>
          <w:szCs w:val="24"/>
          <w:vertAlign w:val="subscript"/>
        </w:rPr>
        <w:t>2</w:t>
      </w:r>
      <w:r w:rsidR="00D74B8E" w:rsidRPr="00D74B8E">
        <w:rPr>
          <w:sz w:val="24"/>
          <w:szCs w:val="24"/>
        </w:rPr>
        <w:t xml:space="preserve">-e) from harvesting and not harvesting the modelled harvest area (derived under </w:t>
      </w:r>
      <w:r w:rsidR="0043744D">
        <w:rPr>
          <w:sz w:val="24"/>
          <w:szCs w:val="24"/>
        </w:rPr>
        <w:t>subsection 4</w:t>
      </w:r>
      <w:r w:rsidR="002A587F">
        <w:rPr>
          <w:sz w:val="24"/>
          <w:szCs w:val="24"/>
        </w:rPr>
        <w:t>1</w:t>
      </w:r>
      <w:r w:rsidR="00D74B8E" w:rsidRPr="00D74B8E">
        <w:rPr>
          <w:sz w:val="24"/>
          <w:szCs w:val="24"/>
        </w:rPr>
        <w:t>(</w:t>
      </w:r>
      <w:r w:rsidR="00313225">
        <w:rPr>
          <w:sz w:val="24"/>
          <w:szCs w:val="24"/>
        </w:rPr>
        <w:t>9</w:t>
      </w:r>
      <w:r w:rsidR="00D74B8E" w:rsidRPr="00D74B8E">
        <w:rPr>
          <w:sz w:val="24"/>
          <w:szCs w:val="24"/>
        </w:rPr>
        <w:t>)(</w:t>
      </w:r>
      <w:r w:rsidR="00313225">
        <w:rPr>
          <w:sz w:val="24"/>
          <w:szCs w:val="24"/>
        </w:rPr>
        <w:t>a</w:t>
      </w:r>
      <w:r w:rsidR="00D74B8E" w:rsidRPr="00D74B8E">
        <w:rPr>
          <w:sz w:val="24"/>
          <w:szCs w:val="24"/>
        </w:rPr>
        <w:t>)) over a 5-year simulation period</w:t>
      </w:r>
      <w:r w:rsidR="0043744D">
        <w:rPr>
          <w:sz w:val="24"/>
          <w:szCs w:val="24"/>
        </w:rPr>
        <w:t xml:space="preserve">. This must be calculated using </w:t>
      </w:r>
      <w:r w:rsidR="00675960" w:rsidRPr="002F608C">
        <w:rPr>
          <w:sz w:val="24"/>
          <w:szCs w:val="24"/>
        </w:rPr>
        <w:t xml:space="preserve">Equation </w:t>
      </w:r>
      <w:r w:rsidR="00675960">
        <w:rPr>
          <w:sz w:val="24"/>
          <w:szCs w:val="24"/>
        </w:rPr>
        <w:t>1</w:t>
      </w:r>
      <w:r w:rsidR="00676409">
        <w:rPr>
          <w:sz w:val="24"/>
          <w:szCs w:val="24"/>
        </w:rPr>
        <w:t>5</w:t>
      </w:r>
      <w:r w:rsidR="00AF000C">
        <w:rPr>
          <w:sz w:val="24"/>
          <w:szCs w:val="24"/>
        </w:rPr>
        <w:t xml:space="preserve">, which is provided in subsection </w:t>
      </w:r>
      <w:r w:rsidR="00F52C91" w:rsidRPr="002C3257">
        <w:rPr>
          <w:sz w:val="24"/>
          <w:szCs w:val="24"/>
        </w:rPr>
        <w:t>4</w:t>
      </w:r>
      <w:r w:rsidR="002A587F">
        <w:rPr>
          <w:sz w:val="24"/>
          <w:szCs w:val="24"/>
        </w:rPr>
        <w:t>1</w:t>
      </w:r>
      <w:r w:rsidR="00F52C91" w:rsidRPr="002C3257">
        <w:rPr>
          <w:sz w:val="24"/>
          <w:szCs w:val="24"/>
        </w:rPr>
        <w:t>(9)(</w:t>
      </w:r>
      <w:r w:rsidR="00F52C91">
        <w:rPr>
          <w:sz w:val="24"/>
          <w:szCs w:val="24"/>
        </w:rPr>
        <w:t>b</w:t>
      </w:r>
      <w:r w:rsidR="00F52C91" w:rsidRPr="002C3257">
        <w:rPr>
          <w:sz w:val="24"/>
          <w:szCs w:val="24"/>
        </w:rPr>
        <w:t>)</w:t>
      </w:r>
      <w:r w:rsidR="00AF000C">
        <w:rPr>
          <w:sz w:val="24"/>
          <w:szCs w:val="24"/>
        </w:rPr>
        <w:t xml:space="preserve">. </w:t>
      </w:r>
      <w:r w:rsidR="00BE09F4" w:rsidRPr="003262AF">
        <w:rPr>
          <w:sz w:val="24"/>
          <w:szCs w:val="24"/>
        </w:rPr>
        <w:t xml:space="preserve">Subsection </w:t>
      </w:r>
      <w:r w:rsidR="005A6AF1" w:rsidRPr="002C3257">
        <w:rPr>
          <w:sz w:val="24"/>
          <w:szCs w:val="24"/>
        </w:rPr>
        <w:t>4</w:t>
      </w:r>
      <w:r w:rsidR="002A587F">
        <w:rPr>
          <w:sz w:val="24"/>
          <w:szCs w:val="24"/>
        </w:rPr>
        <w:t>1</w:t>
      </w:r>
      <w:r w:rsidR="005A6AF1" w:rsidRPr="002C3257">
        <w:rPr>
          <w:sz w:val="24"/>
          <w:szCs w:val="24"/>
        </w:rPr>
        <w:t>(9)(</w:t>
      </w:r>
      <w:r w:rsidR="005A6AF1">
        <w:rPr>
          <w:sz w:val="24"/>
          <w:szCs w:val="24"/>
        </w:rPr>
        <w:t>c</w:t>
      </w:r>
      <w:r w:rsidR="005A6AF1" w:rsidRPr="002C3257">
        <w:rPr>
          <w:sz w:val="24"/>
          <w:szCs w:val="24"/>
        </w:rPr>
        <w:t>)</w:t>
      </w:r>
      <w:r w:rsidR="005A6AF1">
        <w:rPr>
          <w:sz w:val="24"/>
          <w:szCs w:val="24"/>
        </w:rPr>
        <w:t xml:space="preserve"> </w:t>
      </w:r>
      <w:r w:rsidR="00F77942">
        <w:rPr>
          <w:sz w:val="24"/>
          <w:szCs w:val="24"/>
        </w:rPr>
        <w:t>specifies how the parameters in</w:t>
      </w:r>
      <w:r w:rsidR="00BE09F4" w:rsidRPr="003262AF">
        <w:rPr>
          <w:sz w:val="24"/>
          <w:szCs w:val="24"/>
        </w:rPr>
        <w:t xml:space="preserve"> Equation 1</w:t>
      </w:r>
      <w:r w:rsidR="00676409">
        <w:rPr>
          <w:sz w:val="24"/>
          <w:szCs w:val="24"/>
        </w:rPr>
        <w:t>5</w:t>
      </w:r>
      <w:r w:rsidR="00F77942">
        <w:rPr>
          <w:sz w:val="24"/>
          <w:szCs w:val="24"/>
        </w:rPr>
        <w:t xml:space="preserve"> must be calculated. </w:t>
      </w:r>
      <w:r w:rsidR="00AC3A69">
        <w:rPr>
          <w:sz w:val="24"/>
          <w:szCs w:val="24"/>
        </w:rPr>
        <w:t xml:space="preserve">The </w:t>
      </w:r>
      <w:r w:rsidR="003262AF" w:rsidRPr="003262AF">
        <w:rPr>
          <w:sz w:val="24"/>
          <w:szCs w:val="24"/>
        </w:rPr>
        <w:t xml:space="preserve">carbon mass of trees and </w:t>
      </w:r>
      <w:r w:rsidR="003262AF" w:rsidRPr="00255A21">
        <w:rPr>
          <w:sz w:val="24"/>
          <w:szCs w:val="24"/>
        </w:rPr>
        <w:t xml:space="preserve">forest debris in the harvest and no-harvest scenarios must be modelled using </w:t>
      </w:r>
      <w:proofErr w:type="spellStart"/>
      <w:r w:rsidR="003262AF" w:rsidRPr="00255A21">
        <w:rPr>
          <w:sz w:val="24"/>
          <w:szCs w:val="24"/>
        </w:rPr>
        <w:t>FullCAM</w:t>
      </w:r>
      <w:proofErr w:type="spellEnd"/>
      <w:r w:rsidR="003262AF" w:rsidRPr="00255A21">
        <w:rPr>
          <w:sz w:val="24"/>
          <w:szCs w:val="24"/>
        </w:rPr>
        <w:t xml:space="preserve"> in accordance with section 3</w:t>
      </w:r>
      <w:r w:rsidR="002A587F">
        <w:rPr>
          <w:sz w:val="24"/>
          <w:szCs w:val="24"/>
        </w:rPr>
        <w:t>4</w:t>
      </w:r>
      <w:r w:rsidR="00AC3A69" w:rsidRPr="00255A21">
        <w:rPr>
          <w:sz w:val="24"/>
          <w:szCs w:val="24"/>
        </w:rPr>
        <w:t>.</w:t>
      </w:r>
      <w:r w:rsidR="003262AF" w:rsidRPr="00255A21">
        <w:rPr>
          <w:sz w:val="24"/>
          <w:szCs w:val="24"/>
        </w:rPr>
        <w:t xml:space="preserve"> </w:t>
      </w:r>
      <w:r w:rsidR="00AC3A69" w:rsidRPr="00255A21">
        <w:rPr>
          <w:sz w:val="24"/>
          <w:szCs w:val="24"/>
        </w:rPr>
        <w:t xml:space="preserve">For these purposes, </w:t>
      </w:r>
      <w:r w:rsidR="002F6239" w:rsidRPr="00255A21">
        <w:rPr>
          <w:sz w:val="24"/>
          <w:szCs w:val="24"/>
        </w:rPr>
        <w:t xml:space="preserve">timber harvesting and post-harvest (slash) burns are the only events that can </w:t>
      </w:r>
      <w:proofErr w:type="gramStart"/>
      <w:r w:rsidR="002F6239" w:rsidRPr="00255A21">
        <w:rPr>
          <w:sz w:val="24"/>
          <w:szCs w:val="24"/>
        </w:rPr>
        <w:t>be modelled</w:t>
      </w:r>
      <w:proofErr w:type="gramEnd"/>
      <w:r w:rsidR="002F6239" w:rsidRPr="00255A21">
        <w:rPr>
          <w:sz w:val="24"/>
          <w:szCs w:val="24"/>
        </w:rPr>
        <w:t xml:space="preserve"> in the harvest </w:t>
      </w:r>
      <w:proofErr w:type="gramStart"/>
      <w:r w:rsidR="002F6239" w:rsidRPr="00255A21">
        <w:rPr>
          <w:sz w:val="24"/>
          <w:szCs w:val="24"/>
        </w:rPr>
        <w:t>scenario</w:t>
      </w:r>
      <w:proofErr w:type="gramEnd"/>
      <w:r w:rsidR="002F6239" w:rsidRPr="00255A21">
        <w:rPr>
          <w:sz w:val="24"/>
          <w:szCs w:val="24"/>
        </w:rPr>
        <w:t xml:space="preserve"> and these events must </w:t>
      </w:r>
      <w:proofErr w:type="gramStart"/>
      <w:r w:rsidR="002F6239" w:rsidRPr="00255A21">
        <w:rPr>
          <w:sz w:val="24"/>
          <w:szCs w:val="24"/>
        </w:rPr>
        <w:t>be removed</w:t>
      </w:r>
      <w:proofErr w:type="gramEnd"/>
      <w:r w:rsidR="002F6239" w:rsidRPr="00255A21">
        <w:rPr>
          <w:sz w:val="24"/>
          <w:szCs w:val="24"/>
        </w:rPr>
        <w:t xml:space="preserve"> in modelling the corresponding no-harvest scenario</w:t>
      </w:r>
      <w:r w:rsidR="009E69C4" w:rsidRPr="00255A21">
        <w:rPr>
          <w:sz w:val="24"/>
          <w:szCs w:val="24"/>
        </w:rPr>
        <w:t xml:space="preserve">. No other events </w:t>
      </w:r>
      <w:r w:rsidR="003262AF" w:rsidRPr="00255A21">
        <w:rPr>
          <w:sz w:val="24"/>
          <w:szCs w:val="24"/>
        </w:rPr>
        <w:t>can be modelled</w:t>
      </w:r>
      <w:r w:rsidR="009E69C4" w:rsidRPr="00255A21">
        <w:rPr>
          <w:sz w:val="24"/>
          <w:szCs w:val="24"/>
        </w:rPr>
        <w:t xml:space="preserve">. </w:t>
      </w:r>
      <w:r w:rsidR="00A12D20" w:rsidRPr="00255A21">
        <w:rPr>
          <w:sz w:val="24"/>
          <w:szCs w:val="24"/>
        </w:rPr>
        <w:t>Subsection 4</w:t>
      </w:r>
      <w:r w:rsidR="00767A02">
        <w:rPr>
          <w:sz w:val="24"/>
          <w:szCs w:val="24"/>
        </w:rPr>
        <w:t>1</w:t>
      </w:r>
      <w:r w:rsidR="00A12D20" w:rsidRPr="00255A21">
        <w:rPr>
          <w:sz w:val="24"/>
          <w:szCs w:val="24"/>
        </w:rPr>
        <w:t>(</w:t>
      </w:r>
      <w:r w:rsidR="00F40945">
        <w:rPr>
          <w:sz w:val="24"/>
          <w:szCs w:val="24"/>
        </w:rPr>
        <w:t>9</w:t>
      </w:r>
      <w:r w:rsidR="00A12D20" w:rsidRPr="00255A21">
        <w:rPr>
          <w:sz w:val="24"/>
          <w:szCs w:val="24"/>
        </w:rPr>
        <w:t>)(c)</w:t>
      </w:r>
      <w:r w:rsidR="00F40945">
        <w:rPr>
          <w:sz w:val="24"/>
          <w:szCs w:val="24"/>
        </w:rPr>
        <w:t>(iii)</w:t>
      </w:r>
      <w:r w:rsidR="00A12D20" w:rsidRPr="00255A21">
        <w:rPr>
          <w:sz w:val="24"/>
          <w:szCs w:val="24"/>
        </w:rPr>
        <w:t xml:space="preserve"> ensures relevant </w:t>
      </w:r>
      <w:r w:rsidR="003262AF" w:rsidRPr="00255A21">
        <w:rPr>
          <w:bCs/>
          <w:sz w:val="24"/>
          <w:szCs w:val="24"/>
        </w:rPr>
        <w:t>references to the baseline and</w:t>
      </w:r>
      <w:r w:rsidR="003262AF" w:rsidRPr="003262AF">
        <w:rPr>
          <w:bCs/>
          <w:sz w:val="24"/>
          <w:szCs w:val="24"/>
        </w:rPr>
        <w:t xml:space="preserve"> project scenarios in Equations 2, 3, 4, 5, 6 and 7, and section 3</w:t>
      </w:r>
      <w:r w:rsidR="00767A02">
        <w:rPr>
          <w:bCs/>
          <w:sz w:val="24"/>
          <w:szCs w:val="24"/>
        </w:rPr>
        <w:t>4</w:t>
      </w:r>
      <w:r w:rsidR="003262AF" w:rsidRPr="003262AF">
        <w:rPr>
          <w:bCs/>
          <w:sz w:val="24"/>
          <w:szCs w:val="24"/>
        </w:rPr>
        <w:t xml:space="preserve">, </w:t>
      </w:r>
      <w:r w:rsidR="00A12D20">
        <w:rPr>
          <w:bCs/>
          <w:sz w:val="24"/>
          <w:szCs w:val="24"/>
        </w:rPr>
        <w:t>are</w:t>
      </w:r>
      <w:r w:rsidR="003262AF" w:rsidRPr="003262AF">
        <w:rPr>
          <w:bCs/>
          <w:sz w:val="24"/>
          <w:szCs w:val="24"/>
        </w:rPr>
        <w:t xml:space="preserve"> taken to mean the harvest (baseline) and no harvest (project) scenarios respectively</w:t>
      </w:r>
      <w:r w:rsidR="00750A97">
        <w:rPr>
          <w:sz w:val="24"/>
          <w:szCs w:val="24"/>
        </w:rPr>
        <w:t>. Subsection 4</w:t>
      </w:r>
      <w:r w:rsidR="00224CB4">
        <w:rPr>
          <w:sz w:val="24"/>
          <w:szCs w:val="24"/>
        </w:rPr>
        <w:t>1</w:t>
      </w:r>
      <w:r w:rsidR="00750A97">
        <w:rPr>
          <w:sz w:val="24"/>
          <w:szCs w:val="24"/>
        </w:rPr>
        <w:t>(</w:t>
      </w:r>
      <w:r w:rsidR="00E57101">
        <w:rPr>
          <w:sz w:val="24"/>
          <w:szCs w:val="24"/>
        </w:rPr>
        <w:t>9</w:t>
      </w:r>
      <w:r w:rsidR="00750A97">
        <w:rPr>
          <w:sz w:val="24"/>
          <w:szCs w:val="24"/>
        </w:rPr>
        <w:t>)(</w:t>
      </w:r>
      <w:r w:rsidR="00E57101">
        <w:rPr>
          <w:sz w:val="24"/>
          <w:szCs w:val="24"/>
        </w:rPr>
        <w:t>c</w:t>
      </w:r>
      <w:r w:rsidR="00750A97">
        <w:rPr>
          <w:sz w:val="24"/>
          <w:szCs w:val="24"/>
        </w:rPr>
        <w:t>)</w:t>
      </w:r>
      <w:r w:rsidR="00E57101">
        <w:rPr>
          <w:sz w:val="24"/>
          <w:szCs w:val="24"/>
        </w:rPr>
        <w:t>(iv)</w:t>
      </w:r>
      <w:r w:rsidR="00750A97">
        <w:rPr>
          <w:sz w:val="24"/>
          <w:szCs w:val="24"/>
        </w:rPr>
        <w:t xml:space="preserve"> </w:t>
      </w:r>
      <w:r w:rsidR="00CB1A78">
        <w:rPr>
          <w:sz w:val="24"/>
          <w:szCs w:val="24"/>
        </w:rPr>
        <w:t xml:space="preserve">clarifies that </w:t>
      </w:r>
      <w:r w:rsidR="003262AF" w:rsidRPr="003262AF">
        <w:rPr>
          <w:bCs/>
          <w:sz w:val="24"/>
          <w:szCs w:val="24"/>
        </w:rPr>
        <w:t xml:space="preserve">references to the reporting period </w:t>
      </w:r>
      <w:r w:rsidR="00676409" w:rsidRPr="003262AF">
        <w:rPr>
          <w:bCs/>
          <w:sz w:val="24"/>
          <w:szCs w:val="24"/>
        </w:rPr>
        <w:t>in Equations 2, 3, 4, 5, 6 and 7, and section 3</w:t>
      </w:r>
      <w:r w:rsidR="00676409">
        <w:rPr>
          <w:bCs/>
          <w:sz w:val="24"/>
          <w:szCs w:val="24"/>
        </w:rPr>
        <w:t>4</w:t>
      </w:r>
      <w:r w:rsidR="00676409" w:rsidRPr="003262AF">
        <w:rPr>
          <w:bCs/>
          <w:sz w:val="24"/>
          <w:szCs w:val="24"/>
        </w:rPr>
        <w:t xml:space="preserve">, </w:t>
      </w:r>
      <w:r w:rsidR="003262AF" w:rsidRPr="003262AF">
        <w:rPr>
          <w:bCs/>
          <w:sz w:val="24"/>
          <w:szCs w:val="24"/>
        </w:rPr>
        <w:t>must be taken to mean the 5-year simulation period</w:t>
      </w:r>
      <w:r w:rsidR="003262AF" w:rsidRPr="003262AF">
        <w:rPr>
          <w:sz w:val="24"/>
          <w:szCs w:val="24"/>
        </w:rPr>
        <w:t>.</w:t>
      </w:r>
    </w:p>
    <w:p w14:paraId="5F1F97C5" w14:textId="56CE4692" w:rsidR="00886609" w:rsidRDefault="00886609" w:rsidP="003262AF">
      <w:pPr>
        <w:pStyle w:val="subsection"/>
        <w:spacing w:before="120" w:after="120"/>
        <w:ind w:left="0" w:firstLine="0"/>
        <w:rPr>
          <w:sz w:val="24"/>
          <w:szCs w:val="24"/>
        </w:rPr>
      </w:pPr>
      <w:r>
        <w:rPr>
          <w:sz w:val="24"/>
          <w:szCs w:val="24"/>
        </w:rPr>
        <w:t xml:space="preserve">The use of a 5-year simulation period for these purposes </w:t>
      </w:r>
      <w:r w:rsidR="00994703">
        <w:rPr>
          <w:sz w:val="24"/>
          <w:szCs w:val="24"/>
        </w:rPr>
        <w:t xml:space="preserve">is conservative as it </w:t>
      </w:r>
      <w:r w:rsidR="00D30055">
        <w:rPr>
          <w:sz w:val="24"/>
          <w:szCs w:val="24"/>
        </w:rPr>
        <w:t xml:space="preserve">tends to </w:t>
      </w:r>
      <w:proofErr w:type="spellStart"/>
      <w:r w:rsidR="00994703">
        <w:rPr>
          <w:sz w:val="24"/>
          <w:szCs w:val="24"/>
        </w:rPr>
        <w:t>maximse</w:t>
      </w:r>
      <w:proofErr w:type="spellEnd"/>
      <w:r w:rsidR="00D30055">
        <w:rPr>
          <w:sz w:val="24"/>
          <w:szCs w:val="24"/>
        </w:rPr>
        <w:t xml:space="preserve"> </w:t>
      </w:r>
      <w:r w:rsidR="00994703">
        <w:rPr>
          <w:sz w:val="24"/>
          <w:szCs w:val="24"/>
        </w:rPr>
        <w:t>the difference in net emissions between the two scenarios.</w:t>
      </w:r>
    </w:p>
    <w:p w14:paraId="3962CD70" w14:textId="75BD3E00" w:rsidR="006B3DEC" w:rsidRPr="00310D38" w:rsidRDefault="006B3DEC" w:rsidP="006B3DEC">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4</w:t>
      </w:r>
      <w:r w:rsidR="007474CA">
        <w:rPr>
          <w:rFonts w:ascii="Times New Roman" w:hAnsi="Times New Roman" w:cs="Times New Roman"/>
          <w:sz w:val="24"/>
          <w:szCs w:val="24"/>
          <w:u w:val="single"/>
        </w:rPr>
        <w:t>2</w:t>
      </w:r>
      <w:r w:rsidRPr="00310D38">
        <w:rPr>
          <w:rFonts w:ascii="Times New Roman" w:hAnsi="Times New Roman" w:cs="Times New Roman"/>
          <w:sz w:val="24"/>
          <w:szCs w:val="24"/>
          <w:u w:val="single"/>
        </w:rPr>
        <w:t xml:space="preserve"> – </w:t>
      </w:r>
      <w:r w:rsidR="00562BBF" w:rsidRPr="00562BBF">
        <w:rPr>
          <w:rFonts w:ascii="Times New Roman" w:hAnsi="Times New Roman" w:cs="Times New Roman"/>
          <w:sz w:val="24"/>
          <w:szCs w:val="24"/>
          <w:u w:val="single"/>
        </w:rPr>
        <w:t>Private native forests leakage deduction (</w:t>
      </w:r>
      <w:proofErr w:type="spellStart"/>
      <w:r w:rsidR="00562BBF" w:rsidRPr="00562BBF">
        <w:rPr>
          <w:rFonts w:ascii="Times New Roman" w:hAnsi="Times New Roman" w:cs="Times New Roman"/>
          <w:sz w:val="24"/>
          <w:szCs w:val="24"/>
          <w:u w:val="single"/>
        </w:rPr>
        <w:t>PNFLD</w:t>
      </w:r>
      <w:r w:rsidR="00562BBF" w:rsidRPr="00562BBF">
        <w:rPr>
          <w:rFonts w:ascii="Times New Roman" w:hAnsi="Times New Roman" w:cs="Times New Roman"/>
          <w:sz w:val="24"/>
          <w:szCs w:val="24"/>
          <w:u w:val="single"/>
          <w:vertAlign w:val="subscript"/>
        </w:rPr>
        <w:t>i</w:t>
      </w:r>
      <w:proofErr w:type="spellEnd"/>
      <w:r w:rsidR="00562BBF" w:rsidRPr="00562BBF">
        <w:rPr>
          <w:rFonts w:ascii="Times New Roman" w:hAnsi="Times New Roman" w:cs="Times New Roman"/>
          <w:sz w:val="24"/>
          <w:szCs w:val="24"/>
          <w:u w:val="single"/>
        </w:rPr>
        <w:t>)</w:t>
      </w:r>
    </w:p>
    <w:p w14:paraId="6F678F28" w14:textId="7D1F089F" w:rsidR="003F7A64" w:rsidRDefault="00F03B22" w:rsidP="00F03B22">
      <w:pPr>
        <w:pStyle w:val="subsection"/>
        <w:spacing w:before="120" w:after="120"/>
        <w:ind w:left="0" w:firstLine="0"/>
        <w:rPr>
          <w:sz w:val="24"/>
          <w:szCs w:val="24"/>
        </w:rPr>
      </w:pPr>
      <w:r w:rsidRPr="002F608C">
        <w:rPr>
          <w:sz w:val="24"/>
          <w:szCs w:val="24"/>
        </w:rPr>
        <w:t>S</w:t>
      </w:r>
      <w:r>
        <w:rPr>
          <w:sz w:val="24"/>
          <w:szCs w:val="24"/>
        </w:rPr>
        <w:t>ubs</w:t>
      </w:r>
      <w:r w:rsidRPr="002F608C">
        <w:rPr>
          <w:sz w:val="24"/>
          <w:szCs w:val="24"/>
        </w:rPr>
        <w:t xml:space="preserve">ection </w:t>
      </w:r>
      <w:r>
        <w:rPr>
          <w:sz w:val="24"/>
          <w:szCs w:val="24"/>
        </w:rPr>
        <w:t>4</w:t>
      </w:r>
      <w:r w:rsidR="007474CA">
        <w:rPr>
          <w:sz w:val="24"/>
          <w:szCs w:val="24"/>
        </w:rPr>
        <w:t>2</w:t>
      </w:r>
      <w:r>
        <w:rPr>
          <w:sz w:val="24"/>
          <w:szCs w:val="24"/>
        </w:rPr>
        <w:t xml:space="preserve">(1) </w:t>
      </w:r>
      <w:r w:rsidR="00377803">
        <w:rPr>
          <w:sz w:val="24"/>
          <w:szCs w:val="24"/>
        </w:rPr>
        <w:t>specifies</w:t>
      </w:r>
      <w:r>
        <w:rPr>
          <w:sz w:val="24"/>
          <w:szCs w:val="24"/>
        </w:rPr>
        <w:t xml:space="preserve"> that the </w:t>
      </w:r>
      <w:r w:rsidR="00377803">
        <w:rPr>
          <w:sz w:val="24"/>
          <w:szCs w:val="24"/>
        </w:rPr>
        <w:t xml:space="preserve">private native forests </w:t>
      </w:r>
      <w:r>
        <w:rPr>
          <w:sz w:val="24"/>
          <w:szCs w:val="24"/>
        </w:rPr>
        <w:t>leakage deduction provisions in section 4</w:t>
      </w:r>
      <w:r w:rsidR="007474CA">
        <w:rPr>
          <w:sz w:val="24"/>
          <w:szCs w:val="24"/>
        </w:rPr>
        <w:t>2</w:t>
      </w:r>
      <w:r>
        <w:rPr>
          <w:sz w:val="24"/>
          <w:szCs w:val="24"/>
        </w:rPr>
        <w:t xml:space="preserve"> apply to</w:t>
      </w:r>
      <w:r w:rsidRPr="00426647">
        <w:rPr>
          <w:sz w:val="24"/>
          <w:szCs w:val="24"/>
        </w:rPr>
        <w:t xml:space="preserve"> </w:t>
      </w:r>
      <w:r w:rsidR="003F7A64" w:rsidRPr="003F7A64">
        <w:rPr>
          <w:sz w:val="24"/>
          <w:szCs w:val="24"/>
        </w:rPr>
        <w:t>native forests in the State in which the eligible offsets project is located (other than public native forests) that may be used for the purposes of obtaining timber for sale</w:t>
      </w:r>
      <w:r w:rsidR="00C23098">
        <w:rPr>
          <w:sz w:val="24"/>
          <w:szCs w:val="24"/>
        </w:rPr>
        <w:t xml:space="preserve"> </w:t>
      </w:r>
      <w:r w:rsidR="00C23098" w:rsidRPr="00C23098">
        <w:rPr>
          <w:sz w:val="24"/>
          <w:szCs w:val="24"/>
        </w:rPr>
        <w:t>(private native forests)</w:t>
      </w:r>
      <w:r w:rsidR="003F7A64">
        <w:rPr>
          <w:sz w:val="24"/>
          <w:szCs w:val="24"/>
        </w:rPr>
        <w:t xml:space="preserve">. </w:t>
      </w:r>
    </w:p>
    <w:p w14:paraId="47B5E1AC" w14:textId="0C550E0D" w:rsidR="00F03B22" w:rsidRDefault="00F03B22" w:rsidP="00F03B22">
      <w:pPr>
        <w:pStyle w:val="subsection"/>
        <w:spacing w:before="120" w:after="120"/>
        <w:ind w:left="0" w:firstLine="0"/>
        <w:rPr>
          <w:sz w:val="24"/>
          <w:szCs w:val="24"/>
        </w:rPr>
      </w:pPr>
      <w:r>
        <w:rPr>
          <w:sz w:val="24"/>
          <w:szCs w:val="24"/>
        </w:rPr>
        <w:t>Subsection 4</w:t>
      </w:r>
      <w:r w:rsidR="007474CA">
        <w:rPr>
          <w:sz w:val="24"/>
          <w:szCs w:val="24"/>
        </w:rPr>
        <w:t>2</w:t>
      </w:r>
      <w:r>
        <w:rPr>
          <w:sz w:val="24"/>
          <w:szCs w:val="24"/>
        </w:rPr>
        <w:t>(2) specifies that a</w:t>
      </w:r>
      <w:r w:rsidRPr="00AD68F4">
        <w:rPr>
          <w:sz w:val="24"/>
          <w:szCs w:val="24"/>
        </w:rPr>
        <w:t xml:space="preserve"> </w:t>
      </w:r>
      <w:r w:rsidR="00AA54CE" w:rsidRPr="00AA54CE">
        <w:rPr>
          <w:sz w:val="24"/>
          <w:szCs w:val="24"/>
        </w:rPr>
        <w:t>private native forests leakage deduction applies in calculating the leakage deduction for a reporting period if there is an indirect leakage exceedance</w:t>
      </w:r>
      <w:r>
        <w:rPr>
          <w:sz w:val="24"/>
          <w:szCs w:val="24"/>
        </w:rPr>
        <w:t>.</w:t>
      </w:r>
    </w:p>
    <w:p w14:paraId="0D104B84" w14:textId="08D81A50" w:rsidR="00AA54CE" w:rsidRDefault="00F03B22" w:rsidP="00F03B22">
      <w:pPr>
        <w:pStyle w:val="subsection"/>
        <w:spacing w:before="120" w:after="120"/>
        <w:ind w:left="0" w:firstLine="0"/>
        <w:rPr>
          <w:sz w:val="24"/>
          <w:szCs w:val="24"/>
        </w:rPr>
      </w:pPr>
      <w:r>
        <w:rPr>
          <w:sz w:val="24"/>
          <w:szCs w:val="24"/>
        </w:rPr>
        <w:lastRenderedPageBreak/>
        <w:t>Subsection 4</w:t>
      </w:r>
      <w:r w:rsidR="007474CA">
        <w:rPr>
          <w:sz w:val="24"/>
          <w:szCs w:val="24"/>
        </w:rPr>
        <w:t>2</w:t>
      </w:r>
      <w:r>
        <w:rPr>
          <w:sz w:val="24"/>
          <w:szCs w:val="24"/>
        </w:rPr>
        <w:t xml:space="preserve">(3) provides that </w:t>
      </w:r>
      <w:r w:rsidR="001172B2">
        <w:rPr>
          <w:sz w:val="24"/>
          <w:szCs w:val="24"/>
        </w:rPr>
        <w:t xml:space="preserve">there </w:t>
      </w:r>
      <w:r w:rsidR="001172B2" w:rsidRPr="001172B2">
        <w:rPr>
          <w:sz w:val="24"/>
          <w:szCs w:val="24"/>
        </w:rPr>
        <w:t>is an indirect leakage exceedance for the purposes of subsection (2) if the exceedance volume from the relevant private native forests for the reporting period is greater than zero</w:t>
      </w:r>
      <w:r w:rsidR="001172B2">
        <w:rPr>
          <w:sz w:val="24"/>
          <w:szCs w:val="24"/>
        </w:rPr>
        <w:t>.</w:t>
      </w:r>
    </w:p>
    <w:p w14:paraId="083756FB" w14:textId="101F86DE" w:rsidR="001E0516" w:rsidRPr="009035BC" w:rsidRDefault="001E0516" w:rsidP="001E0516">
      <w:pPr>
        <w:pStyle w:val="subsection"/>
        <w:spacing w:before="120" w:after="120"/>
        <w:ind w:left="0" w:firstLine="0"/>
        <w:rPr>
          <w:sz w:val="24"/>
          <w:szCs w:val="24"/>
        </w:rPr>
      </w:pPr>
      <w:r w:rsidRPr="009035BC">
        <w:rPr>
          <w:sz w:val="24"/>
          <w:szCs w:val="24"/>
        </w:rPr>
        <w:t>Subsection 4</w:t>
      </w:r>
      <w:r w:rsidR="007474CA">
        <w:rPr>
          <w:sz w:val="24"/>
          <w:szCs w:val="24"/>
        </w:rPr>
        <w:t>2</w:t>
      </w:r>
      <w:r w:rsidRPr="009035BC">
        <w:rPr>
          <w:sz w:val="24"/>
          <w:szCs w:val="24"/>
        </w:rPr>
        <w:t xml:space="preserve">(4) provides the equation </w:t>
      </w:r>
      <w:r>
        <w:rPr>
          <w:sz w:val="24"/>
          <w:szCs w:val="24"/>
        </w:rPr>
        <w:t>(Equation 1</w:t>
      </w:r>
      <w:r w:rsidR="00634955">
        <w:rPr>
          <w:sz w:val="24"/>
          <w:szCs w:val="24"/>
        </w:rPr>
        <w:t>6</w:t>
      </w:r>
      <w:r>
        <w:rPr>
          <w:sz w:val="24"/>
          <w:szCs w:val="24"/>
        </w:rPr>
        <w:t xml:space="preserve">) </w:t>
      </w:r>
      <w:r w:rsidRPr="009035BC">
        <w:rPr>
          <w:sz w:val="24"/>
          <w:szCs w:val="24"/>
        </w:rPr>
        <w:t>for the calculation of the exceedance volume</w:t>
      </w:r>
      <w:r w:rsidR="00560E4A" w:rsidRPr="00560E4A">
        <w:t xml:space="preserve"> </w:t>
      </w:r>
      <w:r w:rsidR="00560E4A" w:rsidRPr="00560E4A">
        <w:rPr>
          <w:sz w:val="24"/>
          <w:szCs w:val="24"/>
        </w:rPr>
        <w:t>for relevant private native forests</w:t>
      </w:r>
      <w:r w:rsidRPr="009035BC">
        <w:rPr>
          <w:sz w:val="24"/>
          <w:szCs w:val="24"/>
        </w:rPr>
        <w:t xml:space="preserve">, which involves the subtraction of the </w:t>
      </w:r>
      <w:r w:rsidR="000C02BF" w:rsidRPr="000C02BF">
        <w:rPr>
          <w:sz w:val="24"/>
          <w:szCs w:val="24"/>
        </w:rPr>
        <w:t>private native forests leakage baseline harvest level</w:t>
      </w:r>
      <w:r w:rsidRPr="009035BC">
        <w:rPr>
          <w:sz w:val="24"/>
          <w:szCs w:val="24"/>
        </w:rPr>
        <w:t xml:space="preserve"> for </w:t>
      </w:r>
      <w:r w:rsidR="000C02BF">
        <w:rPr>
          <w:sz w:val="24"/>
          <w:szCs w:val="24"/>
        </w:rPr>
        <w:t xml:space="preserve">the </w:t>
      </w:r>
      <w:r w:rsidRPr="009035BC">
        <w:rPr>
          <w:sz w:val="24"/>
          <w:szCs w:val="24"/>
        </w:rPr>
        <w:t xml:space="preserve">reporting period from the wood volume extracted from the relevant </w:t>
      </w:r>
      <w:r w:rsidR="00D424B8">
        <w:rPr>
          <w:sz w:val="24"/>
          <w:szCs w:val="24"/>
        </w:rPr>
        <w:t>private native</w:t>
      </w:r>
      <w:r w:rsidRPr="009035BC">
        <w:rPr>
          <w:sz w:val="24"/>
          <w:szCs w:val="24"/>
        </w:rPr>
        <w:t xml:space="preserve"> forests over the reporting period</w:t>
      </w:r>
      <w:r>
        <w:rPr>
          <w:sz w:val="24"/>
          <w:szCs w:val="24"/>
        </w:rPr>
        <w:t>, and the multiplication of the result (where it is positive) by the ‘</w:t>
      </w:r>
      <w:r w:rsidRPr="00F058F8">
        <w:rPr>
          <w:sz w:val="24"/>
          <w:szCs w:val="24"/>
        </w:rPr>
        <w:t>project allocation factor</w:t>
      </w:r>
      <w:r>
        <w:rPr>
          <w:sz w:val="24"/>
          <w:szCs w:val="24"/>
        </w:rPr>
        <w:t>’.</w:t>
      </w:r>
    </w:p>
    <w:p w14:paraId="50DACB65" w14:textId="6BAF9583" w:rsidR="00D4255E" w:rsidRPr="00BF2EE5" w:rsidRDefault="00D4255E" w:rsidP="00D4255E">
      <w:pPr>
        <w:pStyle w:val="subsection"/>
        <w:spacing w:before="120" w:after="120"/>
        <w:ind w:left="0" w:firstLine="0"/>
        <w:rPr>
          <w:sz w:val="24"/>
          <w:szCs w:val="24"/>
        </w:rPr>
      </w:pPr>
      <w:r w:rsidRPr="00BF2EE5">
        <w:rPr>
          <w:sz w:val="24"/>
          <w:szCs w:val="24"/>
        </w:rPr>
        <w:t>Subsection 4</w:t>
      </w:r>
      <w:r w:rsidR="007474CA">
        <w:rPr>
          <w:sz w:val="24"/>
          <w:szCs w:val="24"/>
        </w:rPr>
        <w:t>2</w:t>
      </w:r>
      <w:r w:rsidRPr="00BF2EE5">
        <w:rPr>
          <w:sz w:val="24"/>
          <w:szCs w:val="24"/>
        </w:rPr>
        <w:t xml:space="preserve">(5) specifies that the </w:t>
      </w:r>
      <w:r w:rsidR="00BF2EE5" w:rsidRPr="00BF2EE5">
        <w:rPr>
          <w:sz w:val="24"/>
          <w:szCs w:val="24"/>
        </w:rPr>
        <w:t>private native forests leakage baseline harvest level for the reporting period (</w:t>
      </w:r>
      <w:proofErr w:type="spellStart"/>
      <w:r w:rsidR="00BF2EE5" w:rsidRPr="00BF2EE5">
        <w:rPr>
          <w:sz w:val="24"/>
          <w:szCs w:val="24"/>
        </w:rPr>
        <w:t>PNFLBHL</w:t>
      </w:r>
      <w:r w:rsidR="00BF2EE5" w:rsidRPr="00BF2EE5">
        <w:rPr>
          <w:sz w:val="24"/>
          <w:szCs w:val="24"/>
          <w:vertAlign w:val="subscript"/>
        </w:rPr>
        <w:t>i</w:t>
      </w:r>
      <w:proofErr w:type="spellEnd"/>
      <w:r w:rsidR="00BF2EE5" w:rsidRPr="00BF2EE5">
        <w:rPr>
          <w:sz w:val="24"/>
          <w:szCs w:val="24"/>
        </w:rPr>
        <w:t xml:space="preserve">) </w:t>
      </w:r>
      <w:r w:rsidRPr="00BF2EE5">
        <w:rPr>
          <w:sz w:val="24"/>
          <w:szCs w:val="24"/>
        </w:rPr>
        <w:t xml:space="preserve">is </w:t>
      </w:r>
      <w:r w:rsidRPr="00BF2EE5" w:rsidDel="003A5507">
        <w:rPr>
          <w:sz w:val="24"/>
          <w:szCs w:val="24"/>
        </w:rPr>
        <w:t xml:space="preserve">the </w:t>
      </w:r>
      <w:r w:rsidR="001E3B89" w:rsidRPr="00BF2EE5">
        <w:rPr>
          <w:sz w:val="24"/>
          <w:szCs w:val="24"/>
        </w:rPr>
        <w:t>average volume of wood (in cubic metres, m</w:t>
      </w:r>
      <w:r w:rsidR="001E3B89" w:rsidRPr="00BF2EE5">
        <w:rPr>
          <w:sz w:val="24"/>
          <w:szCs w:val="24"/>
          <w:vertAlign w:val="superscript"/>
        </w:rPr>
        <w:t>3</w:t>
      </w:r>
      <w:r w:rsidR="001E3B89" w:rsidRPr="00BF2EE5">
        <w:rPr>
          <w:sz w:val="24"/>
          <w:szCs w:val="24"/>
        </w:rPr>
        <w:t xml:space="preserve"> per month) extracted from the relevant private native forests over the 4-year period before the end of the last financial year before the application was made under the Act for the </w:t>
      </w:r>
      <w:r w:rsidR="00BF2EE5" w:rsidRPr="00BF2EE5">
        <w:rPr>
          <w:sz w:val="24"/>
          <w:szCs w:val="24"/>
        </w:rPr>
        <w:t>registration of the first INFM project in the State</w:t>
      </w:r>
      <w:r w:rsidR="001E3B89" w:rsidRPr="00BF2EE5">
        <w:rPr>
          <w:sz w:val="24"/>
          <w:szCs w:val="24"/>
        </w:rPr>
        <w:t>, multiplied by the number of months in the reporting period</w:t>
      </w:r>
      <w:r w:rsidRPr="00BF2EE5">
        <w:rPr>
          <w:sz w:val="24"/>
          <w:szCs w:val="24"/>
        </w:rPr>
        <w:t xml:space="preserve">. </w:t>
      </w:r>
    </w:p>
    <w:p w14:paraId="25916845" w14:textId="256A0746" w:rsidR="00913C88" w:rsidRDefault="005E2F82" w:rsidP="00913C88">
      <w:pPr>
        <w:pStyle w:val="subsection"/>
        <w:spacing w:before="120" w:after="120"/>
        <w:ind w:left="0" w:firstLine="0"/>
        <w:rPr>
          <w:sz w:val="24"/>
          <w:szCs w:val="24"/>
        </w:rPr>
      </w:pPr>
      <w:r w:rsidRPr="006B46D5">
        <w:rPr>
          <w:sz w:val="24"/>
          <w:szCs w:val="24"/>
        </w:rPr>
        <w:t>Subsection 4</w:t>
      </w:r>
      <w:r w:rsidR="007474CA">
        <w:rPr>
          <w:sz w:val="24"/>
          <w:szCs w:val="24"/>
        </w:rPr>
        <w:t>2</w:t>
      </w:r>
      <w:r w:rsidRPr="006B46D5">
        <w:rPr>
          <w:sz w:val="24"/>
          <w:szCs w:val="24"/>
        </w:rPr>
        <w:t>(6) provides that, in determining the private native forests leakage baseline harvest level, the average volume of wood (in cubic metres, m</w:t>
      </w:r>
      <w:r w:rsidRPr="006B46D5">
        <w:rPr>
          <w:sz w:val="24"/>
          <w:szCs w:val="24"/>
          <w:vertAlign w:val="superscript"/>
        </w:rPr>
        <w:t>3</w:t>
      </w:r>
      <w:r w:rsidRPr="006B46D5">
        <w:rPr>
          <w:sz w:val="24"/>
          <w:szCs w:val="24"/>
        </w:rPr>
        <w:t xml:space="preserve"> per month) extracted from the relevant private native forests over the prescribed period must be estimated using:</w:t>
      </w:r>
    </w:p>
    <w:p w14:paraId="7C6D895D" w14:textId="77777777" w:rsidR="00913C88" w:rsidRPr="00913C88" w:rsidRDefault="00913C88" w:rsidP="00913C88">
      <w:pPr>
        <w:pStyle w:val="subsection"/>
        <w:numPr>
          <w:ilvl w:val="0"/>
          <w:numId w:val="88"/>
        </w:numPr>
        <w:spacing w:before="120" w:after="120"/>
        <w:rPr>
          <w:sz w:val="24"/>
          <w:szCs w:val="24"/>
        </w:rPr>
      </w:pPr>
      <w:r>
        <w:t xml:space="preserve">the average of: </w:t>
      </w:r>
    </w:p>
    <w:p w14:paraId="58DFA2A1" w14:textId="2980D5F8" w:rsidR="00913C88" w:rsidRPr="00913C88" w:rsidRDefault="00913C88" w:rsidP="00913C88">
      <w:pPr>
        <w:pStyle w:val="subsection"/>
        <w:numPr>
          <w:ilvl w:val="1"/>
          <w:numId w:val="89"/>
        </w:numPr>
        <w:spacing w:before="120" w:after="120"/>
        <w:rPr>
          <w:sz w:val="24"/>
          <w:szCs w:val="24"/>
        </w:rPr>
      </w:pPr>
      <w:r>
        <w:t>the volume derived by subtracting the estimate of logs produced (</w:t>
      </w:r>
      <w:r w:rsidRPr="003D5D75">
        <w:t>in cubic metres, m</w:t>
      </w:r>
      <w:r w:rsidRPr="00913C88">
        <w:rPr>
          <w:vertAlign w:val="superscript"/>
        </w:rPr>
        <w:t>3</w:t>
      </w:r>
      <w:r w:rsidRPr="003D5D75">
        <w:t xml:space="preserve">) </w:t>
      </w:r>
      <w:r>
        <w:t xml:space="preserve">from public native forests in the State in which the eligible offsets project is located over the period (published by the relevant State government agency) from the estimate of logs produced </w:t>
      </w:r>
      <w:r w:rsidRPr="003D5D75">
        <w:t>(in cubic metres, m</w:t>
      </w:r>
      <w:r w:rsidRPr="00913C88">
        <w:rPr>
          <w:vertAlign w:val="superscript"/>
        </w:rPr>
        <w:t>3</w:t>
      </w:r>
      <w:r w:rsidRPr="003D5D75">
        <w:t xml:space="preserve">) </w:t>
      </w:r>
      <w:r>
        <w:t xml:space="preserve">from all native forests in the State over the period (published by the </w:t>
      </w:r>
      <w:r w:rsidRPr="00A72BF6">
        <w:t>Australian Bureau of Agricultural and Resource Economics and Sciences</w:t>
      </w:r>
      <w:r>
        <w:t xml:space="preserve"> in the most recent version of the Australian Forest and Wood Product Statistics or any Australian Government publication that replaces the Australian Forest and Wood Product Statistics series); and</w:t>
      </w:r>
    </w:p>
    <w:p w14:paraId="6D946E45" w14:textId="77777777" w:rsidR="00913C88" w:rsidRPr="00913C88" w:rsidRDefault="00913C88" w:rsidP="00913C88">
      <w:pPr>
        <w:pStyle w:val="subsection"/>
        <w:numPr>
          <w:ilvl w:val="1"/>
          <w:numId w:val="89"/>
        </w:numPr>
        <w:spacing w:before="120" w:after="120"/>
        <w:rPr>
          <w:sz w:val="24"/>
          <w:szCs w:val="24"/>
        </w:rPr>
      </w:pPr>
      <w:r>
        <w:t xml:space="preserve">the amount reported by the government agency responsible for the regulation of private native forestry in the State as the volume of logs harvested </w:t>
      </w:r>
      <w:r w:rsidRPr="003D5D75">
        <w:t>(in cubic metres, m</w:t>
      </w:r>
      <w:r w:rsidRPr="00913C88">
        <w:rPr>
          <w:vertAlign w:val="superscript"/>
        </w:rPr>
        <w:t>3</w:t>
      </w:r>
      <w:r w:rsidRPr="003D5D75">
        <w:t xml:space="preserve">) </w:t>
      </w:r>
      <w:r>
        <w:t>from private native forests over the period; or</w:t>
      </w:r>
    </w:p>
    <w:p w14:paraId="0D474466" w14:textId="7022AA71" w:rsidR="00913C88" w:rsidRPr="00913C88" w:rsidRDefault="00913C88" w:rsidP="00913C88">
      <w:pPr>
        <w:pStyle w:val="subsection"/>
        <w:numPr>
          <w:ilvl w:val="0"/>
          <w:numId w:val="88"/>
        </w:numPr>
        <w:spacing w:before="120" w:after="120"/>
        <w:rPr>
          <w:sz w:val="24"/>
          <w:szCs w:val="24"/>
        </w:rPr>
      </w:pPr>
      <w:r>
        <w:t xml:space="preserve">if the government agency responsible for the regulation of private native forestry in the State does not have a reported volume of logs harvested </w:t>
      </w:r>
      <w:r w:rsidRPr="003D5D75">
        <w:t>(in cubic metres, m</w:t>
      </w:r>
      <w:r w:rsidRPr="00913C88">
        <w:rPr>
          <w:vertAlign w:val="superscript"/>
        </w:rPr>
        <w:t>3</w:t>
      </w:r>
      <w:r w:rsidRPr="003D5D75">
        <w:t xml:space="preserve">) </w:t>
      </w:r>
      <w:r>
        <w:t>from private native forests over the period, the volume derived in accordance with the method described in paragraph (a)(</w:t>
      </w:r>
      <w:proofErr w:type="spellStart"/>
      <w:r>
        <w:t>i</w:t>
      </w:r>
      <w:proofErr w:type="spellEnd"/>
      <w:r>
        <w:t xml:space="preserve">) (i.e. derived from the data published by </w:t>
      </w:r>
      <w:r w:rsidR="00AC3244">
        <w:t xml:space="preserve">the relevant state forestry agency and the </w:t>
      </w:r>
      <w:r w:rsidR="00AC3244" w:rsidRPr="00A72BF6">
        <w:t>Australian Bureau of Agricultural and Resource Economics and Sciences</w:t>
      </w:r>
      <w:r w:rsidR="00AC3244">
        <w:t>)</w:t>
      </w:r>
      <w:r>
        <w:t>.</w:t>
      </w:r>
    </w:p>
    <w:p w14:paraId="6A58C4D8" w14:textId="63A2AD20" w:rsidR="00A77CEF" w:rsidRDefault="006B46D5" w:rsidP="00A77CEF">
      <w:pPr>
        <w:pStyle w:val="subsection"/>
        <w:spacing w:before="120" w:after="120"/>
        <w:ind w:left="0" w:firstLine="0"/>
        <w:rPr>
          <w:sz w:val="24"/>
          <w:szCs w:val="24"/>
        </w:rPr>
      </w:pPr>
      <w:r>
        <w:rPr>
          <w:sz w:val="24"/>
          <w:szCs w:val="24"/>
        </w:rPr>
        <w:t xml:space="preserve">Using the </w:t>
      </w:r>
      <w:r w:rsidR="00933B59">
        <w:rPr>
          <w:sz w:val="24"/>
          <w:szCs w:val="24"/>
        </w:rPr>
        <w:t>average of</w:t>
      </w:r>
      <w:r>
        <w:rPr>
          <w:sz w:val="24"/>
          <w:szCs w:val="24"/>
        </w:rPr>
        <w:t xml:space="preserve"> the two most authoritative estimates of </w:t>
      </w:r>
      <w:r w:rsidR="006A2FFC">
        <w:rPr>
          <w:sz w:val="24"/>
          <w:szCs w:val="24"/>
        </w:rPr>
        <w:t>log production from private native forests promotes conservatism in the abatement calculations.</w:t>
      </w:r>
    </w:p>
    <w:p w14:paraId="5305F3DF" w14:textId="45BBD2B8" w:rsidR="00A77CEF" w:rsidRPr="00A77CEF" w:rsidRDefault="00AE54C2" w:rsidP="00A77CEF">
      <w:pPr>
        <w:pStyle w:val="subsection"/>
        <w:spacing w:before="120" w:after="120"/>
        <w:ind w:left="0" w:firstLine="0"/>
        <w:rPr>
          <w:sz w:val="24"/>
          <w:szCs w:val="24"/>
        </w:rPr>
      </w:pPr>
      <w:r w:rsidRPr="00A77CEF">
        <w:rPr>
          <w:sz w:val="24"/>
          <w:szCs w:val="24"/>
        </w:rPr>
        <w:t>Subsection 4</w:t>
      </w:r>
      <w:r w:rsidR="007474CA">
        <w:rPr>
          <w:sz w:val="24"/>
          <w:szCs w:val="24"/>
        </w:rPr>
        <w:t>2</w:t>
      </w:r>
      <w:r w:rsidRPr="00A77CEF">
        <w:rPr>
          <w:sz w:val="24"/>
          <w:szCs w:val="24"/>
        </w:rPr>
        <w:t xml:space="preserve">(7) </w:t>
      </w:r>
      <w:r w:rsidR="00A77CEF" w:rsidRPr="00A77CEF">
        <w:rPr>
          <w:sz w:val="24"/>
          <w:szCs w:val="24"/>
        </w:rPr>
        <w:t>specifies</w:t>
      </w:r>
      <w:r w:rsidRPr="00A77CEF">
        <w:rPr>
          <w:sz w:val="24"/>
          <w:szCs w:val="24"/>
        </w:rPr>
        <w:t xml:space="preserve"> that</w:t>
      </w:r>
      <w:r w:rsidR="00A77CEF" w:rsidRPr="00A77CEF">
        <w:rPr>
          <w:sz w:val="24"/>
          <w:szCs w:val="24"/>
        </w:rPr>
        <w:t xml:space="preserve"> volume of wood extracted from the relevant private native forests (</w:t>
      </w:r>
      <w:proofErr w:type="spellStart"/>
      <w:r w:rsidR="00A77CEF" w:rsidRPr="00A77CEF">
        <w:rPr>
          <w:sz w:val="24"/>
          <w:szCs w:val="24"/>
        </w:rPr>
        <w:t>WV</w:t>
      </w:r>
      <w:r w:rsidR="00A77CEF" w:rsidRPr="00A77CEF">
        <w:rPr>
          <w:sz w:val="24"/>
          <w:szCs w:val="24"/>
          <w:vertAlign w:val="subscript"/>
        </w:rPr>
        <w:t>i</w:t>
      </w:r>
      <w:proofErr w:type="spellEnd"/>
      <w:r w:rsidR="00A77CEF" w:rsidRPr="00A77CEF">
        <w:rPr>
          <w:sz w:val="24"/>
          <w:szCs w:val="24"/>
        </w:rPr>
        <w:t xml:space="preserve">) in the reporting period for the purposes of subsection (4) must be </w:t>
      </w:r>
      <w:r w:rsidR="00A77CEF">
        <w:rPr>
          <w:sz w:val="24"/>
          <w:szCs w:val="24"/>
        </w:rPr>
        <w:t xml:space="preserve">calculated as </w:t>
      </w:r>
      <w:r w:rsidR="00A77CEF" w:rsidRPr="00A77CEF">
        <w:rPr>
          <w:sz w:val="24"/>
          <w:szCs w:val="24"/>
        </w:rPr>
        <w:t xml:space="preserve">the higher of: </w:t>
      </w:r>
    </w:p>
    <w:p w14:paraId="70708968" w14:textId="28544734" w:rsidR="00A77CEF" w:rsidRDefault="00A77CEF" w:rsidP="00A77CEF">
      <w:pPr>
        <w:pStyle w:val="subsection"/>
        <w:numPr>
          <w:ilvl w:val="0"/>
          <w:numId w:val="88"/>
        </w:numPr>
        <w:spacing w:before="120" w:after="120"/>
        <w:rPr>
          <w:sz w:val="24"/>
          <w:szCs w:val="24"/>
        </w:rPr>
      </w:pPr>
      <w:r w:rsidRPr="00A77CEF">
        <w:rPr>
          <w:sz w:val="24"/>
          <w:szCs w:val="24"/>
        </w:rPr>
        <w:t>the volume derived by subtracting the estimate of logs produced (in cubic metres, m</w:t>
      </w:r>
      <w:r w:rsidRPr="00A77CEF">
        <w:rPr>
          <w:sz w:val="24"/>
          <w:szCs w:val="24"/>
          <w:vertAlign w:val="superscript"/>
        </w:rPr>
        <w:t>3</w:t>
      </w:r>
      <w:r w:rsidRPr="00A77CEF">
        <w:rPr>
          <w:sz w:val="24"/>
          <w:szCs w:val="24"/>
        </w:rPr>
        <w:t>) from public native forests in the State (published by the relevant State government agency) from the estimate of logs produced (in cubic metres, m</w:t>
      </w:r>
      <w:r w:rsidRPr="00A77CEF">
        <w:rPr>
          <w:sz w:val="24"/>
          <w:szCs w:val="24"/>
          <w:vertAlign w:val="superscript"/>
        </w:rPr>
        <w:t>3</w:t>
      </w:r>
      <w:r w:rsidRPr="00A77CEF">
        <w:rPr>
          <w:sz w:val="24"/>
          <w:szCs w:val="24"/>
        </w:rPr>
        <w:t>) from all native forests in the State (published by the Australian Bureau of Agricultural and Resource Economics and Sciences in the most recent version of the Australian Forest and Wood Product Statistics or any Australian Government publication that replaces the Australian Forest and Wood Product Statistics series) over the period; and</w:t>
      </w:r>
    </w:p>
    <w:p w14:paraId="60ADDDC1" w14:textId="7EBB3F18" w:rsidR="00A77CEF" w:rsidRPr="00A77CEF" w:rsidRDefault="00A77CEF" w:rsidP="00A77CEF">
      <w:pPr>
        <w:pStyle w:val="subsection"/>
        <w:numPr>
          <w:ilvl w:val="0"/>
          <w:numId w:val="88"/>
        </w:numPr>
        <w:spacing w:before="120" w:after="120"/>
        <w:rPr>
          <w:sz w:val="24"/>
          <w:szCs w:val="24"/>
        </w:rPr>
      </w:pPr>
      <w:r w:rsidRPr="00A77CEF">
        <w:rPr>
          <w:sz w:val="24"/>
          <w:szCs w:val="24"/>
        </w:rPr>
        <w:lastRenderedPageBreak/>
        <w:t>the volume reported by the government agency responsible for the regulation of private native forestry in the State as the volume of logs harvested (in cubic metres, m</w:t>
      </w:r>
      <w:r w:rsidRPr="00A77CEF">
        <w:rPr>
          <w:sz w:val="24"/>
          <w:szCs w:val="24"/>
          <w:vertAlign w:val="superscript"/>
        </w:rPr>
        <w:t>3</w:t>
      </w:r>
      <w:r w:rsidRPr="00A77CEF">
        <w:rPr>
          <w:sz w:val="24"/>
          <w:szCs w:val="24"/>
        </w:rPr>
        <w:t>) from the forests over the period.</w:t>
      </w:r>
    </w:p>
    <w:p w14:paraId="6DA492E7" w14:textId="474E4811" w:rsidR="00EB6CB1" w:rsidRPr="00A77CEF" w:rsidRDefault="002B34AD" w:rsidP="00A77CEF">
      <w:pPr>
        <w:pStyle w:val="paragraph"/>
        <w:spacing w:before="180"/>
        <w:ind w:left="0" w:firstLine="0"/>
        <w:rPr>
          <w:sz w:val="24"/>
          <w:szCs w:val="24"/>
        </w:rPr>
      </w:pPr>
      <w:r>
        <w:rPr>
          <w:sz w:val="24"/>
          <w:szCs w:val="24"/>
        </w:rPr>
        <w:t xml:space="preserve">The combination of using the average </w:t>
      </w:r>
      <w:r w:rsidR="00862072">
        <w:rPr>
          <w:sz w:val="24"/>
          <w:szCs w:val="24"/>
        </w:rPr>
        <w:t>of the two most authoritative estimates of log production to derive the baseline, and</w:t>
      </w:r>
      <w:r w:rsidR="00A77CEF">
        <w:rPr>
          <w:sz w:val="24"/>
          <w:szCs w:val="24"/>
        </w:rPr>
        <w:t xml:space="preserve"> the higher of the two </w:t>
      </w:r>
      <w:r w:rsidR="00862072">
        <w:rPr>
          <w:sz w:val="24"/>
          <w:szCs w:val="24"/>
        </w:rPr>
        <w:t xml:space="preserve">sources to derive the estimate of log production during the reporting period, ensures </w:t>
      </w:r>
      <w:r w:rsidR="00A77CEF">
        <w:rPr>
          <w:sz w:val="24"/>
          <w:szCs w:val="24"/>
        </w:rPr>
        <w:t>conservatism in the abatement calculations.</w:t>
      </w:r>
    </w:p>
    <w:p w14:paraId="4F8FD269" w14:textId="107A3398" w:rsidR="000C1127" w:rsidRDefault="000C1127" w:rsidP="000C1127">
      <w:pPr>
        <w:pStyle w:val="subsection"/>
        <w:ind w:left="0" w:firstLine="0"/>
        <w:rPr>
          <w:sz w:val="24"/>
          <w:szCs w:val="24"/>
        </w:rPr>
      </w:pPr>
      <w:r w:rsidRPr="000C1127">
        <w:rPr>
          <w:sz w:val="24"/>
          <w:szCs w:val="24"/>
        </w:rPr>
        <w:t>Subsection 4</w:t>
      </w:r>
      <w:r w:rsidR="007474CA">
        <w:rPr>
          <w:sz w:val="24"/>
          <w:szCs w:val="24"/>
        </w:rPr>
        <w:t>2</w:t>
      </w:r>
      <w:r w:rsidRPr="000C1127">
        <w:rPr>
          <w:sz w:val="24"/>
          <w:szCs w:val="24"/>
        </w:rPr>
        <w:t>(8) provides that, where the reporting period does not correspond to the period over which the data are reported in the relevant government reports, the volume of wood extracted from the private native forests in the reporting period must be derived by dividing the data reported for the financial or calendar years that overlap the reporting period by the number of months in the relevant years and then multiplying the monthly average by the number of months in the reporting period.</w:t>
      </w:r>
      <w:r>
        <w:rPr>
          <w:sz w:val="24"/>
          <w:szCs w:val="24"/>
        </w:rPr>
        <w:t xml:space="preserve"> This provision is required to accommodate the fact that </w:t>
      </w:r>
      <w:r w:rsidR="003F5BA7">
        <w:rPr>
          <w:sz w:val="24"/>
          <w:szCs w:val="24"/>
        </w:rPr>
        <w:t>government data on private native forests is generally published on a calendar or financial year basis.</w:t>
      </w:r>
    </w:p>
    <w:p w14:paraId="63EDE2A6" w14:textId="2F4CAE58" w:rsidR="003F5BA7" w:rsidRPr="00EB4A30" w:rsidRDefault="004F3C4A" w:rsidP="000C1127">
      <w:pPr>
        <w:pStyle w:val="subsection"/>
        <w:ind w:left="0" w:firstLine="0"/>
        <w:rPr>
          <w:sz w:val="24"/>
          <w:szCs w:val="24"/>
        </w:rPr>
      </w:pPr>
      <w:r w:rsidRPr="00EB4A30">
        <w:rPr>
          <w:sz w:val="24"/>
          <w:szCs w:val="24"/>
        </w:rPr>
        <w:t>Subsection 4</w:t>
      </w:r>
      <w:r w:rsidR="007474CA">
        <w:rPr>
          <w:sz w:val="24"/>
          <w:szCs w:val="24"/>
        </w:rPr>
        <w:t>2</w:t>
      </w:r>
      <w:r w:rsidRPr="00EB4A30">
        <w:rPr>
          <w:sz w:val="24"/>
          <w:szCs w:val="24"/>
        </w:rPr>
        <w:t xml:space="preserve">(9) specifies that the project allocation factor (AF) for the purposes of Equation </w:t>
      </w:r>
      <w:r w:rsidR="00861B10" w:rsidRPr="00EB4A30">
        <w:rPr>
          <w:sz w:val="24"/>
          <w:szCs w:val="24"/>
        </w:rPr>
        <w:t>1</w:t>
      </w:r>
      <w:r w:rsidR="005226AF">
        <w:rPr>
          <w:sz w:val="24"/>
          <w:szCs w:val="24"/>
        </w:rPr>
        <w:t>6</w:t>
      </w:r>
      <w:r w:rsidR="00861B10" w:rsidRPr="00EB4A30">
        <w:rPr>
          <w:sz w:val="24"/>
          <w:szCs w:val="24"/>
        </w:rPr>
        <w:t xml:space="preserve"> must be </w:t>
      </w:r>
      <w:r w:rsidRPr="00EB4A30">
        <w:rPr>
          <w:sz w:val="24"/>
          <w:szCs w:val="24"/>
        </w:rPr>
        <w:t>calculated in accordance with Equation 1</w:t>
      </w:r>
      <w:r w:rsidR="005226AF">
        <w:rPr>
          <w:sz w:val="24"/>
          <w:szCs w:val="24"/>
        </w:rPr>
        <w:t>4</w:t>
      </w:r>
      <w:r w:rsidRPr="00EB4A30">
        <w:rPr>
          <w:sz w:val="24"/>
          <w:szCs w:val="24"/>
        </w:rPr>
        <w:t xml:space="preserve"> in subsection 4</w:t>
      </w:r>
      <w:r w:rsidR="007474CA">
        <w:rPr>
          <w:sz w:val="24"/>
          <w:szCs w:val="24"/>
        </w:rPr>
        <w:t>1</w:t>
      </w:r>
      <w:r w:rsidRPr="00EB4A30">
        <w:rPr>
          <w:sz w:val="24"/>
          <w:szCs w:val="24"/>
        </w:rPr>
        <w:t>(6).</w:t>
      </w:r>
    </w:p>
    <w:p w14:paraId="284AE801" w14:textId="0D5476B3" w:rsidR="00F03B22" w:rsidRPr="00EB4A30" w:rsidRDefault="00F23536" w:rsidP="00F03B22">
      <w:pPr>
        <w:pStyle w:val="subsection"/>
        <w:spacing w:before="120" w:after="120"/>
        <w:ind w:left="0" w:firstLine="0"/>
        <w:rPr>
          <w:sz w:val="24"/>
          <w:szCs w:val="24"/>
        </w:rPr>
      </w:pPr>
      <w:r w:rsidRPr="00EB4A30">
        <w:rPr>
          <w:sz w:val="24"/>
          <w:szCs w:val="24"/>
        </w:rPr>
        <w:t>Subsection 4</w:t>
      </w:r>
      <w:r w:rsidR="002E564E">
        <w:rPr>
          <w:sz w:val="24"/>
          <w:szCs w:val="24"/>
        </w:rPr>
        <w:t>2</w:t>
      </w:r>
      <w:r w:rsidRPr="00EB4A30">
        <w:rPr>
          <w:sz w:val="24"/>
          <w:szCs w:val="24"/>
        </w:rPr>
        <w:t>(</w:t>
      </w:r>
      <w:r w:rsidR="002B035E" w:rsidRPr="00EB4A30">
        <w:rPr>
          <w:sz w:val="24"/>
          <w:szCs w:val="24"/>
        </w:rPr>
        <w:t>10</w:t>
      </w:r>
      <w:r w:rsidRPr="00EB4A30">
        <w:rPr>
          <w:sz w:val="24"/>
          <w:szCs w:val="24"/>
        </w:rPr>
        <w:t xml:space="preserve">) contains the rules for calculating the </w:t>
      </w:r>
      <w:r w:rsidR="002B035E" w:rsidRPr="00EB4A30">
        <w:rPr>
          <w:sz w:val="24"/>
          <w:szCs w:val="24"/>
        </w:rPr>
        <w:t>private native forests leakage deduction (</w:t>
      </w:r>
      <w:proofErr w:type="spellStart"/>
      <w:r w:rsidR="002B035E" w:rsidRPr="00EB4A30">
        <w:rPr>
          <w:sz w:val="24"/>
          <w:szCs w:val="24"/>
        </w:rPr>
        <w:t>PNFLD</w:t>
      </w:r>
      <w:r w:rsidR="002B035E" w:rsidRPr="00EB4A30">
        <w:rPr>
          <w:sz w:val="24"/>
          <w:szCs w:val="24"/>
          <w:vertAlign w:val="subscript"/>
        </w:rPr>
        <w:t>i</w:t>
      </w:r>
      <w:proofErr w:type="spellEnd"/>
      <w:r w:rsidR="002B035E" w:rsidRPr="00EB4A30">
        <w:rPr>
          <w:sz w:val="24"/>
          <w:szCs w:val="24"/>
        </w:rPr>
        <w:t xml:space="preserve"> </w:t>
      </w:r>
      <w:r w:rsidRPr="00EB4A30">
        <w:rPr>
          <w:sz w:val="24"/>
          <w:szCs w:val="24"/>
        </w:rPr>
        <w:t>in Equation 1</w:t>
      </w:r>
      <w:r w:rsidR="00CE50DA">
        <w:rPr>
          <w:sz w:val="24"/>
          <w:szCs w:val="24"/>
        </w:rPr>
        <w:t>2</w:t>
      </w:r>
      <w:r w:rsidRPr="00EB4A30">
        <w:rPr>
          <w:sz w:val="24"/>
          <w:szCs w:val="24"/>
        </w:rPr>
        <w:t xml:space="preserve">), where a </w:t>
      </w:r>
      <w:r w:rsidR="005D2DD3" w:rsidRPr="00EB4A30">
        <w:rPr>
          <w:sz w:val="24"/>
          <w:szCs w:val="24"/>
        </w:rPr>
        <w:t>private native forests leakage deduction applies</w:t>
      </w:r>
      <w:r w:rsidRPr="00EB4A30">
        <w:rPr>
          <w:sz w:val="24"/>
          <w:szCs w:val="24"/>
        </w:rPr>
        <w:t>.</w:t>
      </w:r>
      <w:r w:rsidR="000B69BE" w:rsidRPr="00EB4A30">
        <w:rPr>
          <w:sz w:val="24"/>
          <w:szCs w:val="24"/>
        </w:rPr>
        <w:t xml:space="preserve"> </w:t>
      </w:r>
      <w:r w:rsidR="00F03B22" w:rsidRPr="00EB4A30">
        <w:rPr>
          <w:sz w:val="24"/>
          <w:szCs w:val="24"/>
        </w:rPr>
        <w:t>Subsection 4</w:t>
      </w:r>
      <w:r w:rsidR="002E564E">
        <w:rPr>
          <w:sz w:val="24"/>
          <w:szCs w:val="24"/>
        </w:rPr>
        <w:t>2</w:t>
      </w:r>
      <w:r w:rsidR="00F03B22" w:rsidRPr="00EB4A30">
        <w:rPr>
          <w:sz w:val="24"/>
          <w:szCs w:val="24"/>
        </w:rPr>
        <w:t>(</w:t>
      </w:r>
      <w:r w:rsidR="000B69BE" w:rsidRPr="00EB4A30">
        <w:rPr>
          <w:sz w:val="24"/>
          <w:szCs w:val="24"/>
        </w:rPr>
        <w:t>10</w:t>
      </w:r>
      <w:r w:rsidR="00F03B22" w:rsidRPr="00EB4A30">
        <w:rPr>
          <w:sz w:val="24"/>
          <w:szCs w:val="24"/>
        </w:rPr>
        <w:t>)</w:t>
      </w:r>
      <w:r w:rsidR="000B69BE" w:rsidRPr="00EB4A30">
        <w:rPr>
          <w:sz w:val="24"/>
          <w:szCs w:val="24"/>
        </w:rPr>
        <w:t>(a)</w:t>
      </w:r>
      <w:r w:rsidR="00F03B22" w:rsidRPr="00EB4A30">
        <w:rPr>
          <w:sz w:val="24"/>
          <w:szCs w:val="24"/>
        </w:rPr>
        <w:t xml:space="preserve"> specifies that, if </w:t>
      </w:r>
      <w:r w:rsidR="00687219" w:rsidRPr="00EB4A30">
        <w:rPr>
          <w:sz w:val="24"/>
          <w:szCs w:val="24"/>
        </w:rPr>
        <w:t>a</w:t>
      </w:r>
      <w:r w:rsidR="00F03B22" w:rsidRPr="00EB4A30">
        <w:rPr>
          <w:sz w:val="24"/>
          <w:szCs w:val="24"/>
        </w:rPr>
        <w:t xml:space="preserve"> </w:t>
      </w:r>
      <w:r w:rsidR="00687219" w:rsidRPr="00EB4A30">
        <w:rPr>
          <w:sz w:val="24"/>
          <w:szCs w:val="24"/>
        </w:rPr>
        <w:t>private native forests leakage deduction applies</w:t>
      </w:r>
      <w:r w:rsidR="000B69BE" w:rsidRPr="00EB4A30">
        <w:rPr>
          <w:sz w:val="24"/>
          <w:szCs w:val="24"/>
        </w:rPr>
        <w:t xml:space="preserve">, </w:t>
      </w:r>
      <w:r w:rsidR="00687219" w:rsidRPr="00EB4A30">
        <w:rPr>
          <w:sz w:val="24"/>
          <w:szCs w:val="24"/>
        </w:rPr>
        <w:t xml:space="preserve">a modelled harvest area </w:t>
      </w:r>
      <w:r w:rsidR="00AB7406" w:rsidRPr="00EB4A30">
        <w:rPr>
          <w:sz w:val="24"/>
          <w:szCs w:val="24"/>
        </w:rPr>
        <w:t>must be</w:t>
      </w:r>
      <w:r w:rsidR="00687219" w:rsidRPr="00EB4A30">
        <w:rPr>
          <w:sz w:val="24"/>
          <w:szCs w:val="24"/>
        </w:rPr>
        <w:t xml:space="preserve"> derived by dividing the exceedance volume </w:t>
      </w:r>
      <w:r w:rsidR="00C432D6" w:rsidRPr="00EB4A30">
        <w:rPr>
          <w:sz w:val="24"/>
          <w:szCs w:val="24"/>
        </w:rPr>
        <w:t xml:space="preserve">(calculated under subsection (4)) </w:t>
      </w:r>
      <w:r w:rsidR="00687219" w:rsidRPr="00EB4A30">
        <w:rPr>
          <w:sz w:val="24"/>
          <w:szCs w:val="24"/>
        </w:rPr>
        <w:t>by the area-weighted average log yield (in m</w:t>
      </w:r>
      <w:r w:rsidR="00687219" w:rsidRPr="00EB4A30">
        <w:rPr>
          <w:sz w:val="24"/>
          <w:szCs w:val="24"/>
          <w:vertAlign w:val="superscript"/>
        </w:rPr>
        <w:t>3</w:t>
      </w:r>
      <w:r w:rsidR="00687219" w:rsidRPr="00EB4A30">
        <w:rPr>
          <w:sz w:val="24"/>
          <w:szCs w:val="24"/>
        </w:rPr>
        <w:t xml:space="preserve"> per hectare) from the prior period </w:t>
      </w:r>
      <w:proofErr w:type="spellStart"/>
      <w:r w:rsidR="00687219" w:rsidRPr="00EB4A30">
        <w:rPr>
          <w:sz w:val="24"/>
          <w:szCs w:val="24"/>
        </w:rPr>
        <w:t>FullCAM</w:t>
      </w:r>
      <w:proofErr w:type="spellEnd"/>
      <w:r w:rsidR="00687219" w:rsidRPr="00EB4A30">
        <w:rPr>
          <w:sz w:val="24"/>
          <w:szCs w:val="24"/>
        </w:rPr>
        <w:t xml:space="preserve"> forest estate model under section 2</w:t>
      </w:r>
      <w:r w:rsidR="00796BBE">
        <w:rPr>
          <w:sz w:val="24"/>
          <w:szCs w:val="24"/>
        </w:rPr>
        <w:t>7</w:t>
      </w:r>
      <w:r w:rsidR="00687219" w:rsidRPr="00EB4A30">
        <w:rPr>
          <w:sz w:val="24"/>
          <w:szCs w:val="24"/>
        </w:rPr>
        <w:t>.</w:t>
      </w:r>
      <w:r w:rsidR="00C432D6" w:rsidRPr="00EB4A30">
        <w:rPr>
          <w:sz w:val="24"/>
          <w:szCs w:val="24"/>
        </w:rPr>
        <w:t xml:space="preserve"> </w:t>
      </w:r>
      <w:r w:rsidR="004A692C" w:rsidRPr="00EB4A30">
        <w:rPr>
          <w:sz w:val="24"/>
          <w:szCs w:val="24"/>
        </w:rPr>
        <w:t>Subsection 4</w:t>
      </w:r>
      <w:r w:rsidR="002E564E">
        <w:rPr>
          <w:sz w:val="24"/>
          <w:szCs w:val="24"/>
        </w:rPr>
        <w:t>2</w:t>
      </w:r>
      <w:r w:rsidR="004A692C" w:rsidRPr="00EB4A30">
        <w:rPr>
          <w:sz w:val="24"/>
          <w:szCs w:val="24"/>
        </w:rPr>
        <w:t>(</w:t>
      </w:r>
      <w:r w:rsidR="00A7469E" w:rsidRPr="00EB4A30">
        <w:rPr>
          <w:sz w:val="24"/>
          <w:szCs w:val="24"/>
        </w:rPr>
        <w:t>10</w:t>
      </w:r>
      <w:r w:rsidR="004A692C" w:rsidRPr="00EB4A30">
        <w:rPr>
          <w:sz w:val="24"/>
          <w:szCs w:val="24"/>
        </w:rPr>
        <w:t xml:space="preserve">)(b) specifies that the </w:t>
      </w:r>
      <w:r w:rsidR="00A7469E" w:rsidRPr="00EB4A30">
        <w:rPr>
          <w:sz w:val="24"/>
          <w:szCs w:val="24"/>
        </w:rPr>
        <w:t>private native forests leakage deduction (</w:t>
      </w:r>
      <w:proofErr w:type="spellStart"/>
      <w:r w:rsidR="00A7469E" w:rsidRPr="00EB4A30">
        <w:rPr>
          <w:sz w:val="24"/>
          <w:szCs w:val="24"/>
        </w:rPr>
        <w:t>PNFLD</w:t>
      </w:r>
      <w:r w:rsidR="00A7469E" w:rsidRPr="00EB4A30">
        <w:rPr>
          <w:sz w:val="24"/>
          <w:szCs w:val="24"/>
          <w:vertAlign w:val="subscript"/>
        </w:rPr>
        <w:t>i</w:t>
      </w:r>
      <w:proofErr w:type="spellEnd"/>
      <w:r w:rsidR="00EC477B" w:rsidRPr="00EB4A30">
        <w:rPr>
          <w:sz w:val="24"/>
          <w:szCs w:val="24"/>
        </w:rPr>
        <w:t xml:space="preserve">) </w:t>
      </w:r>
      <w:r w:rsidR="004A692C" w:rsidRPr="00EB4A30">
        <w:rPr>
          <w:sz w:val="24"/>
          <w:szCs w:val="24"/>
        </w:rPr>
        <w:t xml:space="preserve">must be calculated as </w:t>
      </w:r>
      <w:r w:rsidR="004F53F7" w:rsidRPr="00EB4A30" w:rsidDel="003A5507">
        <w:rPr>
          <w:sz w:val="24"/>
          <w:szCs w:val="24"/>
        </w:rPr>
        <w:t xml:space="preserve">the </w:t>
      </w:r>
      <w:r w:rsidR="004F53F7" w:rsidRPr="00EB4A30">
        <w:rPr>
          <w:sz w:val="24"/>
          <w:szCs w:val="24"/>
        </w:rPr>
        <w:t xml:space="preserve">difference between the </w:t>
      </w:r>
      <w:r w:rsidR="004F53F7" w:rsidRPr="00EB4A30" w:rsidDel="003A5507">
        <w:rPr>
          <w:sz w:val="24"/>
          <w:szCs w:val="24"/>
        </w:rPr>
        <w:t>net emissions (</w:t>
      </w:r>
      <w:r w:rsidR="004F53F7" w:rsidRPr="00EB4A30" w:rsidDel="003A5507">
        <w:rPr>
          <w:bCs/>
          <w:sz w:val="24"/>
          <w:szCs w:val="24"/>
        </w:rPr>
        <w:t>in tonnes CO</w:t>
      </w:r>
      <w:r w:rsidR="004F53F7" w:rsidRPr="00EB4A30" w:rsidDel="003A5507">
        <w:rPr>
          <w:bCs/>
          <w:sz w:val="24"/>
          <w:szCs w:val="24"/>
          <w:vertAlign w:val="subscript"/>
        </w:rPr>
        <w:t>2</w:t>
      </w:r>
      <w:r w:rsidR="004F53F7" w:rsidRPr="00EB4A30" w:rsidDel="003A5507">
        <w:rPr>
          <w:bCs/>
          <w:sz w:val="24"/>
          <w:szCs w:val="24"/>
        </w:rPr>
        <w:t xml:space="preserve">-e) </w:t>
      </w:r>
      <w:r w:rsidR="004F53F7" w:rsidRPr="00EB4A30">
        <w:rPr>
          <w:sz w:val="24"/>
          <w:szCs w:val="24"/>
        </w:rPr>
        <w:t xml:space="preserve">from harvesting and not harvesting the modelled harvested area (derived under </w:t>
      </w:r>
      <w:r w:rsidR="004475EA" w:rsidRPr="00EB4A30">
        <w:rPr>
          <w:sz w:val="24"/>
          <w:szCs w:val="24"/>
        </w:rPr>
        <w:t xml:space="preserve">subsection </w:t>
      </w:r>
      <w:r w:rsidR="006639AD" w:rsidRPr="00EB4A30">
        <w:rPr>
          <w:sz w:val="24"/>
          <w:szCs w:val="24"/>
        </w:rPr>
        <w:t>4</w:t>
      </w:r>
      <w:r w:rsidR="002E564E">
        <w:rPr>
          <w:sz w:val="24"/>
          <w:szCs w:val="24"/>
        </w:rPr>
        <w:t>2</w:t>
      </w:r>
      <w:r w:rsidR="006639AD" w:rsidRPr="00EB4A30">
        <w:rPr>
          <w:sz w:val="24"/>
          <w:szCs w:val="24"/>
        </w:rPr>
        <w:t>(10)(a</w:t>
      </w:r>
      <w:r w:rsidR="004F53F7" w:rsidRPr="00EB4A30">
        <w:rPr>
          <w:sz w:val="24"/>
          <w:szCs w:val="24"/>
        </w:rPr>
        <w:t>)</w:t>
      </w:r>
      <w:r w:rsidR="006639AD" w:rsidRPr="00EB4A30">
        <w:rPr>
          <w:sz w:val="24"/>
          <w:szCs w:val="24"/>
        </w:rPr>
        <w:t>)</w:t>
      </w:r>
      <w:r w:rsidR="004F53F7" w:rsidRPr="00EB4A30">
        <w:rPr>
          <w:sz w:val="24"/>
          <w:szCs w:val="24"/>
        </w:rPr>
        <w:t xml:space="preserve"> over a 5-year simulation period</w:t>
      </w:r>
      <w:r w:rsidR="004A692C" w:rsidRPr="00EB4A30">
        <w:rPr>
          <w:sz w:val="24"/>
          <w:szCs w:val="24"/>
        </w:rPr>
        <w:t>. This must be calculated using Equation 1</w:t>
      </w:r>
      <w:r w:rsidR="002005E7">
        <w:rPr>
          <w:sz w:val="24"/>
          <w:szCs w:val="24"/>
        </w:rPr>
        <w:t>7</w:t>
      </w:r>
      <w:r w:rsidR="004A692C" w:rsidRPr="00EB4A30">
        <w:rPr>
          <w:sz w:val="24"/>
          <w:szCs w:val="24"/>
        </w:rPr>
        <w:t>, which is provided in subsection 4</w:t>
      </w:r>
      <w:r w:rsidR="002E564E">
        <w:rPr>
          <w:sz w:val="24"/>
          <w:szCs w:val="24"/>
        </w:rPr>
        <w:t>2</w:t>
      </w:r>
      <w:r w:rsidR="004A692C" w:rsidRPr="00EB4A30">
        <w:rPr>
          <w:sz w:val="24"/>
          <w:szCs w:val="24"/>
        </w:rPr>
        <w:t>(</w:t>
      </w:r>
      <w:r w:rsidR="00151955" w:rsidRPr="00EB4A30">
        <w:rPr>
          <w:sz w:val="24"/>
          <w:szCs w:val="24"/>
        </w:rPr>
        <w:t>10</w:t>
      </w:r>
      <w:r w:rsidR="004A692C" w:rsidRPr="00EB4A30">
        <w:rPr>
          <w:sz w:val="24"/>
          <w:szCs w:val="24"/>
        </w:rPr>
        <w:t>)(</w:t>
      </w:r>
      <w:r w:rsidR="00BC1673" w:rsidRPr="00EB4A30">
        <w:rPr>
          <w:sz w:val="24"/>
          <w:szCs w:val="24"/>
        </w:rPr>
        <w:t>b</w:t>
      </w:r>
      <w:r w:rsidR="004A692C" w:rsidRPr="00EB4A30">
        <w:rPr>
          <w:sz w:val="24"/>
          <w:szCs w:val="24"/>
        </w:rPr>
        <w:t>).</w:t>
      </w:r>
      <w:r w:rsidR="00BC1673" w:rsidRPr="00EB4A30">
        <w:rPr>
          <w:sz w:val="24"/>
          <w:szCs w:val="24"/>
        </w:rPr>
        <w:t xml:space="preserve"> </w:t>
      </w:r>
      <w:r w:rsidR="00F03B22" w:rsidRPr="00EB4A30">
        <w:rPr>
          <w:sz w:val="24"/>
          <w:szCs w:val="24"/>
        </w:rPr>
        <w:t>Subsection 4</w:t>
      </w:r>
      <w:r w:rsidR="002E564E">
        <w:rPr>
          <w:sz w:val="24"/>
          <w:szCs w:val="24"/>
        </w:rPr>
        <w:t>2</w:t>
      </w:r>
      <w:r w:rsidR="00F03B22" w:rsidRPr="00EB4A30">
        <w:rPr>
          <w:sz w:val="24"/>
          <w:szCs w:val="24"/>
        </w:rPr>
        <w:t>(</w:t>
      </w:r>
      <w:r w:rsidR="00BC1673" w:rsidRPr="00EB4A30">
        <w:rPr>
          <w:sz w:val="24"/>
          <w:szCs w:val="24"/>
        </w:rPr>
        <w:t>10</w:t>
      </w:r>
      <w:r w:rsidR="00F03B22" w:rsidRPr="00EB4A30">
        <w:rPr>
          <w:sz w:val="24"/>
          <w:szCs w:val="24"/>
        </w:rPr>
        <w:t>)</w:t>
      </w:r>
      <w:r w:rsidR="00BC1673" w:rsidRPr="00EB4A30">
        <w:rPr>
          <w:sz w:val="24"/>
          <w:szCs w:val="24"/>
        </w:rPr>
        <w:t>(c)</w:t>
      </w:r>
      <w:r w:rsidR="00F03B22" w:rsidRPr="00EB4A30">
        <w:rPr>
          <w:sz w:val="24"/>
          <w:szCs w:val="24"/>
        </w:rPr>
        <w:t xml:space="preserve"> specifies how the parameters in Equation 1</w:t>
      </w:r>
      <w:r w:rsidR="002005E7">
        <w:rPr>
          <w:sz w:val="24"/>
          <w:szCs w:val="24"/>
        </w:rPr>
        <w:t>7</w:t>
      </w:r>
      <w:r w:rsidR="00F03B22" w:rsidRPr="00EB4A30">
        <w:rPr>
          <w:sz w:val="24"/>
          <w:szCs w:val="24"/>
        </w:rPr>
        <w:t xml:space="preserve"> must be calculated. The carbon mass of trees and forest debris in the harvest and no-harvest scenarios must be modelled using </w:t>
      </w:r>
      <w:proofErr w:type="spellStart"/>
      <w:r w:rsidR="00F03B22" w:rsidRPr="00EB4A30">
        <w:rPr>
          <w:sz w:val="24"/>
          <w:szCs w:val="24"/>
        </w:rPr>
        <w:t>FullCAM</w:t>
      </w:r>
      <w:proofErr w:type="spellEnd"/>
      <w:r w:rsidR="00F03B22" w:rsidRPr="00EB4A30">
        <w:rPr>
          <w:sz w:val="24"/>
          <w:szCs w:val="24"/>
        </w:rPr>
        <w:t xml:space="preserve"> in accordance with section 3</w:t>
      </w:r>
      <w:r w:rsidR="002E564E">
        <w:rPr>
          <w:sz w:val="24"/>
          <w:szCs w:val="24"/>
        </w:rPr>
        <w:t>4</w:t>
      </w:r>
      <w:r w:rsidR="00F03B22" w:rsidRPr="00EB4A30">
        <w:rPr>
          <w:sz w:val="24"/>
          <w:szCs w:val="24"/>
        </w:rPr>
        <w:t xml:space="preserve">. For these purposes, timber harvesting and post-harvest (slash) burns are the only events that can </w:t>
      </w:r>
      <w:proofErr w:type="gramStart"/>
      <w:r w:rsidR="00F03B22" w:rsidRPr="00EB4A30">
        <w:rPr>
          <w:sz w:val="24"/>
          <w:szCs w:val="24"/>
        </w:rPr>
        <w:t>be modelled</w:t>
      </w:r>
      <w:proofErr w:type="gramEnd"/>
      <w:r w:rsidR="00F03B22" w:rsidRPr="00EB4A30">
        <w:rPr>
          <w:sz w:val="24"/>
          <w:szCs w:val="24"/>
        </w:rPr>
        <w:t xml:space="preserve"> in the harvest </w:t>
      </w:r>
      <w:proofErr w:type="gramStart"/>
      <w:r w:rsidR="00F03B22" w:rsidRPr="00EB4A30">
        <w:rPr>
          <w:sz w:val="24"/>
          <w:szCs w:val="24"/>
        </w:rPr>
        <w:t>scenario</w:t>
      </w:r>
      <w:proofErr w:type="gramEnd"/>
      <w:r w:rsidR="00F03B22" w:rsidRPr="00EB4A30">
        <w:rPr>
          <w:sz w:val="24"/>
          <w:szCs w:val="24"/>
        </w:rPr>
        <w:t xml:space="preserve"> and these events must </w:t>
      </w:r>
      <w:proofErr w:type="gramStart"/>
      <w:r w:rsidR="00F03B22" w:rsidRPr="00EB4A30">
        <w:rPr>
          <w:sz w:val="24"/>
          <w:szCs w:val="24"/>
        </w:rPr>
        <w:t>be removed</w:t>
      </w:r>
      <w:proofErr w:type="gramEnd"/>
      <w:r w:rsidR="00F03B22" w:rsidRPr="00EB4A30">
        <w:rPr>
          <w:sz w:val="24"/>
          <w:szCs w:val="24"/>
        </w:rPr>
        <w:t xml:space="preserve"> in modelling the corresponding no-harvest scenario. No other events can be modelled. Subsection 4</w:t>
      </w:r>
      <w:r w:rsidR="00FF27DA">
        <w:rPr>
          <w:sz w:val="24"/>
          <w:szCs w:val="24"/>
        </w:rPr>
        <w:t>2</w:t>
      </w:r>
      <w:r w:rsidR="00F03B22" w:rsidRPr="00EB4A30">
        <w:rPr>
          <w:sz w:val="24"/>
          <w:szCs w:val="24"/>
        </w:rPr>
        <w:t>(</w:t>
      </w:r>
      <w:r w:rsidR="00A6140E" w:rsidRPr="00EB4A30">
        <w:rPr>
          <w:sz w:val="24"/>
          <w:szCs w:val="24"/>
        </w:rPr>
        <w:t>10</w:t>
      </w:r>
      <w:r w:rsidR="00F03B22" w:rsidRPr="00EB4A30">
        <w:rPr>
          <w:sz w:val="24"/>
          <w:szCs w:val="24"/>
        </w:rPr>
        <w:t>)(c)</w:t>
      </w:r>
      <w:r w:rsidR="00A6140E" w:rsidRPr="00EB4A30">
        <w:rPr>
          <w:sz w:val="24"/>
          <w:szCs w:val="24"/>
        </w:rPr>
        <w:t>(iii)</w:t>
      </w:r>
      <w:r w:rsidR="00F03B22" w:rsidRPr="00EB4A30">
        <w:rPr>
          <w:sz w:val="24"/>
          <w:szCs w:val="24"/>
        </w:rPr>
        <w:t xml:space="preserve"> ensures relevant </w:t>
      </w:r>
      <w:r w:rsidR="00F03B22" w:rsidRPr="00EB4A30">
        <w:rPr>
          <w:bCs/>
          <w:sz w:val="24"/>
          <w:szCs w:val="24"/>
        </w:rPr>
        <w:t>references to the baseline and project scenarios in Equations 2, 3, 4, 5, 6 and 7, and section 3</w:t>
      </w:r>
      <w:r w:rsidR="0035693E">
        <w:rPr>
          <w:bCs/>
          <w:sz w:val="24"/>
          <w:szCs w:val="24"/>
        </w:rPr>
        <w:t>4</w:t>
      </w:r>
      <w:r w:rsidR="00F03B22" w:rsidRPr="00EB4A30">
        <w:rPr>
          <w:bCs/>
          <w:sz w:val="24"/>
          <w:szCs w:val="24"/>
        </w:rPr>
        <w:t>, are taken to mean the harvest (baseline) and no harvest (project) scenarios respectively</w:t>
      </w:r>
      <w:r w:rsidR="00F03B22" w:rsidRPr="00EB4A30">
        <w:rPr>
          <w:sz w:val="24"/>
          <w:szCs w:val="24"/>
        </w:rPr>
        <w:t>. Subsection 4</w:t>
      </w:r>
      <w:r w:rsidR="006D72FD">
        <w:rPr>
          <w:sz w:val="24"/>
          <w:szCs w:val="24"/>
        </w:rPr>
        <w:t>2</w:t>
      </w:r>
      <w:r w:rsidR="00F03B22" w:rsidRPr="00EB4A30">
        <w:rPr>
          <w:sz w:val="24"/>
          <w:szCs w:val="24"/>
        </w:rPr>
        <w:t>(</w:t>
      </w:r>
      <w:r w:rsidR="003A3569" w:rsidRPr="00EB4A30">
        <w:rPr>
          <w:sz w:val="24"/>
          <w:szCs w:val="24"/>
        </w:rPr>
        <w:t>10</w:t>
      </w:r>
      <w:r w:rsidR="00F03B22" w:rsidRPr="00EB4A30">
        <w:rPr>
          <w:sz w:val="24"/>
          <w:szCs w:val="24"/>
        </w:rPr>
        <w:t>)(d)</w:t>
      </w:r>
      <w:r w:rsidR="00D22F2B" w:rsidRPr="00EB4A30">
        <w:rPr>
          <w:sz w:val="24"/>
          <w:szCs w:val="24"/>
        </w:rPr>
        <w:t>(iv)</w:t>
      </w:r>
      <w:r w:rsidR="00F03B22" w:rsidRPr="00EB4A30">
        <w:rPr>
          <w:sz w:val="24"/>
          <w:szCs w:val="24"/>
        </w:rPr>
        <w:t xml:space="preserve"> clarifies that </w:t>
      </w:r>
      <w:r w:rsidR="00F03B22" w:rsidRPr="00EB4A30">
        <w:rPr>
          <w:bCs/>
          <w:sz w:val="24"/>
          <w:szCs w:val="24"/>
        </w:rPr>
        <w:t xml:space="preserve">references to the reporting period in </w:t>
      </w:r>
      <w:r w:rsidR="007F7B22" w:rsidRPr="00EB4A30">
        <w:rPr>
          <w:bCs/>
          <w:sz w:val="24"/>
          <w:szCs w:val="24"/>
        </w:rPr>
        <w:t>Equations 2, 3, 4, 5, 6 and 7, and section 3</w:t>
      </w:r>
      <w:r w:rsidR="007F7B22">
        <w:rPr>
          <w:bCs/>
          <w:sz w:val="24"/>
          <w:szCs w:val="24"/>
        </w:rPr>
        <w:t xml:space="preserve">4, </w:t>
      </w:r>
      <w:r w:rsidR="00F03B22" w:rsidRPr="00EB4A30">
        <w:rPr>
          <w:bCs/>
          <w:sz w:val="24"/>
          <w:szCs w:val="24"/>
        </w:rPr>
        <w:t>must be taken to mean the 5-year simulation period</w:t>
      </w:r>
      <w:r w:rsidR="00F03B22" w:rsidRPr="00EB4A30">
        <w:rPr>
          <w:sz w:val="24"/>
          <w:szCs w:val="24"/>
        </w:rPr>
        <w:t>.</w:t>
      </w:r>
    </w:p>
    <w:p w14:paraId="2D941D90" w14:textId="5B14619C" w:rsidR="00994703" w:rsidRPr="00EB4A30" w:rsidRDefault="00AF6599" w:rsidP="00994703">
      <w:pPr>
        <w:pStyle w:val="subsection"/>
        <w:spacing w:before="120" w:after="120"/>
        <w:ind w:left="0" w:firstLine="0"/>
        <w:rPr>
          <w:sz w:val="24"/>
          <w:szCs w:val="24"/>
        </w:rPr>
      </w:pPr>
      <w:r w:rsidRPr="00EB4A30">
        <w:rPr>
          <w:sz w:val="24"/>
          <w:szCs w:val="24"/>
        </w:rPr>
        <w:t xml:space="preserve">The use of a 5-year simulation period for these purposes is conservative as it tends to </w:t>
      </w:r>
      <w:r w:rsidR="00195B34" w:rsidRPr="00EB4A30">
        <w:rPr>
          <w:sz w:val="24"/>
          <w:szCs w:val="24"/>
        </w:rPr>
        <w:t>maximise</w:t>
      </w:r>
      <w:r w:rsidRPr="00EB4A30">
        <w:rPr>
          <w:sz w:val="24"/>
          <w:szCs w:val="24"/>
        </w:rPr>
        <w:t xml:space="preserve"> the difference in net emissions between the two scenarios.</w:t>
      </w:r>
    </w:p>
    <w:p w14:paraId="73C67E6E" w14:textId="1A1A5ED1" w:rsidR="00C710A6" w:rsidRPr="00310D38" w:rsidRDefault="00C710A6" w:rsidP="00C710A6">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4</w:t>
      </w:r>
      <w:r w:rsidR="006D72FD">
        <w:rPr>
          <w:rFonts w:ascii="Times New Roman" w:hAnsi="Times New Roman" w:cs="Times New Roman"/>
          <w:sz w:val="24"/>
          <w:szCs w:val="24"/>
          <w:u w:val="single"/>
        </w:rPr>
        <w:t>3</w:t>
      </w:r>
      <w:r w:rsidRPr="00310D38">
        <w:rPr>
          <w:rFonts w:ascii="Times New Roman" w:hAnsi="Times New Roman" w:cs="Times New Roman"/>
          <w:sz w:val="24"/>
          <w:szCs w:val="24"/>
          <w:u w:val="single"/>
        </w:rPr>
        <w:t xml:space="preserve"> – </w:t>
      </w:r>
      <w:r w:rsidR="009F459B" w:rsidRPr="009F459B">
        <w:rPr>
          <w:rFonts w:ascii="Times New Roman" w:hAnsi="Times New Roman" w:cs="Times New Roman"/>
          <w:sz w:val="24"/>
          <w:szCs w:val="24"/>
          <w:u w:val="single"/>
        </w:rPr>
        <w:t>Indirect leakage deduction (ILD</w:t>
      </w:r>
      <w:r w:rsidR="009F459B" w:rsidRPr="009F459B">
        <w:rPr>
          <w:rFonts w:ascii="Times New Roman" w:hAnsi="Times New Roman" w:cs="Times New Roman"/>
          <w:sz w:val="24"/>
          <w:szCs w:val="24"/>
          <w:u w:val="single"/>
          <w:vertAlign w:val="subscript"/>
        </w:rPr>
        <w:t>i</w:t>
      </w:r>
      <w:r w:rsidR="009F459B" w:rsidRPr="009F459B">
        <w:rPr>
          <w:rFonts w:ascii="Times New Roman" w:hAnsi="Times New Roman" w:cs="Times New Roman"/>
          <w:sz w:val="24"/>
          <w:szCs w:val="24"/>
          <w:u w:val="single"/>
        </w:rPr>
        <w:t>)</w:t>
      </w:r>
    </w:p>
    <w:p w14:paraId="6E8357C3" w14:textId="50A3BCE3" w:rsidR="00881611" w:rsidRDefault="00CD2AC9" w:rsidP="00CD2AC9">
      <w:pPr>
        <w:pStyle w:val="subsection"/>
        <w:spacing w:before="120" w:after="120"/>
        <w:ind w:left="0" w:firstLine="0"/>
        <w:rPr>
          <w:sz w:val="24"/>
          <w:szCs w:val="24"/>
        </w:rPr>
      </w:pPr>
      <w:r w:rsidRPr="002F608C">
        <w:rPr>
          <w:sz w:val="24"/>
          <w:szCs w:val="24"/>
        </w:rPr>
        <w:t xml:space="preserve">Section </w:t>
      </w:r>
      <w:r>
        <w:rPr>
          <w:sz w:val="24"/>
          <w:szCs w:val="24"/>
        </w:rPr>
        <w:t>4</w:t>
      </w:r>
      <w:r w:rsidR="006D72FD">
        <w:rPr>
          <w:sz w:val="24"/>
          <w:szCs w:val="24"/>
        </w:rPr>
        <w:t>3</w:t>
      </w:r>
      <w:r w:rsidRPr="002F608C">
        <w:rPr>
          <w:sz w:val="24"/>
          <w:szCs w:val="24"/>
        </w:rPr>
        <w:t xml:space="preserve"> contains Equation </w:t>
      </w:r>
      <w:r>
        <w:rPr>
          <w:sz w:val="24"/>
          <w:szCs w:val="24"/>
        </w:rPr>
        <w:t>1</w:t>
      </w:r>
      <w:r w:rsidR="00D830FA">
        <w:rPr>
          <w:sz w:val="24"/>
          <w:szCs w:val="24"/>
        </w:rPr>
        <w:t>8</w:t>
      </w:r>
      <w:r w:rsidRPr="002F608C">
        <w:rPr>
          <w:sz w:val="24"/>
          <w:szCs w:val="24"/>
        </w:rPr>
        <w:t xml:space="preserve">, which is used to calculate </w:t>
      </w:r>
      <w:r>
        <w:rPr>
          <w:sz w:val="24"/>
          <w:szCs w:val="24"/>
        </w:rPr>
        <w:t xml:space="preserve">the </w:t>
      </w:r>
      <w:r w:rsidR="00DD5970">
        <w:rPr>
          <w:sz w:val="24"/>
          <w:szCs w:val="24"/>
        </w:rPr>
        <w:t xml:space="preserve">indirect </w:t>
      </w:r>
      <w:r>
        <w:rPr>
          <w:sz w:val="24"/>
          <w:szCs w:val="24"/>
        </w:rPr>
        <w:t>leakage deduction (</w:t>
      </w:r>
      <w:r w:rsidR="00DD5970">
        <w:rPr>
          <w:sz w:val="24"/>
          <w:szCs w:val="24"/>
        </w:rPr>
        <w:t>I</w:t>
      </w:r>
      <w:r>
        <w:rPr>
          <w:sz w:val="24"/>
          <w:szCs w:val="24"/>
        </w:rPr>
        <w:t>LD</w:t>
      </w:r>
      <w:r w:rsidRPr="00EF0971">
        <w:rPr>
          <w:sz w:val="24"/>
          <w:szCs w:val="24"/>
          <w:vertAlign w:val="subscript"/>
        </w:rPr>
        <w:t>i</w:t>
      </w:r>
      <w:r>
        <w:rPr>
          <w:sz w:val="24"/>
          <w:szCs w:val="24"/>
        </w:rPr>
        <w:t xml:space="preserve">) </w:t>
      </w:r>
      <w:r w:rsidRPr="002F608C">
        <w:rPr>
          <w:sz w:val="24"/>
          <w:szCs w:val="24"/>
        </w:rPr>
        <w:t>in the reporting period</w:t>
      </w:r>
      <w:r>
        <w:rPr>
          <w:sz w:val="24"/>
          <w:szCs w:val="24"/>
        </w:rPr>
        <w:t xml:space="preserve"> (</w:t>
      </w:r>
      <w:r w:rsidRPr="002F608C">
        <w:rPr>
          <w:sz w:val="24"/>
          <w:szCs w:val="24"/>
        </w:rPr>
        <w:t>for the purposes of Equation 1</w:t>
      </w:r>
      <w:r w:rsidR="00DE498B">
        <w:rPr>
          <w:sz w:val="24"/>
          <w:szCs w:val="24"/>
        </w:rPr>
        <w:t>2</w:t>
      </w:r>
      <w:r>
        <w:rPr>
          <w:sz w:val="24"/>
          <w:szCs w:val="24"/>
        </w:rPr>
        <w:t xml:space="preserve">). The </w:t>
      </w:r>
      <w:r w:rsidR="00045103">
        <w:rPr>
          <w:sz w:val="24"/>
          <w:szCs w:val="24"/>
        </w:rPr>
        <w:t xml:space="preserve">indirect </w:t>
      </w:r>
      <w:r>
        <w:rPr>
          <w:sz w:val="24"/>
          <w:szCs w:val="24"/>
        </w:rPr>
        <w:t xml:space="preserve">leakage deduction is calculated for these purposes as </w:t>
      </w:r>
      <w:r w:rsidR="00045103">
        <w:rPr>
          <w:sz w:val="24"/>
          <w:szCs w:val="24"/>
        </w:rPr>
        <w:t xml:space="preserve">5% </w:t>
      </w:r>
      <w:r w:rsidR="00881611">
        <w:rPr>
          <w:sz w:val="24"/>
          <w:szCs w:val="24"/>
        </w:rPr>
        <w:t xml:space="preserve">of the difference between the </w:t>
      </w:r>
      <w:r w:rsidR="00881611" w:rsidRPr="00881611">
        <w:rPr>
          <w:sz w:val="24"/>
          <w:szCs w:val="24"/>
        </w:rPr>
        <w:t>carbon stock change</w:t>
      </w:r>
      <w:r w:rsidR="00881611">
        <w:rPr>
          <w:sz w:val="24"/>
          <w:szCs w:val="24"/>
        </w:rPr>
        <w:t xml:space="preserve"> in the project and baseline scenarios (calculated using Equation 2)</w:t>
      </w:r>
      <w:r w:rsidR="00364160">
        <w:rPr>
          <w:sz w:val="24"/>
          <w:szCs w:val="24"/>
        </w:rPr>
        <w:t>, minus the direct leakage deduction (</w:t>
      </w:r>
      <w:r w:rsidR="00210F60">
        <w:rPr>
          <w:sz w:val="24"/>
          <w:szCs w:val="24"/>
        </w:rPr>
        <w:t xml:space="preserve">if any, </w:t>
      </w:r>
      <w:r w:rsidR="00364160">
        <w:rPr>
          <w:sz w:val="24"/>
          <w:szCs w:val="24"/>
        </w:rPr>
        <w:t xml:space="preserve">calculated using Equation </w:t>
      </w:r>
      <w:r w:rsidR="002021ED">
        <w:rPr>
          <w:sz w:val="24"/>
          <w:szCs w:val="24"/>
        </w:rPr>
        <w:t>1</w:t>
      </w:r>
      <w:r w:rsidR="002D5981">
        <w:rPr>
          <w:sz w:val="24"/>
          <w:szCs w:val="24"/>
        </w:rPr>
        <w:t>5</w:t>
      </w:r>
      <w:r w:rsidR="00364160">
        <w:rPr>
          <w:sz w:val="24"/>
          <w:szCs w:val="24"/>
        </w:rPr>
        <w:t>)</w:t>
      </w:r>
      <w:r w:rsidR="002021ED">
        <w:rPr>
          <w:sz w:val="24"/>
          <w:szCs w:val="24"/>
        </w:rPr>
        <w:t xml:space="preserve"> </w:t>
      </w:r>
      <w:r w:rsidR="00364160">
        <w:rPr>
          <w:sz w:val="24"/>
          <w:szCs w:val="24"/>
        </w:rPr>
        <w:t xml:space="preserve">minus the </w:t>
      </w:r>
      <w:r w:rsidR="00FA2CA0">
        <w:rPr>
          <w:sz w:val="24"/>
          <w:szCs w:val="24"/>
        </w:rPr>
        <w:t>private native forest</w:t>
      </w:r>
      <w:r w:rsidR="00364160">
        <w:rPr>
          <w:sz w:val="24"/>
          <w:szCs w:val="24"/>
        </w:rPr>
        <w:t xml:space="preserve"> leakage deduction</w:t>
      </w:r>
      <w:r w:rsidR="002021ED">
        <w:rPr>
          <w:sz w:val="24"/>
          <w:szCs w:val="24"/>
        </w:rPr>
        <w:t xml:space="preserve"> (</w:t>
      </w:r>
      <w:r w:rsidR="00210F60">
        <w:rPr>
          <w:sz w:val="24"/>
          <w:szCs w:val="24"/>
        </w:rPr>
        <w:t xml:space="preserve">if any, </w:t>
      </w:r>
      <w:r w:rsidR="002021ED">
        <w:rPr>
          <w:sz w:val="24"/>
          <w:szCs w:val="24"/>
        </w:rPr>
        <w:t>calculated using Equation 1</w:t>
      </w:r>
      <w:r w:rsidR="002D5981">
        <w:rPr>
          <w:sz w:val="24"/>
          <w:szCs w:val="24"/>
        </w:rPr>
        <w:t>7</w:t>
      </w:r>
      <w:r w:rsidR="002021ED">
        <w:rPr>
          <w:sz w:val="24"/>
          <w:szCs w:val="24"/>
        </w:rPr>
        <w:t>)</w:t>
      </w:r>
      <w:r w:rsidR="00364160">
        <w:rPr>
          <w:sz w:val="24"/>
          <w:szCs w:val="24"/>
        </w:rPr>
        <w:t>.</w:t>
      </w:r>
    </w:p>
    <w:p w14:paraId="2259A9FE" w14:textId="5A7B9972" w:rsidR="00497758" w:rsidRDefault="00497758" w:rsidP="00497758">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lastRenderedPageBreak/>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8</w:t>
      </w:r>
      <w:r w:rsidRPr="00A656D9">
        <w:rPr>
          <w:rFonts w:ascii="Times New Roman" w:hAnsi="Times New Roman" w:cs="Times New Roman"/>
          <w:b/>
          <w:bCs/>
          <w:sz w:val="24"/>
          <w:szCs w:val="24"/>
        </w:rPr>
        <w:t>—</w:t>
      </w:r>
      <w:r w:rsidR="00B9484A">
        <w:rPr>
          <w:rFonts w:ascii="Times New Roman" w:hAnsi="Times New Roman" w:cs="Times New Roman"/>
          <w:b/>
          <w:bCs/>
          <w:sz w:val="24"/>
          <w:szCs w:val="24"/>
        </w:rPr>
        <w:t xml:space="preserve">Aggregate </w:t>
      </w:r>
      <w:r w:rsidR="000B4EDB" w:rsidRPr="000B4EDB">
        <w:rPr>
          <w:rFonts w:ascii="Times New Roman" w:hAnsi="Times New Roman" w:cs="Times New Roman"/>
          <w:b/>
          <w:bCs/>
          <w:sz w:val="24"/>
          <w:szCs w:val="24"/>
        </w:rPr>
        <w:t>negative abatement amount</w:t>
      </w:r>
    </w:p>
    <w:p w14:paraId="6B5D67CE" w14:textId="0687C4B5" w:rsidR="000B4EDB" w:rsidRPr="00310D38" w:rsidRDefault="00433D96" w:rsidP="000B4ED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0B4EDB">
        <w:rPr>
          <w:rFonts w:ascii="Times New Roman" w:hAnsi="Times New Roman" w:cs="Times New Roman"/>
          <w:sz w:val="24"/>
          <w:szCs w:val="24"/>
          <w:u w:val="single"/>
        </w:rPr>
        <w:t>4</w:t>
      </w:r>
      <w:r w:rsidR="006D72FD">
        <w:rPr>
          <w:rFonts w:ascii="Times New Roman" w:hAnsi="Times New Roman" w:cs="Times New Roman"/>
          <w:sz w:val="24"/>
          <w:szCs w:val="24"/>
          <w:u w:val="single"/>
        </w:rPr>
        <w:t>4</w:t>
      </w:r>
      <w:r w:rsidR="000B4EDB" w:rsidRPr="00310D38">
        <w:rPr>
          <w:rFonts w:ascii="Times New Roman" w:hAnsi="Times New Roman" w:cs="Times New Roman"/>
          <w:sz w:val="24"/>
          <w:szCs w:val="24"/>
          <w:u w:val="single"/>
        </w:rPr>
        <w:t xml:space="preserve"> – </w:t>
      </w:r>
      <w:r w:rsidR="00A22CB6" w:rsidRPr="00A22CB6">
        <w:rPr>
          <w:rFonts w:ascii="Times New Roman" w:hAnsi="Times New Roman" w:cs="Times New Roman"/>
          <w:sz w:val="24"/>
          <w:szCs w:val="24"/>
          <w:u w:val="single"/>
        </w:rPr>
        <w:t xml:space="preserve">Calculating </w:t>
      </w:r>
      <w:r w:rsidR="00451E64">
        <w:rPr>
          <w:rFonts w:ascii="Times New Roman" w:hAnsi="Times New Roman" w:cs="Times New Roman"/>
          <w:sz w:val="24"/>
          <w:szCs w:val="24"/>
          <w:u w:val="single"/>
        </w:rPr>
        <w:t xml:space="preserve">the </w:t>
      </w:r>
      <w:r w:rsidR="00B9484A">
        <w:rPr>
          <w:rFonts w:ascii="Times New Roman" w:hAnsi="Times New Roman" w:cs="Times New Roman"/>
          <w:sz w:val="24"/>
          <w:szCs w:val="24"/>
          <w:u w:val="single"/>
        </w:rPr>
        <w:t>aggregate</w:t>
      </w:r>
      <w:r w:rsidR="00A22CB6" w:rsidRPr="00A22CB6">
        <w:rPr>
          <w:rFonts w:ascii="Times New Roman" w:hAnsi="Times New Roman" w:cs="Times New Roman"/>
          <w:sz w:val="24"/>
          <w:szCs w:val="24"/>
          <w:u w:val="single"/>
        </w:rPr>
        <w:t xml:space="preserve"> negative abatement amount</w:t>
      </w:r>
    </w:p>
    <w:p w14:paraId="005D575B" w14:textId="7A951F62" w:rsidR="00800D2A" w:rsidRDefault="00A22CB6" w:rsidP="00AC2376">
      <w:pPr>
        <w:pStyle w:val="subsection"/>
        <w:spacing w:before="120" w:after="120"/>
        <w:ind w:left="0" w:firstLine="0"/>
        <w:rPr>
          <w:sz w:val="24"/>
          <w:szCs w:val="24"/>
        </w:rPr>
      </w:pPr>
      <w:r w:rsidRPr="00BD3DAE">
        <w:rPr>
          <w:sz w:val="24"/>
          <w:szCs w:val="24"/>
        </w:rPr>
        <w:t>Section 4</w:t>
      </w:r>
      <w:r w:rsidR="006D72FD">
        <w:rPr>
          <w:sz w:val="24"/>
          <w:szCs w:val="24"/>
        </w:rPr>
        <w:t>4</w:t>
      </w:r>
      <w:r w:rsidRPr="00BD3DAE">
        <w:rPr>
          <w:sz w:val="24"/>
          <w:szCs w:val="24"/>
        </w:rPr>
        <w:t xml:space="preserve"> provides tha</w:t>
      </w:r>
      <w:r w:rsidR="0000358F">
        <w:rPr>
          <w:sz w:val="24"/>
          <w:szCs w:val="24"/>
        </w:rPr>
        <w:t xml:space="preserve">t </w:t>
      </w:r>
      <w:r w:rsidR="0000358F" w:rsidRPr="0000358F">
        <w:rPr>
          <w:sz w:val="24"/>
          <w:szCs w:val="24"/>
        </w:rPr>
        <w:t xml:space="preserve">project proponent must establish and maintain an aggregate negative abatement account for all </w:t>
      </w:r>
      <w:r w:rsidR="00862D47">
        <w:rPr>
          <w:sz w:val="24"/>
          <w:szCs w:val="24"/>
        </w:rPr>
        <w:t>INFM projects</w:t>
      </w:r>
      <w:r w:rsidR="0000358F" w:rsidRPr="0000358F">
        <w:rPr>
          <w:sz w:val="24"/>
          <w:szCs w:val="24"/>
        </w:rPr>
        <w:t xml:space="preserve"> in the State in which the eligible offsets project is located</w:t>
      </w:r>
      <w:r w:rsidR="005B76BA">
        <w:rPr>
          <w:sz w:val="24"/>
          <w:szCs w:val="24"/>
        </w:rPr>
        <w:t xml:space="preserve">. Where the net abatement amount for </w:t>
      </w:r>
      <w:r w:rsidR="00862D47">
        <w:rPr>
          <w:sz w:val="24"/>
          <w:szCs w:val="24"/>
        </w:rPr>
        <w:t xml:space="preserve">an INFM </w:t>
      </w:r>
      <w:r w:rsidR="005B76BA">
        <w:rPr>
          <w:sz w:val="24"/>
          <w:szCs w:val="24"/>
        </w:rPr>
        <w:t>project in the relevant State is negative</w:t>
      </w:r>
      <w:r w:rsidR="00CF5C21">
        <w:rPr>
          <w:sz w:val="24"/>
          <w:szCs w:val="24"/>
        </w:rPr>
        <w:t xml:space="preserve">, the amount must be added to the </w:t>
      </w:r>
      <w:r w:rsidR="00862D47">
        <w:rPr>
          <w:sz w:val="24"/>
          <w:szCs w:val="24"/>
        </w:rPr>
        <w:t xml:space="preserve">proponent’s </w:t>
      </w:r>
      <w:r w:rsidR="00862D47" w:rsidRPr="0000358F">
        <w:rPr>
          <w:sz w:val="24"/>
          <w:szCs w:val="24"/>
        </w:rPr>
        <w:t>aggregate negative abatement account</w:t>
      </w:r>
      <w:r w:rsidR="00CF5C21">
        <w:rPr>
          <w:sz w:val="24"/>
          <w:szCs w:val="24"/>
        </w:rPr>
        <w:t xml:space="preserve">. </w:t>
      </w:r>
      <w:r w:rsidR="009261C2">
        <w:rPr>
          <w:sz w:val="24"/>
          <w:szCs w:val="24"/>
        </w:rPr>
        <w:t xml:space="preserve">The aggregate negative amount in the account </w:t>
      </w:r>
      <w:r w:rsidR="0091452F">
        <w:rPr>
          <w:sz w:val="24"/>
          <w:szCs w:val="24"/>
        </w:rPr>
        <w:t xml:space="preserve">at the end of the reporting period </w:t>
      </w:r>
      <w:r w:rsidR="007D6FBB">
        <w:rPr>
          <w:sz w:val="24"/>
          <w:szCs w:val="24"/>
        </w:rPr>
        <w:t xml:space="preserve">(if any) </w:t>
      </w:r>
      <w:r w:rsidR="0091452F">
        <w:rPr>
          <w:sz w:val="24"/>
          <w:szCs w:val="24"/>
        </w:rPr>
        <w:t xml:space="preserve">is applied in the calculation </w:t>
      </w:r>
      <w:r w:rsidR="001D01E8">
        <w:rPr>
          <w:sz w:val="24"/>
          <w:szCs w:val="24"/>
        </w:rPr>
        <w:t xml:space="preserve">of the net abatement amount for the relevant project. </w:t>
      </w:r>
      <w:r w:rsidR="000419C3">
        <w:rPr>
          <w:sz w:val="24"/>
          <w:szCs w:val="24"/>
        </w:rPr>
        <w:t>The amount</w:t>
      </w:r>
      <w:r w:rsidR="009F3A1B">
        <w:rPr>
          <w:sz w:val="24"/>
          <w:szCs w:val="24"/>
        </w:rPr>
        <w:t xml:space="preserve"> applied in calculating the net abatement amount for the project is deducted from the account. However, if the project has a </w:t>
      </w:r>
      <w:r w:rsidR="009C6740">
        <w:rPr>
          <w:sz w:val="24"/>
          <w:szCs w:val="24"/>
        </w:rPr>
        <w:t xml:space="preserve">negative abatement amount after the application of the aggregate amount, the negative abatement amount </w:t>
      </w:r>
      <w:r w:rsidR="00F70DBF">
        <w:rPr>
          <w:sz w:val="24"/>
          <w:szCs w:val="24"/>
        </w:rPr>
        <w:t xml:space="preserve">for the reporting period </w:t>
      </w:r>
      <w:r w:rsidR="009C6740">
        <w:rPr>
          <w:sz w:val="24"/>
          <w:szCs w:val="24"/>
        </w:rPr>
        <w:t xml:space="preserve">must be </w:t>
      </w:r>
      <w:r w:rsidR="006535D1">
        <w:rPr>
          <w:sz w:val="24"/>
          <w:szCs w:val="24"/>
        </w:rPr>
        <w:t>added to the account</w:t>
      </w:r>
      <w:r w:rsidR="00E87616">
        <w:rPr>
          <w:sz w:val="24"/>
          <w:szCs w:val="24"/>
        </w:rPr>
        <w:t>, ensuring it can be applied to the next INFM project to report in the State</w:t>
      </w:r>
      <w:r w:rsidR="006535D1">
        <w:rPr>
          <w:sz w:val="24"/>
          <w:szCs w:val="24"/>
        </w:rPr>
        <w:t xml:space="preserve">. </w:t>
      </w:r>
    </w:p>
    <w:p w14:paraId="41DE26BA" w14:textId="3DE3E0CC" w:rsidR="0000358F" w:rsidRPr="003060CE" w:rsidRDefault="00800D2A" w:rsidP="003060CE">
      <w:pPr>
        <w:pStyle w:val="subsection"/>
        <w:spacing w:before="120" w:after="120"/>
        <w:ind w:left="0" w:firstLine="0"/>
        <w:rPr>
          <w:sz w:val="24"/>
          <w:szCs w:val="24"/>
        </w:rPr>
      </w:pPr>
      <w:r>
        <w:rPr>
          <w:sz w:val="24"/>
          <w:szCs w:val="24"/>
        </w:rPr>
        <w:t xml:space="preserve">The requirements to maintain </w:t>
      </w:r>
      <w:r w:rsidR="00E87616">
        <w:rPr>
          <w:sz w:val="24"/>
          <w:szCs w:val="24"/>
        </w:rPr>
        <w:t xml:space="preserve">and apply the </w:t>
      </w:r>
      <w:r w:rsidRPr="0000358F">
        <w:rPr>
          <w:sz w:val="24"/>
          <w:szCs w:val="24"/>
        </w:rPr>
        <w:t xml:space="preserve">account </w:t>
      </w:r>
      <w:r w:rsidR="006535D1">
        <w:rPr>
          <w:sz w:val="24"/>
          <w:szCs w:val="24"/>
        </w:rPr>
        <w:t xml:space="preserve">reduce the scope for gaming and ensure </w:t>
      </w:r>
      <w:r w:rsidR="00211D46">
        <w:rPr>
          <w:sz w:val="24"/>
          <w:szCs w:val="24"/>
        </w:rPr>
        <w:t xml:space="preserve">the robustness of the provisions for addressing the risk of direct leakage into </w:t>
      </w:r>
      <w:r w:rsidR="00F260B9">
        <w:rPr>
          <w:sz w:val="24"/>
          <w:szCs w:val="24"/>
        </w:rPr>
        <w:t xml:space="preserve">other </w:t>
      </w:r>
      <w:r>
        <w:rPr>
          <w:sz w:val="24"/>
          <w:szCs w:val="24"/>
        </w:rPr>
        <w:t xml:space="preserve">parts of the </w:t>
      </w:r>
      <w:r w:rsidR="00211D46">
        <w:rPr>
          <w:sz w:val="24"/>
          <w:szCs w:val="24"/>
        </w:rPr>
        <w:t xml:space="preserve">public native forest estate </w:t>
      </w:r>
      <w:r>
        <w:rPr>
          <w:sz w:val="24"/>
          <w:szCs w:val="24"/>
        </w:rPr>
        <w:t>and the private native forest estate</w:t>
      </w:r>
      <w:r w:rsidR="003D4478">
        <w:rPr>
          <w:sz w:val="24"/>
          <w:szCs w:val="24"/>
        </w:rPr>
        <w:t xml:space="preserve"> in the relevant jurisdiction</w:t>
      </w:r>
      <w:r>
        <w:rPr>
          <w:sz w:val="24"/>
          <w:szCs w:val="24"/>
        </w:rPr>
        <w:t>.</w:t>
      </w:r>
    </w:p>
    <w:p w14:paraId="11972E4E" w14:textId="05AFE732" w:rsidR="00E01520" w:rsidRPr="00E01520" w:rsidRDefault="003060CE" w:rsidP="00D210F4">
      <w:pPr>
        <w:tabs>
          <w:tab w:val="right" w:pos="1021"/>
        </w:tabs>
        <w:spacing w:before="180" w:after="0" w:line="240" w:lineRule="auto"/>
        <w:rPr>
          <w:rFonts w:ascii="Times New Roman" w:eastAsia="Times New Roman" w:hAnsi="Times New Roman" w:cs="Times New Roman"/>
          <w:kern w:val="0"/>
          <w:sz w:val="24"/>
          <w:szCs w:val="24"/>
          <w:lang w:eastAsia="en-AU"/>
          <w14:ligatures w14:val="none"/>
        </w:rPr>
      </w:pPr>
      <w:r w:rsidRPr="00D210F4">
        <w:rPr>
          <w:rFonts w:ascii="Times New Roman" w:eastAsia="Times New Roman" w:hAnsi="Times New Roman" w:cs="Times New Roman"/>
          <w:kern w:val="0"/>
          <w:sz w:val="24"/>
          <w:szCs w:val="24"/>
          <w:lang w:eastAsia="en-AU"/>
          <w14:ligatures w14:val="none"/>
        </w:rPr>
        <w:t xml:space="preserve">Subsection </w:t>
      </w:r>
      <w:r w:rsidR="00D210F4" w:rsidRPr="00D210F4">
        <w:rPr>
          <w:rFonts w:ascii="Times New Roman" w:eastAsia="Times New Roman" w:hAnsi="Times New Roman" w:cs="Times New Roman"/>
          <w:kern w:val="0"/>
          <w:sz w:val="24"/>
          <w:szCs w:val="24"/>
          <w:lang w:eastAsia="en-AU"/>
          <w14:ligatures w14:val="none"/>
        </w:rPr>
        <w:t>4</w:t>
      </w:r>
      <w:r w:rsidR="006D72FD">
        <w:rPr>
          <w:rFonts w:ascii="Times New Roman" w:eastAsia="Times New Roman" w:hAnsi="Times New Roman" w:cs="Times New Roman"/>
          <w:kern w:val="0"/>
          <w:sz w:val="24"/>
          <w:szCs w:val="24"/>
          <w:lang w:eastAsia="en-AU"/>
          <w14:ligatures w14:val="none"/>
        </w:rPr>
        <w:t>4</w:t>
      </w:r>
      <w:r w:rsidR="00E01520" w:rsidRPr="00E01520">
        <w:rPr>
          <w:rFonts w:ascii="Times New Roman" w:eastAsia="Times New Roman" w:hAnsi="Times New Roman" w:cs="Times New Roman"/>
          <w:kern w:val="0"/>
          <w:sz w:val="24"/>
          <w:szCs w:val="24"/>
          <w:lang w:eastAsia="en-AU"/>
          <w14:ligatures w14:val="none"/>
        </w:rPr>
        <w:t>(1)</w:t>
      </w:r>
      <w:r w:rsidR="00D210F4" w:rsidRPr="00D210F4">
        <w:rPr>
          <w:rFonts w:ascii="Times New Roman" w:eastAsia="Times New Roman" w:hAnsi="Times New Roman" w:cs="Times New Roman"/>
          <w:kern w:val="0"/>
          <w:sz w:val="24"/>
          <w:szCs w:val="24"/>
          <w:lang w:eastAsia="en-AU"/>
          <w14:ligatures w14:val="none"/>
        </w:rPr>
        <w:t xml:space="preserve"> contains the requirement for the </w:t>
      </w:r>
      <w:r w:rsidR="00E01520" w:rsidRPr="00E01520">
        <w:rPr>
          <w:rFonts w:ascii="Times New Roman" w:eastAsia="Times New Roman" w:hAnsi="Times New Roman" w:cs="Times New Roman"/>
          <w:kern w:val="0"/>
          <w:sz w:val="24"/>
          <w:szCs w:val="24"/>
          <w:lang w:eastAsia="en-AU"/>
          <w14:ligatures w14:val="none"/>
        </w:rPr>
        <w:t xml:space="preserve">project proponent </w:t>
      </w:r>
      <w:r w:rsidR="003D4478">
        <w:rPr>
          <w:rFonts w:ascii="Times New Roman" w:eastAsia="Times New Roman" w:hAnsi="Times New Roman" w:cs="Times New Roman"/>
          <w:kern w:val="0"/>
          <w:sz w:val="24"/>
          <w:szCs w:val="24"/>
          <w:lang w:eastAsia="en-AU"/>
          <w14:ligatures w14:val="none"/>
        </w:rPr>
        <w:t xml:space="preserve">to </w:t>
      </w:r>
      <w:r w:rsidR="00E01520" w:rsidRPr="00E01520">
        <w:rPr>
          <w:rFonts w:ascii="Times New Roman" w:eastAsia="Times New Roman" w:hAnsi="Times New Roman" w:cs="Times New Roman"/>
          <w:kern w:val="0"/>
          <w:sz w:val="24"/>
          <w:szCs w:val="24"/>
          <w:lang w:eastAsia="en-AU"/>
          <w14:ligatures w14:val="none"/>
        </w:rPr>
        <w:t xml:space="preserve">establish and maintain </w:t>
      </w:r>
      <w:r w:rsidR="00D210F4" w:rsidRPr="00D210F4">
        <w:rPr>
          <w:rFonts w:ascii="Times New Roman" w:eastAsia="Times New Roman" w:hAnsi="Times New Roman" w:cs="Times New Roman"/>
          <w:kern w:val="0"/>
          <w:sz w:val="24"/>
          <w:szCs w:val="24"/>
          <w:lang w:eastAsia="en-AU"/>
          <w14:ligatures w14:val="none"/>
        </w:rPr>
        <w:t>the</w:t>
      </w:r>
      <w:r w:rsidR="00E01520" w:rsidRPr="00E01520">
        <w:rPr>
          <w:rFonts w:ascii="Times New Roman" w:eastAsia="Times New Roman" w:hAnsi="Times New Roman" w:cs="Times New Roman"/>
          <w:kern w:val="0"/>
          <w:sz w:val="24"/>
          <w:szCs w:val="24"/>
          <w:lang w:eastAsia="en-AU"/>
          <w14:ligatures w14:val="none"/>
        </w:rPr>
        <w:t xml:space="preserve"> aggregate negative abatement account for all </w:t>
      </w:r>
      <w:r w:rsidR="003D4478">
        <w:rPr>
          <w:rFonts w:ascii="Times New Roman" w:eastAsia="Times New Roman" w:hAnsi="Times New Roman" w:cs="Times New Roman"/>
          <w:kern w:val="0"/>
          <w:sz w:val="24"/>
          <w:szCs w:val="24"/>
          <w:lang w:eastAsia="en-AU"/>
          <w14:ligatures w14:val="none"/>
        </w:rPr>
        <w:t xml:space="preserve">INFM projects in the State </w:t>
      </w:r>
      <w:r w:rsidR="00E01520" w:rsidRPr="00E01520">
        <w:rPr>
          <w:rFonts w:ascii="Times New Roman" w:eastAsia="Times New Roman" w:hAnsi="Times New Roman" w:cs="Times New Roman"/>
          <w:kern w:val="0"/>
          <w:sz w:val="24"/>
          <w:szCs w:val="24"/>
          <w:lang w:eastAsia="en-AU"/>
          <w14:ligatures w14:val="none"/>
        </w:rPr>
        <w:t>in which the eligible offsets project is located.</w:t>
      </w:r>
    </w:p>
    <w:p w14:paraId="6FD82E6A" w14:textId="1DADB9A9" w:rsidR="00E01520" w:rsidRDefault="00D210F4" w:rsidP="00D210F4">
      <w:pPr>
        <w:tabs>
          <w:tab w:val="right" w:pos="1021"/>
        </w:tabs>
        <w:spacing w:before="180" w:after="0" w:line="240" w:lineRule="auto"/>
        <w:rPr>
          <w:rFonts w:ascii="Times New Roman" w:eastAsia="Times New Roman" w:hAnsi="Times New Roman" w:cs="Times New Roman"/>
          <w:kern w:val="0"/>
          <w:sz w:val="24"/>
          <w:szCs w:val="24"/>
          <w:lang w:eastAsia="en-AU"/>
          <w14:ligatures w14:val="none"/>
        </w:rPr>
      </w:pPr>
      <w:r w:rsidRPr="00781BD0">
        <w:rPr>
          <w:rFonts w:ascii="Times New Roman" w:eastAsia="Times New Roman" w:hAnsi="Times New Roman" w:cs="Times New Roman"/>
          <w:kern w:val="0"/>
          <w:sz w:val="24"/>
          <w:szCs w:val="24"/>
          <w:lang w:eastAsia="en-AU"/>
          <w14:ligatures w14:val="none"/>
        </w:rPr>
        <w:t>Subsection 4</w:t>
      </w:r>
      <w:r w:rsidR="006D72FD">
        <w:rPr>
          <w:rFonts w:ascii="Times New Roman" w:eastAsia="Times New Roman" w:hAnsi="Times New Roman" w:cs="Times New Roman"/>
          <w:kern w:val="0"/>
          <w:sz w:val="24"/>
          <w:szCs w:val="24"/>
          <w:lang w:eastAsia="en-AU"/>
          <w14:ligatures w14:val="none"/>
        </w:rPr>
        <w:t>4</w:t>
      </w:r>
      <w:r w:rsidRPr="00781BD0">
        <w:rPr>
          <w:rFonts w:ascii="Times New Roman" w:eastAsia="Times New Roman" w:hAnsi="Times New Roman" w:cs="Times New Roman"/>
          <w:kern w:val="0"/>
          <w:sz w:val="24"/>
          <w:szCs w:val="24"/>
          <w:lang w:eastAsia="en-AU"/>
          <w14:ligatures w14:val="none"/>
        </w:rPr>
        <w:t xml:space="preserve">(2) </w:t>
      </w:r>
      <w:r w:rsidR="00AB3987" w:rsidRPr="00781BD0">
        <w:rPr>
          <w:rFonts w:ascii="Times New Roman" w:eastAsia="Times New Roman" w:hAnsi="Times New Roman" w:cs="Times New Roman"/>
          <w:kern w:val="0"/>
          <w:sz w:val="24"/>
          <w:szCs w:val="24"/>
          <w:lang w:eastAsia="en-AU"/>
          <w14:ligatures w14:val="none"/>
        </w:rPr>
        <w:t xml:space="preserve">requires any negative abatement amount for </w:t>
      </w:r>
      <w:r w:rsidR="003D4478" w:rsidRPr="00781BD0">
        <w:rPr>
          <w:rFonts w:ascii="Times New Roman" w:eastAsia="Times New Roman" w:hAnsi="Times New Roman" w:cs="Times New Roman"/>
          <w:kern w:val="0"/>
          <w:sz w:val="24"/>
          <w:szCs w:val="24"/>
          <w:lang w:eastAsia="en-AU"/>
          <w14:ligatures w14:val="none"/>
        </w:rPr>
        <w:t>an INFM project</w:t>
      </w:r>
      <w:r w:rsidR="00AB3987" w:rsidRPr="00781BD0">
        <w:rPr>
          <w:rFonts w:ascii="Times New Roman" w:eastAsia="Times New Roman" w:hAnsi="Times New Roman" w:cs="Times New Roman"/>
          <w:kern w:val="0"/>
          <w:sz w:val="24"/>
          <w:szCs w:val="24"/>
          <w:lang w:eastAsia="en-AU"/>
          <w14:ligatures w14:val="none"/>
        </w:rPr>
        <w:t xml:space="preserve"> in the State </w:t>
      </w:r>
      <w:r w:rsidR="00781BD0" w:rsidRPr="00781BD0">
        <w:rPr>
          <w:rFonts w:ascii="Times New Roman" w:eastAsia="Times New Roman" w:hAnsi="Times New Roman" w:cs="Times New Roman"/>
          <w:kern w:val="0"/>
          <w:sz w:val="24"/>
          <w:szCs w:val="24"/>
          <w:lang w:eastAsia="en-AU"/>
          <w14:ligatures w14:val="none"/>
        </w:rPr>
        <w:t>to be</w:t>
      </w:r>
      <w:r w:rsidR="00E01520" w:rsidRPr="00E01520">
        <w:rPr>
          <w:rFonts w:ascii="Times New Roman" w:eastAsia="Times New Roman" w:hAnsi="Times New Roman" w:cs="Times New Roman"/>
          <w:kern w:val="0"/>
          <w:sz w:val="24"/>
          <w:szCs w:val="24"/>
          <w:lang w:eastAsia="en-AU"/>
          <w14:ligatures w14:val="none"/>
        </w:rPr>
        <w:t xml:space="preserve"> added to the account.</w:t>
      </w:r>
    </w:p>
    <w:p w14:paraId="7449A9FF" w14:textId="32B28DA0" w:rsidR="00C26F8E" w:rsidRDefault="00781BD0" w:rsidP="00C26F8E">
      <w:pPr>
        <w:tabs>
          <w:tab w:val="right" w:pos="1021"/>
        </w:tabs>
        <w:spacing w:before="180" w:after="0" w:line="240" w:lineRule="auto"/>
        <w:rPr>
          <w:rFonts w:ascii="Times New Roman" w:eastAsia="Times New Roman" w:hAnsi="Times New Roman" w:cs="Times New Roman"/>
          <w:kern w:val="0"/>
          <w:sz w:val="24"/>
          <w:szCs w:val="24"/>
          <w:lang w:eastAsia="en-AU"/>
          <w14:ligatures w14:val="none"/>
        </w:rPr>
      </w:pPr>
      <w:r w:rsidRPr="00C26F8E">
        <w:rPr>
          <w:rFonts w:ascii="Times New Roman" w:eastAsia="Times New Roman" w:hAnsi="Times New Roman" w:cs="Times New Roman"/>
          <w:kern w:val="0"/>
          <w:sz w:val="24"/>
          <w:szCs w:val="24"/>
          <w:lang w:eastAsia="en-AU"/>
          <w14:ligatures w14:val="none"/>
        </w:rPr>
        <w:t>Section 4</w:t>
      </w:r>
      <w:r w:rsidR="006D72FD">
        <w:rPr>
          <w:rFonts w:ascii="Times New Roman" w:eastAsia="Times New Roman" w:hAnsi="Times New Roman" w:cs="Times New Roman"/>
          <w:kern w:val="0"/>
          <w:sz w:val="24"/>
          <w:szCs w:val="24"/>
          <w:lang w:eastAsia="en-AU"/>
          <w14:ligatures w14:val="none"/>
        </w:rPr>
        <w:t>4</w:t>
      </w:r>
      <w:r w:rsidRPr="00C26F8E">
        <w:rPr>
          <w:rFonts w:ascii="Times New Roman" w:eastAsia="Times New Roman" w:hAnsi="Times New Roman" w:cs="Times New Roman"/>
          <w:kern w:val="0"/>
          <w:sz w:val="24"/>
          <w:szCs w:val="24"/>
          <w:lang w:eastAsia="en-AU"/>
          <w14:ligatures w14:val="none"/>
        </w:rPr>
        <w:t>(3) species that</w:t>
      </w:r>
      <w:r w:rsidR="006D2164" w:rsidRPr="00C26F8E">
        <w:rPr>
          <w:rFonts w:ascii="Times New Roman" w:eastAsia="Times New Roman" w:hAnsi="Times New Roman" w:cs="Times New Roman"/>
          <w:kern w:val="0"/>
          <w:sz w:val="24"/>
          <w:szCs w:val="24"/>
          <w:lang w:eastAsia="en-AU"/>
          <w14:ligatures w14:val="none"/>
        </w:rPr>
        <w:t xml:space="preserve">, when calculating the </w:t>
      </w:r>
      <w:r w:rsidR="00C26F8E" w:rsidRPr="00C26F8E">
        <w:rPr>
          <w:rFonts w:ascii="Times New Roman" w:eastAsia="Times New Roman" w:hAnsi="Times New Roman" w:cs="Times New Roman"/>
          <w:kern w:val="0"/>
          <w:sz w:val="24"/>
          <w:szCs w:val="24"/>
          <w:lang w:eastAsia="en-AU"/>
          <w14:ligatures w14:val="none"/>
        </w:rPr>
        <w:t xml:space="preserve">net abatement amount for a reporting period using Equation 1, </w:t>
      </w:r>
      <w:r w:rsidR="00E01520" w:rsidRPr="00E01520">
        <w:rPr>
          <w:rFonts w:ascii="Times New Roman" w:eastAsia="Times New Roman" w:hAnsi="Times New Roman" w:cs="Times New Roman"/>
          <w:kern w:val="0"/>
          <w:sz w:val="24"/>
          <w:szCs w:val="24"/>
          <w:lang w:eastAsia="en-AU"/>
          <w14:ligatures w14:val="none"/>
        </w:rPr>
        <w:t>the aggregate negative abatement amount (</w:t>
      </w:r>
      <w:proofErr w:type="spellStart"/>
      <w:r w:rsidR="00E01520" w:rsidRPr="00E01520">
        <w:rPr>
          <w:rFonts w:ascii="Times New Roman" w:eastAsia="Times New Roman" w:hAnsi="Times New Roman" w:cs="Times New Roman"/>
          <w:kern w:val="0"/>
          <w:sz w:val="24"/>
          <w:szCs w:val="24"/>
          <w:lang w:eastAsia="en-AU"/>
          <w14:ligatures w14:val="none"/>
        </w:rPr>
        <w:t>ANAA</w:t>
      </w:r>
      <w:r w:rsidR="00E01520" w:rsidRPr="00E01520">
        <w:rPr>
          <w:rFonts w:ascii="Times New Roman" w:eastAsia="Times New Roman" w:hAnsi="Times New Roman" w:cs="Times New Roman"/>
          <w:kern w:val="0"/>
          <w:sz w:val="24"/>
          <w:szCs w:val="24"/>
          <w:vertAlign w:val="subscript"/>
          <w:lang w:eastAsia="en-AU"/>
          <w14:ligatures w14:val="none"/>
        </w:rPr>
        <w:t>i</w:t>
      </w:r>
      <w:proofErr w:type="spellEnd"/>
      <w:r w:rsidR="00E01520" w:rsidRPr="00E01520">
        <w:rPr>
          <w:rFonts w:ascii="Times New Roman" w:eastAsia="Times New Roman" w:hAnsi="Times New Roman" w:cs="Times New Roman"/>
          <w:kern w:val="0"/>
          <w:sz w:val="24"/>
          <w:szCs w:val="24"/>
          <w:lang w:eastAsia="en-AU"/>
          <w14:ligatures w14:val="none"/>
        </w:rPr>
        <w:t xml:space="preserve">) </w:t>
      </w:r>
      <w:r w:rsidR="00C26F8E" w:rsidRPr="00C26F8E">
        <w:rPr>
          <w:rFonts w:ascii="Times New Roman" w:eastAsia="Times New Roman" w:hAnsi="Times New Roman" w:cs="Times New Roman"/>
          <w:kern w:val="0"/>
          <w:sz w:val="24"/>
          <w:szCs w:val="24"/>
          <w:lang w:eastAsia="en-AU"/>
          <w14:ligatures w14:val="none"/>
        </w:rPr>
        <w:t>must be</w:t>
      </w:r>
      <w:r w:rsidR="00E01520" w:rsidRPr="00E01520">
        <w:rPr>
          <w:rFonts w:ascii="Times New Roman" w:eastAsia="Times New Roman" w:hAnsi="Times New Roman" w:cs="Times New Roman"/>
          <w:kern w:val="0"/>
          <w:sz w:val="24"/>
          <w:szCs w:val="24"/>
          <w:lang w:eastAsia="en-AU"/>
          <w14:ligatures w14:val="none"/>
        </w:rPr>
        <w:t xml:space="preserve"> calculated as follows: </w:t>
      </w:r>
    </w:p>
    <w:p w14:paraId="2BF71F56" w14:textId="77777777" w:rsidR="00DD6E66" w:rsidRDefault="00E01520" w:rsidP="00DD6E66">
      <w:pPr>
        <w:pStyle w:val="subsection"/>
        <w:numPr>
          <w:ilvl w:val="0"/>
          <w:numId w:val="86"/>
        </w:numPr>
        <w:spacing w:before="120" w:after="120"/>
        <w:rPr>
          <w:sz w:val="24"/>
          <w:szCs w:val="24"/>
        </w:rPr>
      </w:pPr>
      <w:r w:rsidRPr="00E01520">
        <w:rPr>
          <w:sz w:val="24"/>
          <w:szCs w:val="24"/>
        </w:rPr>
        <w:t xml:space="preserve">if the aggregate negative abatement amount in the account at the end of the reporting period is zero, then </w:t>
      </w:r>
      <w:proofErr w:type="spellStart"/>
      <w:r w:rsidRPr="00E01520">
        <w:rPr>
          <w:sz w:val="24"/>
          <w:szCs w:val="24"/>
        </w:rPr>
        <w:t>ANAA</w:t>
      </w:r>
      <w:r w:rsidRPr="00E01520">
        <w:rPr>
          <w:sz w:val="24"/>
          <w:szCs w:val="24"/>
          <w:vertAlign w:val="subscript"/>
        </w:rPr>
        <w:t>i</w:t>
      </w:r>
      <w:proofErr w:type="spellEnd"/>
      <w:r w:rsidRPr="00E01520">
        <w:rPr>
          <w:sz w:val="24"/>
          <w:szCs w:val="24"/>
        </w:rPr>
        <w:t xml:space="preserve"> </w:t>
      </w:r>
      <w:r w:rsidR="00DD6E66">
        <w:rPr>
          <w:sz w:val="24"/>
          <w:szCs w:val="24"/>
        </w:rPr>
        <w:t xml:space="preserve">in Equation 1 </w:t>
      </w:r>
      <w:r w:rsidRPr="00E01520">
        <w:rPr>
          <w:sz w:val="24"/>
          <w:szCs w:val="24"/>
        </w:rPr>
        <w:t xml:space="preserve">is </w:t>
      </w:r>
      <w:proofErr w:type="gramStart"/>
      <w:r w:rsidRPr="00E01520">
        <w:rPr>
          <w:sz w:val="24"/>
          <w:szCs w:val="24"/>
        </w:rPr>
        <w:t>zero;</w:t>
      </w:r>
      <w:proofErr w:type="gramEnd"/>
    </w:p>
    <w:p w14:paraId="6AFD444B" w14:textId="6915FF52" w:rsidR="00E01520" w:rsidRPr="00DD6E66" w:rsidRDefault="00E01520" w:rsidP="00DD6E66">
      <w:pPr>
        <w:pStyle w:val="subsection"/>
        <w:numPr>
          <w:ilvl w:val="0"/>
          <w:numId w:val="86"/>
        </w:numPr>
        <w:spacing w:before="120" w:after="120"/>
        <w:rPr>
          <w:sz w:val="24"/>
          <w:szCs w:val="24"/>
        </w:rPr>
      </w:pPr>
      <w:r w:rsidRPr="00DD6E66">
        <w:rPr>
          <w:sz w:val="24"/>
          <w:szCs w:val="24"/>
        </w:rPr>
        <w:t xml:space="preserve">if the aggregate negative abatement amount in the account at the end of the reporting period is less than zero, then </w:t>
      </w:r>
      <w:proofErr w:type="spellStart"/>
      <w:r w:rsidRPr="00DD6E66">
        <w:rPr>
          <w:sz w:val="24"/>
          <w:szCs w:val="24"/>
        </w:rPr>
        <w:t>ANAA</w:t>
      </w:r>
      <w:r w:rsidRPr="00DD6E66">
        <w:rPr>
          <w:sz w:val="24"/>
          <w:szCs w:val="24"/>
          <w:vertAlign w:val="subscript"/>
        </w:rPr>
        <w:t>i</w:t>
      </w:r>
      <w:proofErr w:type="spellEnd"/>
      <w:r w:rsidRPr="00DD6E66">
        <w:rPr>
          <w:sz w:val="24"/>
          <w:szCs w:val="24"/>
        </w:rPr>
        <w:t xml:space="preserve"> </w:t>
      </w:r>
      <w:r w:rsidR="00DD6E66" w:rsidRPr="00DD6E66">
        <w:rPr>
          <w:sz w:val="24"/>
          <w:szCs w:val="24"/>
        </w:rPr>
        <w:t xml:space="preserve">in Equation 1 </w:t>
      </w:r>
      <w:r w:rsidRPr="00DD6E66">
        <w:rPr>
          <w:sz w:val="24"/>
          <w:szCs w:val="24"/>
        </w:rPr>
        <w:t>is equal to the amount in the accoun</w:t>
      </w:r>
      <w:r w:rsidR="00DD6E66">
        <w:rPr>
          <w:sz w:val="24"/>
          <w:szCs w:val="24"/>
        </w:rPr>
        <w:t>t</w:t>
      </w:r>
      <w:r w:rsidR="00536D5A">
        <w:rPr>
          <w:sz w:val="24"/>
          <w:szCs w:val="24"/>
        </w:rPr>
        <w:t xml:space="preserve"> at the end of the reporting period.</w:t>
      </w:r>
    </w:p>
    <w:p w14:paraId="2FEC958F" w14:textId="6EED8A8B" w:rsidR="00536D5A" w:rsidRPr="00791A89" w:rsidRDefault="00536D5A" w:rsidP="00536D5A">
      <w:pPr>
        <w:tabs>
          <w:tab w:val="right" w:pos="1021"/>
        </w:tabs>
        <w:spacing w:before="180" w:after="0" w:line="240" w:lineRule="auto"/>
        <w:rPr>
          <w:rFonts w:ascii="Times New Roman" w:eastAsia="Times New Roman" w:hAnsi="Times New Roman" w:cs="Times New Roman"/>
          <w:kern w:val="0"/>
          <w:sz w:val="24"/>
          <w:szCs w:val="24"/>
          <w:lang w:eastAsia="en-AU"/>
          <w14:ligatures w14:val="none"/>
        </w:rPr>
      </w:pPr>
      <w:r w:rsidRPr="00791A89">
        <w:rPr>
          <w:rFonts w:ascii="Times New Roman" w:eastAsia="Times New Roman" w:hAnsi="Times New Roman" w:cs="Times New Roman"/>
          <w:kern w:val="0"/>
          <w:sz w:val="24"/>
          <w:szCs w:val="24"/>
          <w:lang w:eastAsia="en-AU"/>
          <w14:ligatures w14:val="none"/>
        </w:rPr>
        <w:t xml:space="preserve">If the reporting period for two </w:t>
      </w:r>
      <w:r w:rsidR="00924060" w:rsidRPr="00791A89">
        <w:rPr>
          <w:rFonts w:ascii="Times New Roman" w:eastAsia="Times New Roman" w:hAnsi="Times New Roman" w:cs="Times New Roman"/>
          <w:kern w:val="0"/>
          <w:sz w:val="24"/>
          <w:szCs w:val="24"/>
          <w:lang w:eastAsia="en-AU"/>
          <w14:ligatures w14:val="none"/>
        </w:rPr>
        <w:t xml:space="preserve">or more </w:t>
      </w:r>
      <w:r w:rsidRPr="00791A89">
        <w:rPr>
          <w:rFonts w:ascii="Times New Roman" w:eastAsia="Times New Roman" w:hAnsi="Times New Roman" w:cs="Times New Roman"/>
          <w:kern w:val="0"/>
          <w:sz w:val="24"/>
          <w:szCs w:val="24"/>
          <w:lang w:eastAsia="en-AU"/>
          <w14:ligatures w14:val="none"/>
        </w:rPr>
        <w:t xml:space="preserve">INFM projects in the same State end on the same day, the </w:t>
      </w:r>
      <w:r w:rsidR="009E3AA9" w:rsidRPr="00791A89">
        <w:rPr>
          <w:rFonts w:ascii="Times New Roman" w:eastAsia="Times New Roman" w:hAnsi="Times New Roman" w:cs="Times New Roman"/>
          <w:kern w:val="0"/>
          <w:sz w:val="24"/>
          <w:szCs w:val="24"/>
          <w:lang w:eastAsia="en-AU"/>
          <w14:ligatures w14:val="none"/>
        </w:rPr>
        <w:t>aggregate negative abatement amount must be applied sequentially to the projects</w:t>
      </w:r>
      <w:r w:rsidR="00E61446" w:rsidRPr="00791A89">
        <w:rPr>
          <w:rFonts w:ascii="Times New Roman" w:eastAsia="Times New Roman" w:hAnsi="Times New Roman" w:cs="Times New Roman"/>
          <w:kern w:val="0"/>
          <w:sz w:val="24"/>
          <w:szCs w:val="24"/>
          <w:lang w:eastAsia="en-AU"/>
          <w14:ligatures w14:val="none"/>
        </w:rPr>
        <w:t xml:space="preserve">, based on the assumption </w:t>
      </w:r>
      <w:r w:rsidR="00924060" w:rsidRPr="00791A89">
        <w:rPr>
          <w:rFonts w:ascii="Times New Roman" w:eastAsia="Times New Roman" w:hAnsi="Times New Roman" w:cs="Times New Roman"/>
          <w:kern w:val="0"/>
          <w:sz w:val="24"/>
          <w:szCs w:val="24"/>
          <w:lang w:eastAsia="en-AU"/>
          <w14:ligatures w14:val="none"/>
        </w:rPr>
        <w:t>they</w:t>
      </w:r>
      <w:r w:rsidR="00E61446" w:rsidRPr="00791A89">
        <w:rPr>
          <w:rFonts w:ascii="Times New Roman" w:eastAsia="Times New Roman" w:hAnsi="Times New Roman" w:cs="Times New Roman"/>
          <w:kern w:val="0"/>
          <w:sz w:val="24"/>
          <w:szCs w:val="24"/>
          <w:lang w:eastAsia="en-AU"/>
          <w14:ligatures w14:val="none"/>
        </w:rPr>
        <w:t xml:space="preserve"> report one after the other</w:t>
      </w:r>
      <w:r w:rsidR="009E3AA9" w:rsidRPr="00791A89">
        <w:rPr>
          <w:rFonts w:ascii="Times New Roman" w:eastAsia="Times New Roman" w:hAnsi="Times New Roman" w:cs="Times New Roman"/>
          <w:kern w:val="0"/>
          <w:sz w:val="24"/>
          <w:szCs w:val="24"/>
          <w:lang w:eastAsia="en-AU"/>
          <w14:ligatures w14:val="none"/>
        </w:rPr>
        <w:t>.</w:t>
      </w:r>
    </w:p>
    <w:p w14:paraId="1131D5E1" w14:textId="3FE0EBEA" w:rsidR="00E01520" w:rsidRPr="00E01520" w:rsidRDefault="00737765" w:rsidP="00737765">
      <w:pPr>
        <w:tabs>
          <w:tab w:val="right" w:pos="1021"/>
        </w:tabs>
        <w:spacing w:before="180" w:after="0" w:line="240" w:lineRule="auto"/>
        <w:rPr>
          <w:rFonts w:ascii="Times New Roman" w:eastAsia="Times New Roman" w:hAnsi="Times New Roman" w:cs="Times New Roman"/>
          <w:kern w:val="0"/>
          <w:sz w:val="24"/>
          <w:szCs w:val="24"/>
          <w:lang w:eastAsia="en-AU"/>
          <w14:ligatures w14:val="none"/>
        </w:rPr>
      </w:pPr>
      <w:r w:rsidRPr="00791A89">
        <w:rPr>
          <w:rFonts w:ascii="Times New Roman" w:eastAsia="Times New Roman" w:hAnsi="Times New Roman" w:cs="Times New Roman"/>
          <w:kern w:val="0"/>
          <w:sz w:val="24"/>
          <w:szCs w:val="24"/>
          <w:lang w:eastAsia="en-AU"/>
          <w14:ligatures w14:val="none"/>
        </w:rPr>
        <w:t>Subsection 4</w:t>
      </w:r>
      <w:r w:rsidR="006D72FD">
        <w:rPr>
          <w:rFonts w:ascii="Times New Roman" w:eastAsia="Times New Roman" w:hAnsi="Times New Roman" w:cs="Times New Roman"/>
          <w:kern w:val="0"/>
          <w:sz w:val="24"/>
          <w:szCs w:val="24"/>
          <w:lang w:eastAsia="en-AU"/>
          <w14:ligatures w14:val="none"/>
        </w:rPr>
        <w:t>4</w:t>
      </w:r>
      <w:r w:rsidRPr="00791A89">
        <w:rPr>
          <w:rFonts w:ascii="Times New Roman" w:eastAsia="Times New Roman" w:hAnsi="Times New Roman" w:cs="Times New Roman"/>
          <w:kern w:val="0"/>
          <w:sz w:val="24"/>
          <w:szCs w:val="24"/>
          <w:lang w:eastAsia="en-AU"/>
          <w14:ligatures w14:val="none"/>
        </w:rPr>
        <w:t xml:space="preserve">(4) provides that, where </w:t>
      </w:r>
      <w:r w:rsidR="00E01520" w:rsidRPr="00E01520">
        <w:rPr>
          <w:rFonts w:ascii="Times New Roman" w:eastAsia="Times New Roman" w:hAnsi="Times New Roman" w:cs="Times New Roman"/>
          <w:kern w:val="0"/>
          <w:sz w:val="24"/>
          <w:szCs w:val="24"/>
          <w:lang w:eastAsia="en-AU"/>
          <w14:ligatures w14:val="none"/>
        </w:rPr>
        <w:t>a negative abatement amount from the account is applied in the calculation of the net abatement amount for a project, the amount must be deducted from the account.</w:t>
      </w:r>
      <w:r w:rsidRPr="00791A89">
        <w:rPr>
          <w:rFonts w:ascii="Times New Roman" w:eastAsia="Times New Roman" w:hAnsi="Times New Roman" w:cs="Times New Roman"/>
          <w:kern w:val="0"/>
          <w:sz w:val="24"/>
          <w:szCs w:val="24"/>
          <w:lang w:eastAsia="en-AU"/>
          <w14:ligatures w14:val="none"/>
        </w:rPr>
        <w:t xml:space="preserve"> This </w:t>
      </w:r>
      <w:r w:rsidR="00791A89" w:rsidRPr="00791A89">
        <w:rPr>
          <w:rFonts w:ascii="Times New Roman" w:eastAsia="Times New Roman" w:hAnsi="Times New Roman" w:cs="Times New Roman"/>
          <w:kern w:val="0"/>
          <w:sz w:val="24"/>
          <w:szCs w:val="24"/>
          <w:lang w:eastAsia="en-AU"/>
          <w14:ligatures w14:val="none"/>
        </w:rPr>
        <w:t>ensures there is no double counting of any negative abatement.</w:t>
      </w:r>
    </w:p>
    <w:p w14:paraId="36F70EE6" w14:textId="2251E7DB" w:rsidR="001B1461" w:rsidRDefault="001B1461" w:rsidP="001B1461">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sidR="00406507">
        <w:rPr>
          <w:rFonts w:ascii="Times New Roman" w:hAnsi="Times New Roman" w:cs="Times New Roman"/>
          <w:b/>
          <w:bCs/>
          <w:sz w:val="24"/>
          <w:szCs w:val="24"/>
        </w:rPr>
        <w:t>9</w:t>
      </w:r>
      <w:r w:rsidRPr="00A656D9">
        <w:rPr>
          <w:rFonts w:ascii="Times New Roman" w:hAnsi="Times New Roman" w:cs="Times New Roman"/>
          <w:b/>
          <w:bCs/>
          <w:sz w:val="24"/>
          <w:szCs w:val="24"/>
        </w:rPr>
        <w:t>—</w:t>
      </w:r>
      <w:r w:rsidR="001B648D" w:rsidRPr="001B648D">
        <w:rPr>
          <w:rFonts w:ascii="Times New Roman" w:hAnsi="Times New Roman" w:cs="Times New Roman"/>
          <w:b/>
          <w:bCs/>
          <w:sz w:val="24"/>
          <w:szCs w:val="24"/>
        </w:rPr>
        <w:t>Hurdle for eligible carbon abatement</w:t>
      </w:r>
    </w:p>
    <w:p w14:paraId="4ECBC9BF" w14:textId="70A6E695" w:rsidR="00D625B8" w:rsidRDefault="00496D24" w:rsidP="00C2113B">
      <w:pPr>
        <w:spacing w:before="60" w:after="60"/>
        <w:rPr>
          <w:rFonts w:ascii="Times New Roman" w:hAnsi="Times New Roman" w:cs="Times New Roman"/>
          <w:bCs/>
          <w:sz w:val="24"/>
          <w:szCs w:val="24"/>
        </w:rPr>
      </w:pPr>
      <w:r>
        <w:rPr>
          <w:rFonts w:ascii="Times New Roman" w:hAnsi="Times New Roman" w:cs="Times New Roman"/>
          <w:bCs/>
          <w:sz w:val="24"/>
          <w:szCs w:val="24"/>
        </w:rPr>
        <w:t>Division 5.</w:t>
      </w:r>
      <w:r w:rsidR="00406507">
        <w:rPr>
          <w:rFonts w:ascii="Times New Roman" w:hAnsi="Times New Roman" w:cs="Times New Roman"/>
          <w:bCs/>
          <w:sz w:val="24"/>
          <w:szCs w:val="24"/>
        </w:rPr>
        <w:t>9</w:t>
      </w:r>
      <w:r>
        <w:rPr>
          <w:rFonts w:ascii="Times New Roman" w:hAnsi="Times New Roman" w:cs="Times New Roman"/>
          <w:bCs/>
          <w:sz w:val="24"/>
          <w:szCs w:val="24"/>
        </w:rPr>
        <w:t xml:space="preserve"> contains the </w:t>
      </w:r>
      <w:r w:rsidR="000A532D">
        <w:rPr>
          <w:rFonts w:ascii="Times New Roman" w:hAnsi="Times New Roman" w:cs="Times New Roman"/>
          <w:bCs/>
          <w:sz w:val="24"/>
          <w:szCs w:val="24"/>
        </w:rPr>
        <w:t>hurdle requirement</w:t>
      </w:r>
      <w:r>
        <w:rPr>
          <w:rFonts w:ascii="Times New Roman" w:hAnsi="Times New Roman" w:cs="Times New Roman"/>
          <w:bCs/>
          <w:sz w:val="24"/>
          <w:szCs w:val="24"/>
        </w:rPr>
        <w:t xml:space="preserve">, which </w:t>
      </w:r>
      <w:r w:rsidR="000A532D">
        <w:rPr>
          <w:rFonts w:ascii="Times New Roman" w:hAnsi="Times New Roman" w:cs="Times New Roman"/>
          <w:bCs/>
          <w:sz w:val="24"/>
          <w:szCs w:val="24"/>
        </w:rPr>
        <w:t>provides that p</w:t>
      </w:r>
      <w:r w:rsidR="00C2113B" w:rsidRPr="00C2113B">
        <w:rPr>
          <w:rFonts w:ascii="Times New Roman" w:hAnsi="Times New Roman" w:cs="Times New Roman"/>
          <w:bCs/>
          <w:sz w:val="24"/>
          <w:szCs w:val="24"/>
        </w:rPr>
        <w:t>rojects are only eligible to receive ACCUs in a reporting period if</w:t>
      </w:r>
      <w:r w:rsidR="008B5519">
        <w:rPr>
          <w:rFonts w:ascii="Times New Roman" w:hAnsi="Times New Roman" w:cs="Times New Roman"/>
          <w:bCs/>
          <w:sz w:val="24"/>
          <w:szCs w:val="24"/>
        </w:rPr>
        <w:t xml:space="preserve"> </w:t>
      </w:r>
      <w:r w:rsidR="00C2113B" w:rsidRPr="00C2113B">
        <w:rPr>
          <w:rFonts w:ascii="Times New Roman" w:hAnsi="Times New Roman" w:cs="Times New Roman"/>
          <w:bCs/>
          <w:sz w:val="24"/>
          <w:szCs w:val="24"/>
        </w:rPr>
        <w:t xml:space="preserve">the volume of wood extracted from the project area is </w:t>
      </w:r>
      <w:r w:rsidR="00BE5E33">
        <w:rPr>
          <w:rFonts w:ascii="Times New Roman" w:hAnsi="Times New Roman" w:cs="Times New Roman"/>
          <w:bCs/>
          <w:sz w:val="24"/>
          <w:szCs w:val="24"/>
        </w:rPr>
        <w:t>at least</w:t>
      </w:r>
      <w:r w:rsidR="000A532D">
        <w:rPr>
          <w:rFonts w:ascii="Times New Roman" w:hAnsi="Times New Roman" w:cs="Times New Roman"/>
          <w:bCs/>
          <w:sz w:val="24"/>
          <w:szCs w:val="24"/>
        </w:rPr>
        <w:t xml:space="preserve"> </w:t>
      </w:r>
      <w:r w:rsidR="00C2113B" w:rsidRPr="00C2113B">
        <w:rPr>
          <w:rFonts w:ascii="Times New Roman" w:hAnsi="Times New Roman" w:cs="Times New Roman"/>
          <w:bCs/>
          <w:sz w:val="24"/>
          <w:szCs w:val="24"/>
        </w:rPr>
        <w:t xml:space="preserve">20% below the levels in the baseline scenario, both in each </w:t>
      </w:r>
      <w:r w:rsidR="0082634C">
        <w:rPr>
          <w:rFonts w:ascii="Times New Roman" w:hAnsi="Times New Roman" w:cs="Times New Roman"/>
          <w:bCs/>
          <w:sz w:val="24"/>
          <w:szCs w:val="24"/>
        </w:rPr>
        <w:t>12</w:t>
      </w:r>
      <w:r w:rsidR="00C2113B" w:rsidRPr="00C2113B">
        <w:rPr>
          <w:rFonts w:ascii="Times New Roman" w:hAnsi="Times New Roman" w:cs="Times New Roman"/>
          <w:bCs/>
          <w:sz w:val="24"/>
          <w:szCs w:val="24"/>
        </w:rPr>
        <w:t xml:space="preserve">-month segment of the reporting period </w:t>
      </w:r>
      <w:r w:rsidR="0089752A" w:rsidRPr="00254808">
        <w:rPr>
          <w:rFonts w:ascii="Times New Roman" w:hAnsi="Times New Roman" w:cs="Times New Roman"/>
          <w:sz w:val="24"/>
          <w:szCs w:val="24"/>
        </w:rPr>
        <w:t xml:space="preserve">(or part thereof </w:t>
      </w:r>
      <w:r w:rsidR="0089752A" w:rsidRPr="00254808">
        <w:rPr>
          <w:rFonts w:ascii="Times New Roman" w:hAnsi="Times New Roman" w:cs="Times New Roman"/>
          <w:bCs/>
          <w:sz w:val="24"/>
          <w:szCs w:val="24"/>
        </w:rPr>
        <w:t>if the final part of the reporting period is less than 12 months</w:t>
      </w:r>
      <w:r w:rsidR="0089752A" w:rsidRPr="00254808">
        <w:rPr>
          <w:rFonts w:ascii="Times New Roman" w:hAnsi="Times New Roman" w:cs="Times New Roman"/>
          <w:sz w:val="24"/>
          <w:szCs w:val="24"/>
        </w:rPr>
        <w:t xml:space="preserve">) </w:t>
      </w:r>
      <w:r w:rsidR="00C2113B" w:rsidRPr="00C2113B">
        <w:rPr>
          <w:rFonts w:ascii="Times New Roman" w:hAnsi="Times New Roman" w:cs="Times New Roman"/>
          <w:bCs/>
          <w:sz w:val="24"/>
          <w:szCs w:val="24"/>
        </w:rPr>
        <w:t>and on aggregate since the date of project registration</w:t>
      </w:r>
      <w:r w:rsidR="0082634C">
        <w:rPr>
          <w:rFonts w:ascii="Times New Roman" w:hAnsi="Times New Roman" w:cs="Times New Roman"/>
          <w:bCs/>
          <w:sz w:val="24"/>
          <w:szCs w:val="24"/>
        </w:rPr>
        <w:t xml:space="preserve"> through to the end of the reporting period</w:t>
      </w:r>
      <w:r w:rsidR="00C2113B" w:rsidRPr="00C2113B">
        <w:rPr>
          <w:rFonts w:ascii="Times New Roman" w:hAnsi="Times New Roman" w:cs="Times New Roman"/>
          <w:bCs/>
          <w:sz w:val="24"/>
          <w:szCs w:val="24"/>
        </w:rPr>
        <w:t xml:space="preserve">. </w:t>
      </w:r>
      <w:r w:rsidR="00A438E0">
        <w:rPr>
          <w:rFonts w:ascii="Times New Roman" w:hAnsi="Times New Roman" w:cs="Times New Roman"/>
          <w:bCs/>
          <w:sz w:val="24"/>
          <w:szCs w:val="24"/>
        </w:rPr>
        <w:t xml:space="preserve">This is given effect by making the net abatement amount zero unless </w:t>
      </w:r>
      <w:r w:rsidR="00006F9F">
        <w:rPr>
          <w:rFonts w:ascii="Times New Roman" w:hAnsi="Times New Roman" w:cs="Times New Roman"/>
          <w:bCs/>
          <w:sz w:val="24"/>
          <w:szCs w:val="24"/>
        </w:rPr>
        <w:t xml:space="preserve">these requirements are met. Under </w:t>
      </w:r>
      <w:r w:rsidR="00FA2CA0">
        <w:rPr>
          <w:rFonts w:ascii="Times New Roman" w:hAnsi="Times New Roman" w:cs="Times New Roman"/>
          <w:bCs/>
          <w:sz w:val="24"/>
          <w:szCs w:val="24"/>
        </w:rPr>
        <w:t xml:space="preserve">section 13 in </w:t>
      </w:r>
      <w:r w:rsidR="00006F9F">
        <w:rPr>
          <w:rFonts w:ascii="Times New Roman" w:hAnsi="Times New Roman" w:cs="Times New Roman"/>
          <w:bCs/>
          <w:sz w:val="24"/>
          <w:szCs w:val="24"/>
        </w:rPr>
        <w:t xml:space="preserve">Division 3.2, to be eligible for registration, </w:t>
      </w:r>
      <w:r w:rsidR="008B5519" w:rsidRPr="008B5519">
        <w:rPr>
          <w:rFonts w:ascii="Times New Roman" w:hAnsi="Times New Roman" w:cs="Times New Roman"/>
          <w:bCs/>
          <w:sz w:val="24"/>
          <w:szCs w:val="24"/>
        </w:rPr>
        <w:t xml:space="preserve">the </w:t>
      </w:r>
      <w:r w:rsidR="00C3391B">
        <w:rPr>
          <w:rFonts w:ascii="Times New Roman" w:hAnsi="Times New Roman" w:cs="Times New Roman"/>
          <w:bCs/>
          <w:sz w:val="24"/>
          <w:szCs w:val="24"/>
        </w:rPr>
        <w:lastRenderedPageBreak/>
        <w:t xml:space="preserve">reduction in the </w:t>
      </w:r>
      <w:r w:rsidR="008B5519" w:rsidRPr="008B5519">
        <w:rPr>
          <w:rFonts w:ascii="Times New Roman" w:hAnsi="Times New Roman" w:cs="Times New Roman"/>
          <w:bCs/>
          <w:sz w:val="24"/>
          <w:szCs w:val="24"/>
        </w:rPr>
        <w:t xml:space="preserve">volume of wood extracted from the project area </w:t>
      </w:r>
      <w:r w:rsidR="00C3391B">
        <w:rPr>
          <w:rFonts w:ascii="Times New Roman" w:hAnsi="Times New Roman" w:cs="Times New Roman"/>
          <w:bCs/>
          <w:sz w:val="24"/>
          <w:szCs w:val="24"/>
        </w:rPr>
        <w:t xml:space="preserve">relative to the baseline harvest level </w:t>
      </w:r>
      <w:r w:rsidR="005B7F4D">
        <w:rPr>
          <w:rFonts w:ascii="Times New Roman" w:hAnsi="Times New Roman" w:cs="Times New Roman"/>
          <w:bCs/>
          <w:sz w:val="24"/>
          <w:szCs w:val="24"/>
        </w:rPr>
        <w:t xml:space="preserve">must be likely to </w:t>
      </w:r>
      <w:r w:rsidR="00C3391B">
        <w:rPr>
          <w:rFonts w:ascii="Times New Roman" w:hAnsi="Times New Roman" w:cs="Times New Roman"/>
          <w:bCs/>
          <w:sz w:val="24"/>
          <w:szCs w:val="24"/>
        </w:rPr>
        <w:t xml:space="preserve">exceed the </w:t>
      </w:r>
      <w:r w:rsidR="00360B7F">
        <w:rPr>
          <w:rFonts w:ascii="Times New Roman" w:hAnsi="Times New Roman" w:cs="Times New Roman"/>
          <w:bCs/>
          <w:sz w:val="24"/>
          <w:szCs w:val="24"/>
        </w:rPr>
        <w:t xml:space="preserve">20% </w:t>
      </w:r>
      <w:r w:rsidR="005B7F4D">
        <w:rPr>
          <w:rFonts w:ascii="Times New Roman" w:hAnsi="Times New Roman" w:cs="Times New Roman"/>
          <w:bCs/>
          <w:sz w:val="24"/>
          <w:szCs w:val="24"/>
        </w:rPr>
        <w:t>hurdle in each 12-month segment of the crediting period.</w:t>
      </w:r>
    </w:p>
    <w:p w14:paraId="07658CC6" w14:textId="77777777" w:rsidR="00D625B8" w:rsidRDefault="00C2113B" w:rsidP="00C2113B">
      <w:pPr>
        <w:spacing w:before="60" w:after="60"/>
        <w:rPr>
          <w:rFonts w:ascii="Times New Roman" w:hAnsi="Times New Roman" w:cs="Times New Roman"/>
          <w:bCs/>
          <w:sz w:val="24"/>
          <w:szCs w:val="24"/>
        </w:rPr>
      </w:pPr>
      <w:r w:rsidRPr="00C2113B">
        <w:rPr>
          <w:rFonts w:ascii="Times New Roman" w:hAnsi="Times New Roman" w:cs="Times New Roman"/>
          <w:bCs/>
          <w:sz w:val="24"/>
          <w:szCs w:val="24"/>
        </w:rPr>
        <w:t>The hurdle requirement</w:t>
      </w:r>
      <w:r w:rsidR="00D625B8">
        <w:rPr>
          <w:rFonts w:ascii="Times New Roman" w:hAnsi="Times New Roman" w:cs="Times New Roman"/>
          <w:bCs/>
          <w:sz w:val="24"/>
          <w:szCs w:val="24"/>
        </w:rPr>
        <w:t xml:space="preserve"> serves two integrity functions:</w:t>
      </w:r>
    </w:p>
    <w:p w14:paraId="3036F196" w14:textId="3B8DD9A2" w:rsidR="00C2113B" w:rsidRPr="00DB0EB5" w:rsidRDefault="00D625B8" w:rsidP="009D5A62">
      <w:pPr>
        <w:pStyle w:val="ListParagraph"/>
        <w:numPr>
          <w:ilvl w:val="0"/>
          <w:numId w:val="70"/>
        </w:numPr>
        <w:spacing w:before="60" w:after="60"/>
        <w:rPr>
          <w:rFonts w:ascii="Times New Roman" w:hAnsi="Times New Roman" w:cs="Times New Roman"/>
          <w:bCs/>
          <w:sz w:val="24"/>
          <w:szCs w:val="24"/>
        </w:rPr>
      </w:pPr>
      <w:r w:rsidRPr="00DB0EB5">
        <w:rPr>
          <w:rFonts w:ascii="Times New Roman" w:hAnsi="Times New Roman" w:cs="Times New Roman"/>
          <w:bCs/>
          <w:sz w:val="24"/>
          <w:szCs w:val="24"/>
        </w:rPr>
        <w:t>it</w:t>
      </w:r>
      <w:r w:rsidR="00C2113B" w:rsidRPr="00DB0EB5">
        <w:rPr>
          <w:rFonts w:ascii="Times New Roman" w:hAnsi="Times New Roman" w:cs="Times New Roman"/>
          <w:bCs/>
          <w:sz w:val="24"/>
          <w:szCs w:val="24"/>
        </w:rPr>
        <w:t xml:space="preserve"> mitigate</w:t>
      </w:r>
      <w:r w:rsidRPr="00DB0EB5">
        <w:rPr>
          <w:rFonts w:ascii="Times New Roman" w:hAnsi="Times New Roman" w:cs="Times New Roman"/>
          <w:bCs/>
          <w:sz w:val="24"/>
          <w:szCs w:val="24"/>
        </w:rPr>
        <w:t>s</w:t>
      </w:r>
      <w:r w:rsidR="00C2113B" w:rsidRPr="00DB0EB5">
        <w:rPr>
          <w:rFonts w:ascii="Times New Roman" w:hAnsi="Times New Roman" w:cs="Times New Roman"/>
          <w:bCs/>
          <w:sz w:val="24"/>
          <w:szCs w:val="24"/>
        </w:rPr>
        <w:t xml:space="preserve"> the risk of crediting minor, short-term fluctuations in harvesting associated with market or other business-as-usual conditions</w:t>
      </w:r>
      <w:r w:rsidRPr="00DB0EB5">
        <w:rPr>
          <w:rFonts w:ascii="Times New Roman" w:hAnsi="Times New Roman" w:cs="Times New Roman"/>
          <w:bCs/>
          <w:sz w:val="24"/>
          <w:szCs w:val="24"/>
        </w:rPr>
        <w:t xml:space="preserve"> – f</w:t>
      </w:r>
      <w:r w:rsidR="00C2113B" w:rsidRPr="00DB0EB5">
        <w:rPr>
          <w:rFonts w:ascii="Times New Roman" w:hAnsi="Times New Roman" w:cs="Times New Roman"/>
          <w:bCs/>
          <w:sz w:val="24"/>
          <w:szCs w:val="24"/>
        </w:rPr>
        <w:t>or credits to be issued, there must be a significant reduction in harvesting that goes beyond normal interannual variability</w:t>
      </w:r>
      <w:r w:rsidRPr="00DB0EB5">
        <w:rPr>
          <w:rFonts w:ascii="Times New Roman" w:hAnsi="Times New Roman" w:cs="Times New Roman"/>
          <w:bCs/>
          <w:sz w:val="24"/>
          <w:szCs w:val="24"/>
        </w:rPr>
        <w:t xml:space="preserve">; and </w:t>
      </w:r>
    </w:p>
    <w:p w14:paraId="597A6131" w14:textId="5E475C3B" w:rsidR="00D625B8" w:rsidRPr="00DB0EB5" w:rsidRDefault="00DB0EB5" w:rsidP="009D5A62">
      <w:pPr>
        <w:pStyle w:val="ListParagraph"/>
        <w:numPr>
          <w:ilvl w:val="0"/>
          <w:numId w:val="70"/>
        </w:numPr>
        <w:spacing w:before="60" w:after="60"/>
        <w:rPr>
          <w:rFonts w:ascii="Times New Roman" w:hAnsi="Times New Roman" w:cs="Times New Roman"/>
          <w:bCs/>
          <w:sz w:val="24"/>
          <w:szCs w:val="24"/>
        </w:rPr>
      </w:pPr>
      <w:r w:rsidRPr="00DB0EB5">
        <w:rPr>
          <w:rFonts w:ascii="Times New Roman" w:hAnsi="Times New Roman" w:cs="Times New Roman"/>
          <w:bCs/>
          <w:sz w:val="24"/>
          <w:szCs w:val="24"/>
        </w:rPr>
        <w:t xml:space="preserve">it mitigates the risk of leakage through cross-subsidisation by ensuring </w:t>
      </w:r>
      <w:r w:rsidR="001B7F4E">
        <w:rPr>
          <w:rFonts w:ascii="Times New Roman" w:hAnsi="Times New Roman" w:cs="Times New Roman"/>
          <w:bCs/>
          <w:sz w:val="24"/>
          <w:szCs w:val="24"/>
        </w:rPr>
        <w:t>the level of crediting reflects the extent to which there is</w:t>
      </w:r>
      <w:r w:rsidRPr="00DB0EB5">
        <w:rPr>
          <w:rFonts w:ascii="Times New Roman" w:hAnsi="Times New Roman" w:cs="Times New Roman"/>
          <w:bCs/>
          <w:sz w:val="24"/>
          <w:szCs w:val="24"/>
        </w:rPr>
        <w:t xml:space="preserve"> a structural shift in the native forest industry in the relevant region.</w:t>
      </w:r>
    </w:p>
    <w:p w14:paraId="00C8D1B0" w14:textId="1D2322CC" w:rsidR="001B1461" w:rsidRPr="00310D38" w:rsidRDefault="00433D96" w:rsidP="001B1461">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1B1461">
        <w:rPr>
          <w:rFonts w:ascii="Times New Roman" w:hAnsi="Times New Roman" w:cs="Times New Roman"/>
          <w:sz w:val="24"/>
          <w:szCs w:val="24"/>
          <w:u w:val="single"/>
        </w:rPr>
        <w:t>4</w:t>
      </w:r>
      <w:r w:rsidR="00815904">
        <w:rPr>
          <w:rFonts w:ascii="Times New Roman" w:hAnsi="Times New Roman" w:cs="Times New Roman"/>
          <w:sz w:val="24"/>
          <w:szCs w:val="24"/>
          <w:u w:val="single"/>
        </w:rPr>
        <w:t>5</w:t>
      </w:r>
      <w:r w:rsidR="001B1461" w:rsidRPr="00310D38">
        <w:rPr>
          <w:rFonts w:ascii="Times New Roman" w:hAnsi="Times New Roman" w:cs="Times New Roman"/>
          <w:sz w:val="24"/>
          <w:szCs w:val="24"/>
          <w:u w:val="single"/>
        </w:rPr>
        <w:t xml:space="preserve"> – </w:t>
      </w:r>
      <w:r w:rsidR="00E66A33" w:rsidRPr="00E66A33">
        <w:rPr>
          <w:rFonts w:ascii="Times New Roman" w:hAnsi="Times New Roman" w:cs="Times New Roman"/>
          <w:sz w:val="24"/>
          <w:szCs w:val="24"/>
          <w:u w:val="single"/>
        </w:rPr>
        <w:t>Minimum reduction in volume of wood extracted from levels in baseline scenario</w:t>
      </w:r>
    </w:p>
    <w:p w14:paraId="676A4942" w14:textId="60BE32E9" w:rsidR="00CB792E" w:rsidRPr="003B40F8" w:rsidRDefault="00F67068" w:rsidP="00CB792E">
      <w:pPr>
        <w:pStyle w:val="subsection"/>
        <w:spacing w:before="120" w:after="120"/>
        <w:ind w:left="0" w:firstLine="0"/>
        <w:rPr>
          <w:sz w:val="24"/>
          <w:szCs w:val="24"/>
        </w:rPr>
      </w:pPr>
      <w:r w:rsidRPr="003B40F8">
        <w:rPr>
          <w:sz w:val="24"/>
          <w:szCs w:val="24"/>
        </w:rPr>
        <w:t>Subsection 4</w:t>
      </w:r>
      <w:r w:rsidR="00815904">
        <w:rPr>
          <w:sz w:val="24"/>
          <w:szCs w:val="24"/>
        </w:rPr>
        <w:t>5</w:t>
      </w:r>
      <w:r w:rsidRPr="003B40F8">
        <w:rPr>
          <w:sz w:val="24"/>
          <w:szCs w:val="24"/>
        </w:rPr>
        <w:t>(1) provides that the net abatement amount in relation to a reporting period is zero if the volume of wood (in cubic metres, m</w:t>
      </w:r>
      <w:r w:rsidRPr="003B40F8">
        <w:rPr>
          <w:sz w:val="24"/>
          <w:szCs w:val="24"/>
          <w:vertAlign w:val="superscript"/>
        </w:rPr>
        <w:t>3</w:t>
      </w:r>
      <w:r w:rsidRPr="003B40F8">
        <w:rPr>
          <w:sz w:val="24"/>
          <w:szCs w:val="24"/>
        </w:rPr>
        <w:t xml:space="preserve">) extracted from the project area during each 12 months of the reporting period is not at least 20% less than the levels in the baseline scenario for each such 12-month period. </w:t>
      </w:r>
      <w:r w:rsidR="005169A5" w:rsidRPr="003B40F8">
        <w:rPr>
          <w:sz w:val="24"/>
          <w:szCs w:val="24"/>
        </w:rPr>
        <w:t>The note to subsection 4</w:t>
      </w:r>
      <w:r w:rsidR="00815904">
        <w:rPr>
          <w:sz w:val="24"/>
          <w:szCs w:val="24"/>
        </w:rPr>
        <w:t>5</w:t>
      </w:r>
      <w:r w:rsidR="005169A5" w:rsidRPr="003B40F8">
        <w:rPr>
          <w:sz w:val="24"/>
          <w:szCs w:val="24"/>
        </w:rPr>
        <w:t>(1) clarifies that, i</w:t>
      </w:r>
      <w:r w:rsidRPr="003B40F8">
        <w:rPr>
          <w:sz w:val="24"/>
          <w:szCs w:val="24"/>
        </w:rPr>
        <w:t xml:space="preserve">f </w:t>
      </w:r>
      <w:r w:rsidR="005169A5" w:rsidRPr="003B40F8">
        <w:rPr>
          <w:sz w:val="24"/>
          <w:szCs w:val="24"/>
        </w:rPr>
        <w:t>a</w:t>
      </w:r>
      <w:r w:rsidRPr="003B40F8">
        <w:rPr>
          <w:sz w:val="24"/>
          <w:szCs w:val="24"/>
        </w:rPr>
        <w:t xml:space="preserve"> reporting period is greater than 12 months, the hurdle for eligible carbon abatement applies to each 12-months period sequentially, measured for any such 12-months period against the baseline scenario for that 12-months period.</w:t>
      </w:r>
    </w:p>
    <w:p w14:paraId="3D1B4459" w14:textId="4493D165" w:rsidR="00CB792E" w:rsidRPr="003B40F8" w:rsidRDefault="00CB792E" w:rsidP="00CB792E">
      <w:pPr>
        <w:pStyle w:val="subsection"/>
        <w:spacing w:before="120" w:after="120"/>
        <w:ind w:left="0" w:firstLine="0"/>
        <w:rPr>
          <w:sz w:val="24"/>
          <w:szCs w:val="24"/>
        </w:rPr>
      </w:pPr>
      <w:r w:rsidRPr="003B40F8">
        <w:rPr>
          <w:sz w:val="24"/>
          <w:szCs w:val="24"/>
        </w:rPr>
        <w:t>Subsection 4</w:t>
      </w:r>
      <w:r w:rsidR="00815904">
        <w:rPr>
          <w:sz w:val="24"/>
          <w:szCs w:val="24"/>
        </w:rPr>
        <w:t>5</w:t>
      </w:r>
      <w:r w:rsidRPr="003B40F8">
        <w:rPr>
          <w:sz w:val="24"/>
          <w:szCs w:val="24"/>
        </w:rPr>
        <w:t>(2) specifies that, i</w:t>
      </w:r>
      <w:r w:rsidR="00F67068" w:rsidRPr="003B40F8">
        <w:rPr>
          <w:sz w:val="24"/>
          <w:szCs w:val="24"/>
        </w:rPr>
        <w:t xml:space="preserve">f the reporting period: </w:t>
      </w:r>
    </w:p>
    <w:p w14:paraId="77B410F1" w14:textId="77777777" w:rsidR="00CB792E" w:rsidRPr="003B40F8" w:rsidRDefault="00F67068" w:rsidP="009D5A62">
      <w:pPr>
        <w:pStyle w:val="subsection"/>
        <w:numPr>
          <w:ilvl w:val="0"/>
          <w:numId w:val="71"/>
        </w:numPr>
        <w:spacing w:before="120" w:after="120"/>
        <w:rPr>
          <w:sz w:val="24"/>
          <w:szCs w:val="24"/>
        </w:rPr>
      </w:pPr>
      <w:r w:rsidRPr="003B40F8">
        <w:rPr>
          <w:sz w:val="24"/>
          <w:szCs w:val="24"/>
        </w:rPr>
        <w:t>is less than 12 months - subsection (1) applies to that shorter period as if the reference to 12 months were a reference to the reporting period; or</w:t>
      </w:r>
    </w:p>
    <w:p w14:paraId="01DDF287" w14:textId="77777777" w:rsidR="00CB792E" w:rsidRPr="003B40F8" w:rsidRDefault="00F67068" w:rsidP="009D5A62">
      <w:pPr>
        <w:pStyle w:val="subsection"/>
        <w:numPr>
          <w:ilvl w:val="0"/>
          <w:numId w:val="71"/>
        </w:numPr>
        <w:spacing w:before="120" w:after="120"/>
        <w:rPr>
          <w:sz w:val="24"/>
          <w:szCs w:val="24"/>
        </w:rPr>
      </w:pPr>
      <w:r w:rsidRPr="003B40F8">
        <w:rPr>
          <w:sz w:val="24"/>
          <w:szCs w:val="24"/>
        </w:rPr>
        <w:t>is more than 12 months but is not a multiple of 12 months - subsection (1) applies (in addition to each such 12-months period) to the balance of the reporting period as if the reference to 12 months were a reference to the balance of the reporting period.</w:t>
      </w:r>
    </w:p>
    <w:p w14:paraId="0FF2A5ED" w14:textId="041597D3" w:rsidR="001920CC" w:rsidRPr="003B40F8" w:rsidRDefault="001920CC" w:rsidP="001920CC">
      <w:pPr>
        <w:pStyle w:val="subsection"/>
        <w:spacing w:before="120" w:after="120"/>
        <w:ind w:left="0" w:firstLine="0"/>
        <w:rPr>
          <w:sz w:val="24"/>
          <w:szCs w:val="24"/>
        </w:rPr>
      </w:pPr>
      <w:r w:rsidRPr="003B40F8">
        <w:rPr>
          <w:sz w:val="24"/>
          <w:szCs w:val="24"/>
        </w:rPr>
        <w:t>Subsection 4</w:t>
      </w:r>
      <w:r w:rsidR="00815904">
        <w:rPr>
          <w:sz w:val="24"/>
          <w:szCs w:val="24"/>
        </w:rPr>
        <w:t>5</w:t>
      </w:r>
      <w:r w:rsidRPr="003B40F8">
        <w:rPr>
          <w:sz w:val="24"/>
          <w:szCs w:val="24"/>
        </w:rPr>
        <w:t xml:space="preserve">(3) provides that the </w:t>
      </w:r>
      <w:r w:rsidR="00F67068" w:rsidRPr="003B40F8">
        <w:rPr>
          <w:sz w:val="24"/>
          <w:szCs w:val="24"/>
        </w:rPr>
        <w:t xml:space="preserve">net abatement amount in relation </w:t>
      </w:r>
      <w:r w:rsidR="00F67068" w:rsidRPr="00EE0092">
        <w:rPr>
          <w:sz w:val="24"/>
          <w:szCs w:val="24"/>
        </w:rPr>
        <w:t>to a reporting period</w:t>
      </w:r>
      <w:r w:rsidR="00F67068" w:rsidRPr="003B40F8">
        <w:rPr>
          <w:sz w:val="24"/>
          <w:szCs w:val="24"/>
        </w:rPr>
        <w:t xml:space="preserve"> is also zero if the volume of wood (in cubic metres, m</w:t>
      </w:r>
      <w:r w:rsidR="00F67068" w:rsidRPr="003B40F8">
        <w:rPr>
          <w:sz w:val="24"/>
          <w:szCs w:val="24"/>
          <w:vertAlign w:val="superscript"/>
        </w:rPr>
        <w:t>3</w:t>
      </w:r>
      <w:r w:rsidR="00F67068" w:rsidRPr="003B40F8">
        <w:rPr>
          <w:sz w:val="24"/>
          <w:szCs w:val="24"/>
        </w:rPr>
        <w:t xml:space="preserve">) extracted from the project area during the period from the declaration of the project as an eligible offsets project until </w:t>
      </w:r>
      <w:r w:rsidR="00F67068" w:rsidRPr="00EE0092">
        <w:rPr>
          <w:sz w:val="24"/>
          <w:szCs w:val="24"/>
        </w:rPr>
        <w:t>the end of the reporting period</w:t>
      </w:r>
      <w:r w:rsidR="00F67068" w:rsidRPr="003B40F8">
        <w:rPr>
          <w:sz w:val="24"/>
          <w:szCs w:val="24"/>
        </w:rPr>
        <w:t xml:space="preserve"> is not at least 20% less than the levels in the baseline scenario for that period. </w:t>
      </w:r>
    </w:p>
    <w:p w14:paraId="6964A2C2" w14:textId="22348DBA" w:rsidR="00F67068" w:rsidRPr="003B40F8" w:rsidRDefault="001920CC" w:rsidP="001920CC">
      <w:pPr>
        <w:pStyle w:val="subsection"/>
        <w:spacing w:before="120" w:after="120"/>
        <w:ind w:left="0" w:firstLine="0"/>
        <w:rPr>
          <w:sz w:val="24"/>
          <w:szCs w:val="24"/>
        </w:rPr>
      </w:pPr>
      <w:r w:rsidRPr="003B40F8">
        <w:rPr>
          <w:sz w:val="24"/>
          <w:szCs w:val="24"/>
        </w:rPr>
        <w:t>Subsection 4</w:t>
      </w:r>
      <w:r w:rsidR="00815904">
        <w:rPr>
          <w:sz w:val="24"/>
          <w:szCs w:val="24"/>
        </w:rPr>
        <w:t>5</w:t>
      </w:r>
      <w:r w:rsidR="00F67068" w:rsidRPr="003B40F8">
        <w:rPr>
          <w:sz w:val="24"/>
          <w:szCs w:val="24"/>
        </w:rPr>
        <w:t>(4)</w:t>
      </w:r>
      <w:r w:rsidRPr="003B40F8">
        <w:rPr>
          <w:sz w:val="24"/>
          <w:szCs w:val="24"/>
        </w:rPr>
        <w:t xml:space="preserve"> specifies that section 4</w:t>
      </w:r>
      <w:r w:rsidR="00815904">
        <w:rPr>
          <w:sz w:val="24"/>
          <w:szCs w:val="24"/>
        </w:rPr>
        <w:t>5</w:t>
      </w:r>
      <w:r w:rsidR="00F67068" w:rsidRPr="003B40F8">
        <w:rPr>
          <w:sz w:val="24"/>
          <w:szCs w:val="24"/>
        </w:rPr>
        <w:t xml:space="preserve"> does not apply if the net abatement amount calculated under this Part is (but for this section) a negative amount.</w:t>
      </w:r>
      <w:r w:rsidRPr="003B40F8">
        <w:rPr>
          <w:sz w:val="24"/>
          <w:szCs w:val="24"/>
        </w:rPr>
        <w:t xml:space="preserve"> This ensures </w:t>
      </w:r>
      <w:r w:rsidR="003B40F8" w:rsidRPr="003B40F8">
        <w:rPr>
          <w:sz w:val="24"/>
          <w:szCs w:val="24"/>
        </w:rPr>
        <w:t xml:space="preserve">negative abatement amounts are carried over into subsequent reporting periods. </w:t>
      </w:r>
    </w:p>
    <w:p w14:paraId="2BB3D103" w14:textId="791A815A" w:rsidR="00910357" w:rsidRDefault="00910357" w:rsidP="00910357">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Pr>
          <w:rFonts w:ascii="Times New Roman" w:hAnsi="Times New Roman" w:cs="Times New Roman"/>
          <w:b/>
          <w:bCs/>
          <w:sz w:val="24"/>
          <w:szCs w:val="24"/>
        </w:rPr>
        <w:t>1</w:t>
      </w:r>
      <w:r w:rsidR="00406507">
        <w:rPr>
          <w:rFonts w:ascii="Times New Roman" w:hAnsi="Times New Roman" w:cs="Times New Roman"/>
          <w:b/>
          <w:bCs/>
          <w:sz w:val="24"/>
          <w:szCs w:val="24"/>
        </w:rPr>
        <w:t>0</w:t>
      </w:r>
      <w:r w:rsidRPr="00A656D9">
        <w:rPr>
          <w:rFonts w:ascii="Times New Roman" w:hAnsi="Times New Roman" w:cs="Times New Roman"/>
          <w:b/>
          <w:bCs/>
          <w:sz w:val="24"/>
          <w:szCs w:val="24"/>
        </w:rPr>
        <w:t>—</w:t>
      </w:r>
      <w:r w:rsidR="009713DA" w:rsidRPr="009713DA">
        <w:rPr>
          <w:rFonts w:ascii="Times New Roman" w:hAnsi="Times New Roman" w:cs="Times New Roman"/>
          <w:b/>
          <w:bCs/>
          <w:sz w:val="24"/>
          <w:szCs w:val="24"/>
        </w:rPr>
        <w:t>Factors and parameters from external sources</w:t>
      </w:r>
    </w:p>
    <w:p w14:paraId="35CB6ED0" w14:textId="0E072D24" w:rsidR="00CF090B" w:rsidRPr="00310D38" w:rsidRDefault="00433D96" w:rsidP="00CF090B">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CF090B">
        <w:rPr>
          <w:rFonts w:ascii="Times New Roman" w:hAnsi="Times New Roman" w:cs="Times New Roman"/>
          <w:sz w:val="24"/>
          <w:szCs w:val="24"/>
          <w:u w:val="single"/>
        </w:rPr>
        <w:t>4</w:t>
      </w:r>
      <w:r w:rsidR="00FE493F">
        <w:rPr>
          <w:rFonts w:ascii="Times New Roman" w:hAnsi="Times New Roman" w:cs="Times New Roman"/>
          <w:sz w:val="24"/>
          <w:szCs w:val="24"/>
          <w:u w:val="single"/>
        </w:rPr>
        <w:t>6</w:t>
      </w:r>
      <w:r w:rsidR="00CF090B" w:rsidRPr="00310D38">
        <w:rPr>
          <w:rFonts w:ascii="Times New Roman" w:hAnsi="Times New Roman" w:cs="Times New Roman"/>
          <w:sz w:val="24"/>
          <w:szCs w:val="24"/>
          <w:u w:val="single"/>
        </w:rPr>
        <w:t xml:space="preserve"> – </w:t>
      </w:r>
      <w:r w:rsidR="00454AA0" w:rsidRPr="00454AA0">
        <w:rPr>
          <w:rFonts w:ascii="Times New Roman" w:hAnsi="Times New Roman" w:cs="Times New Roman"/>
          <w:sz w:val="24"/>
          <w:szCs w:val="24"/>
          <w:u w:val="single"/>
        </w:rPr>
        <w:t>Factors and parameters from external sources</w:t>
      </w:r>
    </w:p>
    <w:p w14:paraId="05195877" w14:textId="02D289C1" w:rsidR="009D43C0" w:rsidRPr="009D43C0" w:rsidRDefault="009D43C0" w:rsidP="009D43C0">
      <w:pPr>
        <w:pStyle w:val="subsection"/>
        <w:spacing w:before="120" w:after="120"/>
        <w:ind w:left="0" w:firstLine="0"/>
        <w:rPr>
          <w:sz w:val="24"/>
          <w:szCs w:val="24"/>
        </w:rPr>
      </w:pPr>
      <w:r>
        <w:rPr>
          <w:sz w:val="24"/>
          <w:szCs w:val="24"/>
        </w:rPr>
        <w:t>Subsection 4</w:t>
      </w:r>
      <w:r w:rsidR="00FE493F">
        <w:rPr>
          <w:sz w:val="24"/>
          <w:szCs w:val="24"/>
        </w:rPr>
        <w:t>6</w:t>
      </w:r>
      <w:r>
        <w:rPr>
          <w:sz w:val="24"/>
          <w:szCs w:val="24"/>
        </w:rPr>
        <w:t xml:space="preserve">(1) provides that, if </w:t>
      </w:r>
      <w:r w:rsidRPr="009D43C0">
        <w:rPr>
          <w:sz w:val="24"/>
          <w:szCs w:val="24"/>
        </w:rPr>
        <w:t xml:space="preserve">a calculation in </w:t>
      </w:r>
      <w:r>
        <w:rPr>
          <w:sz w:val="24"/>
          <w:szCs w:val="24"/>
        </w:rPr>
        <w:t>the Determination</w:t>
      </w:r>
      <w:r w:rsidRPr="009D43C0">
        <w:rPr>
          <w:sz w:val="24"/>
          <w:szCs w:val="24"/>
        </w:rPr>
        <w:t xml:space="preserve">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74411196" w14:textId="6A95C749" w:rsidR="00F67068" w:rsidRDefault="009D43C0" w:rsidP="009D43C0">
      <w:pPr>
        <w:pStyle w:val="subsection"/>
        <w:spacing w:before="120" w:after="120"/>
        <w:ind w:left="0" w:firstLine="0"/>
        <w:rPr>
          <w:sz w:val="24"/>
          <w:szCs w:val="24"/>
        </w:rPr>
      </w:pPr>
      <w:r>
        <w:rPr>
          <w:sz w:val="24"/>
          <w:szCs w:val="24"/>
        </w:rPr>
        <w:t>Subsection 4</w:t>
      </w:r>
      <w:r w:rsidR="00FE493F">
        <w:rPr>
          <w:sz w:val="24"/>
          <w:szCs w:val="24"/>
        </w:rPr>
        <w:t>6</w:t>
      </w:r>
      <w:r>
        <w:rPr>
          <w:sz w:val="24"/>
          <w:szCs w:val="24"/>
        </w:rPr>
        <w:t>(</w:t>
      </w:r>
      <w:r w:rsidRPr="009D43C0">
        <w:rPr>
          <w:sz w:val="24"/>
          <w:szCs w:val="24"/>
        </w:rPr>
        <w:t>2)</w:t>
      </w:r>
      <w:r>
        <w:rPr>
          <w:sz w:val="24"/>
          <w:szCs w:val="24"/>
        </w:rPr>
        <w:t xml:space="preserve"> specifies that s</w:t>
      </w:r>
      <w:r w:rsidRPr="009D43C0">
        <w:rPr>
          <w:sz w:val="24"/>
          <w:szCs w:val="24"/>
        </w:rPr>
        <w:t xml:space="preserve">ubsection </w:t>
      </w:r>
      <w:r>
        <w:rPr>
          <w:sz w:val="24"/>
          <w:szCs w:val="24"/>
        </w:rPr>
        <w:t>4</w:t>
      </w:r>
      <w:r w:rsidR="00FE493F">
        <w:rPr>
          <w:sz w:val="24"/>
          <w:szCs w:val="24"/>
        </w:rPr>
        <w:t>6</w:t>
      </w:r>
      <w:r w:rsidRPr="009D43C0">
        <w:rPr>
          <w:sz w:val="24"/>
          <w:szCs w:val="24"/>
        </w:rPr>
        <w:t>(1) does not apply if</w:t>
      </w:r>
      <w:r>
        <w:rPr>
          <w:sz w:val="24"/>
          <w:szCs w:val="24"/>
        </w:rPr>
        <w:t xml:space="preserve"> the D</w:t>
      </w:r>
      <w:r w:rsidRPr="009D43C0">
        <w:rPr>
          <w:sz w:val="24"/>
          <w:szCs w:val="24"/>
        </w:rPr>
        <w:t>etermination specifies otherwise</w:t>
      </w:r>
      <w:r>
        <w:rPr>
          <w:sz w:val="24"/>
          <w:szCs w:val="24"/>
        </w:rPr>
        <w:t xml:space="preserve"> or </w:t>
      </w:r>
      <w:r w:rsidRPr="009D43C0">
        <w:rPr>
          <w:sz w:val="24"/>
          <w:szCs w:val="24"/>
        </w:rPr>
        <w:t>it is not possible to define or calculate the factor or parameter by reference to the instrument or writing as in force at the end of the reporting period.</w:t>
      </w:r>
    </w:p>
    <w:p w14:paraId="54DBA45A" w14:textId="0329E797" w:rsidR="00FE493F" w:rsidRDefault="00FE493F" w:rsidP="00FE493F">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5</w:t>
      </w:r>
      <w:r w:rsidRPr="00A656D9">
        <w:rPr>
          <w:rFonts w:ascii="Times New Roman" w:hAnsi="Times New Roman" w:cs="Times New Roman"/>
          <w:b/>
          <w:bCs/>
          <w:sz w:val="24"/>
          <w:szCs w:val="24"/>
        </w:rPr>
        <w:t>.</w:t>
      </w:r>
      <w:r>
        <w:rPr>
          <w:rFonts w:ascii="Times New Roman" w:hAnsi="Times New Roman" w:cs="Times New Roman"/>
          <w:b/>
          <w:bCs/>
          <w:sz w:val="24"/>
          <w:szCs w:val="24"/>
        </w:rPr>
        <w:t>11</w:t>
      </w:r>
      <w:r w:rsidRPr="00A656D9">
        <w:rPr>
          <w:rFonts w:ascii="Times New Roman" w:hAnsi="Times New Roman" w:cs="Times New Roman"/>
          <w:b/>
          <w:bCs/>
          <w:sz w:val="24"/>
          <w:szCs w:val="24"/>
        </w:rPr>
        <w:t>—</w:t>
      </w:r>
      <w:r w:rsidR="007275EE" w:rsidRPr="007275EE">
        <w:rPr>
          <w:rFonts w:ascii="Times New Roman" w:hAnsi="Times New Roman" w:cs="Times New Roman"/>
          <w:b/>
          <w:bCs/>
          <w:sz w:val="24"/>
          <w:szCs w:val="24"/>
        </w:rPr>
        <w:t>Transparency in abatement calculation</w:t>
      </w:r>
      <w:r w:rsidR="007275EE">
        <w:rPr>
          <w:rFonts w:ascii="Times New Roman" w:hAnsi="Times New Roman" w:cs="Times New Roman"/>
          <w:b/>
          <w:bCs/>
          <w:sz w:val="24"/>
          <w:szCs w:val="24"/>
        </w:rPr>
        <w:t>s</w:t>
      </w:r>
    </w:p>
    <w:p w14:paraId="093CFD0C" w14:textId="10D9CFFC" w:rsidR="00FE493F" w:rsidRPr="00310D38" w:rsidRDefault="00FE493F" w:rsidP="00FE493F">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4</w:t>
      </w:r>
      <w:r w:rsidR="00B87371">
        <w:rPr>
          <w:rFonts w:ascii="Times New Roman" w:hAnsi="Times New Roman" w:cs="Times New Roman"/>
          <w:sz w:val="24"/>
          <w:szCs w:val="24"/>
          <w:u w:val="single"/>
        </w:rPr>
        <w:t>7</w:t>
      </w:r>
      <w:r w:rsidRPr="00310D38">
        <w:rPr>
          <w:rFonts w:ascii="Times New Roman" w:hAnsi="Times New Roman" w:cs="Times New Roman"/>
          <w:sz w:val="24"/>
          <w:szCs w:val="24"/>
          <w:u w:val="single"/>
        </w:rPr>
        <w:t xml:space="preserve"> – </w:t>
      </w:r>
      <w:r w:rsidR="00B87371" w:rsidRPr="00B87371">
        <w:rPr>
          <w:rFonts w:ascii="Times New Roman" w:hAnsi="Times New Roman" w:cs="Times New Roman"/>
          <w:sz w:val="24"/>
          <w:szCs w:val="24"/>
          <w:u w:val="single"/>
        </w:rPr>
        <w:t>Publication of data and methods</w:t>
      </w:r>
    </w:p>
    <w:p w14:paraId="3C584161" w14:textId="5FFA01F3" w:rsidR="00FE493F" w:rsidRDefault="00FE493F" w:rsidP="009D43C0">
      <w:pPr>
        <w:pStyle w:val="subsection"/>
        <w:spacing w:before="120" w:after="120"/>
        <w:ind w:left="0" w:firstLine="0"/>
        <w:rPr>
          <w:sz w:val="24"/>
          <w:szCs w:val="24"/>
        </w:rPr>
      </w:pPr>
      <w:r>
        <w:rPr>
          <w:sz w:val="24"/>
          <w:szCs w:val="24"/>
        </w:rPr>
        <w:t>Subsection 4</w:t>
      </w:r>
      <w:r w:rsidR="00B87371">
        <w:rPr>
          <w:sz w:val="24"/>
          <w:szCs w:val="24"/>
        </w:rPr>
        <w:t xml:space="preserve">7 </w:t>
      </w:r>
      <w:r w:rsidR="00AC3E6C">
        <w:rPr>
          <w:sz w:val="24"/>
          <w:szCs w:val="24"/>
        </w:rPr>
        <w:t>requires the</w:t>
      </w:r>
      <w:r>
        <w:rPr>
          <w:sz w:val="24"/>
          <w:szCs w:val="24"/>
        </w:rPr>
        <w:t xml:space="preserve"> </w:t>
      </w:r>
      <w:r w:rsidR="00AC3E6C" w:rsidRPr="00AC3E6C">
        <w:rPr>
          <w:sz w:val="24"/>
          <w:szCs w:val="24"/>
        </w:rPr>
        <w:t xml:space="preserve">project proponent </w:t>
      </w:r>
      <w:r w:rsidR="00AC3E6C">
        <w:rPr>
          <w:sz w:val="24"/>
          <w:szCs w:val="24"/>
        </w:rPr>
        <w:t xml:space="preserve">to </w:t>
      </w:r>
      <w:r w:rsidR="00AC3E6C" w:rsidRPr="00AC3E6C">
        <w:rPr>
          <w:sz w:val="24"/>
          <w:szCs w:val="24"/>
        </w:rPr>
        <w:t>publish all necessary information, including full details of methods and all relevant data, to enable third parties to replicate the calculation of the carbon dioxide equivalent net abatement amount for each reporting period</w:t>
      </w:r>
      <w:r w:rsidR="00AC3E6C">
        <w:rPr>
          <w:sz w:val="24"/>
          <w:szCs w:val="24"/>
        </w:rPr>
        <w:t xml:space="preserve">. </w:t>
      </w:r>
      <w:r w:rsidR="00834B5E">
        <w:rPr>
          <w:sz w:val="24"/>
          <w:szCs w:val="24"/>
        </w:rPr>
        <w:t xml:space="preserve">This approach to transparency accords with international best practice, as reflected in The Integrity Council for the Voluntary Carbon Market’s </w:t>
      </w:r>
      <w:r w:rsidR="00834B5E" w:rsidRPr="00834B5E">
        <w:rPr>
          <w:i/>
          <w:iCs/>
          <w:sz w:val="24"/>
          <w:szCs w:val="24"/>
        </w:rPr>
        <w:t>Core Carbon Principles</w:t>
      </w:r>
      <w:r w:rsidR="00834B5E">
        <w:rPr>
          <w:sz w:val="24"/>
          <w:szCs w:val="24"/>
        </w:rPr>
        <w:t xml:space="preserve"> (criterion 3.1).</w:t>
      </w:r>
    </w:p>
    <w:p w14:paraId="6F854DB5" w14:textId="5FEF39D3" w:rsidR="0055033F" w:rsidRPr="0025148E" w:rsidRDefault="0055033F" w:rsidP="0055033F">
      <w:pPr>
        <w:tabs>
          <w:tab w:val="left" w:pos="3120"/>
        </w:tabs>
        <w:spacing w:before="120" w:after="120" w:line="240" w:lineRule="auto"/>
        <w:outlineLvl w:val="1"/>
        <w:rPr>
          <w:rFonts w:ascii="Times New Roman" w:hAnsi="Times New Roman" w:cs="Times New Roman"/>
          <w:b/>
          <w:bCs/>
          <w:sz w:val="26"/>
          <w:szCs w:val="26"/>
        </w:rPr>
      </w:pPr>
      <w:r w:rsidRPr="0025148E">
        <w:rPr>
          <w:rFonts w:ascii="Times New Roman" w:hAnsi="Times New Roman" w:cs="Times New Roman"/>
          <w:b/>
          <w:bCs/>
          <w:sz w:val="26"/>
          <w:szCs w:val="26"/>
        </w:rPr>
        <w:t xml:space="preserve">Part </w:t>
      </w:r>
      <w:r>
        <w:rPr>
          <w:rFonts w:ascii="Times New Roman" w:hAnsi="Times New Roman" w:cs="Times New Roman"/>
          <w:b/>
          <w:bCs/>
          <w:sz w:val="26"/>
          <w:szCs w:val="26"/>
        </w:rPr>
        <w:t>6</w:t>
      </w:r>
      <w:r w:rsidRPr="0025148E">
        <w:rPr>
          <w:rFonts w:ascii="Times New Roman" w:hAnsi="Times New Roman" w:cs="Times New Roman"/>
          <w:b/>
          <w:bCs/>
          <w:sz w:val="26"/>
          <w:szCs w:val="26"/>
        </w:rPr>
        <w:t>—</w:t>
      </w:r>
      <w:r w:rsidRPr="0055033F">
        <w:t xml:space="preserve"> </w:t>
      </w:r>
      <w:r w:rsidRPr="0055033F">
        <w:rPr>
          <w:rFonts w:ascii="Times New Roman" w:hAnsi="Times New Roman" w:cs="Times New Roman"/>
          <w:b/>
          <w:bCs/>
          <w:sz w:val="26"/>
          <w:szCs w:val="26"/>
        </w:rPr>
        <w:t>Reporting, record keeping and monitoring requirements</w:t>
      </w:r>
    </w:p>
    <w:p w14:paraId="0CEF381D" w14:textId="40C7D779" w:rsidR="001B1461" w:rsidRDefault="002D1101" w:rsidP="00AC2376">
      <w:pPr>
        <w:pStyle w:val="subsection"/>
        <w:spacing w:before="120" w:after="120"/>
        <w:ind w:left="0" w:firstLine="0"/>
        <w:rPr>
          <w:sz w:val="24"/>
          <w:szCs w:val="24"/>
        </w:rPr>
      </w:pPr>
      <w:r>
        <w:rPr>
          <w:sz w:val="24"/>
          <w:szCs w:val="24"/>
        </w:rPr>
        <w:t xml:space="preserve">The CFI Act contains </w:t>
      </w:r>
      <w:r w:rsidR="000F6CAB">
        <w:rPr>
          <w:sz w:val="24"/>
          <w:szCs w:val="24"/>
        </w:rPr>
        <w:t xml:space="preserve">general reporting, record keeping and monitoring requirements. However, </w:t>
      </w:r>
      <w:r w:rsidR="0038059C">
        <w:rPr>
          <w:sz w:val="24"/>
          <w:szCs w:val="24"/>
        </w:rPr>
        <w:t>d</w:t>
      </w:r>
      <w:r w:rsidR="000F6CAB">
        <w:rPr>
          <w:sz w:val="24"/>
          <w:szCs w:val="24"/>
        </w:rPr>
        <w:t xml:space="preserve">eterminations can include additional requirements that supplement the general requirements. </w:t>
      </w:r>
      <w:r w:rsidR="0038059C">
        <w:rPr>
          <w:sz w:val="24"/>
          <w:szCs w:val="24"/>
        </w:rPr>
        <w:t xml:space="preserve">Determinations </w:t>
      </w:r>
      <w:r w:rsidR="001173F6">
        <w:rPr>
          <w:sz w:val="24"/>
          <w:szCs w:val="24"/>
        </w:rPr>
        <w:t xml:space="preserve">can also extend the time periods for the submission of offset reports after the end of reporting periods. </w:t>
      </w:r>
      <w:r w:rsidR="0055033F">
        <w:rPr>
          <w:sz w:val="24"/>
          <w:szCs w:val="24"/>
        </w:rPr>
        <w:t xml:space="preserve">Part 6 </w:t>
      </w:r>
      <w:r w:rsidR="000F6CAB">
        <w:rPr>
          <w:sz w:val="24"/>
          <w:szCs w:val="24"/>
        </w:rPr>
        <w:t xml:space="preserve">of the Determination contains additional </w:t>
      </w:r>
      <w:r w:rsidR="00744828">
        <w:rPr>
          <w:sz w:val="24"/>
          <w:szCs w:val="24"/>
        </w:rPr>
        <w:t>requirements for these purposes</w:t>
      </w:r>
      <w:r w:rsidR="001173F6">
        <w:rPr>
          <w:sz w:val="24"/>
          <w:szCs w:val="24"/>
        </w:rPr>
        <w:t xml:space="preserve"> and </w:t>
      </w:r>
      <w:r w:rsidR="000A4A8D">
        <w:rPr>
          <w:sz w:val="24"/>
          <w:szCs w:val="24"/>
        </w:rPr>
        <w:t xml:space="preserve">an extension of the </w:t>
      </w:r>
      <w:proofErr w:type="gramStart"/>
      <w:r w:rsidR="000A4A8D">
        <w:rPr>
          <w:sz w:val="24"/>
          <w:szCs w:val="24"/>
        </w:rPr>
        <w:t>time period</w:t>
      </w:r>
      <w:proofErr w:type="gramEnd"/>
      <w:r w:rsidR="000A4A8D">
        <w:rPr>
          <w:sz w:val="24"/>
          <w:szCs w:val="24"/>
        </w:rPr>
        <w:t xml:space="preserve"> for the submission of offset reports</w:t>
      </w:r>
      <w:r w:rsidR="00744828">
        <w:rPr>
          <w:sz w:val="24"/>
          <w:szCs w:val="24"/>
        </w:rPr>
        <w:t>.</w:t>
      </w:r>
    </w:p>
    <w:p w14:paraId="679BB3A8" w14:textId="251E9F5B" w:rsidR="00327B85" w:rsidRDefault="00327B85" w:rsidP="00327B85">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6</w:t>
      </w:r>
      <w:r w:rsidRPr="00A656D9">
        <w:rPr>
          <w:rFonts w:ascii="Times New Roman" w:hAnsi="Times New Roman" w:cs="Times New Roman"/>
          <w:b/>
          <w:bCs/>
          <w:sz w:val="24"/>
          <w:szCs w:val="24"/>
        </w:rPr>
        <w:t>.</w:t>
      </w:r>
      <w:r>
        <w:rPr>
          <w:rFonts w:ascii="Times New Roman" w:hAnsi="Times New Roman" w:cs="Times New Roman"/>
          <w:b/>
          <w:bCs/>
          <w:sz w:val="24"/>
          <w:szCs w:val="24"/>
        </w:rPr>
        <w:t>1</w:t>
      </w:r>
      <w:r w:rsidRPr="00A656D9">
        <w:rPr>
          <w:rFonts w:ascii="Times New Roman" w:hAnsi="Times New Roman" w:cs="Times New Roman"/>
          <w:b/>
          <w:bCs/>
          <w:sz w:val="24"/>
          <w:szCs w:val="24"/>
        </w:rPr>
        <w:t>—</w:t>
      </w:r>
      <w:r w:rsidR="008B3A5E" w:rsidRPr="008B3A5E">
        <w:rPr>
          <w:rFonts w:ascii="Times New Roman" w:hAnsi="Times New Roman" w:cs="Times New Roman"/>
          <w:b/>
          <w:bCs/>
          <w:sz w:val="24"/>
          <w:szCs w:val="24"/>
        </w:rPr>
        <w:t>Reporting requirements</w:t>
      </w:r>
    </w:p>
    <w:p w14:paraId="186A0D22" w14:textId="12EBF93F" w:rsidR="008B3A5E" w:rsidRPr="00310D38" w:rsidRDefault="00433D96" w:rsidP="008B3A5E">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8B3A5E">
        <w:rPr>
          <w:rFonts w:ascii="Times New Roman" w:hAnsi="Times New Roman" w:cs="Times New Roman"/>
          <w:sz w:val="24"/>
          <w:szCs w:val="24"/>
          <w:u w:val="single"/>
        </w:rPr>
        <w:t>4</w:t>
      </w:r>
      <w:r w:rsidR="008C1E98">
        <w:rPr>
          <w:rFonts w:ascii="Times New Roman" w:hAnsi="Times New Roman" w:cs="Times New Roman"/>
          <w:sz w:val="24"/>
          <w:szCs w:val="24"/>
          <w:u w:val="single"/>
        </w:rPr>
        <w:t>8</w:t>
      </w:r>
      <w:r w:rsidR="008B3A5E" w:rsidRPr="00310D38">
        <w:rPr>
          <w:rFonts w:ascii="Times New Roman" w:hAnsi="Times New Roman" w:cs="Times New Roman"/>
          <w:sz w:val="24"/>
          <w:szCs w:val="24"/>
          <w:u w:val="single"/>
        </w:rPr>
        <w:t xml:space="preserve"> – </w:t>
      </w:r>
      <w:r w:rsidR="008C1E98" w:rsidRPr="008C1E98">
        <w:rPr>
          <w:rFonts w:ascii="Times New Roman" w:hAnsi="Times New Roman" w:cs="Times New Roman"/>
          <w:sz w:val="24"/>
          <w:szCs w:val="24"/>
          <w:u w:val="single"/>
        </w:rPr>
        <w:t>Operation of this Division</w:t>
      </w:r>
    </w:p>
    <w:p w14:paraId="05BB29C5" w14:textId="77231A7F" w:rsidR="00614F77" w:rsidRDefault="00614F77" w:rsidP="00AC2376">
      <w:pPr>
        <w:pStyle w:val="subsection"/>
        <w:spacing w:before="120" w:after="120"/>
        <w:ind w:left="0" w:firstLine="0"/>
        <w:rPr>
          <w:sz w:val="24"/>
          <w:szCs w:val="24"/>
        </w:rPr>
      </w:pPr>
      <w:r>
        <w:rPr>
          <w:sz w:val="24"/>
          <w:szCs w:val="24"/>
        </w:rPr>
        <w:t xml:space="preserve">Section 48 specifies that, for the purposes of </w:t>
      </w:r>
      <w:r w:rsidR="00EB5F66">
        <w:rPr>
          <w:sz w:val="24"/>
          <w:szCs w:val="24"/>
        </w:rPr>
        <w:t>subsection</w:t>
      </w:r>
      <w:r w:rsidR="00980A47">
        <w:rPr>
          <w:sz w:val="24"/>
          <w:szCs w:val="24"/>
        </w:rPr>
        <w:t>s</w:t>
      </w:r>
      <w:r w:rsidR="00EB5F66" w:rsidRPr="00614F77">
        <w:rPr>
          <w:sz w:val="24"/>
          <w:szCs w:val="24"/>
        </w:rPr>
        <w:t xml:space="preserve"> </w:t>
      </w:r>
      <w:r w:rsidRPr="00614F77">
        <w:rPr>
          <w:sz w:val="24"/>
          <w:szCs w:val="24"/>
        </w:rPr>
        <w:t xml:space="preserve">106(3)(a) </w:t>
      </w:r>
      <w:r w:rsidR="00980A47">
        <w:rPr>
          <w:sz w:val="24"/>
          <w:szCs w:val="24"/>
        </w:rPr>
        <w:t xml:space="preserve">and </w:t>
      </w:r>
      <w:r w:rsidR="00980A47" w:rsidRPr="00980A47">
        <w:rPr>
          <w:sz w:val="24"/>
          <w:szCs w:val="24"/>
        </w:rPr>
        <w:t xml:space="preserve">76(4)(e) </w:t>
      </w:r>
      <w:r w:rsidRPr="00614F77">
        <w:rPr>
          <w:sz w:val="24"/>
          <w:szCs w:val="24"/>
        </w:rPr>
        <w:t xml:space="preserve">of the </w:t>
      </w:r>
      <w:r>
        <w:rPr>
          <w:sz w:val="24"/>
          <w:szCs w:val="24"/>
        </w:rPr>
        <w:t xml:space="preserve">CFI </w:t>
      </w:r>
      <w:r w:rsidRPr="00614F77">
        <w:rPr>
          <w:sz w:val="24"/>
          <w:szCs w:val="24"/>
        </w:rPr>
        <w:t xml:space="preserve">Act, Division </w:t>
      </w:r>
      <w:r>
        <w:rPr>
          <w:sz w:val="24"/>
          <w:szCs w:val="24"/>
        </w:rPr>
        <w:t xml:space="preserve">6.1 </w:t>
      </w:r>
      <w:r w:rsidRPr="00614F77">
        <w:rPr>
          <w:sz w:val="24"/>
          <w:szCs w:val="24"/>
        </w:rPr>
        <w:t xml:space="preserve">sets out reporting requirements for </w:t>
      </w:r>
      <w:r>
        <w:rPr>
          <w:sz w:val="24"/>
          <w:szCs w:val="24"/>
        </w:rPr>
        <w:t xml:space="preserve">INFM projects. </w:t>
      </w:r>
    </w:p>
    <w:p w14:paraId="04B28752" w14:textId="3944E6A2" w:rsidR="00614F77" w:rsidRPr="00310D38" w:rsidRDefault="00433D96" w:rsidP="00614F77">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614F77">
        <w:rPr>
          <w:rFonts w:ascii="Times New Roman" w:hAnsi="Times New Roman" w:cs="Times New Roman"/>
          <w:sz w:val="24"/>
          <w:szCs w:val="24"/>
          <w:u w:val="single"/>
        </w:rPr>
        <w:t>49</w:t>
      </w:r>
      <w:r w:rsidR="00614F77" w:rsidRPr="00310D38">
        <w:rPr>
          <w:rFonts w:ascii="Times New Roman" w:hAnsi="Times New Roman" w:cs="Times New Roman"/>
          <w:sz w:val="24"/>
          <w:szCs w:val="24"/>
          <w:u w:val="single"/>
        </w:rPr>
        <w:t xml:space="preserve"> – </w:t>
      </w:r>
      <w:r w:rsidR="006A10CF" w:rsidRPr="006A10CF">
        <w:rPr>
          <w:rFonts w:ascii="Times New Roman" w:hAnsi="Times New Roman" w:cs="Times New Roman"/>
          <w:sz w:val="24"/>
          <w:szCs w:val="24"/>
          <w:u w:val="single"/>
        </w:rPr>
        <w:t>Information required in offsets reports</w:t>
      </w:r>
    </w:p>
    <w:p w14:paraId="09AF55AE" w14:textId="77777777" w:rsidR="00100C3C" w:rsidRDefault="006A10CF" w:rsidP="00100C3C">
      <w:pPr>
        <w:pStyle w:val="subsection"/>
        <w:spacing w:before="120" w:after="120"/>
        <w:ind w:left="0" w:firstLine="0"/>
        <w:rPr>
          <w:sz w:val="24"/>
          <w:szCs w:val="24"/>
        </w:rPr>
      </w:pPr>
      <w:r>
        <w:rPr>
          <w:sz w:val="24"/>
          <w:szCs w:val="24"/>
        </w:rPr>
        <w:t xml:space="preserve">Subsection 49(1) provides that </w:t>
      </w:r>
      <w:r w:rsidR="007B1239">
        <w:rPr>
          <w:sz w:val="24"/>
          <w:szCs w:val="24"/>
        </w:rPr>
        <w:t xml:space="preserve">offsets </w:t>
      </w:r>
      <w:proofErr w:type="gramStart"/>
      <w:r w:rsidR="007B1239">
        <w:rPr>
          <w:sz w:val="24"/>
          <w:szCs w:val="24"/>
        </w:rPr>
        <w:t>reports</w:t>
      </w:r>
      <w:proofErr w:type="gramEnd"/>
      <w:r w:rsidR="007B1239">
        <w:rPr>
          <w:sz w:val="24"/>
          <w:szCs w:val="24"/>
        </w:rPr>
        <w:t xml:space="preserve"> for a reporting period must </w:t>
      </w:r>
      <w:r w:rsidR="00A57D8E">
        <w:rPr>
          <w:sz w:val="24"/>
          <w:szCs w:val="24"/>
        </w:rPr>
        <w:t xml:space="preserve">include: </w:t>
      </w:r>
    </w:p>
    <w:p w14:paraId="28AD5273" w14:textId="4CBEE9AE" w:rsidR="00100C3C" w:rsidRPr="00100C3C" w:rsidRDefault="00100C3C" w:rsidP="009D5A62">
      <w:pPr>
        <w:pStyle w:val="subsection"/>
        <w:numPr>
          <w:ilvl w:val="0"/>
          <w:numId w:val="72"/>
        </w:numPr>
        <w:spacing w:before="120" w:after="120"/>
        <w:rPr>
          <w:sz w:val="24"/>
          <w:szCs w:val="24"/>
        </w:rPr>
      </w:pPr>
      <w:r w:rsidRPr="00100C3C">
        <w:rPr>
          <w:sz w:val="24"/>
          <w:szCs w:val="24"/>
        </w:rPr>
        <w:t xml:space="preserve">a copy of the project map for the </w:t>
      </w:r>
      <w:proofErr w:type="gramStart"/>
      <w:r w:rsidRPr="00100C3C">
        <w:rPr>
          <w:sz w:val="24"/>
          <w:szCs w:val="24"/>
        </w:rPr>
        <w:t>project;</w:t>
      </w:r>
      <w:proofErr w:type="gramEnd"/>
      <w:r w:rsidRPr="00100C3C">
        <w:rPr>
          <w:sz w:val="24"/>
          <w:szCs w:val="24"/>
        </w:rPr>
        <w:t xml:space="preserve"> </w:t>
      </w:r>
    </w:p>
    <w:p w14:paraId="7E1468DD" w14:textId="4C31F872" w:rsidR="00100C3C" w:rsidRPr="00100C3C" w:rsidRDefault="00100C3C" w:rsidP="009D5A62">
      <w:pPr>
        <w:pStyle w:val="subsection"/>
        <w:numPr>
          <w:ilvl w:val="0"/>
          <w:numId w:val="72"/>
        </w:numPr>
        <w:spacing w:before="120" w:after="120"/>
        <w:rPr>
          <w:sz w:val="24"/>
          <w:szCs w:val="24"/>
        </w:rPr>
      </w:pPr>
      <w:r w:rsidRPr="00100C3C">
        <w:rPr>
          <w:sz w:val="24"/>
          <w:szCs w:val="24"/>
        </w:rPr>
        <w:t xml:space="preserve">the current management plan for the </w:t>
      </w:r>
      <w:proofErr w:type="gramStart"/>
      <w:r w:rsidRPr="00100C3C">
        <w:rPr>
          <w:sz w:val="24"/>
          <w:szCs w:val="24"/>
        </w:rPr>
        <w:t>project;</w:t>
      </w:r>
      <w:proofErr w:type="gramEnd"/>
      <w:r w:rsidRPr="00100C3C">
        <w:rPr>
          <w:sz w:val="24"/>
          <w:szCs w:val="24"/>
        </w:rPr>
        <w:t xml:space="preserve"> </w:t>
      </w:r>
    </w:p>
    <w:p w14:paraId="5C0E73A1" w14:textId="01D43E1A" w:rsidR="00100C3C" w:rsidRPr="00100C3C" w:rsidRDefault="00100C3C" w:rsidP="009D5A62">
      <w:pPr>
        <w:pStyle w:val="subsection"/>
        <w:numPr>
          <w:ilvl w:val="0"/>
          <w:numId w:val="72"/>
        </w:numPr>
        <w:spacing w:before="120" w:after="120"/>
        <w:rPr>
          <w:sz w:val="24"/>
          <w:szCs w:val="24"/>
        </w:rPr>
      </w:pPr>
      <w:r w:rsidRPr="00100C3C">
        <w:rPr>
          <w:sz w:val="24"/>
          <w:szCs w:val="24"/>
        </w:rPr>
        <w:t xml:space="preserve">any other forest management plans that </w:t>
      </w:r>
      <w:proofErr w:type="gramStart"/>
      <w:r w:rsidRPr="00100C3C">
        <w:rPr>
          <w:sz w:val="24"/>
          <w:szCs w:val="24"/>
        </w:rPr>
        <w:t>are required</w:t>
      </w:r>
      <w:proofErr w:type="gramEnd"/>
      <w:r w:rsidRPr="00100C3C">
        <w:rPr>
          <w:sz w:val="24"/>
          <w:szCs w:val="24"/>
        </w:rPr>
        <w:t xml:space="preserve"> to be prepared in relation to timber harvesting and other forest management actions in the project area as at the end of the reporting </w:t>
      </w:r>
      <w:proofErr w:type="gramStart"/>
      <w:r w:rsidRPr="00100C3C">
        <w:rPr>
          <w:sz w:val="24"/>
          <w:szCs w:val="24"/>
        </w:rPr>
        <w:t>period;</w:t>
      </w:r>
      <w:proofErr w:type="gramEnd"/>
      <w:r w:rsidRPr="00100C3C">
        <w:rPr>
          <w:sz w:val="24"/>
          <w:szCs w:val="24"/>
        </w:rPr>
        <w:t xml:space="preserve"> </w:t>
      </w:r>
    </w:p>
    <w:p w14:paraId="43C20781" w14:textId="1C6516AA" w:rsidR="00100C3C" w:rsidRDefault="00100C3C" w:rsidP="009D5A62">
      <w:pPr>
        <w:pStyle w:val="subsection"/>
        <w:numPr>
          <w:ilvl w:val="0"/>
          <w:numId w:val="72"/>
        </w:numPr>
        <w:spacing w:before="120" w:after="120"/>
        <w:rPr>
          <w:sz w:val="24"/>
          <w:szCs w:val="24"/>
        </w:rPr>
      </w:pPr>
      <w:r w:rsidRPr="00100C3C">
        <w:rPr>
          <w:sz w:val="24"/>
          <w:szCs w:val="24"/>
        </w:rPr>
        <w:t>in the case of any carbon protection area – details of the measures taken to promote the effective management of that area (including in relation to the conservation of biodiversity and to the engagement of Aboriginal people in forest management actions in that area</w:t>
      </w:r>
      <w:proofErr w:type="gramStart"/>
      <w:r w:rsidRPr="00100C3C">
        <w:rPr>
          <w:sz w:val="24"/>
          <w:szCs w:val="24"/>
        </w:rPr>
        <w:t>)</w:t>
      </w:r>
      <w:r w:rsidR="000831E7">
        <w:rPr>
          <w:sz w:val="24"/>
          <w:szCs w:val="24"/>
        </w:rPr>
        <w:t>;</w:t>
      </w:r>
      <w:proofErr w:type="gramEnd"/>
      <w:r w:rsidR="000831E7">
        <w:rPr>
          <w:sz w:val="24"/>
          <w:szCs w:val="24"/>
        </w:rPr>
        <w:t xml:space="preserve"> </w:t>
      </w:r>
    </w:p>
    <w:p w14:paraId="7A32C379" w14:textId="46DC10B7" w:rsidR="000831E7" w:rsidRDefault="000831E7" w:rsidP="009D5A62">
      <w:pPr>
        <w:pStyle w:val="subsection"/>
        <w:numPr>
          <w:ilvl w:val="0"/>
          <w:numId w:val="72"/>
        </w:numPr>
        <w:spacing w:before="120" w:after="120"/>
        <w:rPr>
          <w:sz w:val="24"/>
          <w:szCs w:val="24"/>
        </w:rPr>
      </w:pPr>
      <w:r w:rsidRPr="000831E7">
        <w:rPr>
          <w:sz w:val="24"/>
          <w:szCs w:val="24"/>
        </w:rPr>
        <w:t>details of the aggregate negative abatement account maintained under section 4</w:t>
      </w:r>
      <w:r w:rsidR="001848BD">
        <w:rPr>
          <w:sz w:val="24"/>
          <w:szCs w:val="24"/>
        </w:rPr>
        <w:t>4</w:t>
      </w:r>
      <w:r w:rsidRPr="000831E7">
        <w:rPr>
          <w:sz w:val="24"/>
          <w:szCs w:val="24"/>
        </w:rPr>
        <w:t>, including details of all additions and removals from the account in the reporting period</w:t>
      </w:r>
      <w:r>
        <w:rPr>
          <w:sz w:val="24"/>
          <w:szCs w:val="24"/>
        </w:rPr>
        <w:t xml:space="preserve">. </w:t>
      </w:r>
    </w:p>
    <w:p w14:paraId="04B7392B" w14:textId="6DD4A6DF" w:rsidR="00D47226" w:rsidRPr="00785689" w:rsidRDefault="00D47226" w:rsidP="00785689">
      <w:pPr>
        <w:pStyle w:val="subsection"/>
        <w:spacing w:before="120" w:after="120"/>
        <w:ind w:left="0" w:firstLine="0"/>
        <w:rPr>
          <w:sz w:val="24"/>
          <w:szCs w:val="24"/>
        </w:rPr>
      </w:pPr>
      <w:r w:rsidRPr="00785689">
        <w:rPr>
          <w:sz w:val="24"/>
          <w:szCs w:val="24"/>
        </w:rPr>
        <w:t>These provisions are intended to promote integrity and transparency in the operation of INFM projects.</w:t>
      </w:r>
    </w:p>
    <w:p w14:paraId="761E22F1" w14:textId="77777777" w:rsidR="00804F6D" w:rsidRPr="00785689" w:rsidRDefault="00D47226" w:rsidP="00785689">
      <w:pPr>
        <w:pStyle w:val="subsection"/>
        <w:spacing w:before="120" w:after="120"/>
        <w:ind w:left="0" w:firstLine="0"/>
        <w:rPr>
          <w:sz w:val="24"/>
          <w:szCs w:val="24"/>
        </w:rPr>
      </w:pPr>
      <w:r w:rsidRPr="00785689">
        <w:rPr>
          <w:sz w:val="24"/>
          <w:szCs w:val="24"/>
        </w:rPr>
        <w:t xml:space="preserve">Subsection 49(2) </w:t>
      </w:r>
      <w:r w:rsidR="00804F6D" w:rsidRPr="00785689">
        <w:rPr>
          <w:sz w:val="24"/>
          <w:szCs w:val="24"/>
        </w:rPr>
        <w:t xml:space="preserve">specifies that, if </w:t>
      </w:r>
      <w:r w:rsidR="00100C3C" w:rsidRPr="00785689">
        <w:rPr>
          <w:sz w:val="24"/>
          <w:szCs w:val="24"/>
        </w:rPr>
        <w:t xml:space="preserve">in modelling a management action or disturbance event in </w:t>
      </w:r>
      <w:proofErr w:type="spellStart"/>
      <w:r w:rsidR="00100C3C" w:rsidRPr="00785689">
        <w:rPr>
          <w:sz w:val="24"/>
          <w:szCs w:val="24"/>
        </w:rPr>
        <w:t>FullCAM</w:t>
      </w:r>
      <w:proofErr w:type="spellEnd"/>
      <w:r w:rsidR="00100C3C" w:rsidRPr="00785689">
        <w:rPr>
          <w:sz w:val="24"/>
          <w:szCs w:val="24"/>
        </w:rPr>
        <w:t xml:space="preserve"> in accordance with the </w:t>
      </w:r>
      <w:proofErr w:type="spellStart"/>
      <w:r w:rsidR="00100C3C" w:rsidRPr="00785689">
        <w:rPr>
          <w:sz w:val="24"/>
          <w:szCs w:val="24"/>
        </w:rPr>
        <w:t>FullCAM</w:t>
      </w:r>
      <w:proofErr w:type="spellEnd"/>
      <w:r w:rsidR="00100C3C" w:rsidRPr="00785689">
        <w:rPr>
          <w:sz w:val="24"/>
          <w:szCs w:val="24"/>
        </w:rPr>
        <w:t xml:space="preserve"> guidelines, the project proponent specified </w:t>
      </w:r>
      <w:r w:rsidR="00804F6D" w:rsidRPr="00785689">
        <w:rPr>
          <w:sz w:val="24"/>
          <w:szCs w:val="24"/>
        </w:rPr>
        <w:t xml:space="preserve">that </w:t>
      </w:r>
      <w:r w:rsidR="00100C3C" w:rsidRPr="00785689">
        <w:rPr>
          <w:sz w:val="24"/>
          <w:szCs w:val="24"/>
        </w:rPr>
        <w:t xml:space="preserve">a portion of the project area </w:t>
      </w:r>
      <w:r w:rsidR="00804F6D" w:rsidRPr="00785689">
        <w:rPr>
          <w:sz w:val="24"/>
          <w:szCs w:val="24"/>
        </w:rPr>
        <w:t xml:space="preserve">was </w:t>
      </w:r>
      <w:r w:rsidR="00100C3C" w:rsidRPr="00785689">
        <w:rPr>
          <w:sz w:val="24"/>
          <w:szCs w:val="24"/>
        </w:rPr>
        <w:t xml:space="preserve">affected by a </w:t>
      </w:r>
      <w:proofErr w:type="spellStart"/>
      <w:r w:rsidR="00100C3C" w:rsidRPr="00785689">
        <w:rPr>
          <w:sz w:val="24"/>
          <w:szCs w:val="24"/>
        </w:rPr>
        <w:t>FullCAM</w:t>
      </w:r>
      <w:proofErr w:type="spellEnd"/>
      <w:r w:rsidR="00100C3C" w:rsidRPr="00785689">
        <w:rPr>
          <w:sz w:val="24"/>
          <w:szCs w:val="24"/>
        </w:rPr>
        <w:t xml:space="preserve"> event, the offsets report must describe how the portion was estimated.</w:t>
      </w:r>
    </w:p>
    <w:p w14:paraId="5B0B9457" w14:textId="77777777" w:rsidR="00785689" w:rsidRPr="00785689" w:rsidRDefault="00AB2A85" w:rsidP="00785689">
      <w:pPr>
        <w:pStyle w:val="subsection"/>
        <w:spacing w:before="120" w:after="120"/>
        <w:ind w:left="0" w:firstLine="0"/>
        <w:rPr>
          <w:sz w:val="24"/>
          <w:szCs w:val="24"/>
        </w:rPr>
      </w:pPr>
      <w:r w:rsidRPr="00785689">
        <w:rPr>
          <w:sz w:val="24"/>
          <w:szCs w:val="24"/>
        </w:rPr>
        <w:t xml:space="preserve">Subsection 49(3) </w:t>
      </w:r>
      <w:r w:rsidR="00121C6D" w:rsidRPr="00785689">
        <w:rPr>
          <w:sz w:val="24"/>
          <w:szCs w:val="24"/>
        </w:rPr>
        <w:t>specifies that i</w:t>
      </w:r>
      <w:r w:rsidR="00100C3C" w:rsidRPr="00785689">
        <w:rPr>
          <w:sz w:val="24"/>
          <w:szCs w:val="24"/>
        </w:rPr>
        <w:t>f</w:t>
      </w:r>
      <w:r w:rsidR="00EF5F5F" w:rsidRPr="00785689">
        <w:rPr>
          <w:sz w:val="24"/>
          <w:szCs w:val="24"/>
        </w:rPr>
        <w:t xml:space="preserve"> a calculation in the Determination includes a factor or parameter that is defined or calculated by reference to another instrument </w:t>
      </w:r>
      <w:r w:rsidR="00C423B7" w:rsidRPr="00785689">
        <w:rPr>
          <w:sz w:val="24"/>
          <w:szCs w:val="24"/>
        </w:rPr>
        <w:t>(</w:t>
      </w:r>
      <w:r w:rsidR="00EF5F5F" w:rsidRPr="00785689">
        <w:rPr>
          <w:sz w:val="24"/>
          <w:szCs w:val="24"/>
        </w:rPr>
        <w:t>or writing</w:t>
      </w:r>
      <w:r w:rsidR="00C423B7" w:rsidRPr="00785689">
        <w:rPr>
          <w:sz w:val="24"/>
          <w:szCs w:val="24"/>
        </w:rPr>
        <w:t>)</w:t>
      </w:r>
      <w:r w:rsidR="00EF5F5F" w:rsidRPr="00785689">
        <w:rPr>
          <w:sz w:val="24"/>
          <w:szCs w:val="24"/>
        </w:rPr>
        <w:t xml:space="preserve"> </w:t>
      </w:r>
      <w:r w:rsidR="00100C3C" w:rsidRPr="00785689">
        <w:rPr>
          <w:sz w:val="24"/>
          <w:szCs w:val="24"/>
        </w:rPr>
        <w:t>as in force from time to time</w:t>
      </w:r>
      <w:r w:rsidR="00EF5F5F" w:rsidRPr="00785689">
        <w:rPr>
          <w:sz w:val="24"/>
          <w:szCs w:val="24"/>
        </w:rPr>
        <w:t xml:space="preserve">, and it is not possible to </w:t>
      </w:r>
      <w:r w:rsidR="00C423B7" w:rsidRPr="00785689">
        <w:rPr>
          <w:sz w:val="24"/>
          <w:szCs w:val="24"/>
        </w:rPr>
        <w:t>define or calculate the factor or parameter by reference to the instrument (or writing) as in force at the end of the reporting period</w:t>
      </w:r>
      <w:r w:rsidR="00785689" w:rsidRPr="00785689">
        <w:rPr>
          <w:sz w:val="24"/>
          <w:szCs w:val="24"/>
        </w:rPr>
        <w:t xml:space="preserve">, the offsets report </w:t>
      </w:r>
      <w:r w:rsidR="00100C3C" w:rsidRPr="00785689">
        <w:rPr>
          <w:sz w:val="24"/>
          <w:szCs w:val="24"/>
        </w:rPr>
        <w:t>must include:</w:t>
      </w:r>
    </w:p>
    <w:p w14:paraId="4D9D9184" w14:textId="5D15F821" w:rsidR="00785689" w:rsidRPr="00785689" w:rsidRDefault="00100C3C" w:rsidP="009D5A62">
      <w:pPr>
        <w:pStyle w:val="subsection"/>
        <w:numPr>
          <w:ilvl w:val="0"/>
          <w:numId w:val="73"/>
        </w:numPr>
        <w:spacing w:before="120" w:after="120"/>
        <w:rPr>
          <w:sz w:val="24"/>
          <w:szCs w:val="24"/>
        </w:rPr>
      </w:pPr>
      <w:r w:rsidRPr="00785689">
        <w:rPr>
          <w:sz w:val="24"/>
          <w:szCs w:val="24"/>
        </w:rPr>
        <w:t xml:space="preserve">the versions of the instrument or writing </w:t>
      </w:r>
      <w:proofErr w:type="gramStart"/>
      <w:r w:rsidRPr="00785689">
        <w:rPr>
          <w:sz w:val="24"/>
          <w:szCs w:val="24"/>
        </w:rPr>
        <w:t>used;</w:t>
      </w:r>
      <w:proofErr w:type="gramEnd"/>
    </w:p>
    <w:p w14:paraId="72737B2F" w14:textId="4523619C" w:rsidR="00785689" w:rsidRPr="00785689" w:rsidRDefault="00100C3C" w:rsidP="009D5A62">
      <w:pPr>
        <w:pStyle w:val="subsection"/>
        <w:numPr>
          <w:ilvl w:val="0"/>
          <w:numId w:val="73"/>
        </w:numPr>
        <w:spacing w:before="120" w:after="120"/>
        <w:rPr>
          <w:sz w:val="24"/>
          <w:szCs w:val="24"/>
        </w:rPr>
      </w:pPr>
      <w:r w:rsidRPr="00785689">
        <w:rPr>
          <w:sz w:val="24"/>
          <w:szCs w:val="24"/>
        </w:rPr>
        <w:lastRenderedPageBreak/>
        <w:t>the start and end dates of each use;</w:t>
      </w:r>
      <w:r w:rsidR="001B4C4F">
        <w:rPr>
          <w:sz w:val="24"/>
          <w:szCs w:val="24"/>
        </w:rPr>
        <w:t xml:space="preserve"> and</w:t>
      </w:r>
    </w:p>
    <w:p w14:paraId="7EF9F11C" w14:textId="1E6AAA36" w:rsidR="00AA1730" w:rsidRPr="00AA1730" w:rsidRDefault="00100C3C" w:rsidP="00AA1730">
      <w:pPr>
        <w:pStyle w:val="subsection"/>
        <w:numPr>
          <w:ilvl w:val="0"/>
          <w:numId w:val="73"/>
        </w:numPr>
        <w:spacing w:before="120" w:after="120"/>
        <w:rPr>
          <w:sz w:val="24"/>
          <w:szCs w:val="24"/>
        </w:rPr>
      </w:pPr>
      <w:r w:rsidRPr="00785689">
        <w:rPr>
          <w:sz w:val="24"/>
          <w:szCs w:val="24"/>
        </w:rPr>
        <w:t>the reasons why it was not possible to define or calculate the factor or parameter by reference to the instrument or writing as in force at the end of the reporting period.</w:t>
      </w:r>
    </w:p>
    <w:p w14:paraId="27B4708F" w14:textId="0807E0AC" w:rsidR="00AA1730" w:rsidRPr="00310D38" w:rsidRDefault="00AA1730" w:rsidP="00AA1730">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Section 50</w:t>
      </w:r>
      <w:r w:rsidRPr="00310D38">
        <w:rPr>
          <w:rFonts w:ascii="Times New Roman" w:hAnsi="Times New Roman" w:cs="Times New Roman"/>
          <w:sz w:val="24"/>
          <w:szCs w:val="24"/>
          <w:u w:val="single"/>
        </w:rPr>
        <w:t xml:space="preserve"> – </w:t>
      </w:r>
      <w:r w:rsidR="0047154B" w:rsidRPr="0047154B">
        <w:rPr>
          <w:rFonts w:ascii="Times New Roman" w:hAnsi="Times New Roman" w:cs="Times New Roman"/>
          <w:sz w:val="24"/>
          <w:szCs w:val="24"/>
          <w:u w:val="single"/>
        </w:rPr>
        <w:t>Timing of offsets reports</w:t>
      </w:r>
    </w:p>
    <w:p w14:paraId="1B3CC830" w14:textId="77777777" w:rsidR="00D020D6" w:rsidRDefault="00D020D6" w:rsidP="00656AF6">
      <w:pPr>
        <w:pStyle w:val="subsection"/>
        <w:spacing w:before="120" w:after="120"/>
        <w:ind w:left="0" w:firstLine="0"/>
        <w:rPr>
          <w:sz w:val="24"/>
          <w:szCs w:val="24"/>
        </w:rPr>
      </w:pPr>
      <w:r>
        <w:rPr>
          <w:sz w:val="24"/>
          <w:szCs w:val="24"/>
        </w:rPr>
        <w:t>Under s</w:t>
      </w:r>
      <w:r w:rsidR="005D787D" w:rsidRPr="005D787D">
        <w:rPr>
          <w:sz w:val="24"/>
          <w:szCs w:val="24"/>
        </w:rPr>
        <w:t>ubsection 76(4)(e)</w:t>
      </w:r>
      <w:r w:rsidR="005D787D">
        <w:rPr>
          <w:sz w:val="24"/>
          <w:szCs w:val="24"/>
        </w:rPr>
        <w:t>(</w:t>
      </w:r>
      <w:proofErr w:type="spellStart"/>
      <w:r w:rsidR="005D787D">
        <w:rPr>
          <w:sz w:val="24"/>
          <w:szCs w:val="24"/>
        </w:rPr>
        <w:t>i</w:t>
      </w:r>
      <w:proofErr w:type="spellEnd"/>
      <w:r w:rsidR="005D787D">
        <w:rPr>
          <w:sz w:val="24"/>
          <w:szCs w:val="24"/>
        </w:rPr>
        <w:t>)</w:t>
      </w:r>
      <w:r w:rsidR="005D787D" w:rsidRPr="005D787D">
        <w:rPr>
          <w:sz w:val="24"/>
          <w:szCs w:val="24"/>
        </w:rPr>
        <w:t xml:space="preserve"> of the CFI Act</w:t>
      </w:r>
      <w:r w:rsidR="005D787D">
        <w:rPr>
          <w:sz w:val="24"/>
          <w:szCs w:val="24"/>
        </w:rPr>
        <w:t xml:space="preserve">, offset reports are </w:t>
      </w:r>
      <w:r w:rsidR="00C11C4F">
        <w:rPr>
          <w:sz w:val="24"/>
          <w:szCs w:val="24"/>
        </w:rPr>
        <w:t xml:space="preserve">required to be submitted within 6 months </w:t>
      </w:r>
      <w:r w:rsidR="00EC2FE6">
        <w:rPr>
          <w:sz w:val="24"/>
          <w:szCs w:val="24"/>
        </w:rPr>
        <w:t xml:space="preserve">of the end of the reporting period, unless the applicable determination provides for a longer period. </w:t>
      </w:r>
    </w:p>
    <w:p w14:paraId="73DEBCB6" w14:textId="6A60B641" w:rsidR="002677B3" w:rsidRDefault="00EC2FE6" w:rsidP="00656AF6">
      <w:pPr>
        <w:pStyle w:val="subsection"/>
        <w:spacing w:before="120" w:after="120"/>
        <w:ind w:left="0" w:firstLine="0"/>
        <w:rPr>
          <w:sz w:val="24"/>
          <w:szCs w:val="24"/>
        </w:rPr>
      </w:pPr>
      <w:r>
        <w:rPr>
          <w:sz w:val="24"/>
          <w:szCs w:val="24"/>
        </w:rPr>
        <w:t xml:space="preserve">Section 50 </w:t>
      </w:r>
      <w:r w:rsidR="00D020D6">
        <w:rPr>
          <w:sz w:val="24"/>
          <w:szCs w:val="24"/>
        </w:rPr>
        <w:t xml:space="preserve">of the Determination </w:t>
      </w:r>
      <w:r w:rsidR="002677B3">
        <w:rPr>
          <w:sz w:val="24"/>
          <w:szCs w:val="24"/>
        </w:rPr>
        <w:t xml:space="preserve">allows for </w:t>
      </w:r>
      <w:r w:rsidR="002677B3" w:rsidRPr="00656AF6">
        <w:rPr>
          <w:sz w:val="24"/>
          <w:szCs w:val="24"/>
        </w:rPr>
        <w:t>offsets report</w:t>
      </w:r>
      <w:r w:rsidR="002677B3">
        <w:rPr>
          <w:sz w:val="24"/>
          <w:szCs w:val="24"/>
        </w:rPr>
        <w:t xml:space="preserve">s for INFM projects to </w:t>
      </w:r>
      <w:r w:rsidR="002677B3" w:rsidRPr="00656AF6">
        <w:rPr>
          <w:sz w:val="24"/>
          <w:szCs w:val="24"/>
        </w:rPr>
        <w:t>be given to the Regulator within 48 months after the end of the reporting period</w:t>
      </w:r>
      <w:r w:rsidR="002677B3">
        <w:rPr>
          <w:sz w:val="24"/>
          <w:szCs w:val="24"/>
        </w:rPr>
        <w:t>.</w:t>
      </w:r>
    </w:p>
    <w:p w14:paraId="504ED505" w14:textId="3EF08D72" w:rsidR="00AA1730" w:rsidRDefault="00656AF6" w:rsidP="00656AF6">
      <w:pPr>
        <w:pStyle w:val="subsection"/>
        <w:spacing w:before="120" w:after="120"/>
        <w:ind w:left="0" w:firstLine="0"/>
        <w:rPr>
          <w:sz w:val="24"/>
          <w:szCs w:val="24"/>
        </w:rPr>
      </w:pPr>
      <w:r w:rsidRPr="00656AF6">
        <w:rPr>
          <w:sz w:val="24"/>
          <w:szCs w:val="24"/>
        </w:rPr>
        <w:t xml:space="preserve">The extended time to submit offsets reports is needed to ensure data on log production from public and private native forests </w:t>
      </w:r>
      <w:r w:rsidR="009E5115">
        <w:rPr>
          <w:sz w:val="24"/>
          <w:szCs w:val="24"/>
        </w:rPr>
        <w:t>are</w:t>
      </w:r>
      <w:r w:rsidRPr="00656AF6">
        <w:rPr>
          <w:sz w:val="24"/>
          <w:szCs w:val="24"/>
        </w:rPr>
        <w:t xml:space="preserve"> available</w:t>
      </w:r>
      <w:r w:rsidR="002677B3">
        <w:rPr>
          <w:sz w:val="24"/>
          <w:szCs w:val="24"/>
        </w:rPr>
        <w:t xml:space="preserve">. These data are required for the </w:t>
      </w:r>
      <w:r w:rsidRPr="00656AF6">
        <w:rPr>
          <w:sz w:val="24"/>
          <w:szCs w:val="24"/>
        </w:rPr>
        <w:t>calculation of the direct leakage deduction under section 42 and private native forests leakage deduction under section 43.</w:t>
      </w:r>
    </w:p>
    <w:p w14:paraId="3277AD4C" w14:textId="0F79F0AD" w:rsidR="00BD6CAF" w:rsidRDefault="00BD6CAF" w:rsidP="00BD6CAF">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6</w:t>
      </w:r>
      <w:r w:rsidRPr="00A656D9">
        <w:rPr>
          <w:rFonts w:ascii="Times New Roman" w:hAnsi="Times New Roman" w:cs="Times New Roman"/>
          <w:b/>
          <w:bCs/>
          <w:sz w:val="24"/>
          <w:szCs w:val="24"/>
        </w:rPr>
        <w:t>.</w:t>
      </w:r>
      <w:r>
        <w:rPr>
          <w:rFonts w:ascii="Times New Roman" w:hAnsi="Times New Roman" w:cs="Times New Roman"/>
          <w:b/>
          <w:bCs/>
          <w:sz w:val="24"/>
          <w:szCs w:val="24"/>
        </w:rPr>
        <w:t>2</w:t>
      </w:r>
      <w:r w:rsidRPr="00A656D9">
        <w:rPr>
          <w:rFonts w:ascii="Times New Roman" w:hAnsi="Times New Roman" w:cs="Times New Roman"/>
          <w:b/>
          <w:bCs/>
          <w:sz w:val="24"/>
          <w:szCs w:val="24"/>
        </w:rPr>
        <w:t>—</w:t>
      </w:r>
      <w:r w:rsidR="00F2324B" w:rsidRPr="00F2324B">
        <w:rPr>
          <w:rFonts w:ascii="Times New Roman" w:hAnsi="Times New Roman" w:cs="Times New Roman"/>
          <w:b/>
          <w:bCs/>
          <w:sz w:val="24"/>
          <w:szCs w:val="24"/>
        </w:rPr>
        <w:t>Record</w:t>
      </w:r>
      <w:r w:rsidR="00083E46">
        <w:rPr>
          <w:rFonts w:ascii="Times New Roman" w:hAnsi="Times New Roman" w:cs="Times New Roman"/>
          <w:b/>
          <w:bCs/>
          <w:sz w:val="24"/>
          <w:szCs w:val="24"/>
        </w:rPr>
        <w:t>-</w:t>
      </w:r>
      <w:r w:rsidR="00F2324B" w:rsidRPr="00F2324B">
        <w:rPr>
          <w:rFonts w:ascii="Times New Roman" w:hAnsi="Times New Roman" w:cs="Times New Roman"/>
          <w:b/>
          <w:bCs/>
          <w:sz w:val="24"/>
          <w:szCs w:val="24"/>
        </w:rPr>
        <w:t>keeping requirements</w:t>
      </w:r>
    </w:p>
    <w:p w14:paraId="59559BA3" w14:textId="4B1D60D0" w:rsidR="00DD4E7E" w:rsidRPr="00310D38" w:rsidRDefault="00895D22" w:rsidP="00DD4E7E">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DD4E7E">
        <w:rPr>
          <w:rFonts w:ascii="Times New Roman" w:hAnsi="Times New Roman" w:cs="Times New Roman"/>
          <w:sz w:val="24"/>
          <w:szCs w:val="24"/>
          <w:u w:val="single"/>
        </w:rPr>
        <w:t>5</w:t>
      </w:r>
      <w:r w:rsidR="009A5C9D">
        <w:rPr>
          <w:rFonts w:ascii="Times New Roman" w:hAnsi="Times New Roman" w:cs="Times New Roman"/>
          <w:sz w:val="24"/>
          <w:szCs w:val="24"/>
          <w:u w:val="single"/>
        </w:rPr>
        <w:t>1</w:t>
      </w:r>
      <w:r w:rsidR="00DD4E7E" w:rsidRPr="00310D38">
        <w:rPr>
          <w:rFonts w:ascii="Times New Roman" w:hAnsi="Times New Roman" w:cs="Times New Roman"/>
          <w:sz w:val="24"/>
          <w:szCs w:val="24"/>
          <w:u w:val="single"/>
        </w:rPr>
        <w:t xml:space="preserve"> – </w:t>
      </w:r>
      <w:r w:rsidR="00AC6CB7" w:rsidRPr="00AC6CB7">
        <w:rPr>
          <w:rFonts w:ascii="Times New Roman" w:hAnsi="Times New Roman" w:cs="Times New Roman"/>
          <w:sz w:val="24"/>
          <w:szCs w:val="24"/>
          <w:u w:val="single"/>
        </w:rPr>
        <w:t>Operation of this Division</w:t>
      </w:r>
    </w:p>
    <w:p w14:paraId="7DA1FC08" w14:textId="0C3FA3B0" w:rsidR="00AC6CB7" w:rsidRDefault="00AC6CB7" w:rsidP="00AC6CB7">
      <w:pPr>
        <w:pStyle w:val="subsection"/>
        <w:spacing w:before="120" w:after="120"/>
        <w:ind w:left="0" w:firstLine="0"/>
        <w:rPr>
          <w:sz w:val="24"/>
          <w:szCs w:val="24"/>
        </w:rPr>
      </w:pPr>
      <w:r>
        <w:rPr>
          <w:sz w:val="24"/>
          <w:szCs w:val="24"/>
        </w:rPr>
        <w:t>Section 5</w:t>
      </w:r>
      <w:r w:rsidR="00694D6F">
        <w:rPr>
          <w:sz w:val="24"/>
          <w:szCs w:val="24"/>
        </w:rPr>
        <w:t>1</w:t>
      </w:r>
      <w:r>
        <w:rPr>
          <w:sz w:val="24"/>
          <w:szCs w:val="24"/>
        </w:rPr>
        <w:t xml:space="preserve"> specifies that, for the purposes of </w:t>
      </w:r>
      <w:r w:rsidR="007B2057">
        <w:rPr>
          <w:sz w:val="24"/>
          <w:szCs w:val="24"/>
        </w:rPr>
        <w:t>subsection</w:t>
      </w:r>
      <w:r w:rsidRPr="00614F77">
        <w:rPr>
          <w:sz w:val="24"/>
          <w:szCs w:val="24"/>
        </w:rPr>
        <w:t xml:space="preserve"> 106(3)(</w:t>
      </w:r>
      <w:r w:rsidR="00DD01C7">
        <w:rPr>
          <w:sz w:val="24"/>
          <w:szCs w:val="24"/>
        </w:rPr>
        <w:t>c</w:t>
      </w:r>
      <w:r w:rsidRPr="00614F77">
        <w:rPr>
          <w:sz w:val="24"/>
          <w:szCs w:val="24"/>
        </w:rPr>
        <w:t xml:space="preserve">) of the </w:t>
      </w:r>
      <w:r>
        <w:rPr>
          <w:sz w:val="24"/>
          <w:szCs w:val="24"/>
        </w:rPr>
        <w:t xml:space="preserve">CFI </w:t>
      </w:r>
      <w:r w:rsidRPr="00614F77">
        <w:rPr>
          <w:sz w:val="24"/>
          <w:szCs w:val="24"/>
        </w:rPr>
        <w:t xml:space="preserve">Act, Division </w:t>
      </w:r>
      <w:r>
        <w:rPr>
          <w:sz w:val="24"/>
          <w:szCs w:val="24"/>
        </w:rPr>
        <w:t>6.</w:t>
      </w:r>
      <w:r w:rsidR="00DD01C7">
        <w:rPr>
          <w:sz w:val="24"/>
          <w:szCs w:val="24"/>
        </w:rPr>
        <w:t>2</w:t>
      </w:r>
      <w:r>
        <w:rPr>
          <w:sz w:val="24"/>
          <w:szCs w:val="24"/>
        </w:rPr>
        <w:t xml:space="preserve"> </w:t>
      </w:r>
      <w:r w:rsidRPr="00614F77">
        <w:rPr>
          <w:sz w:val="24"/>
          <w:szCs w:val="24"/>
        </w:rPr>
        <w:t xml:space="preserve">sets out </w:t>
      </w:r>
      <w:r w:rsidR="00DD01C7">
        <w:rPr>
          <w:sz w:val="24"/>
          <w:szCs w:val="24"/>
        </w:rPr>
        <w:t>record</w:t>
      </w:r>
      <w:r w:rsidR="00083E46">
        <w:rPr>
          <w:sz w:val="24"/>
          <w:szCs w:val="24"/>
        </w:rPr>
        <w:t>-</w:t>
      </w:r>
      <w:r w:rsidR="00DD01C7">
        <w:rPr>
          <w:sz w:val="24"/>
          <w:szCs w:val="24"/>
        </w:rPr>
        <w:t>keeping</w:t>
      </w:r>
      <w:r w:rsidRPr="00614F77">
        <w:rPr>
          <w:sz w:val="24"/>
          <w:szCs w:val="24"/>
        </w:rPr>
        <w:t xml:space="preserve"> requirements for </w:t>
      </w:r>
      <w:r>
        <w:rPr>
          <w:sz w:val="24"/>
          <w:szCs w:val="24"/>
        </w:rPr>
        <w:t xml:space="preserve">INFM projects. </w:t>
      </w:r>
    </w:p>
    <w:p w14:paraId="7EC69952" w14:textId="7F7067A3" w:rsidR="006C56D7" w:rsidRPr="00310D38" w:rsidRDefault="006C56D7" w:rsidP="006C56D7">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Section 52</w:t>
      </w:r>
      <w:r w:rsidRPr="00310D38">
        <w:rPr>
          <w:rFonts w:ascii="Times New Roman" w:hAnsi="Times New Roman" w:cs="Times New Roman"/>
          <w:sz w:val="24"/>
          <w:szCs w:val="24"/>
          <w:u w:val="single"/>
        </w:rPr>
        <w:t xml:space="preserve"> – </w:t>
      </w:r>
      <w:r w:rsidR="00E2039C" w:rsidRPr="00E2039C">
        <w:rPr>
          <w:rFonts w:ascii="Times New Roman" w:hAnsi="Times New Roman" w:cs="Times New Roman"/>
          <w:sz w:val="24"/>
          <w:szCs w:val="24"/>
          <w:u w:val="single"/>
        </w:rPr>
        <w:t>Records relating to abatement calculations</w:t>
      </w:r>
    </w:p>
    <w:p w14:paraId="1CFE8F5F" w14:textId="31CBA0E0" w:rsidR="006C56D7" w:rsidRDefault="006C56D7" w:rsidP="00AC6CB7">
      <w:pPr>
        <w:pStyle w:val="subsection"/>
        <w:spacing w:before="120" w:after="120"/>
        <w:ind w:left="0" w:firstLine="0"/>
        <w:rPr>
          <w:sz w:val="24"/>
          <w:szCs w:val="24"/>
        </w:rPr>
      </w:pPr>
      <w:r>
        <w:rPr>
          <w:sz w:val="24"/>
          <w:szCs w:val="24"/>
        </w:rPr>
        <w:t xml:space="preserve">Section 52 requires the project proponent to </w:t>
      </w:r>
      <w:r w:rsidR="003E5436" w:rsidRPr="003E5436">
        <w:rPr>
          <w:sz w:val="24"/>
          <w:szCs w:val="24"/>
        </w:rPr>
        <w:t xml:space="preserve">make and keep records of all methods, data, </w:t>
      </w:r>
      <w:proofErr w:type="spellStart"/>
      <w:r w:rsidR="003E5436" w:rsidRPr="003E5436">
        <w:rPr>
          <w:sz w:val="24"/>
          <w:szCs w:val="24"/>
        </w:rPr>
        <w:t>FullCAM</w:t>
      </w:r>
      <w:proofErr w:type="spellEnd"/>
      <w:r w:rsidR="003E5436" w:rsidRPr="003E5436">
        <w:rPr>
          <w:sz w:val="24"/>
          <w:szCs w:val="24"/>
        </w:rPr>
        <w:t xml:space="preserve"> model plots and </w:t>
      </w:r>
      <w:proofErr w:type="spellStart"/>
      <w:r w:rsidR="003E5436" w:rsidRPr="003E5436">
        <w:rPr>
          <w:sz w:val="24"/>
          <w:szCs w:val="24"/>
        </w:rPr>
        <w:t>FullCAM</w:t>
      </w:r>
      <w:proofErr w:type="spellEnd"/>
      <w:r w:rsidR="003E5436" w:rsidRPr="003E5436">
        <w:rPr>
          <w:sz w:val="24"/>
          <w:szCs w:val="24"/>
        </w:rPr>
        <w:t xml:space="preserve"> forest estate models used to calculate the carbon dioxide equivalent net abatement amount for each reporting period, including the information required to be published under subsections 27(7) and 28(7) and information concerning the calculation and application of the hurdle requirement under section 45</w:t>
      </w:r>
      <w:r w:rsidR="003E5436">
        <w:rPr>
          <w:sz w:val="24"/>
          <w:szCs w:val="24"/>
        </w:rPr>
        <w:t>.</w:t>
      </w:r>
    </w:p>
    <w:p w14:paraId="1743D71A" w14:textId="2CAC5077" w:rsidR="00573C24" w:rsidRPr="00310D38" w:rsidRDefault="00895D22" w:rsidP="00573C24">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573C24">
        <w:rPr>
          <w:rFonts w:ascii="Times New Roman" w:hAnsi="Times New Roman" w:cs="Times New Roman"/>
          <w:sz w:val="24"/>
          <w:szCs w:val="24"/>
          <w:u w:val="single"/>
        </w:rPr>
        <w:t>5</w:t>
      </w:r>
      <w:r w:rsidR="003E5436">
        <w:rPr>
          <w:rFonts w:ascii="Times New Roman" w:hAnsi="Times New Roman" w:cs="Times New Roman"/>
          <w:sz w:val="24"/>
          <w:szCs w:val="24"/>
          <w:u w:val="single"/>
        </w:rPr>
        <w:t>3</w:t>
      </w:r>
      <w:r w:rsidR="00573C24" w:rsidRPr="00310D38">
        <w:rPr>
          <w:rFonts w:ascii="Times New Roman" w:hAnsi="Times New Roman" w:cs="Times New Roman"/>
          <w:sz w:val="24"/>
          <w:szCs w:val="24"/>
          <w:u w:val="single"/>
        </w:rPr>
        <w:t xml:space="preserve"> – </w:t>
      </w:r>
      <w:r w:rsidR="00F56F78" w:rsidRPr="00F56F78">
        <w:rPr>
          <w:rFonts w:ascii="Times New Roman" w:hAnsi="Times New Roman" w:cs="Times New Roman"/>
          <w:sz w:val="24"/>
          <w:szCs w:val="24"/>
          <w:u w:val="single"/>
        </w:rPr>
        <w:t>Records relating to timber harvesting</w:t>
      </w:r>
      <w:r w:rsidR="002D1825">
        <w:rPr>
          <w:rFonts w:ascii="Times New Roman" w:hAnsi="Times New Roman" w:cs="Times New Roman"/>
          <w:sz w:val="24"/>
          <w:szCs w:val="24"/>
          <w:u w:val="single"/>
        </w:rPr>
        <w:t xml:space="preserve"> </w:t>
      </w:r>
      <w:r w:rsidR="00333551" w:rsidRPr="00333551">
        <w:rPr>
          <w:rFonts w:ascii="Times New Roman" w:hAnsi="Times New Roman" w:cs="Times New Roman"/>
          <w:sz w:val="24"/>
          <w:szCs w:val="24"/>
          <w:u w:val="single"/>
        </w:rPr>
        <w:t>and clearing to facilitate timber harvesting</w:t>
      </w:r>
    </w:p>
    <w:p w14:paraId="6BCBCE34" w14:textId="7A9E88D5" w:rsidR="00614F77" w:rsidRDefault="00D1307C" w:rsidP="00AC2376">
      <w:pPr>
        <w:pStyle w:val="subsection"/>
        <w:spacing w:before="120" w:after="120"/>
        <w:ind w:left="0" w:firstLine="0"/>
        <w:rPr>
          <w:sz w:val="24"/>
          <w:szCs w:val="24"/>
        </w:rPr>
      </w:pPr>
      <w:r>
        <w:rPr>
          <w:sz w:val="24"/>
          <w:szCs w:val="24"/>
        </w:rPr>
        <w:t>S</w:t>
      </w:r>
      <w:r w:rsidR="00847FC4">
        <w:rPr>
          <w:sz w:val="24"/>
          <w:szCs w:val="24"/>
        </w:rPr>
        <w:t>ection 5</w:t>
      </w:r>
      <w:r w:rsidR="003E5436">
        <w:rPr>
          <w:sz w:val="24"/>
          <w:szCs w:val="24"/>
        </w:rPr>
        <w:t>3</w:t>
      </w:r>
      <w:r w:rsidR="00847FC4">
        <w:rPr>
          <w:sz w:val="24"/>
          <w:szCs w:val="24"/>
        </w:rPr>
        <w:t xml:space="preserve"> requires the project proponent to </w:t>
      </w:r>
      <w:r w:rsidR="00847FC4" w:rsidRPr="00847FC4">
        <w:rPr>
          <w:sz w:val="24"/>
          <w:szCs w:val="24"/>
        </w:rPr>
        <w:t xml:space="preserve">make and keep records that evidence </w:t>
      </w:r>
      <w:r w:rsidR="00A42D28">
        <w:rPr>
          <w:sz w:val="24"/>
          <w:szCs w:val="24"/>
        </w:rPr>
        <w:t xml:space="preserve">the </w:t>
      </w:r>
      <w:r w:rsidR="00AC46A7" w:rsidRPr="00AC46A7">
        <w:rPr>
          <w:sz w:val="24"/>
          <w:szCs w:val="24"/>
        </w:rPr>
        <w:t>timber harvesting and areas cleared to facilitate timber harvesting</w:t>
      </w:r>
      <w:r w:rsidR="00A42D28">
        <w:rPr>
          <w:sz w:val="24"/>
          <w:szCs w:val="24"/>
        </w:rPr>
        <w:t xml:space="preserve"> in the project area</w:t>
      </w:r>
      <w:r w:rsidR="00270839">
        <w:rPr>
          <w:sz w:val="24"/>
          <w:szCs w:val="24"/>
        </w:rPr>
        <w:t xml:space="preserve"> in the reporting period</w:t>
      </w:r>
      <w:r w:rsidR="00AC46A7" w:rsidRPr="00AC46A7">
        <w:rPr>
          <w:sz w:val="24"/>
          <w:szCs w:val="24"/>
        </w:rPr>
        <w:t>, including</w:t>
      </w:r>
      <w:r w:rsidR="00E35DD1">
        <w:rPr>
          <w:sz w:val="24"/>
          <w:szCs w:val="24"/>
        </w:rPr>
        <w:t xml:space="preserve"> on</w:t>
      </w:r>
      <w:r w:rsidR="00AC46A7" w:rsidRPr="00AC46A7">
        <w:rPr>
          <w:sz w:val="24"/>
          <w:szCs w:val="24"/>
        </w:rPr>
        <w:t xml:space="preserve"> </w:t>
      </w:r>
      <w:r w:rsidR="00AC46A7">
        <w:rPr>
          <w:sz w:val="24"/>
          <w:szCs w:val="24"/>
        </w:rPr>
        <w:t>the</w:t>
      </w:r>
      <w:r w:rsidR="00AC46A7" w:rsidRPr="00AC46A7">
        <w:rPr>
          <w:sz w:val="24"/>
          <w:szCs w:val="24"/>
        </w:rPr>
        <w:t xml:space="preserve"> extent of harvesting and clearing and the harvesting practices that were used.</w:t>
      </w:r>
    </w:p>
    <w:p w14:paraId="0C704F9A" w14:textId="6DBE924E" w:rsidR="00040A90" w:rsidRPr="00310D38" w:rsidRDefault="00895D22" w:rsidP="00040A90">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040A90">
        <w:rPr>
          <w:rFonts w:ascii="Times New Roman" w:hAnsi="Times New Roman" w:cs="Times New Roman"/>
          <w:sz w:val="24"/>
          <w:szCs w:val="24"/>
          <w:u w:val="single"/>
        </w:rPr>
        <w:t>5</w:t>
      </w:r>
      <w:r w:rsidR="003E5436">
        <w:rPr>
          <w:rFonts w:ascii="Times New Roman" w:hAnsi="Times New Roman" w:cs="Times New Roman"/>
          <w:sz w:val="24"/>
          <w:szCs w:val="24"/>
          <w:u w:val="single"/>
        </w:rPr>
        <w:t>4</w:t>
      </w:r>
      <w:r w:rsidR="00040A90" w:rsidRPr="00310D38">
        <w:rPr>
          <w:rFonts w:ascii="Times New Roman" w:hAnsi="Times New Roman" w:cs="Times New Roman"/>
          <w:sz w:val="24"/>
          <w:szCs w:val="24"/>
          <w:u w:val="single"/>
        </w:rPr>
        <w:t xml:space="preserve"> – </w:t>
      </w:r>
      <w:r w:rsidR="00D25779" w:rsidRPr="00D25779">
        <w:rPr>
          <w:rFonts w:ascii="Times New Roman" w:hAnsi="Times New Roman" w:cs="Times New Roman"/>
          <w:sz w:val="24"/>
          <w:szCs w:val="24"/>
          <w:u w:val="single"/>
        </w:rPr>
        <w:t xml:space="preserve">Records relating to monitoring of </w:t>
      </w:r>
      <w:r w:rsidR="003B6C95" w:rsidRPr="003B6C95">
        <w:rPr>
          <w:rFonts w:ascii="Times New Roman" w:hAnsi="Times New Roman" w:cs="Times New Roman"/>
          <w:sz w:val="24"/>
          <w:szCs w:val="24"/>
          <w:u w:val="single"/>
        </w:rPr>
        <w:t>harvesting and clearing events</w:t>
      </w:r>
    </w:p>
    <w:p w14:paraId="23F0A4A3" w14:textId="6E66B343" w:rsidR="00AB3AE3" w:rsidRDefault="005575ED" w:rsidP="007C0538">
      <w:pPr>
        <w:pStyle w:val="subsection"/>
        <w:spacing w:before="120" w:after="120"/>
        <w:ind w:left="0" w:firstLine="0"/>
        <w:rPr>
          <w:sz w:val="24"/>
          <w:szCs w:val="24"/>
        </w:rPr>
      </w:pPr>
      <w:r>
        <w:rPr>
          <w:sz w:val="24"/>
          <w:szCs w:val="24"/>
        </w:rPr>
        <w:t>Section 5</w:t>
      </w:r>
      <w:r w:rsidR="00C14BAF">
        <w:rPr>
          <w:sz w:val="24"/>
          <w:szCs w:val="24"/>
        </w:rPr>
        <w:t>4</w:t>
      </w:r>
      <w:r>
        <w:rPr>
          <w:sz w:val="24"/>
          <w:szCs w:val="24"/>
        </w:rPr>
        <w:t xml:space="preserve"> requires the project proponent to </w:t>
      </w:r>
      <w:r w:rsidRPr="005575ED">
        <w:rPr>
          <w:sz w:val="24"/>
          <w:szCs w:val="24"/>
        </w:rPr>
        <w:t>make and keep records that</w:t>
      </w:r>
      <w:r w:rsidR="007C0538">
        <w:rPr>
          <w:sz w:val="24"/>
          <w:szCs w:val="24"/>
        </w:rPr>
        <w:t xml:space="preserve"> </w:t>
      </w:r>
      <w:r w:rsidRPr="005575ED">
        <w:rPr>
          <w:sz w:val="24"/>
          <w:szCs w:val="24"/>
        </w:rPr>
        <w:t xml:space="preserve">result from the monitoring of </w:t>
      </w:r>
      <w:r w:rsidR="007C0538" w:rsidRPr="007C0538">
        <w:rPr>
          <w:sz w:val="24"/>
          <w:szCs w:val="24"/>
        </w:rPr>
        <w:t xml:space="preserve">harvesting and clearing </w:t>
      </w:r>
      <w:r w:rsidR="007C0538">
        <w:rPr>
          <w:sz w:val="24"/>
          <w:szCs w:val="24"/>
        </w:rPr>
        <w:t>under section 5</w:t>
      </w:r>
      <w:r w:rsidR="00C14BAF">
        <w:rPr>
          <w:sz w:val="24"/>
          <w:szCs w:val="24"/>
        </w:rPr>
        <w:t>8</w:t>
      </w:r>
      <w:r w:rsidR="007C0538">
        <w:rPr>
          <w:sz w:val="24"/>
          <w:szCs w:val="24"/>
        </w:rPr>
        <w:t xml:space="preserve"> </w:t>
      </w:r>
      <w:r w:rsidRPr="005575ED">
        <w:rPr>
          <w:sz w:val="24"/>
          <w:szCs w:val="24"/>
        </w:rPr>
        <w:t>and evidence the actions that were undertaken in the project area</w:t>
      </w:r>
      <w:r w:rsidR="007C0538">
        <w:rPr>
          <w:sz w:val="24"/>
          <w:szCs w:val="24"/>
        </w:rPr>
        <w:t>.</w:t>
      </w:r>
    </w:p>
    <w:p w14:paraId="240D1FD0" w14:textId="6A89A177" w:rsidR="0056308A" w:rsidRPr="00310D38" w:rsidRDefault="0056308A" w:rsidP="0056308A">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Section 5</w:t>
      </w:r>
      <w:r w:rsidR="00C14BAF">
        <w:rPr>
          <w:rFonts w:ascii="Times New Roman" w:hAnsi="Times New Roman" w:cs="Times New Roman"/>
          <w:sz w:val="24"/>
          <w:szCs w:val="24"/>
          <w:u w:val="single"/>
        </w:rPr>
        <w:t>5</w:t>
      </w:r>
      <w:r w:rsidRPr="00310D38">
        <w:rPr>
          <w:rFonts w:ascii="Times New Roman" w:hAnsi="Times New Roman" w:cs="Times New Roman"/>
          <w:sz w:val="24"/>
          <w:szCs w:val="24"/>
          <w:u w:val="single"/>
        </w:rPr>
        <w:t xml:space="preserve"> – </w:t>
      </w:r>
      <w:r w:rsidR="00997759" w:rsidRPr="00997759">
        <w:rPr>
          <w:rFonts w:ascii="Times New Roman" w:hAnsi="Times New Roman" w:cs="Times New Roman"/>
          <w:sz w:val="24"/>
          <w:szCs w:val="24"/>
          <w:u w:val="single"/>
        </w:rPr>
        <w:t>Mapping and imagery of harvested and cleared areas</w:t>
      </w:r>
    </w:p>
    <w:p w14:paraId="0E83267D" w14:textId="1CCECD22" w:rsidR="001F436D" w:rsidRPr="001F436D" w:rsidRDefault="00AB3AE3" w:rsidP="001F436D">
      <w:pPr>
        <w:pStyle w:val="subsection"/>
        <w:spacing w:before="120" w:after="120"/>
        <w:ind w:left="0" w:firstLine="0"/>
        <w:rPr>
          <w:sz w:val="24"/>
          <w:szCs w:val="24"/>
        </w:rPr>
      </w:pPr>
      <w:r w:rsidRPr="001F436D">
        <w:rPr>
          <w:sz w:val="24"/>
          <w:szCs w:val="24"/>
        </w:rPr>
        <w:t>Section 5</w:t>
      </w:r>
      <w:r w:rsidR="00C14BAF">
        <w:rPr>
          <w:sz w:val="24"/>
          <w:szCs w:val="24"/>
        </w:rPr>
        <w:t>5</w:t>
      </w:r>
      <w:r w:rsidR="00997759" w:rsidRPr="001F436D">
        <w:rPr>
          <w:sz w:val="24"/>
          <w:szCs w:val="24"/>
        </w:rPr>
        <w:t xml:space="preserve"> </w:t>
      </w:r>
      <w:r w:rsidR="008B5DAC" w:rsidRPr="001F436D">
        <w:rPr>
          <w:sz w:val="24"/>
          <w:szCs w:val="24"/>
        </w:rPr>
        <w:t xml:space="preserve">specifies that the records that are made and kept for the purposes of </w:t>
      </w:r>
      <w:r w:rsidR="006169A7">
        <w:rPr>
          <w:sz w:val="24"/>
          <w:szCs w:val="24"/>
        </w:rPr>
        <w:t>Division 6.2</w:t>
      </w:r>
      <w:r w:rsidR="008B5DAC" w:rsidRPr="001F436D">
        <w:rPr>
          <w:sz w:val="24"/>
          <w:szCs w:val="24"/>
        </w:rPr>
        <w:t xml:space="preserve"> must include: </w:t>
      </w:r>
    </w:p>
    <w:p w14:paraId="55342BE8" w14:textId="77777777" w:rsidR="001F436D" w:rsidRPr="001F436D" w:rsidRDefault="001F436D" w:rsidP="009D5A62">
      <w:pPr>
        <w:pStyle w:val="subsection"/>
        <w:numPr>
          <w:ilvl w:val="0"/>
          <w:numId w:val="85"/>
        </w:numPr>
        <w:spacing w:before="120" w:after="120"/>
        <w:rPr>
          <w:sz w:val="24"/>
          <w:szCs w:val="24"/>
        </w:rPr>
      </w:pPr>
      <w:r w:rsidRPr="001F436D">
        <w:rPr>
          <w:sz w:val="24"/>
          <w:szCs w:val="24"/>
        </w:rPr>
        <w:t>maps of the areas harvested and cleared that are prepared in accordance with the Mapping Guidelines; and</w:t>
      </w:r>
    </w:p>
    <w:p w14:paraId="16BC6895" w14:textId="2DF47B79" w:rsidR="00EF4475" w:rsidRDefault="001F436D" w:rsidP="00EF4475">
      <w:pPr>
        <w:pStyle w:val="subsection"/>
        <w:numPr>
          <w:ilvl w:val="0"/>
          <w:numId w:val="85"/>
        </w:numPr>
        <w:spacing w:before="120" w:after="120"/>
        <w:rPr>
          <w:sz w:val="24"/>
          <w:szCs w:val="24"/>
        </w:rPr>
      </w:pPr>
      <w:r w:rsidRPr="001F436D">
        <w:rPr>
          <w:sz w:val="24"/>
          <w:szCs w:val="24"/>
        </w:rPr>
        <w:t>date-stamped and geo-referenced remotely sensed imagery of the harvested and cleared areas.</w:t>
      </w:r>
    </w:p>
    <w:p w14:paraId="3ACC44F9" w14:textId="5357EC5E" w:rsidR="00EF4475" w:rsidRPr="00310D38" w:rsidRDefault="00EF4475" w:rsidP="00EF4475">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Section 5</w:t>
      </w:r>
      <w:r w:rsidR="006169A7">
        <w:rPr>
          <w:rFonts w:ascii="Times New Roman" w:hAnsi="Times New Roman" w:cs="Times New Roman"/>
          <w:sz w:val="24"/>
          <w:szCs w:val="24"/>
          <w:u w:val="single"/>
        </w:rPr>
        <w:t>6</w:t>
      </w:r>
      <w:r w:rsidRPr="00310D38">
        <w:rPr>
          <w:rFonts w:ascii="Times New Roman" w:hAnsi="Times New Roman" w:cs="Times New Roman"/>
          <w:sz w:val="24"/>
          <w:szCs w:val="24"/>
          <w:u w:val="single"/>
        </w:rPr>
        <w:t xml:space="preserve"> – </w:t>
      </w:r>
      <w:r w:rsidR="00077C72" w:rsidRPr="00077C72">
        <w:rPr>
          <w:rFonts w:ascii="Times New Roman" w:hAnsi="Times New Roman" w:cs="Times New Roman"/>
          <w:sz w:val="24"/>
          <w:szCs w:val="24"/>
          <w:u w:val="single"/>
        </w:rPr>
        <w:t>Records relating to aggregate negative abatement account</w:t>
      </w:r>
    </w:p>
    <w:p w14:paraId="7F4B6FD6" w14:textId="10AD8CFB" w:rsidR="00EF4475" w:rsidRPr="00EF4475" w:rsidRDefault="003C5632" w:rsidP="003C5632">
      <w:pPr>
        <w:pStyle w:val="subsection"/>
        <w:spacing w:before="120" w:after="120"/>
        <w:ind w:left="0" w:firstLine="0"/>
        <w:rPr>
          <w:sz w:val="24"/>
          <w:szCs w:val="24"/>
        </w:rPr>
      </w:pPr>
      <w:r>
        <w:rPr>
          <w:sz w:val="24"/>
          <w:szCs w:val="24"/>
        </w:rPr>
        <w:lastRenderedPageBreak/>
        <w:t>Section 5</w:t>
      </w:r>
      <w:r w:rsidR="006169A7">
        <w:rPr>
          <w:sz w:val="24"/>
          <w:szCs w:val="24"/>
        </w:rPr>
        <w:t>6</w:t>
      </w:r>
      <w:r>
        <w:rPr>
          <w:sz w:val="24"/>
          <w:szCs w:val="24"/>
        </w:rPr>
        <w:t xml:space="preserve"> requires t</w:t>
      </w:r>
      <w:r w:rsidRPr="003C5632">
        <w:rPr>
          <w:sz w:val="24"/>
          <w:szCs w:val="24"/>
        </w:rPr>
        <w:t xml:space="preserve">he project proponent must make and keep records of the aggregate negative abatement account that is required to be established </w:t>
      </w:r>
      <w:r>
        <w:rPr>
          <w:sz w:val="24"/>
          <w:szCs w:val="24"/>
        </w:rPr>
        <w:t xml:space="preserve">and maintained </w:t>
      </w:r>
      <w:r w:rsidRPr="003C5632">
        <w:rPr>
          <w:sz w:val="24"/>
          <w:szCs w:val="24"/>
        </w:rPr>
        <w:t>under section 4</w:t>
      </w:r>
      <w:r w:rsidR="007228CC">
        <w:rPr>
          <w:sz w:val="24"/>
          <w:szCs w:val="24"/>
        </w:rPr>
        <w:t>4</w:t>
      </w:r>
      <w:r w:rsidRPr="003C5632">
        <w:rPr>
          <w:sz w:val="24"/>
          <w:szCs w:val="24"/>
        </w:rPr>
        <w:t>, including all additions and removals from the account</w:t>
      </w:r>
      <w:r>
        <w:rPr>
          <w:sz w:val="24"/>
          <w:szCs w:val="24"/>
        </w:rPr>
        <w:t>.</w:t>
      </w:r>
    </w:p>
    <w:p w14:paraId="6E040AE9" w14:textId="2840C20D" w:rsidR="00067B9C" w:rsidRPr="00067B9C" w:rsidRDefault="00067B9C" w:rsidP="00067B9C">
      <w:pPr>
        <w:tabs>
          <w:tab w:val="left" w:pos="3120"/>
        </w:tabs>
        <w:spacing w:before="120" w:after="120" w:line="240" w:lineRule="auto"/>
        <w:outlineLvl w:val="1"/>
        <w:rPr>
          <w:rFonts w:ascii="Times New Roman" w:hAnsi="Times New Roman" w:cs="Times New Roman"/>
          <w:b/>
          <w:bCs/>
          <w:sz w:val="24"/>
          <w:szCs w:val="24"/>
        </w:rPr>
      </w:pPr>
      <w:r w:rsidRPr="00A656D9">
        <w:rPr>
          <w:rFonts w:ascii="Times New Roman" w:hAnsi="Times New Roman" w:cs="Times New Roman"/>
          <w:b/>
          <w:bCs/>
          <w:sz w:val="24"/>
          <w:szCs w:val="24"/>
        </w:rPr>
        <w:t xml:space="preserve">Division </w:t>
      </w:r>
      <w:r>
        <w:rPr>
          <w:rFonts w:ascii="Times New Roman" w:hAnsi="Times New Roman" w:cs="Times New Roman"/>
          <w:b/>
          <w:bCs/>
          <w:sz w:val="24"/>
          <w:szCs w:val="24"/>
        </w:rPr>
        <w:t>6</w:t>
      </w:r>
      <w:r w:rsidRPr="00A656D9">
        <w:rPr>
          <w:rFonts w:ascii="Times New Roman" w:hAnsi="Times New Roman" w:cs="Times New Roman"/>
          <w:b/>
          <w:bCs/>
          <w:sz w:val="24"/>
          <w:szCs w:val="24"/>
        </w:rPr>
        <w:t>.</w:t>
      </w:r>
      <w:r w:rsidR="00534883">
        <w:rPr>
          <w:rFonts w:ascii="Times New Roman" w:hAnsi="Times New Roman" w:cs="Times New Roman"/>
          <w:b/>
          <w:bCs/>
          <w:sz w:val="24"/>
          <w:szCs w:val="24"/>
        </w:rPr>
        <w:t>3</w:t>
      </w:r>
      <w:r w:rsidRPr="00A656D9">
        <w:rPr>
          <w:rFonts w:ascii="Times New Roman" w:hAnsi="Times New Roman" w:cs="Times New Roman"/>
          <w:b/>
          <w:bCs/>
          <w:sz w:val="24"/>
          <w:szCs w:val="24"/>
        </w:rPr>
        <w:t>—</w:t>
      </w:r>
      <w:r w:rsidRPr="00067B9C">
        <w:t xml:space="preserve"> </w:t>
      </w:r>
      <w:r w:rsidRPr="00067B9C">
        <w:rPr>
          <w:rFonts w:ascii="Times New Roman" w:hAnsi="Times New Roman" w:cs="Times New Roman"/>
          <w:b/>
          <w:bCs/>
          <w:sz w:val="24"/>
          <w:szCs w:val="24"/>
        </w:rPr>
        <w:t>Monitoring requirements</w:t>
      </w:r>
    </w:p>
    <w:p w14:paraId="6C579409" w14:textId="48251628" w:rsidR="00AB3AE3" w:rsidRPr="00310D38" w:rsidRDefault="00795DAA" w:rsidP="00AB3AE3">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AB3AE3">
        <w:rPr>
          <w:rFonts w:ascii="Times New Roman" w:hAnsi="Times New Roman" w:cs="Times New Roman"/>
          <w:sz w:val="24"/>
          <w:szCs w:val="24"/>
          <w:u w:val="single"/>
        </w:rPr>
        <w:t>5</w:t>
      </w:r>
      <w:r w:rsidR="00534883">
        <w:rPr>
          <w:rFonts w:ascii="Times New Roman" w:hAnsi="Times New Roman" w:cs="Times New Roman"/>
          <w:sz w:val="24"/>
          <w:szCs w:val="24"/>
          <w:u w:val="single"/>
        </w:rPr>
        <w:t>7</w:t>
      </w:r>
      <w:r w:rsidR="00AB3AE3" w:rsidRPr="00310D38">
        <w:rPr>
          <w:rFonts w:ascii="Times New Roman" w:hAnsi="Times New Roman" w:cs="Times New Roman"/>
          <w:sz w:val="24"/>
          <w:szCs w:val="24"/>
          <w:u w:val="single"/>
        </w:rPr>
        <w:t xml:space="preserve"> – </w:t>
      </w:r>
      <w:r w:rsidR="006A0A5C" w:rsidRPr="006A0A5C">
        <w:rPr>
          <w:rFonts w:ascii="Times New Roman" w:hAnsi="Times New Roman" w:cs="Times New Roman"/>
          <w:sz w:val="24"/>
          <w:szCs w:val="24"/>
          <w:u w:val="single"/>
        </w:rPr>
        <w:t>Operation of this Division</w:t>
      </w:r>
    </w:p>
    <w:p w14:paraId="0A0410F0" w14:textId="2F179866" w:rsidR="003E47C2" w:rsidRDefault="003E47C2" w:rsidP="003E47C2">
      <w:pPr>
        <w:pStyle w:val="subsection"/>
        <w:spacing w:before="120" w:after="120"/>
        <w:ind w:left="0" w:firstLine="0"/>
        <w:rPr>
          <w:sz w:val="24"/>
          <w:szCs w:val="24"/>
        </w:rPr>
      </w:pPr>
      <w:r>
        <w:rPr>
          <w:sz w:val="24"/>
          <w:szCs w:val="24"/>
        </w:rPr>
        <w:t>Section 5</w:t>
      </w:r>
      <w:r w:rsidR="00534883">
        <w:rPr>
          <w:sz w:val="24"/>
          <w:szCs w:val="24"/>
        </w:rPr>
        <w:t>7</w:t>
      </w:r>
      <w:r>
        <w:rPr>
          <w:sz w:val="24"/>
          <w:szCs w:val="24"/>
        </w:rPr>
        <w:t xml:space="preserve"> specifies that, for the purposes of </w:t>
      </w:r>
      <w:r w:rsidR="00BE145B">
        <w:rPr>
          <w:sz w:val="24"/>
          <w:szCs w:val="24"/>
        </w:rPr>
        <w:t>section</w:t>
      </w:r>
      <w:r w:rsidR="00BE145B" w:rsidRPr="00614F77">
        <w:rPr>
          <w:sz w:val="24"/>
          <w:szCs w:val="24"/>
        </w:rPr>
        <w:t xml:space="preserve"> </w:t>
      </w:r>
      <w:r w:rsidRPr="00614F77">
        <w:rPr>
          <w:sz w:val="24"/>
          <w:szCs w:val="24"/>
        </w:rPr>
        <w:t>106(3)(</w:t>
      </w:r>
      <w:r w:rsidR="00801D29">
        <w:rPr>
          <w:sz w:val="24"/>
          <w:szCs w:val="24"/>
        </w:rPr>
        <w:t>d</w:t>
      </w:r>
      <w:r w:rsidRPr="00614F77">
        <w:rPr>
          <w:sz w:val="24"/>
          <w:szCs w:val="24"/>
        </w:rPr>
        <w:t xml:space="preserve">) of the </w:t>
      </w:r>
      <w:r>
        <w:rPr>
          <w:sz w:val="24"/>
          <w:szCs w:val="24"/>
        </w:rPr>
        <w:t xml:space="preserve">CFI </w:t>
      </w:r>
      <w:r w:rsidRPr="00614F77">
        <w:rPr>
          <w:sz w:val="24"/>
          <w:szCs w:val="24"/>
        </w:rPr>
        <w:t xml:space="preserve">Act, Division </w:t>
      </w:r>
      <w:r>
        <w:rPr>
          <w:sz w:val="24"/>
          <w:szCs w:val="24"/>
        </w:rPr>
        <w:t>6.</w:t>
      </w:r>
      <w:r w:rsidR="00801D29">
        <w:rPr>
          <w:sz w:val="24"/>
          <w:szCs w:val="24"/>
        </w:rPr>
        <w:t>3</w:t>
      </w:r>
      <w:r>
        <w:rPr>
          <w:sz w:val="24"/>
          <w:szCs w:val="24"/>
        </w:rPr>
        <w:t xml:space="preserve"> </w:t>
      </w:r>
      <w:r w:rsidRPr="00614F77">
        <w:rPr>
          <w:sz w:val="24"/>
          <w:szCs w:val="24"/>
        </w:rPr>
        <w:t xml:space="preserve">sets out </w:t>
      </w:r>
      <w:r w:rsidR="00801D29">
        <w:rPr>
          <w:sz w:val="24"/>
          <w:szCs w:val="24"/>
        </w:rPr>
        <w:t>monitoring</w:t>
      </w:r>
      <w:r w:rsidRPr="00614F77">
        <w:rPr>
          <w:sz w:val="24"/>
          <w:szCs w:val="24"/>
        </w:rPr>
        <w:t xml:space="preserve"> requirements for </w:t>
      </w:r>
      <w:r>
        <w:rPr>
          <w:sz w:val="24"/>
          <w:szCs w:val="24"/>
        </w:rPr>
        <w:t xml:space="preserve">INFM projects. </w:t>
      </w:r>
    </w:p>
    <w:p w14:paraId="34C7223D" w14:textId="6B9F927A" w:rsidR="00914E4A" w:rsidRPr="00310D38" w:rsidRDefault="00795DAA" w:rsidP="00914E4A">
      <w:pPr>
        <w:spacing w:before="120" w:after="120" w:line="240" w:lineRule="auto"/>
        <w:outlineLvl w:val="3"/>
        <w:rPr>
          <w:rFonts w:ascii="Times New Roman" w:hAnsi="Times New Roman" w:cs="Times New Roman"/>
          <w:sz w:val="24"/>
          <w:szCs w:val="24"/>
          <w:u w:val="single"/>
        </w:rPr>
      </w:pPr>
      <w:r>
        <w:rPr>
          <w:rFonts w:ascii="Times New Roman" w:hAnsi="Times New Roman" w:cs="Times New Roman"/>
          <w:sz w:val="24"/>
          <w:szCs w:val="24"/>
          <w:u w:val="single"/>
        </w:rPr>
        <w:t xml:space="preserve">Section </w:t>
      </w:r>
      <w:r w:rsidR="00914E4A">
        <w:rPr>
          <w:rFonts w:ascii="Times New Roman" w:hAnsi="Times New Roman" w:cs="Times New Roman"/>
          <w:sz w:val="24"/>
          <w:szCs w:val="24"/>
          <w:u w:val="single"/>
        </w:rPr>
        <w:t>5</w:t>
      </w:r>
      <w:r w:rsidR="00534883">
        <w:rPr>
          <w:rFonts w:ascii="Times New Roman" w:hAnsi="Times New Roman" w:cs="Times New Roman"/>
          <w:sz w:val="24"/>
          <w:szCs w:val="24"/>
          <w:u w:val="single"/>
        </w:rPr>
        <w:t>8</w:t>
      </w:r>
      <w:r w:rsidR="00914E4A" w:rsidRPr="00310D38">
        <w:rPr>
          <w:rFonts w:ascii="Times New Roman" w:hAnsi="Times New Roman" w:cs="Times New Roman"/>
          <w:sz w:val="24"/>
          <w:szCs w:val="24"/>
          <w:u w:val="single"/>
        </w:rPr>
        <w:t xml:space="preserve"> – </w:t>
      </w:r>
      <w:r w:rsidR="007536EA" w:rsidRPr="007536EA">
        <w:rPr>
          <w:rFonts w:ascii="Times New Roman" w:hAnsi="Times New Roman" w:cs="Times New Roman"/>
          <w:sz w:val="24"/>
          <w:szCs w:val="24"/>
          <w:u w:val="single"/>
        </w:rPr>
        <w:t xml:space="preserve">Monitoring </w:t>
      </w:r>
      <w:r w:rsidR="004518E1" w:rsidRPr="004518E1">
        <w:rPr>
          <w:rFonts w:ascii="Times New Roman" w:hAnsi="Times New Roman" w:cs="Times New Roman"/>
          <w:sz w:val="24"/>
          <w:szCs w:val="24"/>
          <w:u w:val="single"/>
        </w:rPr>
        <w:t>harvesting and clearing events</w:t>
      </w:r>
    </w:p>
    <w:p w14:paraId="34021101" w14:textId="54E32BA3" w:rsidR="00FA7372" w:rsidRDefault="00DB3714" w:rsidP="005575ED">
      <w:pPr>
        <w:pStyle w:val="subsection"/>
        <w:spacing w:before="120" w:after="120"/>
        <w:ind w:left="0" w:firstLine="0"/>
        <w:rPr>
          <w:sz w:val="24"/>
          <w:szCs w:val="24"/>
        </w:rPr>
      </w:pPr>
      <w:r>
        <w:rPr>
          <w:sz w:val="24"/>
          <w:szCs w:val="24"/>
        </w:rPr>
        <w:t>Section 5</w:t>
      </w:r>
      <w:r w:rsidR="00534883">
        <w:rPr>
          <w:sz w:val="24"/>
          <w:szCs w:val="24"/>
        </w:rPr>
        <w:t>8</w:t>
      </w:r>
      <w:r>
        <w:rPr>
          <w:sz w:val="24"/>
          <w:szCs w:val="24"/>
        </w:rPr>
        <w:t xml:space="preserve"> requires project proponents to </w:t>
      </w:r>
      <w:r w:rsidR="002E471D" w:rsidRPr="002E471D">
        <w:rPr>
          <w:sz w:val="24"/>
          <w:szCs w:val="24"/>
        </w:rPr>
        <w:t xml:space="preserve">monitor </w:t>
      </w:r>
      <w:r w:rsidR="002E471D">
        <w:rPr>
          <w:sz w:val="24"/>
          <w:szCs w:val="24"/>
        </w:rPr>
        <w:t xml:space="preserve">all </w:t>
      </w:r>
      <w:r w:rsidR="002E471D" w:rsidRPr="002E471D">
        <w:rPr>
          <w:sz w:val="24"/>
          <w:szCs w:val="24"/>
        </w:rPr>
        <w:t>timber harvesting and clearing events (including post-harvest (slash) burns) in the project area that are required to be modelled in the project scenario</w:t>
      </w:r>
      <w:r>
        <w:rPr>
          <w:sz w:val="24"/>
          <w:szCs w:val="24"/>
        </w:rPr>
        <w:t>.</w:t>
      </w:r>
    </w:p>
    <w:p w14:paraId="7FB3F742" w14:textId="77777777" w:rsidR="000C0F3F" w:rsidRDefault="000C0F3F">
      <w:pPr>
        <w:rPr>
          <w:rFonts w:ascii="Times New Roman" w:hAnsi="Times New Roman" w:cs="Times New Roman"/>
          <w:b/>
          <w:bCs/>
          <w:sz w:val="24"/>
          <w:szCs w:val="24"/>
        </w:rPr>
      </w:pPr>
    </w:p>
    <w:p w14:paraId="0B0D77C0" w14:textId="77777777" w:rsidR="000C0F3F" w:rsidRDefault="000C0F3F">
      <w:pPr>
        <w:rPr>
          <w:b/>
          <w:bCs/>
          <w:color w:val="000000"/>
        </w:rPr>
        <w:sectPr w:rsidR="000C0F3F" w:rsidSect="002056FB">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79A8A6FA" w14:textId="5E98BC7A" w:rsidR="00A96D37" w:rsidRPr="006E23C2" w:rsidRDefault="006E23C2" w:rsidP="006E23C2">
      <w:pPr>
        <w:outlineLvl w:val="0"/>
        <w:rPr>
          <w:rFonts w:ascii="Times New Roman" w:hAnsi="Times New Roman" w:cs="Times New Roman"/>
          <w:b/>
          <w:bCs/>
          <w:sz w:val="24"/>
          <w:szCs w:val="24"/>
        </w:rPr>
      </w:pPr>
      <w:r w:rsidRPr="00312ACE">
        <w:rPr>
          <w:rFonts w:ascii="Times New Roman" w:hAnsi="Times New Roman" w:cs="Times New Roman"/>
          <w:b/>
          <w:bCs/>
          <w:sz w:val="24"/>
          <w:szCs w:val="24"/>
        </w:rPr>
        <w:lastRenderedPageBreak/>
        <w:t xml:space="preserve">ATTACHMENT </w:t>
      </w:r>
      <w:r>
        <w:rPr>
          <w:rFonts w:ascii="Times New Roman" w:hAnsi="Times New Roman" w:cs="Times New Roman"/>
          <w:b/>
          <w:bCs/>
          <w:sz w:val="24"/>
          <w:szCs w:val="24"/>
        </w:rPr>
        <w:t>B</w:t>
      </w:r>
      <w:r w:rsidR="00C74BCD">
        <w:rPr>
          <w:rFonts w:ascii="Times New Roman" w:hAnsi="Times New Roman" w:cs="Times New Roman"/>
          <w:b/>
          <w:bCs/>
          <w:sz w:val="24"/>
          <w:szCs w:val="24"/>
        </w:rPr>
        <w:t>:</w:t>
      </w:r>
      <w:r w:rsidRPr="00312ACE">
        <w:rPr>
          <w:rFonts w:ascii="Times New Roman" w:hAnsi="Times New Roman" w:cs="Times New Roman"/>
          <w:b/>
          <w:bCs/>
          <w:sz w:val="24"/>
          <w:szCs w:val="24"/>
        </w:rPr>
        <w:t xml:space="preserve"> </w:t>
      </w:r>
      <w:r w:rsidRPr="006E23C2">
        <w:rPr>
          <w:rFonts w:ascii="Times New Roman" w:hAnsi="Times New Roman" w:cs="Times New Roman"/>
          <w:b/>
          <w:bCs/>
          <w:sz w:val="24"/>
          <w:szCs w:val="24"/>
        </w:rPr>
        <w:t>Measures to address integrity risks related to additionality, leakage, measurement and permanence</w:t>
      </w:r>
    </w:p>
    <w:tbl>
      <w:tblPr>
        <w:tblStyle w:val="TableGrid"/>
        <w:tblW w:w="14312" w:type="dxa"/>
        <w:tblLook w:val="04A0" w:firstRow="1" w:lastRow="0" w:firstColumn="1" w:lastColumn="0" w:noHBand="0" w:noVBand="1"/>
      </w:tblPr>
      <w:tblGrid>
        <w:gridCol w:w="1693"/>
        <w:gridCol w:w="11096"/>
        <w:gridCol w:w="1523"/>
      </w:tblGrid>
      <w:tr w:rsidR="00147B16" w:rsidRPr="001109C7" w14:paraId="6B11C42B" w14:textId="00999D3B" w:rsidTr="00147B16">
        <w:tc>
          <w:tcPr>
            <w:tcW w:w="1696" w:type="dxa"/>
            <w:shd w:val="clear" w:color="auto" w:fill="BFBFBF" w:themeFill="background1" w:themeFillShade="BF"/>
          </w:tcPr>
          <w:p w14:paraId="3CCBE8FE" w14:textId="77777777" w:rsidR="00147B16" w:rsidRPr="001109C7" w:rsidRDefault="00147B16" w:rsidP="001109C7">
            <w:pPr>
              <w:spacing w:before="60" w:after="60"/>
              <w:jc w:val="center"/>
              <w:rPr>
                <w:rFonts w:ascii="Times New Roman" w:hAnsi="Times New Roman" w:cs="Times New Roman"/>
                <w:b/>
                <w:sz w:val="21"/>
                <w:szCs w:val="21"/>
              </w:rPr>
            </w:pPr>
            <w:r w:rsidRPr="001109C7">
              <w:rPr>
                <w:rFonts w:ascii="Times New Roman" w:hAnsi="Times New Roman" w:cs="Times New Roman"/>
                <w:b/>
                <w:sz w:val="21"/>
                <w:szCs w:val="21"/>
              </w:rPr>
              <w:t>Integrity risk</w:t>
            </w:r>
          </w:p>
        </w:tc>
        <w:tc>
          <w:tcPr>
            <w:tcW w:w="11199" w:type="dxa"/>
            <w:shd w:val="clear" w:color="auto" w:fill="BFBFBF" w:themeFill="background1" w:themeFillShade="BF"/>
          </w:tcPr>
          <w:p w14:paraId="75B63B67" w14:textId="77777777" w:rsidR="00147B16" w:rsidRPr="001109C7" w:rsidRDefault="00147B16" w:rsidP="001109C7">
            <w:pPr>
              <w:spacing w:before="60" w:after="60"/>
              <w:jc w:val="center"/>
              <w:rPr>
                <w:rFonts w:ascii="Times New Roman" w:hAnsi="Times New Roman" w:cs="Times New Roman"/>
                <w:b/>
                <w:sz w:val="21"/>
                <w:szCs w:val="21"/>
              </w:rPr>
            </w:pPr>
            <w:r w:rsidRPr="001109C7">
              <w:rPr>
                <w:rFonts w:ascii="Times New Roman" w:hAnsi="Times New Roman" w:cs="Times New Roman"/>
                <w:b/>
                <w:sz w:val="21"/>
                <w:szCs w:val="21"/>
              </w:rPr>
              <w:t>Mitigants</w:t>
            </w:r>
          </w:p>
        </w:tc>
        <w:tc>
          <w:tcPr>
            <w:tcW w:w="1417" w:type="dxa"/>
            <w:shd w:val="clear" w:color="auto" w:fill="BFBFBF" w:themeFill="background1" w:themeFillShade="BF"/>
          </w:tcPr>
          <w:p w14:paraId="203196E9" w14:textId="57530309" w:rsidR="00147B16" w:rsidRPr="00D22376" w:rsidRDefault="00147B16" w:rsidP="001109C7">
            <w:pPr>
              <w:spacing w:before="60" w:after="60"/>
              <w:jc w:val="center"/>
              <w:rPr>
                <w:rFonts w:ascii="Times New Roman" w:hAnsi="Times New Roman" w:cs="Times New Roman"/>
                <w:b/>
                <w:sz w:val="21"/>
                <w:szCs w:val="21"/>
              </w:rPr>
            </w:pPr>
            <w:r w:rsidRPr="00D22376">
              <w:rPr>
                <w:rFonts w:ascii="Times New Roman" w:hAnsi="Times New Roman" w:cs="Times New Roman"/>
                <w:b/>
                <w:sz w:val="21"/>
                <w:szCs w:val="21"/>
              </w:rPr>
              <w:t>Determination reference</w:t>
            </w:r>
          </w:p>
        </w:tc>
      </w:tr>
      <w:tr w:rsidR="00147B16" w:rsidRPr="001109C7" w14:paraId="5FEFE853" w14:textId="0D63EB6A" w:rsidTr="00147B16">
        <w:tc>
          <w:tcPr>
            <w:tcW w:w="1696" w:type="dxa"/>
          </w:tcPr>
          <w:p w14:paraId="239F993D" w14:textId="77777777" w:rsidR="00147B16" w:rsidRPr="001109C7" w:rsidRDefault="00147B16" w:rsidP="001109C7">
            <w:pPr>
              <w:spacing w:before="60" w:after="60"/>
              <w:rPr>
                <w:rFonts w:ascii="Times New Roman" w:hAnsi="Times New Roman" w:cs="Times New Roman"/>
                <w:b/>
                <w:sz w:val="21"/>
                <w:szCs w:val="21"/>
                <w:highlight w:val="yellow"/>
                <w:shd w:val="clear" w:color="auto" w:fill="FFFFFF"/>
              </w:rPr>
            </w:pPr>
            <w:r w:rsidRPr="001109C7">
              <w:rPr>
                <w:rFonts w:ascii="Times New Roman" w:hAnsi="Times New Roman" w:cs="Times New Roman"/>
                <w:b/>
                <w:sz w:val="21"/>
                <w:szCs w:val="21"/>
                <w:shd w:val="clear" w:color="auto" w:fill="FFFFFF"/>
              </w:rPr>
              <w:t>Additionality</w:t>
            </w:r>
          </w:p>
        </w:tc>
        <w:tc>
          <w:tcPr>
            <w:tcW w:w="11199" w:type="dxa"/>
          </w:tcPr>
          <w:p w14:paraId="3CC67720" w14:textId="7722C629"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Risk:</w:t>
            </w:r>
            <w:r w:rsidRPr="001109C7">
              <w:rPr>
                <w:rFonts w:ascii="Times New Roman" w:hAnsi="Times New Roman" w:cs="Times New Roman"/>
                <w:bCs/>
                <w:sz w:val="21"/>
                <w:szCs w:val="21"/>
                <w:shd w:val="clear" w:color="auto" w:fill="FFFFFF"/>
              </w:rPr>
              <w:t xml:space="preserve"> The overarching additionality risk is that projects will be credited for emission reductions, or increases in removals, that would have happened anyway, without the incentive provided by the ACCU scheme. This can happen by crediting reductions in native forest harvesting that would have happened anyway. It can also happen if increases in forest carbon stocks, or reductions in emissions, that are due to other non-additional management activities are credited.</w:t>
            </w:r>
          </w:p>
          <w:p w14:paraId="24D4E8C8" w14:textId="7588E1D3"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Mitigants:</w:t>
            </w:r>
            <w:r w:rsidRPr="001109C7">
              <w:rPr>
                <w:rFonts w:ascii="Times New Roman" w:hAnsi="Times New Roman" w:cs="Times New Roman"/>
                <w:bCs/>
                <w:sz w:val="21"/>
                <w:szCs w:val="21"/>
                <w:shd w:val="clear" w:color="auto" w:fill="FFFFFF"/>
              </w:rPr>
              <w:t xml:space="preserve"> Key mitigants included in the </w:t>
            </w:r>
            <w:r w:rsidR="00D75B06">
              <w:rPr>
                <w:rFonts w:ascii="Times New Roman" w:hAnsi="Times New Roman" w:cs="Times New Roman"/>
                <w:bCs/>
                <w:sz w:val="21"/>
                <w:szCs w:val="21"/>
                <w:shd w:val="clear" w:color="auto" w:fill="FFFFFF"/>
              </w:rPr>
              <w:t>Determination</w:t>
            </w:r>
            <w:r w:rsidRPr="001109C7">
              <w:rPr>
                <w:rFonts w:ascii="Times New Roman" w:hAnsi="Times New Roman" w:cs="Times New Roman"/>
                <w:bCs/>
                <w:sz w:val="21"/>
                <w:szCs w:val="21"/>
                <w:shd w:val="clear" w:color="auto" w:fill="FFFFFF"/>
              </w:rPr>
              <w:t xml:space="preserve"> to address additionality risks are as follows.</w:t>
            </w:r>
          </w:p>
          <w:p w14:paraId="1B38DB4A" w14:textId="3BEC9E48" w:rsidR="0052261F" w:rsidRPr="0052261F" w:rsidRDefault="0052261F" w:rsidP="009D5A62">
            <w:pPr>
              <w:pStyle w:val="ListParagraph"/>
              <w:numPr>
                <w:ilvl w:val="0"/>
                <w:numId w:val="17"/>
              </w:numPr>
              <w:spacing w:before="60" w:after="60"/>
              <w:rPr>
                <w:rFonts w:ascii="Times New Roman" w:hAnsi="Times New Roman" w:cs="Times New Roman"/>
                <w:bCs/>
                <w:sz w:val="21"/>
                <w:szCs w:val="21"/>
              </w:rPr>
            </w:pPr>
            <w:r>
              <w:rPr>
                <w:rFonts w:ascii="Times New Roman" w:hAnsi="Times New Roman" w:cs="Times New Roman"/>
                <w:bCs/>
                <w:sz w:val="21"/>
                <w:szCs w:val="21"/>
                <w:shd w:val="clear" w:color="auto" w:fill="FFFFFF"/>
              </w:rPr>
              <w:t>Projects must</w:t>
            </w:r>
            <w:r w:rsidRPr="0052261F">
              <w:rPr>
                <w:rFonts w:ascii="Times New Roman" w:hAnsi="Times New Roman" w:cs="Times New Roman"/>
                <w:bCs/>
                <w:sz w:val="21"/>
                <w:szCs w:val="21"/>
                <w:shd w:val="clear" w:color="auto" w:fill="FFFFFF"/>
              </w:rPr>
              <w:t xml:space="preserve"> involv</w:t>
            </w:r>
            <w:r>
              <w:rPr>
                <w:rFonts w:ascii="Times New Roman" w:hAnsi="Times New Roman" w:cs="Times New Roman"/>
                <w:bCs/>
                <w:sz w:val="21"/>
                <w:szCs w:val="21"/>
                <w:shd w:val="clear" w:color="auto" w:fill="FFFFFF"/>
              </w:rPr>
              <w:t xml:space="preserve">e </w:t>
            </w:r>
            <w:r w:rsidRPr="0052261F">
              <w:rPr>
                <w:rFonts w:ascii="Times New Roman" w:hAnsi="Times New Roman" w:cs="Times New Roman"/>
                <w:bCs/>
                <w:sz w:val="21"/>
                <w:szCs w:val="21"/>
                <w:shd w:val="clear" w:color="auto" w:fill="FFFFFF"/>
              </w:rPr>
              <w:t>stopping or reducing harvesting in public native forests</w:t>
            </w:r>
            <w:r>
              <w:rPr>
                <w:rFonts w:ascii="Times New Roman" w:hAnsi="Times New Roman" w:cs="Times New Roman"/>
                <w:bCs/>
                <w:sz w:val="21"/>
                <w:szCs w:val="21"/>
                <w:shd w:val="clear" w:color="auto" w:fill="FFFFFF"/>
              </w:rPr>
              <w:t xml:space="preserve">. </w:t>
            </w:r>
            <w:r w:rsidR="00670C00">
              <w:rPr>
                <w:rFonts w:ascii="Times New Roman" w:hAnsi="Times New Roman" w:cs="Times New Roman"/>
                <w:bCs/>
                <w:sz w:val="21"/>
                <w:szCs w:val="21"/>
                <w:shd w:val="clear" w:color="auto" w:fill="FFFFFF"/>
              </w:rPr>
              <w:t>P</w:t>
            </w:r>
            <w:r w:rsidRPr="0052261F">
              <w:rPr>
                <w:rFonts w:ascii="Times New Roman" w:hAnsi="Times New Roman" w:cs="Times New Roman"/>
                <w:bCs/>
                <w:sz w:val="21"/>
                <w:szCs w:val="21"/>
                <w:shd w:val="clear" w:color="auto" w:fill="FFFFFF"/>
              </w:rPr>
              <w:t>rojects involving the cessation or reduction of harvesting on private native forests, where there is high uncertainty about the location and extent of harvesting</w:t>
            </w:r>
            <w:r w:rsidR="00670C00">
              <w:rPr>
                <w:rFonts w:ascii="Times New Roman" w:hAnsi="Times New Roman" w:cs="Times New Roman"/>
                <w:bCs/>
                <w:sz w:val="21"/>
                <w:szCs w:val="21"/>
                <w:shd w:val="clear" w:color="auto" w:fill="FFFFFF"/>
              </w:rPr>
              <w:t xml:space="preserve"> and thus a higher additionality related risk, are not eligible</w:t>
            </w:r>
            <w:r w:rsidRPr="0052261F">
              <w:rPr>
                <w:rFonts w:ascii="Times New Roman" w:hAnsi="Times New Roman" w:cs="Times New Roman"/>
                <w:bCs/>
                <w:sz w:val="21"/>
                <w:szCs w:val="21"/>
                <w:shd w:val="clear" w:color="auto" w:fill="FFFFFF"/>
              </w:rPr>
              <w:t xml:space="preserve">. </w:t>
            </w:r>
          </w:p>
          <w:p w14:paraId="3E34BAC1" w14:textId="1DD9D6B1" w:rsidR="0052261F" w:rsidRPr="001109C7" w:rsidRDefault="0052261F"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Projects must be located on Crown lands containing native forests that are designated for commercial forestry use</w:t>
            </w:r>
            <w:r>
              <w:rPr>
                <w:rFonts w:ascii="Times New Roman" w:hAnsi="Times New Roman" w:cs="Times New Roman"/>
                <w:bCs/>
                <w:sz w:val="21"/>
                <w:szCs w:val="21"/>
                <w:shd w:val="clear" w:color="auto" w:fill="FFFFFF"/>
              </w:rPr>
              <w:t xml:space="preserve"> at the date of project </w:t>
            </w:r>
            <w:r w:rsidR="00FA7372">
              <w:rPr>
                <w:rFonts w:ascii="Times New Roman" w:hAnsi="Times New Roman" w:cs="Times New Roman"/>
                <w:bCs/>
                <w:sz w:val="21"/>
                <w:szCs w:val="21"/>
                <w:shd w:val="clear" w:color="auto" w:fill="FFFFFF"/>
              </w:rPr>
              <w:t>registration</w:t>
            </w:r>
            <w:r>
              <w:rPr>
                <w:rFonts w:ascii="Times New Roman" w:hAnsi="Times New Roman" w:cs="Times New Roman"/>
                <w:bCs/>
                <w:sz w:val="21"/>
                <w:szCs w:val="21"/>
                <w:shd w:val="clear" w:color="auto" w:fill="FFFFFF"/>
              </w:rPr>
              <w:t xml:space="preserve"> and </w:t>
            </w:r>
            <w:r w:rsidRPr="00773578">
              <w:rPr>
                <w:rFonts w:ascii="Times New Roman" w:hAnsi="Times New Roman" w:cs="Times New Roman"/>
                <w:bCs/>
                <w:sz w:val="21"/>
                <w:szCs w:val="21"/>
                <w:shd w:val="clear" w:color="auto" w:fill="FFFFFF"/>
              </w:rPr>
              <w:t>were designated for commercial forestry use for at least 10 years before the application was made for th</w:t>
            </w:r>
            <w:r>
              <w:rPr>
                <w:rFonts w:ascii="Times New Roman" w:hAnsi="Times New Roman" w:cs="Times New Roman"/>
                <w:bCs/>
                <w:sz w:val="21"/>
                <w:szCs w:val="21"/>
                <w:shd w:val="clear" w:color="auto" w:fill="FFFFFF"/>
              </w:rPr>
              <w:t>e</w:t>
            </w:r>
            <w:r w:rsidRPr="00773578">
              <w:rPr>
                <w:rFonts w:ascii="Times New Roman" w:hAnsi="Times New Roman" w:cs="Times New Roman"/>
                <w:bCs/>
                <w:sz w:val="21"/>
                <w:szCs w:val="21"/>
                <w:shd w:val="clear" w:color="auto" w:fill="FFFFFF"/>
              </w:rPr>
              <w:t xml:space="preserve"> declaration</w:t>
            </w:r>
            <w:r>
              <w:rPr>
                <w:rFonts w:ascii="Times New Roman" w:hAnsi="Times New Roman" w:cs="Times New Roman"/>
                <w:bCs/>
                <w:sz w:val="21"/>
                <w:szCs w:val="21"/>
                <w:shd w:val="clear" w:color="auto" w:fill="FFFFFF"/>
              </w:rPr>
              <w:t xml:space="preserve">. This excludes projects on public lands that were unlikely to be harvested. </w:t>
            </w:r>
          </w:p>
          <w:p w14:paraId="16F3188D" w14:textId="4DB59ADA" w:rsidR="00147B16" w:rsidRPr="001109C7" w:rsidRDefault="00B342C5" w:rsidP="009D5A62">
            <w:pPr>
              <w:pStyle w:val="ListParagraph"/>
              <w:numPr>
                <w:ilvl w:val="0"/>
                <w:numId w:val="17"/>
              </w:numPr>
              <w:spacing w:before="60" w:after="60"/>
              <w:rPr>
                <w:rFonts w:ascii="Times New Roman" w:hAnsi="Times New Roman" w:cs="Times New Roman"/>
                <w:bCs/>
                <w:sz w:val="21"/>
                <w:szCs w:val="21"/>
              </w:rPr>
            </w:pPr>
            <w:r>
              <w:rPr>
                <w:rFonts w:ascii="Times New Roman" w:hAnsi="Times New Roman" w:cs="Times New Roman"/>
                <w:bCs/>
                <w:sz w:val="21"/>
                <w:szCs w:val="21"/>
              </w:rPr>
              <w:t xml:space="preserve">Project </w:t>
            </w:r>
            <w:r w:rsidR="00147B16" w:rsidRPr="001109C7">
              <w:rPr>
                <w:rFonts w:ascii="Times New Roman" w:hAnsi="Times New Roman" w:cs="Times New Roman"/>
                <w:bCs/>
                <w:sz w:val="21"/>
                <w:szCs w:val="21"/>
              </w:rPr>
              <w:t xml:space="preserve">activities </w:t>
            </w:r>
            <w:r w:rsidR="006E08DB">
              <w:rPr>
                <w:rFonts w:ascii="Times New Roman" w:hAnsi="Times New Roman" w:cs="Times New Roman"/>
                <w:bCs/>
                <w:sz w:val="21"/>
                <w:szCs w:val="21"/>
              </w:rPr>
              <w:t xml:space="preserve">that generate </w:t>
            </w:r>
            <w:r>
              <w:rPr>
                <w:rFonts w:ascii="Times New Roman" w:hAnsi="Times New Roman" w:cs="Times New Roman"/>
                <w:bCs/>
                <w:sz w:val="21"/>
                <w:szCs w:val="21"/>
              </w:rPr>
              <w:t xml:space="preserve">credited </w:t>
            </w:r>
            <w:r w:rsidR="006E08DB">
              <w:rPr>
                <w:rFonts w:ascii="Times New Roman" w:hAnsi="Times New Roman" w:cs="Times New Roman"/>
                <w:bCs/>
                <w:sz w:val="21"/>
                <w:szCs w:val="21"/>
              </w:rPr>
              <w:t xml:space="preserve">abatement </w:t>
            </w:r>
            <w:r w:rsidR="00147B16" w:rsidRPr="001109C7">
              <w:rPr>
                <w:rFonts w:ascii="Times New Roman" w:hAnsi="Times New Roman" w:cs="Times New Roman"/>
                <w:bCs/>
                <w:sz w:val="21"/>
                <w:szCs w:val="21"/>
              </w:rPr>
              <w:t xml:space="preserve">are confined to </w:t>
            </w:r>
            <w:r w:rsidR="00D75B06">
              <w:rPr>
                <w:rFonts w:ascii="Times New Roman" w:hAnsi="Times New Roman" w:cs="Times New Roman"/>
                <w:bCs/>
                <w:sz w:val="21"/>
                <w:szCs w:val="21"/>
              </w:rPr>
              <w:t xml:space="preserve">stopping or reducing </w:t>
            </w:r>
            <w:r w:rsidR="00147B16" w:rsidRPr="001109C7">
              <w:rPr>
                <w:rFonts w:ascii="Times New Roman" w:hAnsi="Times New Roman" w:cs="Times New Roman"/>
                <w:bCs/>
                <w:sz w:val="21"/>
                <w:szCs w:val="21"/>
              </w:rPr>
              <w:t xml:space="preserve">harvesting. </w:t>
            </w:r>
            <w:r w:rsidR="00BF4E8A" w:rsidRPr="00BF4E8A">
              <w:rPr>
                <w:rFonts w:ascii="Times New Roman" w:hAnsi="Times New Roman" w:cs="Times New Roman"/>
                <w:bCs/>
                <w:sz w:val="21"/>
                <w:szCs w:val="21"/>
              </w:rPr>
              <w:t xml:space="preserve">Other forest management activities that can potentially generate abatement (e.g. reduced impact logging, weed and pest control, enrichment plantings and prescribed burning) are not eligible </w:t>
            </w:r>
            <w:r w:rsidR="001C2F40">
              <w:rPr>
                <w:rFonts w:ascii="Times New Roman" w:hAnsi="Times New Roman" w:cs="Times New Roman"/>
                <w:bCs/>
                <w:sz w:val="21"/>
                <w:szCs w:val="21"/>
              </w:rPr>
              <w:t xml:space="preserve">to generate credited abatement </w:t>
            </w:r>
            <w:r w:rsidR="00BF4E8A" w:rsidRPr="00BF4E8A">
              <w:rPr>
                <w:rFonts w:ascii="Times New Roman" w:hAnsi="Times New Roman" w:cs="Times New Roman"/>
                <w:bCs/>
                <w:sz w:val="21"/>
                <w:szCs w:val="21"/>
              </w:rPr>
              <w:t xml:space="preserve">under the Determination. They can </w:t>
            </w:r>
            <w:proofErr w:type="gramStart"/>
            <w:r w:rsidR="00BF4E8A" w:rsidRPr="00BF4E8A">
              <w:rPr>
                <w:rFonts w:ascii="Times New Roman" w:hAnsi="Times New Roman" w:cs="Times New Roman"/>
                <w:bCs/>
                <w:sz w:val="21"/>
                <w:szCs w:val="21"/>
              </w:rPr>
              <w:t>be undertaken</w:t>
            </w:r>
            <w:proofErr w:type="gramEnd"/>
            <w:r w:rsidR="00BF4E8A" w:rsidRPr="00BF4E8A">
              <w:rPr>
                <w:rFonts w:ascii="Times New Roman" w:hAnsi="Times New Roman" w:cs="Times New Roman"/>
                <w:bCs/>
                <w:sz w:val="21"/>
                <w:szCs w:val="21"/>
              </w:rPr>
              <w:t xml:space="preserve"> in the project area, but any abatement generated </w:t>
            </w:r>
            <w:proofErr w:type="gramStart"/>
            <w:r w:rsidR="00BF4E8A" w:rsidRPr="00BF4E8A">
              <w:rPr>
                <w:rFonts w:ascii="Times New Roman" w:hAnsi="Times New Roman" w:cs="Times New Roman"/>
                <w:bCs/>
                <w:sz w:val="21"/>
                <w:szCs w:val="21"/>
              </w:rPr>
              <w:t>as a result of</w:t>
            </w:r>
            <w:proofErr w:type="gramEnd"/>
            <w:r w:rsidR="00BF4E8A" w:rsidRPr="00BF4E8A">
              <w:rPr>
                <w:rFonts w:ascii="Times New Roman" w:hAnsi="Times New Roman" w:cs="Times New Roman"/>
                <w:bCs/>
                <w:sz w:val="21"/>
                <w:szCs w:val="21"/>
              </w:rPr>
              <w:t xml:space="preserve"> the conduct of these activities </w:t>
            </w:r>
            <w:proofErr w:type="gramStart"/>
            <w:r w:rsidR="00BF4E8A" w:rsidRPr="00BF4E8A">
              <w:rPr>
                <w:rFonts w:ascii="Times New Roman" w:hAnsi="Times New Roman" w:cs="Times New Roman"/>
                <w:bCs/>
                <w:sz w:val="21"/>
                <w:szCs w:val="21"/>
              </w:rPr>
              <w:t>is not counted</w:t>
            </w:r>
            <w:proofErr w:type="gramEnd"/>
            <w:r w:rsidR="00BF4E8A" w:rsidRPr="00BF4E8A">
              <w:rPr>
                <w:rFonts w:ascii="Times New Roman" w:hAnsi="Times New Roman" w:cs="Times New Roman"/>
                <w:bCs/>
                <w:sz w:val="21"/>
                <w:szCs w:val="21"/>
              </w:rPr>
              <w:t xml:space="preserve"> towards the net abatement amount. </w:t>
            </w:r>
            <w:r w:rsidR="00570D2C" w:rsidRPr="00570D2C">
              <w:rPr>
                <w:rFonts w:ascii="Times New Roman" w:hAnsi="Times New Roman" w:cs="Times New Roman"/>
                <w:bCs/>
                <w:sz w:val="21"/>
                <w:szCs w:val="21"/>
              </w:rPr>
              <w:t>This is because they carry significantly higher integrity risks than stopping or reducing harvesting, particularly in relation to additionality and confidence in generating abatement. There are multiple other drivers of the uptake of these activities (regulatory and market</w:t>
            </w:r>
            <w:proofErr w:type="gramStart"/>
            <w:r w:rsidR="00570D2C" w:rsidRPr="00570D2C">
              <w:rPr>
                <w:rFonts w:ascii="Times New Roman" w:hAnsi="Times New Roman" w:cs="Times New Roman"/>
                <w:bCs/>
                <w:sz w:val="21"/>
                <w:szCs w:val="21"/>
              </w:rPr>
              <w:t>)</w:t>
            </w:r>
            <w:proofErr w:type="gramEnd"/>
            <w:r w:rsidR="00570D2C" w:rsidRPr="00570D2C">
              <w:rPr>
                <w:rFonts w:ascii="Times New Roman" w:hAnsi="Times New Roman" w:cs="Times New Roman"/>
                <w:bCs/>
                <w:sz w:val="21"/>
                <w:szCs w:val="21"/>
              </w:rPr>
              <w:t xml:space="preserve"> and it is difficult to design robust processes to confine crediting to instances where uptake is genuinely additional. There is also considerable uncertainty about whether and when these activities are likely to generate abatement</w:t>
            </w:r>
            <w:r w:rsidR="00147B16" w:rsidRPr="001109C7">
              <w:rPr>
                <w:rFonts w:ascii="Times New Roman" w:hAnsi="Times New Roman" w:cs="Times New Roman"/>
                <w:bCs/>
                <w:sz w:val="21"/>
                <w:szCs w:val="21"/>
              </w:rPr>
              <w:t>.</w:t>
            </w:r>
          </w:p>
          <w:p w14:paraId="6C93FC11" w14:textId="1C891B84" w:rsidR="00362FDA" w:rsidRPr="00F91780" w:rsidRDefault="00362FDA" w:rsidP="009D5A62">
            <w:pPr>
              <w:pStyle w:val="ListParagraph"/>
              <w:numPr>
                <w:ilvl w:val="0"/>
                <w:numId w:val="17"/>
              </w:num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Land cannot be included in a project area </w:t>
            </w:r>
            <w:r w:rsidRPr="00C44575">
              <w:rPr>
                <w:rFonts w:ascii="Times New Roman" w:hAnsi="Times New Roman" w:cs="Times New Roman"/>
                <w:bCs/>
                <w:sz w:val="21"/>
                <w:szCs w:val="21"/>
                <w:shd w:val="clear" w:color="auto" w:fill="FFFFFF"/>
              </w:rPr>
              <w:t xml:space="preserve">if, at any time between 1 January 2000 and the date the project is </w:t>
            </w:r>
            <w:r>
              <w:rPr>
                <w:rFonts w:ascii="Times New Roman" w:hAnsi="Times New Roman" w:cs="Times New Roman"/>
                <w:bCs/>
                <w:sz w:val="21"/>
                <w:szCs w:val="21"/>
                <w:shd w:val="clear" w:color="auto" w:fill="FFFFFF"/>
              </w:rPr>
              <w:t xml:space="preserve">registered, </w:t>
            </w:r>
            <w:r w:rsidRPr="00F91780">
              <w:rPr>
                <w:rFonts w:ascii="Times New Roman" w:hAnsi="Times New Roman" w:cs="Times New Roman"/>
                <w:bCs/>
                <w:sz w:val="21"/>
                <w:szCs w:val="21"/>
                <w:shd w:val="clear" w:color="auto" w:fill="FFFFFF"/>
              </w:rPr>
              <w:t xml:space="preserve">a law of the Commonwealth or the relevant State stopped timber harvesting in the area (even if the law has since been repealed or amended to remove that prohibition) or the government of the relevant State decided to stop timber harvesting in the area (even if the decision has since been changed to remove that prohibition or the decision was scheduled to take effect after the date this </w:t>
            </w:r>
            <w:r w:rsidR="00E77556">
              <w:rPr>
                <w:rFonts w:ascii="Times New Roman" w:hAnsi="Times New Roman" w:cs="Times New Roman"/>
                <w:bCs/>
                <w:sz w:val="21"/>
                <w:szCs w:val="21"/>
                <w:shd w:val="clear" w:color="auto" w:fill="FFFFFF"/>
              </w:rPr>
              <w:t>D</w:t>
            </w:r>
            <w:r w:rsidRPr="00F91780">
              <w:rPr>
                <w:rFonts w:ascii="Times New Roman" w:hAnsi="Times New Roman" w:cs="Times New Roman"/>
                <w:bCs/>
                <w:sz w:val="21"/>
                <w:szCs w:val="21"/>
                <w:shd w:val="clear" w:color="auto" w:fill="FFFFFF"/>
              </w:rPr>
              <w:t>etermination commences).</w:t>
            </w:r>
            <w:r>
              <w:rPr>
                <w:rFonts w:ascii="Times New Roman" w:hAnsi="Times New Roman" w:cs="Times New Roman"/>
                <w:bCs/>
                <w:sz w:val="21"/>
                <w:szCs w:val="21"/>
                <w:shd w:val="clear" w:color="auto" w:fill="FFFFFF"/>
              </w:rPr>
              <w:t xml:space="preserve"> </w:t>
            </w:r>
            <w:r w:rsidRPr="00C55C0C">
              <w:rPr>
                <w:rFonts w:ascii="Times New Roman" w:hAnsi="Times New Roman" w:cs="Times New Roman"/>
                <w:bCs/>
                <w:sz w:val="21"/>
                <w:szCs w:val="21"/>
                <w:shd w:val="clear" w:color="auto" w:fill="FFFFFF"/>
              </w:rPr>
              <w:t>This exclude</w:t>
            </w:r>
            <w:r>
              <w:rPr>
                <w:rFonts w:ascii="Times New Roman" w:hAnsi="Times New Roman" w:cs="Times New Roman"/>
                <w:bCs/>
                <w:sz w:val="21"/>
                <w:szCs w:val="21"/>
                <w:shd w:val="clear" w:color="auto" w:fill="FFFFFF"/>
              </w:rPr>
              <w:t>s</w:t>
            </w:r>
            <w:r w:rsidRPr="00C55C0C">
              <w:rPr>
                <w:rFonts w:ascii="Times New Roman" w:hAnsi="Times New Roman" w:cs="Times New Roman"/>
                <w:bCs/>
                <w:sz w:val="21"/>
                <w:szCs w:val="21"/>
                <w:shd w:val="clear" w:color="auto" w:fill="FFFFFF"/>
              </w:rPr>
              <w:t xml:space="preserve"> areas where, if they were able to be included in projects, the project activities that generate the credited abatement (stopping or reducing harvesting) are likely to have happened anyway because of an existing or previous regulatory requirements, or a previous decision of a government to stop harvesting in the project area.</w:t>
            </w:r>
            <w:r>
              <w:rPr>
                <w:rFonts w:ascii="Times New Roman" w:hAnsi="Times New Roman" w:cs="Times New Roman"/>
                <w:bCs/>
                <w:sz w:val="21"/>
                <w:szCs w:val="21"/>
                <w:shd w:val="clear" w:color="auto" w:fill="FFFFFF"/>
              </w:rPr>
              <w:t xml:space="preserve"> </w:t>
            </w:r>
          </w:p>
          <w:p w14:paraId="07018F2D" w14:textId="2A854CE3" w:rsidR="00147B16" w:rsidRPr="00096D52" w:rsidRDefault="00096D52" w:rsidP="009D5A62">
            <w:pPr>
              <w:pStyle w:val="ListParagraph"/>
              <w:numPr>
                <w:ilvl w:val="0"/>
                <w:numId w:val="17"/>
              </w:num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T</w:t>
            </w:r>
            <w:r w:rsidRPr="00096D52">
              <w:rPr>
                <w:rFonts w:ascii="Times New Roman" w:hAnsi="Times New Roman" w:cs="Times New Roman"/>
                <w:bCs/>
                <w:sz w:val="21"/>
                <w:szCs w:val="21"/>
                <w:shd w:val="clear" w:color="auto" w:fill="FFFFFF"/>
              </w:rPr>
              <w:t xml:space="preserve">he stopping or reduction of timber harvesting </w:t>
            </w:r>
            <w:r w:rsidR="00442605">
              <w:rPr>
                <w:rFonts w:ascii="Times New Roman" w:hAnsi="Times New Roman" w:cs="Times New Roman"/>
                <w:bCs/>
                <w:sz w:val="21"/>
                <w:szCs w:val="21"/>
                <w:shd w:val="clear" w:color="auto" w:fill="FFFFFF"/>
              </w:rPr>
              <w:t>that provides the basis for the project</w:t>
            </w:r>
            <w:r w:rsidRPr="00096D52">
              <w:rPr>
                <w:rFonts w:ascii="Times New Roman" w:hAnsi="Times New Roman" w:cs="Times New Roman"/>
                <w:bCs/>
                <w:sz w:val="21"/>
                <w:szCs w:val="21"/>
                <w:shd w:val="clear" w:color="auto" w:fill="FFFFFF"/>
              </w:rPr>
              <w:t xml:space="preserve"> must not be required under a law of the Commonwealth or a State</w:t>
            </w:r>
            <w:r>
              <w:rPr>
                <w:rFonts w:ascii="Times New Roman" w:hAnsi="Times New Roman" w:cs="Times New Roman"/>
                <w:bCs/>
                <w:sz w:val="21"/>
                <w:szCs w:val="21"/>
                <w:shd w:val="clear" w:color="auto" w:fill="FFFFFF"/>
              </w:rPr>
              <w:t xml:space="preserve"> </w:t>
            </w:r>
            <w:r w:rsidRPr="00096D52">
              <w:rPr>
                <w:rFonts w:ascii="Times New Roman" w:hAnsi="Times New Roman" w:cs="Times New Roman"/>
                <w:bCs/>
                <w:sz w:val="21"/>
                <w:szCs w:val="21"/>
                <w:shd w:val="clear" w:color="auto" w:fill="FFFFFF"/>
              </w:rPr>
              <w:t xml:space="preserve">that is in force at the date of the </w:t>
            </w:r>
            <w:r w:rsidR="00442605">
              <w:rPr>
                <w:rFonts w:ascii="Times New Roman" w:hAnsi="Times New Roman" w:cs="Times New Roman"/>
                <w:bCs/>
                <w:sz w:val="21"/>
                <w:szCs w:val="21"/>
                <w:shd w:val="clear" w:color="auto" w:fill="FFFFFF"/>
              </w:rPr>
              <w:t>project registration</w:t>
            </w:r>
            <w:r>
              <w:rPr>
                <w:rFonts w:ascii="Times New Roman" w:hAnsi="Times New Roman" w:cs="Times New Roman"/>
                <w:bCs/>
                <w:sz w:val="21"/>
                <w:szCs w:val="21"/>
                <w:shd w:val="clear" w:color="auto" w:fill="FFFFFF"/>
              </w:rPr>
              <w:t xml:space="preserve"> </w:t>
            </w:r>
            <w:r w:rsidRPr="00096D52">
              <w:rPr>
                <w:rFonts w:ascii="Times New Roman" w:hAnsi="Times New Roman" w:cs="Times New Roman"/>
                <w:bCs/>
                <w:sz w:val="21"/>
                <w:szCs w:val="21"/>
                <w:shd w:val="clear" w:color="auto" w:fill="FFFFFF"/>
              </w:rPr>
              <w:t xml:space="preserve">or was in force at any time between 1 January 2000 and the date </w:t>
            </w:r>
            <w:r w:rsidR="00543603">
              <w:rPr>
                <w:rFonts w:ascii="Times New Roman" w:hAnsi="Times New Roman" w:cs="Times New Roman"/>
                <w:bCs/>
                <w:sz w:val="21"/>
                <w:szCs w:val="21"/>
                <w:shd w:val="clear" w:color="auto" w:fill="FFFFFF"/>
              </w:rPr>
              <w:t xml:space="preserve">of the project registration </w:t>
            </w:r>
            <w:r w:rsidRPr="00096D52">
              <w:rPr>
                <w:rFonts w:ascii="Times New Roman" w:hAnsi="Times New Roman" w:cs="Times New Roman"/>
                <w:bCs/>
                <w:sz w:val="21"/>
                <w:szCs w:val="21"/>
                <w:shd w:val="clear" w:color="auto" w:fill="FFFFFF"/>
              </w:rPr>
              <w:t>(even if was not in force at the date of the declaration).</w:t>
            </w:r>
            <w:r w:rsidR="009479D6" w:rsidRPr="00096D52">
              <w:rPr>
                <w:rFonts w:ascii="Times New Roman" w:hAnsi="Times New Roman" w:cs="Times New Roman"/>
                <w:bCs/>
                <w:sz w:val="21"/>
                <w:szCs w:val="21"/>
                <w:shd w:val="clear" w:color="auto" w:fill="FFFFFF"/>
              </w:rPr>
              <w:t xml:space="preserve"> This </w:t>
            </w:r>
            <w:r w:rsidR="00B57C04" w:rsidRPr="00096D52">
              <w:rPr>
                <w:rFonts w:ascii="Times New Roman" w:hAnsi="Times New Roman" w:cs="Times New Roman"/>
                <w:bCs/>
                <w:sz w:val="21"/>
                <w:szCs w:val="21"/>
                <w:shd w:val="clear" w:color="auto" w:fill="FFFFFF"/>
              </w:rPr>
              <w:lastRenderedPageBreak/>
              <w:t xml:space="preserve">excludes projects that </w:t>
            </w:r>
            <w:r w:rsidR="002D2F28" w:rsidRPr="00096D52">
              <w:rPr>
                <w:rFonts w:ascii="Times New Roman" w:hAnsi="Times New Roman" w:cs="Times New Roman"/>
                <w:bCs/>
                <w:sz w:val="21"/>
                <w:szCs w:val="21"/>
                <w:shd w:val="clear" w:color="auto" w:fill="FFFFFF"/>
              </w:rPr>
              <w:t>are likely to have</w:t>
            </w:r>
            <w:r w:rsidR="00B57C04" w:rsidRPr="00096D52">
              <w:rPr>
                <w:rFonts w:ascii="Times New Roman" w:hAnsi="Times New Roman" w:cs="Times New Roman"/>
                <w:bCs/>
                <w:sz w:val="21"/>
                <w:szCs w:val="21"/>
                <w:shd w:val="clear" w:color="auto" w:fill="FFFFFF"/>
              </w:rPr>
              <w:t xml:space="preserve"> happened anyway because of an existing </w:t>
            </w:r>
            <w:r w:rsidR="00F1680D" w:rsidRPr="00096D52">
              <w:rPr>
                <w:rFonts w:ascii="Times New Roman" w:hAnsi="Times New Roman" w:cs="Times New Roman"/>
                <w:bCs/>
                <w:sz w:val="21"/>
                <w:szCs w:val="21"/>
                <w:shd w:val="clear" w:color="auto" w:fill="FFFFFF"/>
              </w:rPr>
              <w:t xml:space="preserve">or previous regulatory requirement. </w:t>
            </w:r>
            <w:r w:rsidR="00450C3E" w:rsidRPr="00096D52">
              <w:rPr>
                <w:rFonts w:ascii="Times New Roman" w:hAnsi="Times New Roman" w:cs="Times New Roman"/>
                <w:bCs/>
                <w:sz w:val="21"/>
                <w:szCs w:val="21"/>
                <w:shd w:val="clear" w:color="auto" w:fill="FFFFFF"/>
              </w:rPr>
              <w:t xml:space="preserve">It also reduces the potential for gaming, whereby a State might change its laws </w:t>
            </w:r>
            <w:proofErr w:type="gramStart"/>
            <w:r w:rsidR="00B10D33" w:rsidRPr="00096D52">
              <w:rPr>
                <w:rFonts w:ascii="Times New Roman" w:hAnsi="Times New Roman" w:cs="Times New Roman"/>
                <w:bCs/>
                <w:sz w:val="21"/>
                <w:szCs w:val="21"/>
                <w:shd w:val="clear" w:color="auto" w:fill="FFFFFF"/>
              </w:rPr>
              <w:t>in an attempt to</w:t>
            </w:r>
            <w:proofErr w:type="gramEnd"/>
            <w:r w:rsidR="00B10D33" w:rsidRPr="00096D52">
              <w:rPr>
                <w:rFonts w:ascii="Times New Roman" w:hAnsi="Times New Roman" w:cs="Times New Roman"/>
                <w:bCs/>
                <w:sz w:val="21"/>
                <w:szCs w:val="21"/>
                <w:shd w:val="clear" w:color="auto" w:fill="FFFFFF"/>
              </w:rPr>
              <w:t xml:space="preserve"> register a project.</w:t>
            </w:r>
          </w:p>
          <w:p w14:paraId="778029C9" w14:textId="6C66E7EE" w:rsidR="00147B16" w:rsidRPr="001109C7" w:rsidRDefault="00B3446C"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Project areas must </w:t>
            </w:r>
            <w:r w:rsidRPr="008566EC">
              <w:rPr>
                <w:rFonts w:ascii="Times New Roman" w:hAnsi="Times New Roman" w:cs="Times New Roman"/>
                <w:bCs/>
                <w:sz w:val="21"/>
                <w:szCs w:val="21"/>
                <w:shd w:val="clear" w:color="auto" w:fill="FFFFFF"/>
              </w:rPr>
              <w:t>consist of all public native forests designated for commercial forestry use in at least one whole forestry region</w:t>
            </w:r>
            <w:r w:rsidR="00C16CFA">
              <w:rPr>
                <w:rFonts w:ascii="Times New Roman" w:hAnsi="Times New Roman" w:cs="Times New Roman"/>
                <w:bCs/>
                <w:sz w:val="21"/>
                <w:szCs w:val="21"/>
                <w:shd w:val="clear" w:color="auto" w:fill="FFFFFF"/>
              </w:rPr>
              <w:t>. B</w:t>
            </w:r>
            <w:r w:rsidR="00147B16" w:rsidRPr="001109C7">
              <w:rPr>
                <w:rFonts w:ascii="Times New Roman" w:hAnsi="Times New Roman" w:cs="Times New Roman"/>
                <w:bCs/>
                <w:sz w:val="21"/>
                <w:szCs w:val="21"/>
                <w:shd w:val="clear" w:color="auto" w:fill="FFFFFF"/>
              </w:rPr>
              <w:t>y requiring project areas to cover whole forest</w:t>
            </w:r>
            <w:r w:rsidR="001213BD">
              <w:rPr>
                <w:rFonts w:ascii="Times New Roman" w:hAnsi="Times New Roman" w:cs="Times New Roman"/>
                <w:bCs/>
                <w:sz w:val="21"/>
                <w:szCs w:val="21"/>
                <w:shd w:val="clear" w:color="auto" w:fill="FFFFFF"/>
              </w:rPr>
              <w:t>ry</w:t>
            </w:r>
            <w:r w:rsidR="00147B16" w:rsidRPr="001109C7">
              <w:rPr>
                <w:rFonts w:ascii="Times New Roman" w:hAnsi="Times New Roman" w:cs="Times New Roman"/>
                <w:bCs/>
                <w:sz w:val="21"/>
                <w:szCs w:val="21"/>
                <w:shd w:val="clear" w:color="auto" w:fill="FFFFFF"/>
              </w:rPr>
              <w:t xml:space="preserve"> regions, </w:t>
            </w:r>
            <w:r w:rsidR="00CA2859">
              <w:rPr>
                <w:rFonts w:ascii="Times New Roman" w:hAnsi="Times New Roman" w:cs="Times New Roman"/>
                <w:bCs/>
                <w:sz w:val="21"/>
                <w:szCs w:val="21"/>
                <w:shd w:val="clear" w:color="auto" w:fill="FFFFFF"/>
              </w:rPr>
              <w:t>the Determination</w:t>
            </w:r>
            <w:r w:rsidR="00147B16" w:rsidRPr="001109C7">
              <w:rPr>
                <w:rFonts w:ascii="Times New Roman" w:hAnsi="Times New Roman" w:cs="Times New Roman"/>
                <w:bCs/>
                <w:sz w:val="21"/>
                <w:szCs w:val="21"/>
                <w:shd w:val="clear" w:color="auto" w:fill="FFFFFF"/>
              </w:rPr>
              <w:t xml:space="preserve"> increases confidence that forests in the region would be harvested in line with the baseline harvest levels.</w:t>
            </w:r>
          </w:p>
          <w:p w14:paraId="0ACFF504" w14:textId="2B24D572" w:rsidR="00147B16" w:rsidRPr="001109C7" w:rsidRDefault="00147B16"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Baseline harvest levels are derived using conservative </w:t>
            </w:r>
            <w:r w:rsidR="00E75884">
              <w:rPr>
                <w:rFonts w:ascii="Times New Roman" w:hAnsi="Times New Roman" w:cs="Times New Roman"/>
                <w:bCs/>
                <w:sz w:val="21"/>
                <w:szCs w:val="21"/>
                <w:shd w:val="clear" w:color="auto" w:fill="FFFFFF"/>
              </w:rPr>
              <w:t xml:space="preserve">‘modified’ </w:t>
            </w:r>
            <w:r w:rsidRPr="001109C7">
              <w:rPr>
                <w:rFonts w:ascii="Times New Roman" w:hAnsi="Times New Roman" w:cs="Times New Roman"/>
                <w:bCs/>
                <w:sz w:val="21"/>
                <w:szCs w:val="21"/>
                <w:shd w:val="clear" w:color="auto" w:fill="FFFFFF"/>
              </w:rPr>
              <w:t xml:space="preserve">sustainable yield estimates, equal to the </w:t>
            </w:r>
            <w:r w:rsidR="00812055">
              <w:rPr>
                <w:rFonts w:ascii="Times New Roman" w:hAnsi="Times New Roman" w:cs="Times New Roman"/>
                <w:bCs/>
                <w:sz w:val="21"/>
                <w:szCs w:val="21"/>
                <w:shd w:val="clear" w:color="auto" w:fill="FFFFFF"/>
              </w:rPr>
              <w:t>unmo</w:t>
            </w:r>
            <w:r w:rsidR="00D01C0A">
              <w:rPr>
                <w:rFonts w:ascii="Times New Roman" w:hAnsi="Times New Roman" w:cs="Times New Roman"/>
                <w:bCs/>
                <w:sz w:val="21"/>
                <w:szCs w:val="21"/>
                <w:shd w:val="clear" w:color="auto" w:fill="FFFFFF"/>
              </w:rPr>
              <w:t xml:space="preserve">dified sustainable yield multiplied by </w:t>
            </w:r>
            <w:r w:rsidR="006755D0">
              <w:rPr>
                <w:rFonts w:ascii="Times New Roman" w:hAnsi="Times New Roman" w:cs="Times New Roman"/>
                <w:bCs/>
                <w:sz w:val="21"/>
                <w:szCs w:val="21"/>
                <w:shd w:val="clear" w:color="auto" w:fill="FFFFFF"/>
              </w:rPr>
              <w:t>an adjustment facto</w:t>
            </w:r>
            <w:r w:rsidR="00233AA4">
              <w:rPr>
                <w:rFonts w:ascii="Times New Roman" w:hAnsi="Times New Roman" w:cs="Times New Roman"/>
                <w:bCs/>
                <w:sz w:val="21"/>
                <w:szCs w:val="21"/>
                <w:shd w:val="clear" w:color="auto" w:fill="FFFFFF"/>
              </w:rPr>
              <w:t>r</w:t>
            </w:r>
            <w:r w:rsidR="00F647F5">
              <w:rPr>
                <w:rFonts w:ascii="Times New Roman" w:hAnsi="Times New Roman" w:cs="Times New Roman"/>
                <w:bCs/>
                <w:sz w:val="21"/>
                <w:szCs w:val="21"/>
                <w:shd w:val="clear" w:color="auto" w:fill="FFFFFF"/>
              </w:rPr>
              <w:t xml:space="preserve">. </w:t>
            </w:r>
            <w:r w:rsidR="0047348D">
              <w:rPr>
                <w:rFonts w:ascii="Times New Roman" w:hAnsi="Times New Roman" w:cs="Times New Roman"/>
                <w:bCs/>
                <w:sz w:val="21"/>
                <w:szCs w:val="21"/>
                <w:shd w:val="clear" w:color="auto" w:fill="FFFFFF"/>
              </w:rPr>
              <w:t xml:space="preserve">The unmodified </w:t>
            </w:r>
            <w:r w:rsidR="00507993">
              <w:rPr>
                <w:rFonts w:ascii="Times New Roman" w:hAnsi="Times New Roman" w:cs="Times New Roman"/>
                <w:bCs/>
                <w:sz w:val="21"/>
                <w:szCs w:val="21"/>
                <w:shd w:val="clear" w:color="auto" w:fill="FFFFFF"/>
              </w:rPr>
              <w:t xml:space="preserve">sustainable yield is calculated as </w:t>
            </w:r>
            <w:r w:rsidR="00D01C0A">
              <w:rPr>
                <w:rFonts w:ascii="Times New Roman" w:hAnsi="Times New Roman" w:cs="Times New Roman"/>
                <w:bCs/>
                <w:sz w:val="21"/>
                <w:szCs w:val="21"/>
                <w:shd w:val="clear" w:color="auto" w:fill="FFFFFF"/>
              </w:rPr>
              <w:t xml:space="preserve">the </w:t>
            </w:r>
            <w:r w:rsidRPr="001109C7">
              <w:rPr>
                <w:rFonts w:ascii="Times New Roman" w:hAnsi="Times New Roman" w:cs="Times New Roman"/>
                <w:bCs/>
                <w:sz w:val="21"/>
                <w:szCs w:val="21"/>
                <w:shd w:val="clear" w:color="auto" w:fill="FFFFFF"/>
              </w:rPr>
              <w:t xml:space="preserve">lower of the sustainable yield </w:t>
            </w:r>
            <w:r w:rsidR="000A0FFC">
              <w:rPr>
                <w:rFonts w:ascii="Times New Roman" w:hAnsi="Times New Roman" w:cs="Times New Roman"/>
                <w:bCs/>
                <w:sz w:val="21"/>
                <w:szCs w:val="21"/>
                <w:shd w:val="clear" w:color="auto" w:fill="FFFFFF"/>
              </w:rPr>
              <w:t xml:space="preserve">calculated in accordance with </w:t>
            </w:r>
            <w:r w:rsidR="00B25B4D">
              <w:rPr>
                <w:rFonts w:ascii="Times New Roman" w:hAnsi="Times New Roman" w:cs="Times New Roman"/>
                <w:bCs/>
                <w:sz w:val="21"/>
                <w:szCs w:val="21"/>
                <w:shd w:val="clear" w:color="auto" w:fill="FFFFFF"/>
              </w:rPr>
              <w:t>an RFA-consistent method and</w:t>
            </w:r>
            <w:r w:rsidRPr="001109C7">
              <w:rPr>
                <w:rFonts w:ascii="Times New Roman" w:hAnsi="Times New Roman" w:cs="Times New Roman"/>
                <w:bCs/>
                <w:sz w:val="21"/>
                <w:szCs w:val="21"/>
                <w:shd w:val="clear" w:color="auto" w:fill="FFFFFF"/>
              </w:rPr>
              <w:t xml:space="preserve"> the last sustainable yield published </w:t>
            </w:r>
            <w:r w:rsidR="003A3147">
              <w:rPr>
                <w:rFonts w:ascii="Times New Roman" w:hAnsi="Times New Roman" w:cs="Times New Roman"/>
                <w:bCs/>
                <w:sz w:val="21"/>
                <w:szCs w:val="21"/>
                <w:shd w:val="clear" w:color="auto" w:fill="FFFFFF"/>
              </w:rPr>
              <w:t xml:space="preserve">over the period </w:t>
            </w:r>
            <w:r w:rsidR="00FA08B2" w:rsidRPr="00FA08B2">
              <w:rPr>
                <w:rFonts w:ascii="Times New Roman" w:hAnsi="Times New Roman" w:cs="Times New Roman"/>
                <w:bCs/>
                <w:sz w:val="21"/>
                <w:szCs w:val="21"/>
                <w:shd w:val="clear" w:color="auto" w:fill="FFFFFF"/>
              </w:rPr>
              <w:t>1 July 2014 to 30 June 2024</w:t>
            </w:r>
            <w:r w:rsidRPr="001109C7">
              <w:rPr>
                <w:rFonts w:ascii="Times New Roman" w:hAnsi="Times New Roman" w:cs="Times New Roman"/>
                <w:bCs/>
                <w:sz w:val="21"/>
                <w:szCs w:val="21"/>
                <w:shd w:val="clear" w:color="auto" w:fill="FFFFFF"/>
              </w:rPr>
              <w:t xml:space="preserve">. </w:t>
            </w:r>
            <w:r w:rsidR="008D71E0">
              <w:rPr>
                <w:rFonts w:ascii="Times New Roman" w:hAnsi="Times New Roman" w:cs="Times New Roman"/>
                <w:bCs/>
                <w:sz w:val="21"/>
                <w:szCs w:val="21"/>
                <w:shd w:val="clear" w:color="auto" w:fill="FFFFFF"/>
              </w:rPr>
              <w:t xml:space="preserve">The adjustment factor captures the fact that </w:t>
            </w:r>
            <w:r w:rsidR="00DE6A16">
              <w:rPr>
                <w:rFonts w:ascii="Times New Roman" w:hAnsi="Times New Roman" w:cs="Times New Roman"/>
                <w:bCs/>
                <w:sz w:val="21"/>
                <w:szCs w:val="21"/>
                <w:shd w:val="clear" w:color="auto" w:fill="FFFFFF"/>
              </w:rPr>
              <w:t xml:space="preserve">the volume of logs harvested </w:t>
            </w:r>
            <w:r w:rsidR="008D71E0">
              <w:rPr>
                <w:rFonts w:ascii="Times New Roman" w:hAnsi="Times New Roman" w:cs="Times New Roman"/>
                <w:bCs/>
                <w:sz w:val="21"/>
                <w:szCs w:val="21"/>
                <w:shd w:val="clear" w:color="auto" w:fill="FFFFFF"/>
              </w:rPr>
              <w:t xml:space="preserve">is generally below the sustainable yield. </w:t>
            </w:r>
            <w:r w:rsidRPr="001109C7">
              <w:rPr>
                <w:rFonts w:ascii="Times New Roman" w:hAnsi="Times New Roman" w:cs="Times New Roman"/>
                <w:bCs/>
                <w:sz w:val="21"/>
                <w:szCs w:val="21"/>
                <w:shd w:val="clear" w:color="auto" w:fill="FFFFFF"/>
              </w:rPr>
              <w:t xml:space="preserve">The modified sustainable yield must be calculated at project commencement and then updated at years 5 and 10 and following major natural disturbances. </w:t>
            </w:r>
            <w:r w:rsidR="00766C35">
              <w:rPr>
                <w:rFonts w:ascii="Times New Roman" w:hAnsi="Times New Roman" w:cs="Times New Roman"/>
                <w:bCs/>
                <w:sz w:val="21"/>
                <w:szCs w:val="21"/>
                <w:shd w:val="clear" w:color="auto" w:fill="FFFFFF"/>
              </w:rPr>
              <w:t xml:space="preserve">By using the sustainable yield to derive the baseline, the Determination </w:t>
            </w:r>
            <w:r w:rsidRPr="001109C7">
              <w:rPr>
                <w:rFonts w:ascii="Times New Roman" w:hAnsi="Times New Roman" w:cs="Times New Roman"/>
                <w:bCs/>
                <w:sz w:val="21"/>
                <w:szCs w:val="21"/>
                <w:shd w:val="clear" w:color="auto" w:fill="FFFFFF"/>
              </w:rPr>
              <w:t>account</w:t>
            </w:r>
            <w:r w:rsidR="00766C35">
              <w:rPr>
                <w:rFonts w:ascii="Times New Roman" w:hAnsi="Times New Roman" w:cs="Times New Roman"/>
                <w:bCs/>
                <w:sz w:val="21"/>
                <w:szCs w:val="21"/>
                <w:shd w:val="clear" w:color="auto" w:fill="FFFFFF"/>
              </w:rPr>
              <w:t>s</w:t>
            </w:r>
            <w:r w:rsidRPr="001109C7">
              <w:rPr>
                <w:rFonts w:ascii="Times New Roman" w:hAnsi="Times New Roman" w:cs="Times New Roman"/>
                <w:bCs/>
                <w:sz w:val="21"/>
                <w:szCs w:val="21"/>
                <w:shd w:val="clear" w:color="auto" w:fill="FFFFFF"/>
              </w:rPr>
              <w:t xml:space="preserve"> for the risks that harvesting may decline anyway because </w:t>
            </w:r>
            <w:r w:rsidR="007479CF">
              <w:rPr>
                <w:rFonts w:ascii="Times New Roman" w:hAnsi="Times New Roman" w:cs="Times New Roman"/>
                <w:bCs/>
                <w:sz w:val="21"/>
                <w:szCs w:val="21"/>
                <w:shd w:val="clear" w:color="auto" w:fill="FFFFFF"/>
              </w:rPr>
              <w:t>of a reduction in harvestable forest timber</w:t>
            </w:r>
            <w:r w:rsidR="00866320">
              <w:rPr>
                <w:rFonts w:ascii="Times New Roman" w:hAnsi="Times New Roman" w:cs="Times New Roman"/>
                <w:bCs/>
                <w:sz w:val="21"/>
                <w:szCs w:val="21"/>
                <w:shd w:val="clear" w:color="auto" w:fill="FFFFFF"/>
              </w:rPr>
              <w:t xml:space="preserve">. </w:t>
            </w:r>
            <w:r w:rsidR="00A55B02">
              <w:rPr>
                <w:rFonts w:ascii="Times New Roman" w:hAnsi="Times New Roman" w:cs="Times New Roman"/>
                <w:bCs/>
                <w:sz w:val="21"/>
                <w:szCs w:val="21"/>
                <w:shd w:val="clear" w:color="auto" w:fill="FFFFFF"/>
              </w:rPr>
              <w:t xml:space="preserve">The </w:t>
            </w:r>
            <w:r w:rsidR="00D85783">
              <w:rPr>
                <w:rFonts w:ascii="Times New Roman" w:hAnsi="Times New Roman" w:cs="Times New Roman"/>
                <w:bCs/>
                <w:sz w:val="21"/>
                <w:szCs w:val="21"/>
                <w:shd w:val="clear" w:color="auto" w:fill="FFFFFF"/>
              </w:rPr>
              <w:t xml:space="preserve">adjustment factor that is used to calculate </w:t>
            </w:r>
            <w:r w:rsidR="00A55B02">
              <w:rPr>
                <w:rFonts w:ascii="Times New Roman" w:hAnsi="Times New Roman" w:cs="Times New Roman"/>
                <w:bCs/>
                <w:sz w:val="21"/>
                <w:szCs w:val="21"/>
                <w:shd w:val="clear" w:color="auto" w:fill="FFFFFF"/>
              </w:rPr>
              <w:t>the modified sustainable yield</w:t>
            </w:r>
            <w:r w:rsidR="00866320">
              <w:rPr>
                <w:rFonts w:ascii="Times New Roman" w:hAnsi="Times New Roman" w:cs="Times New Roman"/>
                <w:bCs/>
                <w:sz w:val="21"/>
                <w:szCs w:val="21"/>
                <w:shd w:val="clear" w:color="auto" w:fill="FFFFFF"/>
              </w:rPr>
              <w:t xml:space="preserve"> also accounts for the </w:t>
            </w:r>
            <w:r w:rsidR="000D62A9">
              <w:rPr>
                <w:rFonts w:ascii="Times New Roman" w:hAnsi="Times New Roman" w:cs="Times New Roman"/>
                <w:bCs/>
                <w:sz w:val="21"/>
                <w:szCs w:val="21"/>
                <w:shd w:val="clear" w:color="auto" w:fill="FFFFFF"/>
              </w:rPr>
              <w:t xml:space="preserve">historic difference between the </w:t>
            </w:r>
            <w:r w:rsidR="00A55B02">
              <w:rPr>
                <w:rFonts w:ascii="Times New Roman" w:hAnsi="Times New Roman" w:cs="Times New Roman"/>
                <w:bCs/>
                <w:sz w:val="21"/>
                <w:szCs w:val="21"/>
                <w:shd w:val="clear" w:color="auto" w:fill="FFFFFF"/>
              </w:rPr>
              <w:t xml:space="preserve">volume of </w:t>
            </w:r>
            <w:r w:rsidR="000D62A9">
              <w:rPr>
                <w:rFonts w:ascii="Times New Roman" w:hAnsi="Times New Roman" w:cs="Times New Roman"/>
                <w:bCs/>
                <w:sz w:val="21"/>
                <w:szCs w:val="21"/>
                <w:shd w:val="clear" w:color="auto" w:fill="FFFFFF"/>
              </w:rPr>
              <w:t>logs harvested and the sustainable yield</w:t>
            </w:r>
            <w:r w:rsidR="00F55F53">
              <w:rPr>
                <w:rFonts w:ascii="Times New Roman" w:hAnsi="Times New Roman" w:cs="Times New Roman"/>
                <w:bCs/>
                <w:sz w:val="21"/>
                <w:szCs w:val="21"/>
                <w:shd w:val="clear" w:color="auto" w:fill="FFFFFF"/>
              </w:rPr>
              <w:t xml:space="preserve">, thereby reducing the risk of the baseline harvest levels </w:t>
            </w:r>
            <w:r w:rsidR="0015348E">
              <w:rPr>
                <w:rFonts w:ascii="Times New Roman" w:hAnsi="Times New Roman" w:cs="Times New Roman"/>
                <w:bCs/>
                <w:sz w:val="21"/>
                <w:szCs w:val="21"/>
                <w:shd w:val="clear" w:color="auto" w:fill="FFFFFF"/>
              </w:rPr>
              <w:t>being unrepresentative and insufficiently conservative</w:t>
            </w:r>
            <w:r w:rsidR="000D62A9">
              <w:rPr>
                <w:rFonts w:ascii="Times New Roman" w:hAnsi="Times New Roman" w:cs="Times New Roman"/>
                <w:bCs/>
                <w:sz w:val="21"/>
                <w:szCs w:val="21"/>
                <w:shd w:val="clear" w:color="auto" w:fill="FFFFFF"/>
              </w:rPr>
              <w:t xml:space="preserve">. </w:t>
            </w:r>
          </w:p>
          <w:p w14:paraId="66F74AA1" w14:textId="045685A9" w:rsidR="00147B16" w:rsidRPr="001109C7" w:rsidRDefault="00147B16"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Projects have 15-year crediting periods, with credited abatement limited to the abatement generated over this period. Limiting crediting to 15 years mitigates the risk </w:t>
            </w:r>
            <w:r w:rsidR="005312B9">
              <w:rPr>
                <w:rFonts w:ascii="Times New Roman" w:hAnsi="Times New Roman" w:cs="Times New Roman"/>
                <w:bCs/>
                <w:sz w:val="21"/>
                <w:szCs w:val="21"/>
                <w:shd w:val="clear" w:color="auto" w:fill="FFFFFF"/>
              </w:rPr>
              <w:t xml:space="preserve">of projects being issued credits for abatement that would have occurred anyway due to </w:t>
            </w:r>
            <w:r w:rsidR="003F4850">
              <w:rPr>
                <w:rFonts w:ascii="Times New Roman" w:hAnsi="Times New Roman" w:cs="Times New Roman"/>
                <w:bCs/>
                <w:sz w:val="21"/>
                <w:szCs w:val="21"/>
                <w:shd w:val="clear" w:color="auto" w:fill="FFFFFF"/>
              </w:rPr>
              <w:t xml:space="preserve">future </w:t>
            </w:r>
            <w:r w:rsidR="00203F3C">
              <w:rPr>
                <w:rFonts w:ascii="Times New Roman" w:hAnsi="Times New Roman" w:cs="Times New Roman"/>
                <w:bCs/>
                <w:sz w:val="21"/>
                <w:szCs w:val="21"/>
                <w:shd w:val="clear" w:color="auto" w:fill="FFFFFF"/>
              </w:rPr>
              <w:t>changes in government policy</w:t>
            </w:r>
            <w:r w:rsidRPr="001109C7">
              <w:rPr>
                <w:rFonts w:ascii="Times New Roman" w:hAnsi="Times New Roman" w:cs="Times New Roman"/>
                <w:bCs/>
                <w:sz w:val="21"/>
                <w:szCs w:val="21"/>
                <w:shd w:val="clear" w:color="auto" w:fill="FFFFFF"/>
              </w:rPr>
              <w:t>.</w:t>
            </w:r>
          </w:p>
          <w:p w14:paraId="37F6FAD3" w14:textId="28B0D454" w:rsidR="00147B16" w:rsidRPr="001109C7" w:rsidRDefault="00147B16"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rPr>
              <w:t xml:space="preserve">Projects are only eligible to receive ACCUs </w:t>
            </w:r>
            <w:r w:rsidR="004168B9">
              <w:rPr>
                <w:rFonts w:ascii="Times New Roman" w:hAnsi="Times New Roman" w:cs="Times New Roman"/>
                <w:bCs/>
                <w:sz w:val="21"/>
                <w:szCs w:val="21"/>
              </w:rPr>
              <w:t xml:space="preserve">in a reporting period </w:t>
            </w:r>
            <w:r w:rsidRPr="001109C7">
              <w:rPr>
                <w:rFonts w:ascii="Times New Roman" w:hAnsi="Times New Roman" w:cs="Times New Roman"/>
                <w:bCs/>
                <w:sz w:val="21"/>
                <w:szCs w:val="21"/>
              </w:rPr>
              <w:t xml:space="preserve">if the volume of wood extracted from the project area </w:t>
            </w:r>
            <w:r w:rsidR="00D72679">
              <w:rPr>
                <w:rFonts w:ascii="Times New Roman" w:hAnsi="Times New Roman" w:cs="Times New Roman"/>
                <w:bCs/>
                <w:sz w:val="21"/>
                <w:szCs w:val="21"/>
              </w:rPr>
              <w:t>is</w:t>
            </w:r>
            <w:r w:rsidRPr="001109C7">
              <w:rPr>
                <w:rFonts w:ascii="Times New Roman" w:hAnsi="Times New Roman" w:cs="Times New Roman"/>
                <w:bCs/>
                <w:sz w:val="21"/>
                <w:szCs w:val="21"/>
              </w:rPr>
              <w:t xml:space="preserve"> </w:t>
            </w:r>
            <w:r w:rsidR="00303771">
              <w:rPr>
                <w:rFonts w:ascii="Times New Roman" w:hAnsi="Times New Roman" w:cs="Times New Roman"/>
                <w:bCs/>
                <w:sz w:val="21"/>
                <w:szCs w:val="21"/>
              </w:rPr>
              <w:t xml:space="preserve">at least </w:t>
            </w:r>
            <w:r w:rsidRPr="00821F22">
              <w:rPr>
                <w:rFonts w:ascii="Times New Roman" w:hAnsi="Times New Roman" w:cs="Times New Roman"/>
                <w:bCs/>
                <w:sz w:val="21"/>
                <w:szCs w:val="21"/>
              </w:rPr>
              <w:t xml:space="preserve">20% below the levels in the baseline scenario, both </w:t>
            </w:r>
            <w:r w:rsidR="004168B9" w:rsidRPr="00821F22">
              <w:rPr>
                <w:rFonts w:ascii="Times New Roman" w:hAnsi="Times New Roman" w:cs="Times New Roman"/>
                <w:bCs/>
                <w:sz w:val="21"/>
                <w:szCs w:val="21"/>
              </w:rPr>
              <w:t xml:space="preserve">in each </w:t>
            </w:r>
            <w:r w:rsidR="00EF40E3">
              <w:rPr>
                <w:rFonts w:ascii="Times New Roman" w:hAnsi="Times New Roman" w:cs="Times New Roman"/>
                <w:bCs/>
                <w:sz w:val="21"/>
                <w:szCs w:val="21"/>
              </w:rPr>
              <w:t>12</w:t>
            </w:r>
            <w:r w:rsidR="004168B9" w:rsidRPr="00821F22">
              <w:rPr>
                <w:rFonts w:ascii="Times New Roman" w:hAnsi="Times New Roman" w:cs="Times New Roman"/>
                <w:bCs/>
                <w:sz w:val="21"/>
                <w:szCs w:val="21"/>
              </w:rPr>
              <w:t>-month segment of the reporting period</w:t>
            </w:r>
            <w:r w:rsidR="00254808">
              <w:rPr>
                <w:rFonts w:ascii="Times New Roman" w:hAnsi="Times New Roman" w:cs="Times New Roman"/>
                <w:bCs/>
                <w:sz w:val="21"/>
                <w:szCs w:val="21"/>
              </w:rPr>
              <w:t xml:space="preserve"> </w:t>
            </w:r>
            <w:r w:rsidR="00EF40E3">
              <w:rPr>
                <w:rFonts w:ascii="Times New Roman" w:hAnsi="Times New Roman" w:cs="Times New Roman"/>
                <w:bCs/>
                <w:sz w:val="21"/>
                <w:szCs w:val="21"/>
              </w:rPr>
              <w:t>(or part thereof)</w:t>
            </w:r>
            <w:r w:rsidRPr="00821F22">
              <w:rPr>
                <w:rFonts w:ascii="Times New Roman" w:hAnsi="Times New Roman" w:cs="Times New Roman"/>
                <w:bCs/>
                <w:sz w:val="21"/>
                <w:szCs w:val="21"/>
              </w:rPr>
              <w:t xml:space="preserve"> and </w:t>
            </w:r>
            <w:r w:rsidR="007E0D60" w:rsidRPr="00821F22">
              <w:rPr>
                <w:rFonts w:ascii="Times New Roman" w:hAnsi="Times New Roman" w:cs="Times New Roman"/>
                <w:bCs/>
                <w:sz w:val="21"/>
                <w:szCs w:val="21"/>
              </w:rPr>
              <w:t>on aggregate since the</w:t>
            </w:r>
            <w:r w:rsidR="007E0D60">
              <w:rPr>
                <w:rFonts w:ascii="Times New Roman" w:hAnsi="Times New Roman" w:cs="Times New Roman"/>
                <w:bCs/>
                <w:sz w:val="21"/>
                <w:szCs w:val="21"/>
              </w:rPr>
              <w:t xml:space="preserve"> date of project registration</w:t>
            </w:r>
            <w:r w:rsidR="00EF40E3">
              <w:rPr>
                <w:rFonts w:ascii="Times New Roman" w:hAnsi="Times New Roman" w:cs="Times New Roman"/>
                <w:bCs/>
                <w:sz w:val="21"/>
                <w:szCs w:val="21"/>
              </w:rPr>
              <w:t xml:space="preserve"> through to the end of the reporting period</w:t>
            </w:r>
            <w:r w:rsidRPr="001109C7">
              <w:rPr>
                <w:rFonts w:ascii="Times New Roman" w:hAnsi="Times New Roman" w:cs="Times New Roman"/>
                <w:bCs/>
                <w:sz w:val="21"/>
                <w:szCs w:val="21"/>
              </w:rPr>
              <w:t xml:space="preserve">. </w:t>
            </w:r>
            <w:r w:rsidR="00E6154F">
              <w:rPr>
                <w:rFonts w:ascii="Times New Roman" w:hAnsi="Times New Roman" w:cs="Times New Roman"/>
                <w:bCs/>
                <w:sz w:val="21"/>
                <w:szCs w:val="21"/>
              </w:rPr>
              <w:t xml:space="preserve">Project registration is also contingent on projects being likely to satisfy this hurdle requirement in each </w:t>
            </w:r>
            <w:r w:rsidR="00EF40E3">
              <w:rPr>
                <w:rFonts w:ascii="Times New Roman" w:hAnsi="Times New Roman" w:cs="Times New Roman"/>
                <w:bCs/>
                <w:sz w:val="21"/>
                <w:szCs w:val="21"/>
              </w:rPr>
              <w:t>12</w:t>
            </w:r>
            <w:r w:rsidR="00E6154F">
              <w:rPr>
                <w:rFonts w:ascii="Times New Roman" w:hAnsi="Times New Roman" w:cs="Times New Roman"/>
                <w:bCs/>
                <w:sz w:val="21"/>
                <w:szCs w:val="21"/>
              </w:rPr>
              <w:t xml:space="preserve">-month segment of the crediting period. </w:t>
            </w:r>
            <w:r w:rsidRPr="001109C7">
              <w:rPr>
                <w:rFonts w:ascii="Times New Roman" w:hAnsi="Times New Roman" w:cs="Times New Roman"/>
                <w:bCs/>
                <w:sz w:val="21"/>
                <w:szCs w:val="21"/>
              </w:rPr>
              <w:t>Th</w:t>
            </w:r>
            <w:r w:rsidR="00C15DDA">
              <w:rPr>
                <w:rFonts w:ascii="Times New Roman" w:hAnsi="Times New Roman" w:cs="Times New Roman"/>
                <w:bCs/>
                <w:sz w:val="21"/>
                <w:szCs w:val="21"/>
              </w:rPr>
              <w:t>e</w:t>
            </w:r>
            <w:r w:rsidRPr="001109C7">
              <w:rPr>
                <w:rFonts w:ascii="Times New Roman" w:hAnsi="Times New Roman" w:cs="Times New Roman"/>
                <w:bCs/>
                <w:sz w:val="21"/>
                <w:szCs w:val="21"/>
              </w:rPr>
              <w:t xml:space="preserve"> hurdle requirement mitigate</w:t>
            </w:r>
            <w:r w:rsidR="0074174E">
              <w:rPr>
                <w:rFonts w:ascii="Times New Roman" w:hAnsi="Times New Roman" w:cs="Times New Roman"/>
                <w:bCs/>
                <w:sz w:val="21"/>
                <w:szCs w:val="21"/>
              </w:rPr>
              <w:t>s</w:t>
            </w:r>
            <w:r w:rsidRPr="001109C7">
              <w:rPr>
                <w:rFonts w:ascii="Times New Roman" w:hAnsi="Times New Roman" w:cs="Times New Roman"/>
                <w:bCs/>
                <w:sz w:val="21"/>
                <w:szCs w:val="21"/>
              </w:rPr>
              <w:t xml:space="preserve"> the risk of crediting minor, short-term fluctuations in harvesting associated with market or other business-as-usual conditions. For credits to be issued, there must be a significant reduction in harvesting that goes beyond normal interannual variability.</w:t>
            </w:r>
          </w:p>
          <w:p w14:paraId="19013F8E" w14:textId="2B4DDDEF" w:rsidR="00147B16" w:rsidRPr="001109C7" w:rsidRDefault="00147B16" w:rsidP="009D5A62">
            <w:pPr>
              <w:pStyle w:val="ListParagraph"/>
              <w:numPr>
                <w:ilvl w:val="0"/>
                <w:numId w:val="17"/>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Projects must have 100-year permanence periods. The combination of 100-year permanence period and 15-year crediting period </w:t>
            </w:r>
            <w:r w:rsidR="00D064B7" w:rsidRPr="00D064B7">
              <w:rPr>
                <w:rFonts w:ascii="Times New Roman" w:hAnsi="Times New Roman" w:cs="Times New Roman"/>
                <w:bCs/>
                <w:sz w:val="21"/>
                <w:szCs w:val="21"/>
                <w:shd w:val="clear" w:color="auto" w:fill="FFFFFF"/>
              </w:rPr>
              <w:t>provide</w:t>
            </w:r>
            <w:r w:rsidR="00832A8C">
              <w:rPr>
                <w:rFonts w:ascii="Times New Roman" w:hAnsi="Times New Roman" w:cs="Times New Roman"/>
                <w:bCs/>
                <w:sz w:val="21"/>
                <w:szCs w:val="21"/>
                <w:shd w:val="clear" w:color="auto" w:fill="FFFFFF"/>
              </w:rPr>
              <w:t>s</w:t>
            </w:r>
            <w:r w:rsidR="00D064B7" w:rsidRPr="00D064B7">
              <w:rPr>
                <w:rFonts w:ascii="Times New Roman" w:hAnsi="Times New Roman" w:cs="Times New Roman"/>
                <w:bCs/>
                <w:sz w:val="21"/>
                <w:szCs w:val="21"/>
                <w:shd w:val="clear" w:color="auto" w:fill="FFFFFF"/>
              </w:rPr>
              <w:t xml:space="preserve"> further assurance of additionality</w:t>
            </w:r>
            <w:r w:rsidR="009D54BC">
              <w:rPr>
                <w:rFonts w:ascii="Times New Roman" w:hAnsi="Times New Roman" w:cs="Times New Roman"/>
                <w:bCs/>
                <w:sz w:val="21"/>
                <w:szCs w:val="21"/>
                <w:shd w:val="clear" w:color="auto" w:fill="FFFFFF"/>
              </w:rPr>
              <w:t xml:space="preserve"> (</w:t>
            </w:r>
            <w:r w:rsidR="009C3F8B">
              <w:rPr>
                <w:rFonts w:ascii="Times New Roman" w:hAnsi="Times New Roman" w:cs="Times New Roman"/>
                <w:bCs/>
                <w:sz w:val="21"/>
                <w:szCs w:val="21"/>
                <w:shd w:val="clear" w:color="auto" w:fill="FFFFFF"/>
              </w:rPr>
              <w:t>e.g.</w:t>
            </w:r>
            <w:r w:rsidR="009D54BC">
              <w:rPr>
                <w:rFonts w:ascii="Times New Roman" w:hAnsi="Times New Roman" w:cs="Times New Roman"/>
                <w:bCs/>
                <w:sz w:val="21"/>
                <w:szCs w:val="21"/>
                <w:shd w:val="clear" w:color="auto" w:fill="FFFFFF"/>
              </w:rPr>
              <w:t xml:space="preserve"> </w:t>
            </w:r>
            <w:r w:rsidR="009F4EF1">
              <w:rPr>
                <w:rFonts w:ascii="Times New Roman" w:hAnsi="Times New Roman" w:cs="Times New Roman"/>
                <w:bCs/>
                <w:sz w:val="21"/>
                <w:szCs w:val="21"/>
                <w:shd w:val="clear" w:color="auto" w:fill="FFFFFF"/>
              </w:rPr>
              <w:t xml:space="preserve">the 100-year permanence period </w:t>
            </w:r>
            <w:r w:rsidR="009D54BC">
              <w:rPr>
                <w:rFonts w:ascii="Times New Roman" w:hAnsi="Times New Roman" w:cs="Times New Roman"/>
                <w:bCs/>
                <w:sz w:val="21"/>
                <w:szCs w:val="21"/>
                <w:shd w:val="clear" w:color="auto" w:fill="FFFFFF"/>
              </w:rPr>
              <w:t>avoid</w:t>
            </w:r>
            <w:r w:rsidR="00221C9F">
              <w:rPr>
                <w:rFonts w:ascii="Times New Roman" w:hAnsi="Times New Roman" w:cs="Times New Roman"/>
                <w:bCs/>
                <w:sz w:val="21"/>
                <w:szCs w:val="21"/>
                <w:shd w:val="clear" w:color="auto" w:fill="FFFFFF"/>
              </w:rPr>
              <w:t>s</w:t>
            </w:r>
            <w:r w:rsidR="009D54BC">
              <w:rPr>
                <w:rFonts w:ascii="Times New Roman" w:hAnsi="Times New Roman" w:cs="Times New Roman"/>
                <w:bCs/>
                <w:sz w:val="21"/>
                <w:szCs w:val="21"/>
                <w:shd w:val="clear" w:color="auto" w:fill="FFFFFF"/>
              </w:rPr>
              <w:t xml:space="preserve"> any potential resumption of harvesting </w:t>
            </w:r>
            <w:r w:rsidR="009C3F8B">
              <w:rPr>
                <w:rFonts w:ascii="Times New Roman" w:hAnsi="Times New Roman" w:cs="Times New Roman"/>
                <w:bCs/>
                <w:sz w:val="21"/>
                <w:szCs w:val="21"/>
                <w:shd w:val="clear" w:color="auto" w:fill="FFFFFF"/>
              </w:rPr>
              <w:t>over the period</w:t>
            </w:r>
            <w:r w:rsidR="001C05CD">
              <w:rPr>
                <w:rFonts w:ascii="Times New Roman" w:hAnsi="Times New Roman" w:cs="Times New Roman"/>
                <w:bCs/>
                <w:sz w:val="21"/>
                <w:szCs w:val="21"/>
                <w:shd w:val="clear" w:color="auto" w:fill="FFFFFF"/>
              </w:rPr>
              <w:t xml:space="preserve">, </w:t>
            </w:r>
            <w:r w:rsidR="00632C87" w:rsidRPr="00632C87">
              <w:rPr>
                <w:rFonts w:ascii="Times New Roman" w:hAnsi="Times New Roman" w:cs="Times New Roman"/>
                <w:bCs/>
                <w:sz w:val="21"/>
                <w:szCs w:val="21"/>
                <w:shd w:val="clear" w:color="auto" w:fill="FFFFFF"/>
              </w:rPr>
              <w:t xml:space="preserve">while the 15-year crediting period ensures this </w:t>
            </w:r>
            <w:r w:rsidR="00632C87">
              <w:rPr>
                <w:rFonts w:ascii="Times New Roman" w:hAnsi="Times New Roman" w:cs="Times New Roman"/>
                <w:bCs/>
                <w:sz w:val="21"/>
                <w:szCs w:val="21"/>
                <w:shd w:val="clear" w:color="auto" w:fill="FFFFFF"/>
              </w:rPr>
              <w:t xml:space="preserve">future </w:t>
            </w:r>
            <w:r w:rsidR="00632C87" w:rsidRPr="00632C87">
              <w:rPr>
                <w:rFonts w:ascii="Times New Roman" w:hAnsi="Times New Roman" w:cs="Times New Roman"/>
                <w:bCs/>
                <w:sz w:val="21"/>
                <w:szCs w:val="21"/>
                <w:shd w:val="clear" w:color="auto" w:fill="FFFFFF"/>
              </w:rPr>
              <w:t>avoided harvesting is not credited</w:t>
            </w:r>
            <w:r w:rsidR="009C3F8B">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w:t>
            </w:r>
          </w:p>
        </w:tc>
        <w:tc>
          <w:tcPr>
            <w:tcW w:w="1417" w:type="dxa"/>
          </w:tcPr>
          <w:p w14:paraId="318A1EAF" w14:textId="77777777" w:rsidR="00147B16" w:rsidRPr="00D22376" w:rsidRDefault="00147B16" w:rsidP="001109C7">
            <w:pPr>
              <w:spacing w:before="60" w:after="60"/>
              <w:rPr>
                <w:rFonts w:ascii="Times New Roman" w:hAnsi="Times New Roman" w:cs="Times New Roman"/>
                <w:bCs/>
                <w:sz w:val="21"/>
                <w:szCs w:val="21"/>
                <w:shd w:val="clear" w:color="auto" w:fill="FFFFFF"/>
              </w:rPr>
            </w:pPr>
          </w:p>
          <w:p w14:paraId="00CCF652" w14:textId="77777777" w:rsidR="00062FB9" w:rsidRPr="00D22376" w:rsidRDefault="00062FB9" w:rsidP="001109C7">
            <w:pPr>
              <w:spacing w:before="60" w:after="60"/>
              <w:rPr>
                <w:rFonts w:ascii="Times New Roman" w:hAnsi="Times New Roman" w:cs="Times New Roman"/>
                <w:bCs/>
                <w:sz w:val="21"/>
                <w:szCs w:val="21"/>
                <w:shd w:val="clear" w:color="auto" w:fill="FFFFFF"/>
              </w:rPr>
            </w:pPr>
          </w:p>
          <w:p w14:paraId="224493E9" w14:textId="77777777" w:rsidR="00062FB9" w:rsidRPr="00D22376" w:rsidRDefault="00062FB9" w:rsidP="001109C7">
            <w:pPr>
              <w:spacing w:before="60" w:after="60"/>
              <w:rPr>
                <w:rFonts w:ascii="Times New Roman" w:hAnsi="Times New Roman" w:cs="Times New Roman"/>
                <w:bCs/>
                <w:sz w:val="21"/>
                <w:szCs w:val="21"/>
                <w:shd w:val="clear" w:color="auto" w:fill="FFFFFF"/>
              </w:rPr>
            </w:pPr>
          </w:p>
          <w:p w14:paraId="42024A01" w14:textId="77777777" w:rsidR="00062FB9" w:rsidRPr="00D22376" w:rsidRDefault="00062FB9" w:rsidP="001109C7">
            <w:pPr>
              <w:spacing w:before="60" w:after="60"/>
              <w:rPr>
                <w:rFonts w:ascii="Times New Roman" w:hAnsi="Times New Roman" w:cs="Times New Roman"/>
                <w:bCs/>
                <w:sz w:val="21"/>
                <w:szCs w:val="21"/>
                <w:shd w:val="clear" w:color="auto" w:fill="FFFFFF"/>
              </w:rPr>
            </w:pPr>
          </w:p>
          <w:p w14:paraId="3DAF6807" w14:textId="792DA628" w:rsidR="00062FB9" w:rsidRDefault="00062FB9" w:rsidP="001109C7">
            <w:pPr>
              <w:spacing w:before="60" w:after="60"/>
              <w:rPr>
                <w:rFonts w:ascii="Times New Roman" w:hAnsi="Times New Roman" w:cs="Times New Roman"/>
                <w:bCs/>
                <w:sz w:val="21"/>
                <w:szCs w:val="21"/>
                <w:shd w:val="clear" w:color="auto" w:fill="FFFFFF"/>
              </w:rPr>
            </w:pPr>
          </w:p>
          <w:p w14:paraId="064B3196" w14:textId="674C3714" w:rsidR="00D22376" w:rsidRDefault="00EF06EE" w:rsidP="001109C7">
            <w:pPr>
              <w:spacing w:before="60" w:after="60"/>
              <w:rPr>
                <w:rFonts w:ascii="Times New Roman" w:hAnsi="Times New Roman" w:cs="Times New Roman"/>
                <w:bCs/>
                <w:sz w:val="21"/>
                <w:szCs w:val="21"/>
                <w:shd w:val="clear" w:color="auto" w:fill="FFFFFF"/>
              </w:rPr>
            </w:pPr>
            <w:r w:rsidRPr="00D22376">
              <w:rPr>
                <w:rFonts w:ascii="Times New Roman" w:hAnsi="Times New Roman" w:cs="Times New Roman"/>
                <w:bCs/>
                <w:sz w:val="21"/>
                <w:szCs w:val="21"/>
                <w:shd w:val="clear" w:color="auto" w:fill="FFFFFF"/>
              </w:rPr>
              <w:t>s 6</w:t>
            </w:r>
          </w:p>
          <w:p w14:paraId="345EFC70" w14:textId="77777777" w:rsidR="00D22376" w:rsidRDefault="00D22376" w:rsidP="001109C7">
            <w:pPr>
              <w:spacing w:before="60" w:after="60"/>
              <w:rPr>
                <w:rFonts w:ascii="Times New Roman" w:hAnsi="Times New Roman" w:cs="Times New Roman"/>
                <w:bCs/>
                <w:sz w:val="21"/>
                <w:szCs w:val="21"/>
                <w:shd w:val="clear" w:color="auto" w:fill="FFFFFF"/>
              </w:rPr>
            </w:pPr>
          </w:p>
          <w:p w14:paraId="5CD8CF72" w14:textId="7A771FFF" w:rsidR="00D22376" w:rsidRDefault="00EF06EE" w:rsidP="001109C7">
            <w:pPr>
              <w:spacing w:before="60" w:after="60"/>
              <w:rPr>
                <w:rFonts w:ascii="Times New Roman" w:hAnsi="Times New Roman" w:cs="Times New Roman"/>
                <w:bCs/>
                <w:sz w:val="21"/>
                <w:szCs w:val="21"/>
                <w:shd w:val="clear" w:color="auto" w:fill="FFFFFF"/>
              </w:rPr>
            </w:pPr>
            <w:r w:rsidRPr="00D22376">
              <w:rPr>
                <w:rFonts w:ascii="Times New Roman" w:hAnsi="Times New Roman" w:cs="Times New Roman"/>
                <w:bCs/>
                <w:sz w:val="21"/>
                <w:szCs w:val="21"/>
                <w:shd w:val="clear" w:color="auto" w:fill="FFFFFF"/>
              </w:rPr>
              <w:t>s</w:t>
            </w:r>
            <w:r w:rsidR="0001466F">
              <w:rPr>
                <w:rFonts w:ascii="Times New Roman" w:hAnsi="Times New Roman" w:cs="Times New Roman"/>
                <w:bCs/>
                <w:sz w:val="21"/>
                <w:szCs w:val="21"/>
                <w:shd w:val="clear" w:color="auto" w:fill="FFFFFF"/>
              </w:rPr>
              <w:t xml:space="preserve"> 10</w:t>
            </w:r>
          </w:p>
          <w:p w14:paraId="4EA62779" w14:textId="77777777" w:rsidR="00D22376" w:rsidRDefault="00D22376" w:rsidP="001109C7">
            <w:pPr>
              <w:spacing w:before="60" w:after="60"/>
              <w:rPr>
                <w:rFonts w:ascii="Times New Roman" w:hAnsi="Times New Roman" w:cs="Times New Roman"/>
                <w:bCs/>
                <w:sz w:val="21"/>
                <w:szCs w:val="21"/>
                <w:shd w:val="clear" w:color="auto" w:fill="FFFFFF"/>
              </w:rPr>
            </w:pPr>
          </w:p>
          <w:p w14:paraId="58A15E49" w14:textId="77777777" w:rsidR="0001466F" w:rsidRDefault="0001466F" w:rsidP="001109C7">
            <w:pPr>
              <w:spacing w:before="60" w:after="60"/>
              <w:rPr>
                <w:rFonts w:ascii="Times New Roman" w:hAnsi="Times New Roman" w:cs="Times New Roman"/>
                <w:bCs/>
                <w:sz w:val="21"/>
                <w:szCs w:val="21"/>
                <w:shd w:val="clear" w:color="auto" w:fill="FFFFFF"/>
              </w:rPr>
            </w:pPr>
          </w:p>
          <w:p w14:paraId="775B3FAD" w14:textId="6C90AF4D" w:rsidR="00D22376" w:rsidRDefault="00D22376"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01466F">
              <w:rPr>
                <w:rFonts w:ascii="Times New Roman" w:hAnsi="Times New Roman" w:cs="Times New Roman"/>
                <w:bCs/>
                <w:sz w:val="21"/>
                <w:szCs w:val="21"/>
                <w:shd w:val="clear" w:color="auto" w:fill="FFFFFF"/>
              </w:rPr>
              <w:t>6</w:t>
            </w:r>
            <w:r w:rsidR="00C47623">
              <w:rPr>
                <w:rFonts w:ascii="Times New Roman" w:hAnsi="Times New Roman" w:cs="Times New Roman"/>
                <w:bCs/>
                <w:sz w:val="21"/>
                <w:szCs w:val="21"/>
                <w:shd w:val="clear" w:color="auto" w:fill="FFFFFF"/>
              </w:rPr>
              <w:t xml:space="preserve"> &amp; Part 5</w:t>
            </w:r>
          </w:p>
          <w:p w14:paraId="530725CC" w14:textId="77777777" w:rsidR="007F5D17" w:rsidRDefault="007F5D17" w:rsidP="001109C7">
            <w:pPr>
              <w:spacing w:before="60" w:after="60"/>
              <w:rPr>
                <w:rFonts w:ascii="Times New Roman" w:hAnsi="Times New Roman" w:cs="Times New Roman"/>
                <w:bCs/>
                <w:sz w:val="21"/>
                <w:szCs w:val="21"/>
                <w:shd w:val="clear" w:color="auto" w:fill="FFFFFF"/>
              </w:rPr>
            </w:pPr>
          </w:p>
          <w:p w14:paraId="143FE3DF" w14:textId="77777777" w:rsidR="0086561E" w:rsidRDefault="0086561E" w:rsidP="001109C7">
            <w:pPr>
              <w:spacing w:before="60" w:after="60"/>
              <w:rPr>
                <w:rFonts w:ascii="Times New Roman" w:hAnsi="Times New Roman" w:cs="Times New Roman"/>
                <w:bCs/>
                <w:sz w:val="21"/>
                <w:szCs w:val="21"/>
                <w:shd w:val="clear" w:color="auto" w:fill="FFFFFF"/>
              </w:rPr>
            </w:pPr>
          </w:p>
          <w:p w14:paraId="443F499D" w14:textId="77777777" w:rsidR="0086561E" w:rsidRDefault="0086561E" w:rsidP="001109C7">
            <w:pPr>
              <w:spacing w:before="60" w:after="60"/>
              <w:rPr>
                <w:rFonts w:ascii="Times New Roman" w:hAnsi="Times New Roman" w:cs="Times New Roman"/>
                <w:bCs/>
                <w:sz w:val="21"/>
                <w:szCs w:val="21"/>
                <w:shd w:val="clear" w:color="auto" w:fill="FFFFFF"/>
              </w:rPr>
            </w:pPr>
          </w:p>
          <w:p w14:paraId="217A2839" w14:textId="77777777" w:rsidR="0086561E" w:rsidRDefault="0086561E" w:rsidP="001109C7">
            <w:pPr>
              <w:spacing w:before="60" w:after="60"/>
              <w:rPr>
                <w:rFonts w:ascii="Times New Roman" w:hAnsi="Times New Roman" w:cs="Times New Roman"/>
                <w:bCs/>
                <w:sz w:val="21"/>
                <w:szCs w:val="21"/>
                <w:shd w:val="clear" w:color="auto" w:fill="FFFFFF"/>
              </w:rPr>
            </w:pPr>
          </w:p>
          <w:p w14:paraId="6DBAD957" w14:textId="77777777" w:rsidR="0086561E" w:rsidRDefault="0086561E" w:rsidP="001109C7">
            <w:pPr>
              <w:spacing w:before="60" w:after="60"/>
              <w:rPr>
                <w:rFonts w:ascii="Times New Roman" w:hAnsi="Times New Roman" w:cs="Times New Roman"/>
                <w:bCs/>
                <w:sz w:val="21"/>
                <w:szCs w:val="21"/>
                <w:shd w:val="clear" w:color="auto" w:fill="FFFFFF"/>
              </w:rPr>
            </w:pPr>
          </w:p>
          <w:p w14:paraId="3637E541" w14:textId="77777777" w:rsidR="00C47623" w:rsidRDefault="00C47623" w:rsidP="001109C7">
            <w:pPr>
              <w:spacing w:before="60" w:after="60"/>
              <w:rPr>
                <w:rFonts w:ascii="Times New Roman" w:hAnsi="Times New Roman" w:cs="Times New Roman"/>
                <w:bCs/>
                <w:sz w:val="21"/>
                <w:szCs w:val="21"/>
                <w:shd w:val="clear" w:color="auto" w:fill="FFFFFF"/>
              </w:rPr>
            </w:pPr>
          </w:p>
          <w:p w14:paraId="721AA1C6" w14:textId="286FA74B" w:rsidR="00F529AF" w:rsidRDefault="00C9485F"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4F43BD">
              <w:rPr>
                <w:rFonts w:ascii="Times New Roman" w:hAnsi="Times New Roman" w:cs="Times New Roman"/>
                <w:bCs/>
                <w:sz w:val="21"/>
                <w:szCs w:val="21"/>
                <w:shd w:val="clear" w:color="auto" w:fill="FFFFFF"/>
              </w:rPr>
              <w:t>11</w:t>
            </w:r>
            <w:r w:rsidR="00F47AEA">
              <w:rPr>
                <w:rFonts w:ascii="Times New Roman" w:hAnsi="Times New Roman" w:cs="Times New Roman"/>
                <w:bCs/>
                <w:sz w:val="21"/>
                <w:szCs w:val="21"/>
                <w:shd w:val="clear" w:color="auto" w:fill="FFFFFF"/>
              </w:rPr>
              <w:t>(1)</w:t>
            </w:r>
          </w:p>
          <w:p w14:paraId="5160BCA1" w14:textId="77777777" w:rsidR="00B60E4B" w:rsidRDefault="00B60E4B" w:rsidP="001109C7">
            <w:pPr>
              <w:spacing w:before="60" w:after="60"/>
              <w:rPr>
                <w:rFonts w:ascii="Times New Roman" w:hAnsi="Times New Roman" w:cs="Times New Roman"/>
                <w:bCs/>
                <w:sz w:val="21"/>
                <w:szCs w:val="21"/>
                <w:shd w:val="clear" w:color="auto" w:fill="FFFFFF"/>
              </w:rPr>
            </w:pPr>
          </w:p>
          <w:p w14:paraId="0872358B" w14:textId="77777777" w:rsidR="00B60E4B" w:rsidRDefault="00B60E4B" w:rsidP="001109C7">
            <w:pPr>
              <w:spacing w:before="60" w:after="60"/>
              <w:rPr>
                <w:rFonts w:ascii="Times New Roman" w:hAnsi="Times New Roman" w:cs="Times New Roman"/>
                <w:bCs/>
                <w:sz w:val="21"/>
                <w:szCs w:val="21"/>
                <w:shd w:val="clear" w:color="auto" w:fill="FFFFFF"/>
              </w:rPr>
            </w:pPr>
          </w:p>
          <w:p w14:paraId="70CECC40" w14:textId="77777777" w:rsidR="00B60E4B" w:rsidRDefault="00B60E4B" w:rsidP="001109C7">
            <w:pPr>
              <w:spacing w:before="60" w:after="60"/>
              <w:rPr>
                <w:rFonts w:ascii="Times New Roman" w:hAnsi="Times New Roman" w:cs="Times New Roman"/>
                <w:bCs/>
                <w:sz w:val="21"/>
                <w:szCs w:val="21"/>
                <w:shd w:val="clear" w:color="auto" w:fill="FFFFFF"/>
              </w:rPr>
            </w:pPr>
          </w:p>
          <w:p w14:paraId="40B70F4E" w14:textId="77777777" w:rsidR="00B60E4B" w:rsidRDefault="00B60E4B" w:rsidP="001109C7">
            <w:pPr>
              <w:spacing w:before="60" w:after="60"/>
              <w:rPr>
                <w:rFonts w:ascii="Times New Roman" w:hAnsi="Times New Roman" w:cs="Times New Roman"/>
                <w:bCs/>
                <w:sz w:val="21"/>
                <w:szCs w:val="21"/>
                <w:shd w:val="clear" w:color="auto" w:fill="FFFFFF"/>
              </w:rPr>
            </w:pPr>
          </w:p>
          <w:p w14:paraId="5E644D42" w14:textId="77777777" w:rsidR="00545CFF" w:rsidRDefault="00545CFF" w:rsidP="001109C7">
            <w:pPr>
              <w:spacing w:before="60" w:after="60"/>
              <w:rPr>
                <w:rFonts w:ascii="Times New Roman" w:hAnsi="Times New Roman" w:cs="Times New Roman"/>
                <w:bCs/>
                <w:sz w:val="21"/>
                <w:szCs w:val="21"/>
                <w:shd w:val="clear" w:color="auto" w:fill="FFFFFF"/>
              </w:rPr>
            </w:pPr>
          </w:p>
          <w:p w14:paraId="1ED68A12" w14:textId="429BD1C5" w:rsidR="00B60E4B" w:rsidRDefault="00B60E4B"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320EF5">
              <w:rPr>
                <w:rFonts w:ascii="Times New Roman" w:hAnsi="Times New Roman" w:cs="Times New Roman"/>
                <w:bCs/>
                <w:sz w:val="21"/>
                <w:szCs w:val="21"/>
                <w:shd w:val="clear" w:color="auto" w:fill="FFFFFF"/>
              </w:rPr>
              <w:t>1</w:t>
            </w:r>
            <w:r w:rsidR="009F1534">
              <w:rPr>
                <w:rFonts w:ascii="Times New Roman" w:hAnsi="Times New Roman" w:cs="Times New Roman"/>
                <w:bCs/>
                <w:sz w:val="21"/>
                <w:szCs w:val="21"/>
                <w:shd w:val="clear" w:color="auto" w:fill="FFFFFF"/>
              </w:rPr>
              <w:t>1(</w:t>
            </w:r>
            <w:r w:rsidR="008A06BC">
              <w:rPr>
                <w:rFonts w:ascii="Times New Roman" w:hAnsi="Times New Roman" w:cs="Times New Roman"/>
                <w:bCs/>
                <w:sz w:val="21"/>
                <w:szCs w:val="21"/>
                <w:shd w:val="clear" w:color="auto" w:fill="FFFFFF"/>
              </w:rPr>
              <w:t>3</w:t>
            </w:r>
            <w:r w:rsidR="009F1534">
              <w:rPr>
                <w:rFonts w:ascii="Times New Roman" w:hAnsi="Times New Roman" w:cs="Times New Roman"/>
                <w:bCs/>
                <w:sz w:val="21"/>
                <w:szCs w:val="21"/>
                <w:shd w:val="clear" w:color="auto" w:fill="FFFFFF"/>
              </w:rPr>
              <w:t>)</w:t>
            </w:r>
          </w:p>
          <w:p w14:paraId="74875CE5" w14:textId="77777777" w:rsidR="007F5D17" w:rsidRDefault="007F5D17" w:rsidP="001109C7">
            <w:pPr>
              <w:spacing w:before="60" w:after="60"/>
              <w:rPr>
                <w:rFonts w:ascii="Times New Roman" w:hAnsi="Times New Roman" w:cs="Times New Roman"/>
                <w:bCs/>
                <w:sz w:val="21"/>
                <w:szCs w:val="21"/>
                <w:shd w:val="clear" w:color="auto" w:fill="FFFFFF"/>
              </w:rPr>
            </w:pPr>
          </w:p>
          <w:p w14:paraId="0ED1081E" w14:textId="77777777" w:rsidR="00C16CFA" w:rsidRDefault="00C16CFA" w:rsidP="001109C7">
            <w:pPr>
              <w:spacing w:before="60" w:after="60"/>
              <w:rPr>
                <w:rFonts w:ascii="Times New Roman" w:hAnsi="Times New Roman" w:cs="Times New Roman"/>
                <w:bCs/>
                <w:sz w:val="21"/>
                <w:szCs w:val="21"/>
                <w:shd w:val="clear" w:color="auto" w:fill="FFFFFF"/>
              </w:rPr>
            </w:pPr>
          </w:p>
          <w:p w14:paraId="13D5D8EF" w14:textId="77777777" w:rsidR="009F1534" w:rsidRDefault="009F1534" w:rsidP="001109C7">
            <w:pPr>
              <w:spacing w:before="60" w:after="60"/>
              <w:rPr>
                <w:rFonts w:ascii="Times New Roman" w:hAnsi="Times New Roman" w:cs="Times New Roman"/>
                <w:bCs/>
                <w:sz w:val="21"/>
                <w:szCs w:val="21"/>
                <w:shd w:val="clear" w:color="auto" w:fill="FFFFFF"/>
              </w:rPr>
            </w:pPr>
          </w:p>
          <w:p w14:paraId="53252B13" w14:textId="77777777" w:rsidR="009F1534" w:rsidRDefault="009F1534" w:rsidP="001109C7">
            <w:pPr>
              <w:spacing w:before="60" w:after="60"/>
              <w:rPr>
                <w:rFonts w:ascii="Times New Roman" w:hAnsi="Times New Roman" w:cs="Times New Roman"/>
                <w:bCs/>
                <w:sz w:val="21"/>
                <w:szCs w:val="21"/>
                <w:shd w:val="clear" w:color="auto" w:fill="FFFFFF"/>
              </w:rPr>
            </w:pPr>
          </w:p>
          <w:p w14:paraId="1D30E9F6" w14:textId="53BB2101" w:rsidR="00CA2859" w:rsidRDefault="00950F53"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 12</w:t>
            </w:r>
          </w:p>
          <w:p w14:paraId="49FEE44E" w14:textId="77777777" w:rsidR="003A3147" w:rsidRDefault="003A3147" w:rsidP="001109C7">
            <w:pPr>
              <w:spacing w:before="60" w:after="60"/>
              <w:rPr>
                <w:rFonts w:ascii="Times New Roman" w:hAnsi="Times New Roman" w:cs="Times New Roman"/>
                <w:bCs/>
                <w:sz w:val="21"/>
                <w:szCs w:val="21"/>
                <w:shd w:val="clear" w:color="auto" w:fill="FFFFFF"/>
              </w:rPr>
            </w:pPr>
          </w:p>
          <w:p w14:paraId="03632EE0" w14:textId="366F6DE4" w:rsidR="00950F53" w:rsidRDefault="00402604"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w:t>
            </w:r>
            <w:r w:rsidR="00672A67">
              <w:rPr>
                <w:rFonts w:ascii="Times New Roman" w:hAnsi="Times New Roman" w:cs="Times New Roman"/>
                <w:bCs/>
                <w:sz w:val="21"/>
                <w:szCs w:val="21"/>
                <w:shd w:val="clear" w:color="auto" w:fill="FFFFFF"/>
              </w:rPr>
              <w:t>s</w:t>
            </w:r>
            <w:r>
              <w:rPr>
                <w:rFonts w:ascii="Times New Roman" w:hAnsi="Times New Roman" w:cs="Times New Roman"/>
                <w:bCs/>
                <w:sz w:val="21"/>
                <w:szCs w:val="21"/>
                <w:shd w:val="clear" w:color="auto" w:fill="FFFFFF"/>
              </w:rPr>
              <w:t xml:space="preserve"> 2</w:t>
            </w:r>
            <w:r w:rsidR="00B96E67">
              <w:rPr>
                <w:rFonts w:ascii="Times New Roman" w:hAnsi="Times New Roman" w:cs="Times New Roman"/>
                <w:bCs/>
                <w:sz w:val="21"/>
                <w:szCs w:val="21"/>
                <w:shd w:val="clear" w:color="auto" w:fill="FFFFFF"/>
              </w:rPr>
              <w:t>8</w:t>
            </w:r>
            <w:r w:rsidR="00672A67">
              <w:rPr>
                <w:rFonts w:ascii="Times New Roman" w:hAnsi="Times New Roman" w:cs="Times New Roman"/>
                <w:bCs/>
                <w:sz w:val="21"/>
                <w:szCs w:val="21"/>
                <w:shd w:val="clear" w:color="auto" w:fill="FFFFFF"/>
              </w:rPr>
              <w:t xml:space="preserve"> &amp; </w:t>
            </w:r>
            <w:r w:rsidR="00B96E67">
              <w:rPr>
                <w:rFonts w:ascii="Times New Roman" w:hAnsi="Times New Roman" w:cs="Times New Roman"/>
                <w:bCs/>
                <w:sz w:val="21"/>
                <w:szCs w:val="21"/>
                <w:shd w:val="clear" w:color="auto" w:fill="FFFFFF"/>
              </w:rPr>
              <w:t>29</w:t>
            </w:r>
          </w:p>
          <w:p w14:paraId="5B03CB64" w14:textId="77777777" w:rsidR="00402604" w:rsidRDefault="00402604" w:rsidP="001109C7">
            <w:pPr>
              <w:spacing w:before="60" w:after="60"/>
              <w:rPr>
                <w:rFonts w:ascii="Times New Roman" w:hAnsi="Times New Roman" w:cs="Times New Roman"/>
                <w:bCs/>
                <w:sz w:val="21"/>
                <w:szCs w:val="21"/>
                <w:shd w:val="clear" w:color="auto" w:fill="FFFFFF"/>
              </w:rPr>
            </w:pPr>
          </w:p>
          <w:p w14:paraId="516AFAA6" w14:textId="77777777" w:rsidR="00402604" w:rsidRDefault="00402604" w:rsidP="001109C7">
            <w:pPr>
              <w:spacing w:before="60" w:after="60"/>
              <w:rPr>
                <w:rFonts w:ascii="Times New Roman" w:hAnsi="Times New Roman" w:cs="Times New Roman"/>
                <w:bCs/>
                <w:sz w:val="21"/>
                <w:szCs w:val="21"/>
                <w:shd w:val="clear" w:color="auto" w:fill="FFFFFF"/>
              </w:rPr>
            </w:pPr>
          </w:p>
          <w:p w14:paraId="013D9EBC" w14:textId="77777777" w:rsidR="00402604" w:rsidRDefault="00402604" w:rsidP="001109C7">
            <w:pPr>
              <w:spacing w:before="60" w:after="60"/>
              <w:rPr>
                <w:rFonts w:ascii="Times New Roman" w:hAnsi="Times New Roman" w:cs="Times New Roman"/>
                <w:bCs/>
                <w:sz w:val="21"/>
                <w:szCs w:val="21"/>
                <w:shd w:val="clear" w:color="auto" w:fill="FFFFFF"/>
              </w:rPr>
            </w:pPr>
          </w:p>
          <w:p w14:paraId="6391C9B0" w14:textId="77777777" w:rsidR="00402604" w:rsidRDefault="00402604" w:rsidP="001109C7">
            <w:pPr>
              <w:spacing w:before="60" w:after="60"/>
              <w:rPr>
                <w:rFonts w:ascii="Times New Roman" w:hAnsi="Times New Roman" w:cs="Times New Roman"/>
                <w:bCs/>
                <w:sz w:val="21"/>
                <w:szCs w:val="21"/>
                <w:shd w:val="clear" w:color="auto" w:fill="FFFFFF"/>
              </w:rPr>
            </w:pPr>
          </w:p>
          <w:p w14:paraId="6A12B82D" w14:textId="77777777" w:rsidR="00CA6FAD" w:rsidRDefault="00CA6FAD" w:rsidP="001109C7">
            <w:pPr>
              <w:spacing w:before="60" w:after="60"/>
              <w:rPr>
                <w:rFonts w:ascii="Times New Roman" w:hAnsi="Times New Roman" w:cs="Times New Roman"/>
                <w:bCs/>
                <w:sz w:val="21"/>
                <w:szCs w:val="21"/>
                <w:shd w:val="clear" w:color="auto" w:fill="FFFFFF"/>
              </w:rPr>
            </w:pPr>
          </w:p>
          <w:p w14:paraId="4DE12134" w14:textId="77777777" w:rsidR="0068263C" w:rsidRDefault="0068263C" w:rsidP="001109C7">
            <w:pPr>
              <w:spacing w:before="60" w:after="60"/>
              <w:rPr>
                <w:rFonts w:ascii="Times New Roman" w:hAnsi="Times New Roman" w:cs="Times New Roman"/>
                <w:bCs/>
                <w:sz w:val="21"/>
                <w:szCs w:val="21"/>
                <w:shd w:val="clear" w:color="auto" w:fill="FFFFFF"/>
              </w:rPr>
            </w:pPr>
          </w:p>
          <w:p w14:paraId="11EB6C5D" w14:textId="277EFDF3" w:rsidR="00402604" w:rsidRDefault="00402604"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A203CC">
              <w:rPr>
                <w:rFonts w:ascii="Times New Roman" w:hAnsi="Times New Roman" w:cs="Times New Roman"/>
                <w:bCs/>
                <w:sz w:val="21"/>
                <w:szCs w:val="21"/>
                <w:shd w:val="clear" w:color="auto" w:fill="FFFFFF"/>
              </w:rPr>
              <w:t>22</w:t>
            </w:r>
          </w:p>
          <w:p w14:paraId="7853E6D3" w14:textId="77777777" w:rsidR="00A203CC" w:rsidRDefault="00A203CC" w:rsidP="001109C7">
            <w:pPr>
              <w:spacing w:before="60" w:after="60"/>
              <w:rPr>
                <w:rFonts w:ascii="Times New Roman" w:hAnsi="Times New Roman" w:cs="Times New Roman"/>
                <w:bCs/>
                <w:sz w:val="21"/>
                <w:szCs w:val="21"/>
                <w:shd w:val="clear" w:color="auto" w:fill="FFFFFF"/>
              </w:rPr>
            </w:pPr>
          </w:p>
          <w:p w14:paraId="6B2728F6" w14:textId="77777777" w:rsidR="002272E3" w:rsidRDefault="002272E3" w:rsidP="001109C7">
            <w:pPr>
              <w:spacing w:before="60" w:after="60"/>
              <w:rPr>
                <w:rFonts w:ascii="Times New Roman" w:hAnsi="Times New Roman" w:cs="Times New Roman"/>
                <w:bCs/>
                <w:sz w:val="21"/>
                <w:szCs w:val="21"/>
                <w:shd w:val="clear" w:color="auto" w:fill="FFFFFF"/>
              </w:rPr>
            </w:pPr>
          </w:p>
          <w:p w14:paraId="1F1738C9" w14:textId="10049208" w:rsidR="00A203CC" w:rsidRDefault="007E0D60"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w:t>
            </w:r>
            <w:r w:rsidR="00E6154F">
              <w:rPr>
                <w:rFonts w:ascii="Times New Roman" w:hAnsi="Times New Roman" w:cs="Times New Roman"/>
                <w:bCs/>
                <w:sz w:val="21"/>
                <w:szCs w:val="21"/>
                <w:shd w:val="clear" w:color="auto" w:fill="FFFFFF"/>
              </w:rPr>
              <w:t>s</w:t>
            </w:r>
            <w:r>
              <w:rPr>
                <w:rFonts w:ascii="Times New Roman" w:hAnsi="Times New Roman" w:cs="Times New Roman"/>
                <w:bCs/>
                <w:sz w:val="21"/>
                <w:szCs w:val="21"/>
                <w:shd w:val="clear" w:color="auto" w:fill="FFFFFF"/>
              </w:rPr>
              <w:t xml:space="preserve"> </w:t>
            </w:r>
            <w:r w:rsidR="00767374">
              <w:rPr>
                <w:rFonts w:ascii="Times New Roman" w:hAnsi="Times New Roman" w:cs="Times New Roman"/>
                <w:bCs/>
                <w:sz w:val="21"/>
                <w:szCs w:val="21"/>
                <w:shd w:val="clear" w:color="auto" w:fill="FFFFFF"/>
              </w:rPr>
              <w:t xml:space="preserve">13 &amp; </w:t>
            </w:r>
            <w:r>
              <w:rPr>
                <w:rFonts w:ascii="Times New Roman" w:hAnsi="Times New Roman" w:cs="Times New Roman"/>
                <w:bCs/>
                <w:sz w:val="21"/>
                <w:szCs w:val="21"/>
                <w:shd w:val="clear" w:color="auto" w:fill="FFFFFF"/>
              </w:rPr>
              <w:t>4</w:t>
            </w:r>
            <w:r w:rsidR="007B6811">
              <w:rPr>
                <w:rFonts w:ascii="Times New Roman" w:hAnsi="Times New Roman" w:cs="Times New Roman"/>
                <w:bCs/>
                <w:sz w:val="21"/>
                <w:szCs w:val="21"/>
                <w:shd w:val="clear" w:color="auto" w:fill="FFFFFF"/>
              </w:rPr>
              <w:t>5</w:t>
            </w:r>
          </w:p>
          <w:p w14:paraId="7E4A4850" w14:textId="77777777" w:rsidR="00767374" w:rsidRDefault="00767374" w:rsidP="001109C7">
            <w:pPr>
              <w:spacing w:before="60" w:after="60"/>
              <w:rPr>
                <w:rFonts w:ascii="Times New Roman" w:hAnsi="Times New Roman" w:cs="Times New Roman"/>
                <w:bCs/>
                <w:sz w:val="21"/>
                <w:szCs w:val="21"/>
                <w:shd w:val="clear" w:color="auto" w:fill="FFFFFF"/>
              </w:rPr>
            </w:pPr>
          </w:p>
          <w:p w14:paraId="5E8726CB" w14:textId="77777777" w:rsidR="00767374" w:rsidRDefault="00767374" w:rsidP="001109C7">
            <w:pPr>
              <w:spacing w:before="60" w:after="60"/>
              <w:rPr>
                <w:rFonts w:ascii="Times New Roman" w:hAnsi="Times New Roman" w:cs="Times New Roman"/>
                <w:bCs/>
                <w:sz w:val="21"/>
                <w:szCs w:val="21"/>
                <w:shd w:val="clear" w:color="auto" w:fill="FFFFFF"/>
              </w:rPr>
            </w:pPr>
          </w:p>
          <w:p w14:paraId="3501F774" w14:textId="77777777" w:rsidR="00C16CFA" w:rsidRDefault="00C16CFA" w:rsidP="001109C7">
            <w:pPr>
              <w:spacing w:before="60" w:after="60"/>
              <w:rPr>
                <w:rFonts w:ascii="Times New Roman" w:hAnsi="Times New Roman" w:cs="Times New Roman"/>
                <w:bCs/>
                <w:sz w:val="21"/>
                <w:szCs w:val="21"/>
                <w:shd w:val="clear" w:color="auto" w:fill="FFFFFF"/>
              </w:rPr>
            </w:pPr>
          </w:p>
          <w:p w14:paraId="60DE8C25" w14:textId="77777777" w:rsidR="00672A67" w:rsidRDefault="00672A67" w:rsidP="001109C7">
            <w:pPr>
              <w:spacing w:before="60" w:after="60"/>
              <w:rPr>
                <w:rFonts w:ascii="Times New Roman" w:hAnsi="Times New Roman" w:cs="Times New Roman"/>
                <w:bCs/>
                <w:sz w:val="21"/>
                <w:szCs w:val="21"/>
                <w:shd w:val="clear" w:color="auto" w:fill="FFFFFF"/>
              </w:rPr>
            </w:pPr>
          </w:p>
          <w:p w14:paraId="4D4AF3DC" w14:textId="14484CAD" w:rsidR="00683802" w:rsidRPr="00D22376" w:rsidRDefault="00683802"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E218A0">
              <w:rPr>
                <w:rFonts w:ascii="Times New Roman" w:hAnsi="Times New Roman" w:cs="Times New Roman"/>
                <w:bCs/>
                <w:sz w:val="21"/>
                <w:szCs w:val="21"/>
                <w:shd w:val="clear" w:color="auto" w:fill="FFFFFF"/>
              </w:rPr>
              <w:t>17</w:t>
            </w:r>
          </w:p>
        </w:tc>
      </w:tr>
      <w:tr w:rsidR="00147B16" w:rsidRPr="001109C7" w14:paraId="7113F15C" w14:textId="7244317A" w:rsidTr="00147B16">
        <w:tc>
          <w:tcPr>
            <w:tcW w:w="1696" w:type="dxa"/>
          </w:tcPr>
          <w:p w14:paraId="11B0ABC5" w14:textId="77777777" w:rsidR="00147B16" w:rsidRPr="001109C7" w:rsidRDefault="00147B16" w:rsidP="001109C7">
            <w:pPr>
              <w:spacing w:before="60" w:after="60"/>
              <w:rPr>
                <w:rFonts w:ascii="Times New Roman" w:hAnsi="Times New Roman" w:cs="Times New Roman"/>
                <w:b/>
                <w:sz w:val="21"/>
                <w:szCs w:val="21"/>
                <w:shd w:val="clear" w:color="auto" w:fill="FFFFFF"/>
              </w:rPr>
            </w:pPr>
            <w:r w:rsidRPr="001109C7">
              <w:rPr>
                <w:rFonts w:ascii="Times New Roman" w:hAnsi="Times New Roman" w:cs="Times New Roman"/>
                <w:b/>
                <w:sz w:val="21"/>
                <w:szCs w:val="21"/>
                <w:shd w:val="clear" w:color="auto" w:fill="FFFFFF"/>
              </w:rPr>
              <w:lastRenderedPageBreak/>
              <w:t>Leakage</w:t>
            </w:r>
          </w:p>
        </w:tc>
        <w:tc>
          <w:tcPr>
            <w:tcW w:w="11199" w:type="dxa"/>
          </w:tcPr>
          <w:p w14:paraId="41BA6275" w14:textId="77777777"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Risk:</w:t>
            </w:r>
            <w:r w:rsidRPr="001109C7">
              <w:rPr>
                <w:rFonts w:ascii="Times New Roman" w:hAnsi="Times New Roman" w:cs="Times New Roman"/>
                <w:bCs/>
                <w:sz w:val="21"/>
                <w:szCs w:val="21"/>
                <w:shd w:val="clear" w:color="auto" w:fill="FFFFFF"/>
              </w:rPr>
              <w:t xml:space="preserve"> The main leakage risks relate to the following. </w:t>
            </w:r>
          </w:p>
          <w:p w14:paraId="265FFDB2" w14:textId="77777777"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Direct leakage through activity shifting – proponents being credited for reductions in harvesting in the project area but then increasing harvesting elsewhere in their native forest estate.</w:t>
            </w:r>
          </w:p>
          <w:p w14:paraId="4B944B50" w14:textId="7FB56EC0"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Direct leakage through cross-subsidisation – proponents being credited for reductions in harvesting in the project area</w:t>
            </w:r>
            <w:r w:rsidR="00D6399C">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 xml:space="preserve"> but they then use the revenues from the sale of ACCUs to subsidise harvesting elsewhere in their native forest estate.</w:t>
            </w:r>
          </w:p>
          <w:p w14:paraId="131A1801" w14:textId="6E66A6D2"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Indirect leakage to private native forests – proponents being credited for reductions in harvesting in the project area</w:t>
            </w:r>
            <w:r w:rsidR="00D6399C">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 xml:space="preserve"> but the resulting emission reductions are offset by an increase in harvesting in private native forests in the same jurisdiction </w:t>
            </w:r>
            <w:r w:rsidRPr="001109C7">
              <w:rPr>
                <w:rFonts w:ascii="Times New Roman" w:hAnsi="Times New Roman" w:cs="Times New Roman"/>
                <w:bCs/>
                <w:sz w:val="21"/>
                <w:szCs w:val="21"/>
                <w:shd w:val="clear" w:color="auto" w:fill="FFFFFF"/>
              </w:rPr>
              <w:lastRenderedPageBreak/>
              <w:t>that is attributable to the project (i.e. via increased log prices and/or increased demand from mills for logs from private forests).</w:t>
            </w:r>
          </w:p>
          <w:p w14:paraId="6B178CF7" w14:textId="731AB5DB"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Indirect leakage to public native forests in other states – proponents being credited for reductions in harvesting in the project area</w:t>
            </w:r>
            <w:r w:rsidR="00D6399C">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 xml:space="preserve"> but the resulting emission reductions are offset by an increase in harvesting in public native forests in other states that is attributable to the project (i.e. via increased log prices and/or increased demand from mills for logs from other public forests).</w:t>
            </w:r>
          </w:p>
          <w:p w14:paraId="0187DF30" w14:textId="62BF7E3B"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Indirect leakage into forests in other countries – proponents being credited for reductions in harvesting in the project area</w:t>
            </w:r>
            <w:r w:rsidR="00D6399C">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 xml:space="preserve"> but the resulting emission reductions are offset by an increase in harvesting in forests in other countries that is attributable to the project (i.e. via increased global log prices).</w:t>
            </w:r>
          </w:p>
          <w:p w14:paraId="5489E6DD" w14:textId="7FBB0878" w:rsidR="00147B16" w:rsidRPr="001109C7" w:rsidRDefault="00147B16" w:rsidP="009D5A62">
            <w:pPr>
              <w:pStyle w:val="ListParagraph"/>
              <w:numPr>
                <w:ilvl w:val="0"/>
                <w:numId w:val="19"/>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Indirect leakage into more carbon-intensive products – proponents being credited for reductions in harvesting in the project area</w:t>
            </w:r>
            <w:r w:rsidR="00A455F6">
              <w:rPr>
                <w:rFonts w:ascii="Times New Roman" w:hAnsi="Times New Roman" w:cs="Times New Roman"/>
                <w:bCs/>
                <w:sz w:val="21"/>
                <w:szCs w:val="21"/>
                <w:shd w:val="clear" w:color="auto" w:fill="FFFFFF"/>
              </w:rPr>
              <w:t>,</w:t>
            </w:r>
            <w:r w:rsidRPr="001109C7">
              <w:rPr>
                <w:rFonts w:ascii="Times New Roman" w:hAnsi="Times New Roman" w:cs="Times New Roman"/>
                <w:bCs/>
                <w:sz w:val="21"/>
                <w:szCs w:val="21"/>
                <w:shd w:val="clear" w:color="auto" w:fill="FFFFFF"/>
              </w:rPr>
              <w:t xml:space="preserve"> but the resulting emission reductions are offset by an increase in emissions associated with the production and consumption of carbon-intensive substitutes (e.g. cement, steel, alumin</w:t>
            </w:r>
            <w:r w:rsidR="00A455F6">
              <w:rPr>
                <w:rFonts w:ascii="Times New Roman" w:hAnsi="Times New Roman" w:cs="Times New Roman"/>
                <w:bCs/>
                <w:sz w:val="21"/>
                <w:szCs w:val="21"/>
                <w:shd w:val="clear" w:color="auto" w:fill="FFFFFF"/>
              </w:rPr>
              <w:t>i</w:t>
            </w:r>
            <w:r w:rsidRPr="001109C7">
              <w:rPr>
                <w:rFonts w:ascii="Times New Roman" w:hAnsi="Times New Roman" w:cs="Times New Roman"/>
                <w:bCs/>
                <w:sz w:val="21"/>
                <w:szCs w:val="21"/>
                <w:shd w:val="clear" w:color="auto" w:fill="FFFFFF"/>
              </w:rPr>
              <w:t>um) that is attributable to the project (i.e. via increased wood product prices).</w:t>
            </w:r>
          </w:p>
          <w:p w14:paraId="496A8F7E" w14:textId="0FD8535E"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Mitigants:</w:t>
            </w:r>
            <w:r w:rsidRPr="001109C7">
              <w:rPr>
                <w:rFonts w:ascii="Times New Roman" w:hAnsi="Times New Roman" w:cs="Times New Roman"/>
                <w:bCs/>
                <w:sz w:val="21"/>
                <w:szCs w:val="21"/>
                <w:shd w:val="clear" w:color="auto" w:fill="FFFFFF"/>
              </w:rPr>
              <w:t xml:space="preserve"> Key mitigants included in the </w:t>
            </w:r>
            <w:r w:rsidR="002F20F8">
              <w:rPr>
                <w:rFonts w:ascii="Times New Roman" w:hAnsi="Times New Roman" w:cs="Times New Roman"/>
                <w:bCs/>
                <w:sz w:val="21"/>
                <w:szCs w:val="21"/>
                <w:shd w:val="clear" w:color="auto" w:fill="FFFFFF"/>
              </w:rPr>
              <w:t>Determination</w:t>
            </w:r>
            <w:r w:rsidR="002F20F8" w:rsidRPr="001109C7">
              <w:rPr>
                <w:rFonts w:ascii="Times New Roman" w:hAnsi="Times New Roman" w:cs="Times New Roman"/>
                <w:bCs/>
                <w:sz w:val="21"/>
                <w:szCs w:val="21"/>
                <w:shd w:val="clear" w:color="auto" w:fill="FFFFFF"/>
              </w:rPr>
              <w:t xml:space="preserve"> </w:t>
            </w:r>
            <w:r w:rsidRPr="001109C7">
              <w:rPr>
                <w:rFonts w:ascii="Times New Roman" w:hAnsi="Times New Roman" w:cs="Times New Roman"/>
                <w:bCs/>
                <w:sz w:val="21"/>
                <w:szCs w:val="21"/>
                <w:shd w:val="clear" w:color="auto" w:fill="FFFFFF"/>
              </w:rPr>
              <w:t>to address leakage risks are as follows.</w:t>
            </w:r>
          </w:p>
          <w:p w14:paraId="180FA699" w14:textId="62D37438" w:rsidR="00147B16" w:rsidRPr="001109C7" w:rsidRDefault="00147B16" w:rsidP="009D5A62">
            <w:pPr>
              <w:pStyle w:val="ListParagraph"/>
              <w:numPr>
                <w:ilvl w:val="0"/>
                <w:numId w:val="18"/>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Project areas must </w:t>
            </w:r>
            <w:r w:rsidR="008566EC" w:rsidRPr="008566EC">
              <w:rPr>
                <w:rFonts w:ascii="Times New Roman" w:hAnsi="Times New Roman" w:cs="Times New Roman"/>
                <w:bCs/>
                <w:sz w:val="21"/>
                <w:szCs w:val="21"/>
                <w:shd w:val="clear" w:color="auto" w:fill="FFFFFF"/>
              </w:rPr>
              <w:t>consist of all public native forests designated for commercial forestry use in at least one whole forestry region</w:t>
            </w:r>
            <w:r w:rsidR="00B338FF">
              <w:rPr>
                <w:rFonts w:ascii="Times New Roman" w:hAnsi="Times New Roman" w:cs="Times New Roman"/>
                <w:bCs/>
                <w:sz w:val="21"/>
                <w:szCs w:val="21"/>
                <w:shd w:val="clear" w:color="auto" w:fill="FFFFFF"/>
              </w:rPr>
              <w:t xml:space="preserve">. This </w:t>
            </w:r>
            <w:r w:rsidRPr="001109C7">
              <w:rPr>
                <w:rFonts w:ascii="Times New Roman" w:hAnsi="Times New Roman" w:cs="Times New Roman"/>
                <w:bCs/>
                <w:sz w:val="21"/>
                <w:szCs w:val="21"/>
                <w:shd w:val="clear" w:color="auto" w:fill="FFFFFF"/>
              </w:rPr>
              <w:t>reduces the scope for direct leakage through activity shifting.</w:t>
            </w:r>
          </w:p>
          <w:p w14:paraId="2B76FC8C" w14:textId="05ED9A99" w:rsidR="00147B16" w:rsidRPr="001109C7" w:rsidRDefault="007C62A1" w:rsidP="009D5A62">
            <w:pPr>
              <w:pStyle w:val="ListParagraph"/>
              <w:numPr>
                <w:ilvl w:val="0"/>
                <w:numId w:val="18"/>
              </w:numPr>
              <w:spacing w:before="60" w:after="60"/>
              <w:rPr>
                <w:rFonts w:ascii="Times New Roman" w:hAnsi="Times New Roman" w:cs="Times New Roman"/>
                <w:bCs/>
                <w:sz w:val="21"/>
                <w:szCs w:val="21"/>
              </w:rPr>
            </w:pPr>
            <w:r>
              <w:rPr>
                <w:rFonts w:ascii="Times New Roman" w:hAnsi="Times New Roman" w:cs="Times New Roman"/>
                <w:bCs/>
                <w:sz w:val="21"/>
                <w:szCs w:val="21"/>
              </w:rPr>
              <w:t xml:space="preserve">In calculating the net abatement amount, </w:t>
            </w:r>
            <w:r w:rsidR="00147B16" w:rsidRPr="001109C7">
              <w:rPr>
                <w:rFonts w:ascii="Times New Roman" w:hAnsi="Times New Roman" w:cs="Times New Roman"/>
                <w:bCs/>
                <w:sz w:val="21"/>
                <w:szCs w:val="21"/>
              </w:rPr>
              <w:t xml:space="preserve">a direct leakage deduction </w:t>
            </w:r>
            <w:r w:rsidR="007312CF">
              <w:rPr>
                <w:rFonts w:ascii="Times New Roman" w:hAnsi="Times New Roman" w:cs="Times New Roman"/>
                <w:bCs/>
                <w:sz w:val="21"/>
                <w:szCs w:val="21"/>
              </w:rPr>
              <w:t>must be applied</w:t>
            </w:r>
            <w:r w:rsidR="00147B16" w:rsidRPr="001109C7">
              <w:rPr>
                <w:rFonts w:ascii="Times New Roman" w:hAnsi="Times New Roman" w:cs="Times New Roman"/>
                <w:bCs/>
                <w:sz w:val="21"/>
                <w:szCs w:val="21"/>
              </w:rPr>
              <w:t xml:space="preserve"> if </w:t>
            </w:r>
            <w:r w:rsidR="006774F4" w:rsidRPr="006774F4">
              <w:rPr>
                <w:rFonts w:ascii="Times New Roman" w:hAnsi="Times New Roman" w:cs="Times New Roman"/>
                <w:bCs/>
                <w:sz w:val="21"/>
                <w:szCs w:val="21"/>
              </w:rPr>
              <w:t xml:space="preserve">the volume of wood extracted </w:t>
            </w:r>
            <w:r w:rsidR="00147B16" w:rsidRPr="001109C7">
              <w:rPr>
                <w:rFonts w:ascii="Times New Roman" w:hAnsi="Times New Roman" w:cs="Times New Roman"/>
                <w:bCs/>
                <w:sz w:val="21"/>
                <w:szCs w:val="21"/>
              </w:rPr>
              <w:t xml:space="preserve">from the excluded sections of the proponent’s </w:t>
            </w:r>
            <w:r w:rsidR="001D32EB">
              <w:rPr>
                <w:rFonts w:ascii="Times New Roman" w:hAnsi="Times New Roman" w:cs="Times New Roman"/>
                <w:bCs/>
                <w:sz w:val="21"/>
                <w:szCs w:val="21"/>
              </w:rPr>
              <w:t xml:space="preserve">public </w:t>
            </w:r>
            <w:r w:rsidR="00147B16" w:rsidRPr="001109C7">
              <w:rPr>
                <w:rFonts w:ascii="Times New Roman" w:hAnsi="Times New Roman" w:cs="Times New Roman"/>
                <w:bCs/>
                <w:sz w:val="21"/>
                <w:szCs w:val="21"/>
              </w:rPr>
              <w:t xml:space="preserve">native forest estate exceeds the </w:t>
            </w:r>
            <w:r w:rsidR="001D32EB" w:rsidRPr="001D32EB">
              <w:rPr>
                <w:rFonts w:ascii="Times New Roman" w:hAnsi="Times New Roman" w:cs="Times New Roman"/>
                <w:bCs/>
                <w:sz w:val="21"/>
                <w:szCs w:val="21"/>
              </w:rPr>
              <w:t>direct leakage baseline harvest level</w:t>
            </w:r>
            <w:r w:rsidR="00147B16" w:rsidRPr="001109C7">
              <w:rPr>
                <w:rFonts w:ascii="Times New Roman" w:hAnsi="Times New Roman" w:cs="Times New Roman"/>
                <w:bCs/>
                <w:sz w:val="21"/>
                <w:szCs w:val="21"/>
              </w:rPr>
              <w:t xml:space="preserve">. If the </w:t>
            </w:r>
            <w:r w:rsidR="0084616B" w:rsidRPr="0084616B">
              <w:rPr>
                <w:rFonts w:ascii="Times New Roman" w:hAnsi="Times New Roman" w:cs="Times New Roman"/>
                <w:bCs/>
                <w:sz w:val="21"/>
                <w:szCs w:val="21"/>
              </w:rPr>
              <w:t xml:space="preserve">direct leakage baseline harvest level </w:t>
            </w:r>
            <w:r w:rsidR="00147B16" w:rsidRPr="001109C7">
              <w:rPr>
                <w:rFonts w:ascii="Times New Roman" w:hAnsi="Times New Roman" w:cs="Times New Roman"/>
                <w:bCs/>
                <w:sz w:val="21"/>
                <w:szCs w:val="21"/>
              </w:rPr>
              <w:t xml:space="preserve">is exceeded, the exceedance is deemed to be attributable to the project and credited abatement is reduced accordingly. </w:t>
            </w:r>
            <w:r w:rsidR="0084616B">
              <w:rPr>
                <w:rFonts w:ascii="Times New Roman" w:hAnsi="Times New Roman" w:cs="Times New Roman"/>
                <w:bCs/>
                <w:sz w:val="21"/>
                <w:szCs w:val="21"/>
              </w:rPr>
              <w:t xml:space="preserve">This conservatively addresses the risk of </w:t>
            </w:r>
            <w:r w:rsidR="008A2A02" w:rsidRPr="001109C7">
              <w:rPr>
                <w:rFonts w:ascii="Times New Roman" w:hAnsi="Times New Roman" w:cs="Times New Roman"/>
                <w:bCs/>
                <w:sz w:val="21"/>
                <w:szCs w:val="21"/>
                <w:shd w:val="clear" w:color="auto" w:fill="FFFFFF"/>
              </w:rPr>
              <w:t>direct leakage through activity shifting</w:t>
            </w:r>
            <w:r w:rsidR="008A2A02">
              <w:rPr>
                <w:rFonts w:ascii="Times New Roman" w:hAnsi="Times New Roman" w:cs="Times New Roman"/>
                <w:bCs/>
                <w:sz w:val="21"/>
                <w:szCs w:val="21"/>
              </w:rPr>
              <w:t>.</w:t>
            </w:r>
          </w:p>
          <w:p w14:paraId="0EC34CD9" w14:textId="40813258" w:rsidR="00147B16" w:rsidRPr="001109C7" w:rsidRDefault="00C15DDA" w:rsidP="009D5A62">
            <w:pPr>
              <w:pStyle w:val="ListParagraph"/>
              <w:numPr>
                <w:ilvl w:val="0"/>
                <w:numId w:val="18"/>
              </w:numPr>
              <w:spacing w:before="60" w:after="60"/>
              <w:rPr>
                <w:rFonts w:ascii="Times New Roman" w:hAnsi="Times New Roman" w:cs="Times New Roman"/>
                <w:bCs/>
                <w:sz w:val="21"/>
                <w:szCs w:val="21"/>
              </w:rPr>
            </w:pPr>
            <w:r w:rsidRPr="001109C7">
              <w:rPr>
                <w:rFonts w:ascii="Times New Roman" w:hAnsi="Times New Roman" w:cs="Times New Roman"/>
                <w:bCs/>
                <w:sz w:val="21"/>
                <w:szCs w:val="21"/>
              </w:rPr>
              <w:t xml:space="preserve">Projects are only eligible to receive ACCUs </w:t>
            </w:r>
            <w:r>
              <w:rPr>
                <w:rFonts w:ascii="Times New Roman" w:hAnsi="Times New Roman" w:cs="Times New Roman"/>
                <w:bCs/>
                <w:sz w:val="21"/>
                <w:szCs w:val="21"/>
              </w:rPr>
              <w:t xml:space="preserve">in a reporting period </w:t>
            </w:r>
            <w:r w:rsidRPr="001109C7">
              <w:rPr>
                <w:rFonts w:ascii="Times New Roman" w:hAnsi="Times New Roman" w:cs="Times New Roman"/>
                <w:bCs/>
                <w:sz w:val="21"/>
                <w:szCs w:val="21"/>
              </w:rPr>
              <w:t xml:space="preserve">if the volume of wood extracted from the project area </w:t>
            </w:r>
            <w:r>
              <w:rPr>
                <w:rFonts w:ascii="Times New Roman" w:hAnsi="Times New Roman" w:cs="Times New Roman"/>
                <w:bCs/>
                <w:sz w:val="21"/>
                <w:szCs w:val="21"/>
              </w:rPr>
              <w:t>is</w:t>
            </w:r>
            <w:r w:rsidRPr="001109C7">
              <w:rPr>
                <w:rFonts w:ascii="Times New Roman" w:hAnsi="Times New Roman" w:cs="Times New Roman"/>
                <w:bCs/>
                <w:sz w:val="21"/>
                <w:szCs w:val="21"/>
              </w:rPr>
              <w:t xml:space="preserve"> </w:t>
            </w:r>
            <w:r>
              <w:rPr>
                <w:rFonts w:ascii="Times New Roman" w:hAnsi="Times New Roman" w:cs="Times New Roman"/>
                <w:bCs/>
                <w:sz w:val="21"/>
                <w:szCs w:val="21"/>
              </w:rPr>
              <w:t xml:space="preserve">at least </w:t>
            </w:r>
            <w:r w:rsidRPr="00821F22">
              <w:rPr>
                <w:rFonts w:ascii="Times New Roman" w:hAnsi="Times New Roman" w:cs="Times New Roman"/>
                <w:bCs/>
                <w:sz w:val="21"/>
                <w:szCs w:val="21"/>
              </w:rPr>
              <w:t xml:space="preserve">20% below the levels in the baseline scenario, both in each </w:t>
            </w:r>
            <w:r>
              <w:rPr>
                <w:rFonts w:ascii="Times New Roman" w:hAnsi="Times New Roman" w:cs="Times New Roman"/>
                <w:bCs/>
                <w:sz w:val="21"/>
                <w:szCs w:val="21"/>
              </w:rPr>
              <w:t>12</w:t>
            </w:r>
            <w:r w:rsidRPr="00821F22">
              <w:rPr>
                <w:rFonts w:ascii="Times New Roman" w:hAnsi="Times New Roman" w:cs="Times New Roman"/>
                <w:bCs/>
                <w:sz w:val="21"/>
                <w:szCs w:val="21"/>
              </w:rPr>
              <w:t>-month segment of the reporting period</w:t>
            </w:r>
            <w:r>
              <w:rPr>
                <w:rFonts w:ascii="Times New Roman" w:hAnsi="Times New Roman" w:cs="Times New Roman"/>
                <w:bCs/>
                <w:sz w:val="21"/>
                <w:szCs w:val="21"/>
              </w:rPr>
              <w:t xml:space="preserve"> (or part thereof)</w:t>
            </w:r>
            <w:r w:rsidRPr="00821F22">
              <w:rPr>
                <w:rFonts w:ascii="Times New Roman" w:hAnsi="Times New Roman" w:cs="Times New Roman"/>
                <w:bCs/>
                <w:sz w:val="21"/>
                <w:szCs w:val="21"/>
              </w:rPr>
              <w:t xml:space="preserve"> and on aggregate since the</w:t>
            </w:r>
            <w:r>
              <w:rPr>
                <w:rFonts w:ascii="Times New Roman" w:hAnsi="Times New Roman" w:cs="Times New Roman"/>
                <w:bCs/>
                <w:sz w:val="21"/>
                <w:szCs w:val="21"/>
              </w:rPr>
              <w:t xml:space="preserve"> date of project registration through to the end of the reporting period</w:t>
            </w:r>
            <w:r w:rsidRPr="001109C7">
              <w:rPr>
                <w:rFonts w:ascii="Times New Roman" w:hAnsi="Times New Roman" w:cs="Times New Roman"/>
                <w:bCs/>
                <w:sz w:val="21"/>
                <w:szCs w:val="21"/>
              </w:rPr>
              <w:t xml:space="preserve">. </w:t>
            </w:r>
            <w:r>
              <w:rPr>
                <w:rFonts w:ascii="Times New Roman" w:hAnsi="Times New Roman" w:cs="Times New Roman"/>
                <w:bCs/>
                <w:sz w:val="21"/>
                <w:szCs w:val="21"/>
              </w:rPr>
              <w:t xml:space="preserve">Project registration is also contingent on projects being likely to satisfy this hurdle requirement in each 12-month segment of the crediting period. </w:t>
            </w:r>
            <w:r w:rsidR="00147B16" w:rsidRPr="001109C7">
              <w:rPr>
                <w:rFonts w:ascii="Times New Roman" w:hAnsi="Times New Roman" w:cs="Times New Roman"/>
                <w:bCs/>
                <w:sz w:val="21"/>
                <w:szCs w:val="21"/>
              </w:rPr>
              <w:t>Th</w:t>
            </w:r>
            <w:r>
              <w:rPr>
                <w:rFonts w:ascii="Times New Roman" w:hAnsi="Times New Roman" w:cs="Times New Roman"/>
                <w:bCs/>
                <w:sz w:val="21"/>
                <w:szCs w:val="21"/>
              </w:rPr>
              <w:t>e</w:t>
            </w:r>
            <w:r w:rsidR="00E3130A">
              <w:rPr>
                <w:rFonts w:ascii="Times New Roman" w:hAnsi="Times New Roman" w:cs="Times New Roman"/>
                <w:bCs/>
                <w:sz w:val="21"/>
                <w:szCs w:val="21"/>
              </w:rPr>
              <w:t xml:space="preserve"> </w:t>
            </w:r>
            <w:r w:rsidR="00147B16" w:rsidRPr="001109C7">
              <w:rPr>
                <w:rFonts w:ascii="Times New Roman" w:hAnsi="Times New Roman" w:cs="Times New Roman"/>
                <w:bCs/>
                <w:sz w:val="21"/>
                <w:szCs w:val="21"/>
              </w:rPr>
              <w:t>hurdle requirement mitigate</w:t>
            </w:r>
            <w:r w:rsidR="0074174E">
              <w:rPr>
                <w:rFonts w:ascii="Times New Roman" w:hAnsi="Times New Roman" w:cs="Times New Roman"/>
                <w:bCs/>
                <w:sz w:val="21"/>
                <w:szCs w:val="21"/>
              </w:rPr>
              <w:t>s</w:t>
            </w:r>
            <w:r w:rsidR="00147B16" w:rsidRPr="001109C7">
              <w:rPr>
                <w:rFonts w:ascii="Times New Roman" w:hAnsi="Times New Roman" w:cs="Times New Roman"/>
                <w:bCs/>
                <w:sz w:val="21"/>
                <w:szCs w:val="21"/>
              </w:rPr>
              <w:t xml:space="preserve"> the risk of leakage through cross-subsidisation by ensuring there is a structural shift in the native forest industry in the relevant region.</w:t>
            </w:r>
            <w:r w:rsidR="00821F22">
              <w:rPr>
                <w:rFonts w:ascii="Times New Roman" w:hAnsi="Times New Roman" w:cs="Times New Roman"/>
                <w:bCs/>
                <w:sz w:val="21"/>
                <w:szCs w:val="21"/>
              </w:rPr>
              <w:t xml:space="preserve"> </w:t>
            </w:r>
          </w:p>
          <w:p w14:paraId="7567C6F8" w14:textId="33859F6E" w:rsidR="00147B16" w:rsidRPr="001109C7" w:rsidRDefault="007C7CF0" w:rsidP="009D5A62">
            <w:pPr>
              <w:pStyle w:val="ListParagraph"/>
              <w:numPr>
                <w:ilvl w:val="0"/>
                <w:numId w:val="18"/>
              </w:numPr>
              <w:spacing w:before="60" w:after="60"/>
              <w:rPr>
                <w:rFonts w:ascii="Times New Roman" w:hAnsi="Times New Roman" w:cs="Times New Roman"/>
                <w:bCs/>
                <w:sz w:val="21"/>
                <w:szCs w:val="21"/>
              </w:rPr>
            </w:pPr>
            <w:r>
              <w:rPr>
                <w:rFonts w:ascii="Times New Roman" w:hAnsi="Times New Roman" w:cs="Times New Roman"/>
                <w:bCs/>
                <w:sz w:val="21"/>
                <w:szCs w:val="21"/>
              </w:rPr>
              <w:t xml:space="preserve">In calculating the net abatement amount, </w:t>
            </w:r>
            <w:r w:rsidRPr="001109C7">
              <w:rPr>
                <w:rFonts w:ascii="Times New Roman" w:hAnsi="Times New Roman" w:cs="Times New Roman"/>
                <w:bCs/>
                <w:sz w:val="21"/>
                <w:szCs w:val="21"/>
              </w:rPr>
              <w:t xml:space="preserve">a </w:t>
            </w:r>
            <w:r w:rsidRPr="007C7CF0">
              <w:rPr>
                <w:rFonts w:ascii="Times New Roman" w:hAnsi="Times New Roman" w:cs="Times New Roman"/>
                <w:bCs/>
                <w:sz w:val="21"/>
                <w:szCs w:val="21"/>
              </w:rPr>
              <w:t xml:space="preserve">private native forests leakage deduction </w:t>
            </w:r>
            <w:r>
              <w:rPr>
                <w:rFonts w:ascii="Times New Roman" w:hAnsi="Times New Roman" w:cs="Times New Roman"/>
                <w:bCs/>
                <w:sz w:val="21"/>
                <w:szCs w:val="21"/>
              </w:rPr>
              <w:t>must be applied</w:t>
            </w:r>
            <w:r w:rsidRPr="001109C7">
              <w:rPr>
                <w:rFonts w:ascii="Times New Roman" w:hAnsi="Times New Roman" w:cs="Times New Roman"/>
                <w:bCs/>
                <w:sz w:val="21"/>
                <w:szCs w:val="21"/>
              </w:rPr>
              <w:t xml:space="preserve"> if </w:t>
            </w:r>
            <w:r w:rsidR="00777470" w:rsidRPr="00777470">
              <w:rPr>
                <w:rFonts w:ascii="Times New Roman" w:hAnsi="Times New Roman" w:cs="Times New Roman"/>
                <w:bCs/>
                <w:sz w:val="21"/>
                <w:szCs w:val="21"/>
              </w:rPr>
              <w:t xml:space="preserve">the volume of wood extracted from </w:t>
            </w:r>
            <w:r w:rsidR="00975E49">
              <w:rPr>
                <w:rFonts w:ascii="Times New Roman" w:hAnsi="Times New Roman" w:cs="Times New Roman"/>
                <w:bCs/>
                <w:sz w:val="21"/>
                <w:szCs w:val="21"/>
              </w:rPr>
              <w:t>private</w:t>
            </w:r>
            <w:r w:rsidR="00777470" w:rsidRPr="00777470">
              <w:rPr>
                <w:rFonts w:ascii="Times New Roman" w:hAnsi="Times New Roman" w:cs="Times New Roman"/>
                <w:bCs/>
                <w:sz w:val="21"/>
                <w:szCs w:val="21"/>
              </w:rPr>
              <w:t xml:space="preserve"> native forests </w:t>
            </w:r>
            <w:r w:rsidR="00975E49">
              <w:rPr>
                <w:rFonts w:ascii="Times New Roman" w:hAnsi="Times New Roman" w:cs="Times New Roman"/>
                <w:bCs/>
                <w:sz w:val="21"/>
                <w:szCs w:val="21"/>
              </w:rPr>
              <w:t xml:space="preserve">in the jurisdiction in which the project is located </w:t>
            </w:r>
            <w:r w:rsidR="00777470" w:rsidRPr="00777470">
              <w:rPr>
                <w:rFonts w:ascii="Times New Roman" w:hAnsi="Times New Roman" w:cs="Times New Roman"/>
                <w:bCs/>
                <w:sz w:val="21"/>
                <w:szCs w:val="21"/>
              </w:rPr>
              <w:t>exceeds the private native forests leakage baseline harvest level</w:t>
            </w:r>
            <w:r w:rsidR="00147B16" w:rsidRPr="001109C7">
              <w:rPr>
                <w:rFonts w:ascii="Times New Roman" w:hAnsi="Times New Roman" w:cs="Times New Roman"/>
                <w:bCs/>
                <w:sz w:val="21"/>
                <w:szCs w:val="21"/>
              </w:rPr>
              <w:t xml:space="preserve">. If the </w:t>
            </w:r>
            <w:r w:rsidR="00441AB6" w:rsidRPr="00777470">
              <w:rPr>
                <w:rFonts w:ascii="Times New Roman" w:hAnsi="Times New Roman" w:cs="Times New Roman"/>
                <w:bCs/>
                <w:sz w:val="21"/>
                <w:szCs w:val="21"/>
              </w:rPr>
              <w:t>private native forests leakage baseline harvest level</w:t>
            </w:r>
            <w:r w:rsidR="00441AB6" w:rsidRPr="001109C7">
              <w:rPr>
                <w:rFonts w:ascii="Times New Roman" w:hAnsi="Times New Roman" w:cs="Times New Roman"/>
                <w:bCs/>
                <w:sz w:val="21"/>
                <w:szCs w:val="21"/>
              </w:rPr>
              <w:t xml:space="preserve"> </w:t>
            </w:r>
            <w:r w:rsidR="00147B16" w:rsidRPr="001109C7">
              <w:rPr>
                <w:rFonts w:ascii="Times New Roman" w:hAnsi="Times New Roman" w:cs="Times New Roman"/>
                <w:bCs/>
                <w:sz w:val="21"/>
                <w:szCs w:val="21"/>
              </w:rPr>
              <w:t>is exceeded, the exceedance is deemed to be attributable to the project and credited abatement is reduced accordingly.</w:t>
            </w:r>
            <w:r w:rsidR="00441AB6">
              <w:rPr>
                <w:rFonts w:ascii="Times New Roman" w:hAnsi="Times New Roman" w:cs="Times New Roman"/>
                <w:bCs/>
                <w:sz w:val="21"/>
                <w:szCs w:val="21"/>
              </w:rPr>
              <w:t xml:space="preserve"> </w:t>
            </w:r>
            <w:r w:rsidR="0019693E">
              <w:rPr>
                <w:rFonts w:ascii="Times New Roman" w:hAnsi="Times New Roman" w:cs="Times New Roman"/>
                <w:bCs/>
                <w:sz w:val="21"/>
                <w:szCs w:val="21"/>
              </w:rPr>
              <w:t>This conservatively addresses the risk of i</w:t>
            </w:r>
            <w:r w:rsidR="0019693E" w:rsidRPr="0019693E">
              <w:rPr>
                <w:rFonts w:ascii="Times New Roman" w:hAnsi="Times New Roman" w:cs="Times New Roman"/>
                <w:bCs/>
                <w:sz w:val="21"/>
                <w:szCs w:val="21"/>
                <w:shd w:val="clear" w:color="auto" w:fill="FFFFFF"/>
              </w:rPr>
              <w:t>ndirect leakage to private native forests</w:t>
            </w:r>
            <w:r w:rsidR="0019693E">
              <w:rPr>
                <w:rFonts w:ascii="Times New Roman" w:hAnsi="Times New Roman" w:cs="Times New Roman"/>
                <w:bCs/>
                <w:sz w:val="21"/>
                <w:szCs w:val="21"/>
              </w:rPr>
              <w:t>.</w:t>
            </w:r>
          </w:p>
          <w:p w14:paraId="1B6BDFD3" w14:textId="77777777" w:rsidR="00147B16" w:rsidRDefault="00147B16" w:rsidP="009D5A62">
            <w:pPr>
              <w:pStyle w:val="ListParagraph"/>
              <w:numPr>
                <w:ilvl w:val="0"/>
                <w:numId w:val="18"/>
              </w:numPr>
              <w:spacing w:before="60" w:after="60"/>
              <w:rPr>
                <w:rFonts w:ascii="Times New Roman" w:hAnsi="Times New Roman" w:cs="Times New Roman"/>
                <w:bCs/>
                <w:sz w:val="21"/>
                <w:szCs w:val="21"/>
              </w:rPr>
            </w:pPr>
            <w:r w:rsidRPr="001109C7">
              <w:rPr>
                <w:rFonts w:ascii="Times New Roman" w:hAnsi="Times New Roman" w:cs="Times New Roman"/>
                <w:bCs/>
                <w:sz w:val="21"/>
                <w:szCs w:val="21"/>
              </w:rPr>
              <w:t xml:space="preserve">A 5% indirect leakage deduction must be </w:t>
            </w:r>
            <w:r w:rsidR="007E5D8E">
              <w:rPr>
                <w:rFonts w:ascii="Times New Roman" w:hAnsi="Times New Roman" w:cs="Times New Roman"/>
                <w:bCs/>
                <w:sz w:val="21"/>
                <w:szCs w:val="21"/>
              </w:rPr>
              <w:t xml:space="preserve">applied </w:t>
            </w:r>
            <w:r w:rsidRPr="001109C7">
              <w:rPr>
                <w:rFonts w:ascii="Times New Roman" w:hAnsi="Times New Roman" w:cs="Times New Roman"/>
                <w:bCs/>
                <w:sz w:val="21"/>
                <w:szCs w:val="21"/>
              </w:rPr>
              <w:t xml:space="preserve">when calculating </w:t>
            </w:r>
            <w:r w:rsidR="00894524">
              <w:rPr>
                <w:rFonts w:ascii="Times New Roman" w:hAnsi="Times New Roman" w:cs="Times New Roman"/>
                <w:bCs/>
                <w:sz w:val="21"/>
                <w:szCs w:val="21"/>
              </w:rPr>
              <w:t xml:space="preserve">the </w:t>
            </w:r>
            <w:r w:rsidRPr="001109C7">
              <w:rPr>
                <w:rFonts w:ascii="Times New Roman" w:hAnsi="Times New Roman" w:cs="Times New Roman"/>
                <w:bCs/>
                <w:sz w:val="21"/>
                <w:szCs w:val="21"/>
              </w:rPr>
              <w:t>net abatement</w:t>
            </w:r>
            <w:r w:rsidR="00894524">
              <w:rPr>
                <w:rFonts w:ascii="Times New Roman" w:hAnsi="Times New Roman" w:cs="Times New Roman"/>
                <w:bCs/>
                <w:sz w:val="21"/>
                <w:szCs w:val="21"/>
              </w:rPr>
              <w:t xml:space="preserve"> amount</w:t>
            </w:r>
            <w:r w:rsidRPr="001109C7">
              <w:rPr>
                <w:rFonts w:ascii="Times New Roman" w:hAnsi="Times New Roman" w:cs="Times New Roman"/>
                <w:bCs/>
                <w:sz w:val="21"/>
                <w:szCs w:val="21"/>
              </w:rPr>
              <w:t xml:space="preserve">. This accounts for </w:t>
            </w:r>
            <w:r w:rsidR="00F93064">
              <w:rPr>
                <w:rFonts w:ascii="Times New Roman" w:hAnsi="Times New Roman" w:cs="Times New Roman"/>
                <w:bCs/>
                <w:sz w:val="21"/>
                <w:szCs w:val="21"/>
              </w:rPr>
              <w:t xml:space="preserve">indirect </w:t>
            </w:r>
            <w:r w:rsidRPr="001109C7">
              <w:rPr>
                <w:rFonts w:ascii="Times New Roman" w:hAnsi="Times New Roman" w:cs="Times New Roman"/>
                <w:bCs/>
                <w:sz w:val="21"/>
                <w:szCs w:val="21"/>
              </w:rPr>
              <w:t xml:space="preserve">leakage </w:t>
            </w:r>
            <w:r w:rsidR="00F93064">
              <w:rPr>
                <w:rFonts w:ascii="Times New Roman" w:hAnsi="Times New Roman" w:cs="Times New Roman"/>
                <w:bCs/>
                <w:sz w:val="21"/>
                <w:szCs w:val="21"/>
              </w:rPr>
              <w:t xml:space="preserve">risks, </w:t>
            </w:r>
            <w:r w:rsidR="005946AB">
              <w:rPr>
                <w:rFonts w:ascii="Times New Roman" w:hAnsi="Times New Roman" w:cs="Times New Roman"/>
                <w:bCs/>
                <w:sz w:val="21"/>
                <w:szCs w:val="21"/>
              </w:rPr>
              <w:t>other than those associated with private native forests in the jurisdiction in which the project is located</w:t>
            </w:r>
            <w:r w:rsidRPr="001109C7">
              <w:rPr>
                <w:rFonts w:ascii="Times New Roman" w:hAnsi="Times New Roman" w:cs="Times New Roman"/>
                <w:bCs/>
                <w:sz w:val="21"/>
                <w:szCs w:val="21"/>
              </w:rPr>
              <w:t>.</w:t>
            </w:r>
          </w:p>
          <w:p w14:paraId="167C1870" w14:textId="77777777" w:rsidR="005E1CBB" w:rsidRDefault="00E12E4C" w:rsidP="009D5A62">
            <w:pPr>
              <w:pStyle w:val="ListParagraph"/>
              <w:numPr>
                <w:ilvl w:val="0"/>
                <w:numId w:val="18"/>
              </w:numPr>
              <w:spacing w:before="60" w:after="60"/>
              <w:rPr>
                <w:rFonts w:ascii="Times New Roman" w:hAnsi="Times New Roman" w:cs="Times New Roman"/>
                <w:bCs/>
                <w:sz w:val="21"/>
                <w:szCs w:val="21"/>
              </w:rPr>
            </w:pPr>
            <w:r w:rsidRPr="00E12E4C">
              <w:rPr>
                <w:rFonts w:ascii="Times New Roman" w:hAnsi="Times New Roman" w:cs="Times New Roman"/>
                <w:bCs/>
                <w:sz w:val="21"/>
                <w:szCs w:val="21"/>
              </w:rPr>
              <w:t xml:space="preserve">The Determination includes additional permanence provisions that require the proponent to relinquish ACCUs if, after the end of the 15-year crediting period but before the end of the 100-year permanence period, the volume of wood </w:t>
            </w:r>
            <w:r w:rsidRPr="00E12E4C">
              <w:rPr>
                <w:rFonts w:ascii="Times New Roman" w:hAnsi="Times New Roman" w:cs="Times New Roman"/>
                <w:bCs/>
                <w:sz w:val="21"/>
                <w:szCs w:val="21"/>
              </w:rPr>
              <w:lastRenderedPageBreak/>
              <w:t xml:space="preserve">extracted from excluded sections of the proponent’s public native forest estate exceed the direct leakage baseline harvest level. </w:t>
            </w:r>
            <w:r w:rsidR="00AC644F">
              <w:rPr>
                <w:rFonts w:ascii="Times New Roman" w:hAnsi="Times New Roman" w:cs="Times New Roman"/>
                <w:bCs/>
                <w:sz w:val="21"/>
                <w:szCs w:val="21"/>
              </w:rPr>
              <w:t xml:space="preserve">This </w:t>
            </w:r>
            <w:r w:rsidR="007E7C0E">
              <w:rPr>
                <w:rFonts w:ascii="Times New Roman" w:hAnsi="Times New Roman" w:cs="Times New Roman"/>
                <w:bCs/>
                <w:sz w:val="21"/>
                <w:szCs w:val="21"/>
              </w:rPr>
              <w:t xml:space="preserve">mitigates the risk of activity shifting </w:t>
            </w:r>
            <w:r w:rsidR="008D0272">
              <w:rPr>
                <w:rFonts w:ascii="Times New Roman" w:hAnsi="Times New Roman" w:cs="Times New Roman"/>
                <w:bCs/>
                <w:sz w:val="21"/>
                <w:szCs w:val="21"/>
              </w:rPr>
              <w:t xml:space="preserve">after the crediting period. </w:t>
            </w:r>
          </w:p>
          <w:p w14:paraId="29490365" w14:textId="448DFEFD" w:rsidR="00BD01BA" w:rsidRPr="005E1CBB" w:rsidRDefault="00BD01BA" w:rsidP="009D5A62">
            <w:pPr>
              <w:pStyle w:val="ListParagraph"/>
              <w:numPr>
                <w:ilvl w:val="0"/>
                <w:numId w:val="18"/>
              </w:numPr>
              <w:spacing w:before="60" w:after="60"/>
              <w:rPr>
                <w:rFonts w:ascii="Times New Roman" w:hAnsi="Times New Roman" w:cs="Times New Roman"/>
                <w:bCs/>
                <w:sz w:val="21"/>
                <w:szCs w:val="21"/>
              </w:rPr>
            </w:pPr>
            <w:r w:rsidRPr="005E1CBB">
              <w:rPr>
                <w:rFonts w:ascii="Times New Roman" w:hAnsi="Times New Roman" w:cs="Times New Roman"/>
                <w:bCs/>
                <w:sz w:val="21"/>
                <w:szCs w:val="21"/>
              </w:rPr>
              <w:t xml:space="preserve">The Determination includes additional permanence provisions that require the proponent to relinquish ACCUs if, after the end of the 15-year crediting period but before the end of the 100-year permanence period, the volume of wood extracted from </w:t>
            </w:r>
            <w:r w:rsidR="006653EB" w:rsidRPr="005E1CBB">
              <w:rPr>
                <w:rFonts w:ascii="Times New Roman" w:hAnsi="Times New Roman" w:cs="Times New Roman"/>
                <w:bCs/>
                <w:sz w:val="21"/>
                <w:szCs w:val="21"/>
              </w:rPr>
              <w:t xml:space="preserve">private native forests in the jurisdiction in which the project is located </w:t>
            </w:r>
            <w:r w:rsidRPr="005E1CBB">
              <w:rPr>
                <w:rFonts w:ascii="Times New Roman" w:hAnsi="Times New Roman" w:cs="Times New Roman"/>
                <w:bCs/>
                <w:sz w:val="21"/>
                <w:szCs w:val="21"/>
              </w:rPr>
              <w:t xml:space="preserve">exceed the </w:t>
            </w:r>
            <w:r w:rsidR="00885D79" w:rsidRPr="005E1CBB">
              <w:rPr>
                <w:rFonts w:ascii="Times New Roman" w:hAnsi="Times New Roman" w:cs="Times New Roman"/>
                <w:bCs/>
                <w:sz w:val="21"/>
                <w:szCs w:val="21"/>
              </w:rPr>
              <w:t>private native forests leakage baseline harvest level</w:t>
            </w:r>
            <w:r w:rsidRPr="005E1CBB">
              <w:rPr>
                <w:rFonts w:ascii="Times New Roman" w:hAnsi="Times New Roman" w:cs="Times New Roman"/>
                <w:bCs/>
                <w:sz w:val="21"/>
                <w:szCs w:val="21"/>
              </w:rPr>
              <w:t xml:space="preserve">. This mitigates the risk of </w:t>
            </w:r>
            <w:r w:rsidR="00885D79" w:rsidRPr="005E1CBB">
              <w:rPr>
                <w:rFonts w:ascii="Times New Roman" w:hAnsi="Times New Roman" w:cs="Times New Roman"/>
                <w:bCs/>
                <w:sz w:val="21"/>
                <w:szCs w:val="21"/>
              </w:rPr>
              <w:t>indirect leakage to private native forests</w:t>
            </w:r>
            <w:r w:rsidRPr="005E1CBB">
              <w:rPr>
                <w:rFonts w:ascii="Times New Roman" w:hAnsi="Times New Roman" w:cs="Times New Roman"/>
                <w:bCs/>
                <w:sz w:val="21"/>
                <w:szCs w:val="21"/>
              </w:rPr>
              <w:t xml:space="preserve"> after the crediting period.</w:t>
            </w:r>
          </w:p>
        </w:tc>
        <w:tc>
          <w:tcPr>
            <w:tcW w:w="1417" w:type="dxa"/>
          </w:tcPr>
          <w:p w14:paraId="017414B0" w14:textId="77777777" w:rsidR="00147B16" w:rsidRDefault="00147B16" w:rsidP="001109C7">
            <w:pPr>
              <w:spacing w:before="60" w:after="60"/>
              <w:rPr>
                <w:rFonts w:ascii="Times New Roman" w:hAnsi="Times New Roman" w:cs="Times New Roman"/>
                <w:bCs/>
                <w:sz w:val="21"/>
                <w:szCs w:val="21"/>
                <w:shd w:val="clear" w:color="auto" w:fill="FFFFFF"/>
              </w:rPr>
            </w:pPr>
          </w:p>
          <w:p w14:paraId="088109C1" w14:textId="77777777" w:rsidR="002F20F8" w:rsidRDefault="002F20F8" w:rsidP="001109C7">
            <w:pPr>
              <w:spacing w:before="60" w:after="60"/>
              <w:rPr>
                <w:rFonts w:ascii="Times New Roman" w:hAnsi="Times New Roman" w:cs="Times New Roman"/>
                <w:bCs/>
                <w:sz w:val="21"/>
                <w:szCs w:val="21"/>
                <w:shd w:val="clear" w:color="auto" w:fill="FFFFFF"/>
              </w:rPr>
            </w:pPr>
          </w:p>
          <w:p w14:paraId="4D86B566" w14:textId="77777777" w:rsidR="002F20F8" w:rsidRDefault="002F20F8" w:rsidP="001109C7">
            <w:pPr>
              <w:spacing w:before="60" w:after="60"/>
              <w:rPr>
                <w:rFonts w:ascii="Times New Roman" w:hAnsi="Times New Roman" w:cs="Times New Roman"/>
                <w:bCs/>
                <w:sz w:val="21"/>
                <w:szCs w:val="21"/>
                <w:shd w:val="clear" w:color="auto" w:fill="FFFFFF"/>
              </w:rPr>
            </w:pPr>
          </w:p>
          <w:p w14:paraId="00CFA33C" w14:textId="77777777" w:rsidR="002F20F8" w:rsidRDefault="002F20F8" w:rsidP="001109C7">
            <w:pPr>
              <w:spacing w:before="60" w:after="60"/>
              <w:rPr>
                <w:rFonts w:ascii="Times New Roman" w:hAnsi="Times New Roman" w:cs="Times New Roman"/>
                <w:bCs/>
                <w:sz w:val="21"/>
                <w:szCs w:val="21"/>
                <w:shd w:val="clear" w:color="auto" w:fill="FFFFFF"/>
              </w:rPr>
            </w:pPr>
          </w:p>
          <w:p w14:paraId="36B36A8F" w14:textId="77777777" w:rsidR="002F20F8" w:rsidRDefault="002F20F8" w:rsidP="001109C7">
            <w:pPr>
              <w:spacing w:before="60" w:after="60"/>
              <w:rPr>
                <w:rFonts w:ascii="Times New Roman" w:hAnsi="Times New Roman" w:cs="Times New Roman"/>
                <w:bCs/>
                <w:sz w:val="21"/>
                <w:szCs w:val="21"/>
                <w:shd w:val="clear" w:color="auto" w:fill="FFFFFF"/>
              </w:rPr>
            </w:pPr>
          </w:p>
          <w:p w14:paraId="0A85A4DA" w14:textId="77777777" w:rsidR="002F20F8" w:rsidRDefault="002F20F8" w:rsidP="001109C7">
            <w:pPr>
              <w:spacing w:before="60" w:after="60"/>
              <w:rPr>
                <w:rFonts w:ascii="Times New Roman" w:hAnsi="Times New Roman" w:cs="Times New Roman"/>
                <w:bCs/>
                <w:sz w:val="21"/>
                <w:szCs w:val="21"/>
                <w:shd w:val="clear" w:color="auto" w:fill="FFFFFF"/>
              </w:rPr>
            </w:pPr>
          </w:p>
          <w:p w14:paraId="0146AEC3" w14:textId="77777777" w:rsidR="002F20F8" w:rsidRDefault="002F20F8" w:rsidP="001109C7">
            <w:pPr>
              <w:spacing w:before="60" w:after="60"/>
              <w:rPr>
                <w:rFonts w:ascii="Times New Roman" w:hAnsi="Times New Roman" w:cs="Times New Roman"/>
                <w:bCs/>
                <w:sz w:val="21"/>
                <w:szCs w:val="21"/>
                <w:shd w:val="clear" w:color="auto" w:fill="FFFFFF"/>
              </w:rPr>
            </w:pPr>
          </w:p>
          <w:p w14:paraId="32985760" w14:textId="77777777" w:rsidR="002F20F8" w:rsidRDefault="002F20F8" w:rsidP="001109C7">
            <w:pPr>
              <w:spacing w:before="60" w:after="60"/>
              <w:rPr>
                <w:rFonts w:ascii="Times New Roman" w:hAnsi="Times New Roman" w:cs="Times New Roman"/>
                <w:bCs/>
                <w:sz w:val="21"/>
                <w:szCs w:val="21"/>
                <w:shd w:val="clear" w:color="auto" w:fill="FFFFFF"/>
              </w:rPr>
            </w:pPr>
          </w:p>
          <w:p w14:paraId="1ABC5E5B" w14:textId="77777777" w:rsidR="002F20F8" w:rsidRDefault="002F20F8" w:rsidP="001109C7">
            <w:pPr>
              <w:spacing w:before="60" w:after="60"/>
              <w:rPr>
                <w:rFonts w:ascii="Times New Roman" w:hAnsi="Times New Roman" w:cs="Times New Roman"/>
                <w:bCs/>
                <w:sz w:val="21"/>
                <w:szCs w:val="21"/>
                <w:shd w:val="clear" w:color="auto" w:fill="FFFFFF"/>
              </w:rPr>
            </w:pPr>
          </w:p>
          <w:p w14:paraId="10BD931C" w14:textId="77777777" w:rsidR="002F20F8" w:rsidRDefault="002F20F8" w:rsidP="001109C7">
            <w:pPr>
              <w:spacing w:before="60" w:after="60"/>
              <w:rPr>
                <w:rFonts w:ascii="Times New Roman" w:hAnsi="Times New Roman" w:cs="Times New Roman"/>
                <w:bCs/>
                <w:sz w:val="21"/>
                <w:szCs w:val="21"/>
                <w:shd w:val="clear" w:color="auto" w:fill="FFFFFF"/>
              </w:rPr>
            </w:pPr>
          </w:p>
          <w:p w14:paraId="3975702D" w14:textId="77777777" w:rsidR="002F20F8" w:rsidRDefault="002F20F8" w:rsidP="001109C7">
            <w:pPr>
              <w:spacing w:before="60" w:after="60"/>
              <w:rPr>
                <w:rFonts w:ascii="Times New Roman" w:hAnsi="Times New Roman" w:cs="Times New Roman"/>
                <w:bCs/>
                <w:sz w:val="21"/>
                <w:szCs w:val="21"/>
                <w:shd w:val="clear" w:color="auto" w:fill="FFFFFF"/>
              </w:rPr>
            </w:pPr>
          </w:p>
          <w:p w14:paraId="39961765" w14:textId="77777777" w:rsidR="002F20F8" w:rsidRDefault="002F20F8" w:rsidP="001109C7">
            <w:pPr>
              <w:spacing w:before="60" w:after="60"/>
              <w:rPr>
                <w:rFonts w:ascii="Times New Roman" w:hAnsi="Times New Roman" w:cs="Times New Roman"/>
                <w:bCs/>
                <w:sz w:val="21"/>
                <w:szCs w:val="21"/>
                <w:shd w:val="clear" w:color="auto" w:fill="FFFFFF"/>
              </w:rPr>
            </w:pPr>
          </w:p>
          <w:p w14:paraId="4BA36146" w14:textId="77777777" w:rsidR="002F20F8" w:rsidRDefault="002F20F8" w:rsidP="001109C7">
            <w:pPr>
              <w:spacing w:before="60" w:after="60"/>
              <w:rPr>
                <w:rFonts w:ascii="Times New Roman" w:hAnsi="Times New Roman" w:cs="Times New Roman"/>
                <w:bCs/>
                <w:sz w:val="21"/>
                <w:szCs w:val="21"/>
                <w:shd w:val="clear" w:color="auto" w:fill="FFFFFF"/>
              </w:rPr>
            </w:pPr>
          </w:p>
          <w:p w14:paraId="4C683554" w14:textId="77777777" w:rsidR="002F20F8" w:rsidRDefault="002F20F8" w:rsidP="001109C7">
            <w:pPr>
              <w:spacing w:before="60" w:after="60"/>
              <w:rPr>
                <w:rFonts w:ascii="Times New Roman" w:hAnsi="Times New Roman" w:cs="Times New Roman"/>
                <w:bCs/>
                <w:sz w:val="21"/>
                <w:szCs w:val="21"/>
                <w:shd w:val="clear" w:color="auto" w:fill="FFFFFF"/>
              </w:rPr>
            </w:pPr>
          </w:p>
          <w:p w14:paraId="350CBDA6" w14:textId="77777777" w:rsidR="002F20F8" w:rsidRDefault="002F20F8" w:rsidP="001109C7">
            <w:pPr>
              <w:spacing w:before="60" w:after="60"/>
              <w:rPr>
                <w:rFonts w:ascii="Times New Roman" w:hAnsi="Times New Roman" w:cs="Times New Roman"/>
                <w:bCs/>
                <w:sz w:val="21"/>
                <w:szCs w:val="21"/>
                <w:shd w:val="clear" w:color="auto" w:fill="FFFFFF"/>
              </w:rPr>
            </w:pPr>
          </w:p>
          <w:p w14:paraId="230632F4" w14:textId="77777777" w:rsidR="002F20F8" w:rsidRDefault="002F20F8" w:rsidP="001109C7">
            <w:pPr>
              <w:spacing w:before="60" w:after="60"/>
              <w:rPr>
                <w:rFonts w:ascii="Times New Roman" w:hAnsi="Times New Roman" w:cs="Times New Roman"/>
                <w:bCs/>
                <w:sz w:val="21"/>
                <w:szCs w:val="21"/>
                <w:shd w:val="clear" w:color="auto" w:fill="FFFFFF"/>
              </w:rPr>
            </w:pPr>
          </w:p>
          <w:p w14:paraId="2CF5E526" w14:textId="77777777" w:rsidR="002F20F8" w:rsidRDefault="002F20F8" w:rsidP="001109C7">
            <w:pPr>
              <w:spacing w:before="60" w:after="60"/>
              <w:rPr>
                <w:rFonts w:ascii="Times New Roman" w:hAnsi="Times New Roman" w:cs="Times New Roman"/>
                <w:bCs/>
                <w:sz w:val="21"/>
                <w:szCs w:val="21"/>
                <w:shd w:val="clear" w:color="auto" w:fill="FFFFFF"/>
              </w:rPr>
            </w:pPr>
          </w:p>
          <w:p w14:paraId="6289446A" w14:textId="77777777" w:rsidR="002F20F8" w:rsidRDefault="002F20F8" w:rsidP="001109C7">
            <w:pPr>
              <w:spacing w:before="60" w:after="60"/>
              <w:rPr>
                <w:rFonts w:ascii="Times New Roman" w:hAnsi="Times New Roman" w:cs="Times New Roman"/>
                <w:bCs/>
                <w:sz w:val="21"/>
                <w:szCs w:val="21"/>
                <w:shd w:val="clear" w:color="auto" w:fill="FFFFFF"/>
              </w:rPr>
            </w:pPr>
          </w:p>
          <w:p w14:paraId="411B961D" w14:textId="2A039F62" w:rsidR="00E3130A" w:rsidRDefault="005942B3"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 12</w:t>
            </w:r>
          </w:p>
          <w:p w14:paraId="66214E0B" w14:textId="77777777" w:rsidR="00E3130A" w:rsidRDefault="00E3130A" w:rsidP="001109C7">
            <w:pPr>
              <w:spacing w:before="60" w:after="60"/>
              <w:rPr>
                <w:rFonts w:ascii="Times New Roman" w:hAnsi="Times New Roman" w:cs="Times New Roman"/>
                <w:bCs/>
                <w:sz w:val="21"/>
                <w:szCs w:val="21"/>
                <w:shd w:val="clear" w:color="auto" w:fill="FFFFFF"/>
              </w:rPr>
            </w:pPr>
          </w:p>
          <w:p w14:paraId="10BC30C2" w14:textId="0FBE2B3E" w:rsidR="00E3130A" w:rsidRDefault="00B60FFE"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ss 26, 4</w:t>
            </w:r>
            <w:r w:rsidR="008E5F1E">
              <w:rPr>
                <w:rFonts w:ascii="Times New Roman" w:hAnsi="Times New Roman" w:cs="Times New Roman"/>
                <w:bCs/>
                <w:sz w:val="21"/>
                <w:szCs w:val="21"/>
                <w:shd w:val="clear" w:color="auto" w:fill="FFFFFF"/>
              </w:rPr>
              <w:t>0</w:t>
            </w:r>
            <w:r>
              <w:rPr>
                <w:rFonts w:ascii="Times New Roman" w:hAnsi="Times New Roman" w:cs="Times New Roman"/>
                <w:bCs/>
                <w:sz w:val="21"/>
                <w:szCs w:val="21"/>
                <w:shd w:val="clear" w:color="auto" w:fill="FFFFFF"/>
              </w:rPr>
              <w:t xml:space="preserve"> &amp; 4</w:t>
            </w:r>
            <w:r w:rsidR="008E5F1E">
              <w:rPr>
                <w:rFonts w:ascii="Times New Roman" w:hAnsi="Times New Roman" w:cs="Times New Roman"/>
                <w:bCs/>
                <w:sz w:val="21"/>
                <w:szCs w:val="21"/>
                <w:shd w:val="clear" w:color="auto" w:fill="FFFFFF"/>
              </w:rPr>
              <w:t>1</w:t>
            </w:r>
          </w:p>
          <w:p w14:paraId="1399379A" w14:textId="77777777" w:rsidR="00E3130A" w:rsidRDefault="00E3130A" w:rsidP="001109C7">
            <w:pPr>
              <w:spacing w:before="60" w:after="60"/>
              <w:rPr>
                <w:rFonts w:ascii="Times New Roman" w:hAnsi="Times New Roman" w:cs="Times New Roman"/>
                <w:bCs/>
                <w:sz w:val="21"/>
                <w:szCs w:val="21"/>
                <w:shd w:val="clear" w:color="auto" w:fill="FFFFFF"/>
              </w:rPr>
            </w:pPr>
          </w:p>
          <w:p w14:paraId="5475CDE6" w14:textId="77777777" w:rsidR="00E3130A" w:rsidRDefault="00E3130A" w:rsidP="001109C7">
            <w:pPr>
              <w:spacing w:before="60" w:after="60"/>
              <w:rPr>
                <w:rFonts w:ascii="Times New Roman" w:hAnsi="Times New Roman" w:cs="Times New Roman"/>
                <w:bCs/>
                <w:sz w:val="21"/>
                <w:szCs w:val="21"/>
                <w:shd w:val="clear" w:color="auto" w:fill="FFFFFF"/>
              </w:rPr>
            </w:pPr>
          </w:p>
          <w:p w14:paraId="40AA2E04" w14:textId="77777777" w:rsidR="00E3130A" w:rsidRDefault="00E3130A" w:rsidP="001109C7">
            <w:pPr>
              <w:spacing w:before="60" w:after="60"/>
              <w:rPr>
                <w:rFonts w:ascii="Times New Roman" w:hAnsi="Times New Roman" w:cs="Times New Roman"/>
                <w:bCs/>
                <w:sz w:val="21"/>
                <w:szCs w:val="21"/>
                <w:shd w:val="clear" w:color="auto" w:fill="FFFFFF"/>
              </w:rPr>
            </w:pPr>
          </w:p>
          <w:p w14:paraId="724001F7" w14:textId="0CF238FE" w:rsidR="00022116" w:rsidRDefault="00022116" w:rsidP="00022116">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ss 13 &amp; 4</w:t>
            </w:r>
            <w:r w:rsidR="008E5F1E">
              <w:rPr>
                <w:rFonts w:ascii="Times New Roman" w:hAnsi="Times New Roman" w:cs="Times New Roman"/>
                <w:bCs/>
                <w:sz w:val="21"/>
                <w:szCs w:val="21"/>
                <w:shd w:val="clear" w:color="auto" w:fill="FFFFFF"/>
              </w:rPr>
              <w:t>5</w:t>
            </w:r>
          </w:p>
          <w:p w14:paraId="2698D6D6" w14:textId="77777777" w:rsidR="00E3130A" w:rsidRDefault="00E3130A" w:rsidP="001109C7">
            <w:pPr>
              <w:spacing w:before="60" w:after="60"/>
              <w:rPr>
                <w:rFonts w:ascii="Times New Roman" w:hAnsi="Times New Roman" w:cs="Times New Roman"/>
                <w:bCs/>
                <w:sz w:val="21"/>
                <w:szCs w:val="21"/>
                <w:shd w:val="clear" w:color="auto" w:fill="FFFFFF"/>
              </w:rPr>
            </w:pPr>
          </w:p>
          <w:p w14:paraId="73490B51" w14:textId="77777777" w:rsidR="00E3130A" w:rsidRDefault="00E3130A" w:rsidP="001109C7">
            <w:pPr>
              <w:spacing w:before="60" w:after="60"/>
              <w:rPr>
                <w:rFonts w:ascii="Times New Roman" w:hAnsi="Times New Roman" w:cs="Times New Roman"/>
                <w:bCs/>
                <w:sz w:val="21"/>
                <w:szCs w:val="21"/>
                <w:shd w:val="clear" w:color="auto" w:fill="FFFFFF"/>
              </w:rPr>
            </w:pPr>
          </w:p>
          <w:p w14:paraId="5198B2C6" w14:textId="77777777" w:rsidR="00E3130A" w:rsidRDefault="00E3130A" w:rsidP="001109C7">
            <w:pPr>
              <w:spacing w:before="60" w:after="60"/>
              <w:rPr>
                <w:rFonts w:ascii="Times New Roman" w:hAnsi="Times New Roman" w:cs="Times New Roman"/>
                <w:bCs/>
                <w:sz w:val="21"/>
                <w:szCs w:val="21"/>
                <w:shd w:val="clear" w:color="auto" w:fill="FFFFFF"/>
              </w:rPr>
            </w:pPr>
          </w:p>
          <w:p w14:paraId="64B3BE36" w14:textId="77777777" w:rsidR="00E3130A" w:rsidRDefault="00E3130A" w:rsidP="001109C7">
            <w:pPr>
              <w:spacing w:before="60" w:after="60"/>
              <w:rPr>
                <w:rFonts w:ascii="Times New Roman" w:hAnsi="Times New Roman" w:cs="Times New Roman"/>
                <w:bCs/>
                <w:sz w:val="21"/>
                <w:szCs w:val="21"/>
                <w:shd w:val="clear" w:color="auto" w:fill="FFFFFF"/>
              </w:rPr>
            </w:pPr>
          </w:p>
          <w:p w14:paraId="2D652C5B" w14:textId="4BF3B3CA" w:rsidR="00022116" w:rsidRDefault="00022116" w:rsidP="00022116">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ss 26, 4</w:t>
            </w:r>
            <w:r w:rsidR="008E5F1E">
              <w:rPr>
                <w:rFonts w:ascii="Times New Roman" w:hAnsi="Times New Roman" w:cs="Times New Roman"/>
                <w:bCs/>
                <w:sz w:val="21"/>
                <w:szCs w:val="21"/>
                <w:shd w:val="clear" w:color="auto" w:fill="FFFFFF"/>
              </w:rPr>
              <w:t>0</w:t>
            </w:r>
            <w:r>
              <w:rPr>
                <w:rFonts w:ascii="Times New Roman" w:hAnsi="Times New Roman" w:cs="Times New Roman"/>
                <w:bCs/>
                <w:sz w:val="21"/>
                <w:szCs w:val="21"/>
                <w:shd w:val="clear" w:color="auto" w:fill="FFFFFF"/>
              </w:rPr>
              <w:t xml:space="preserve"> &amp; 4</w:t>
            </w:r>
            <w:r w:rsidR="008E5F1E">
              <w:rPr>
                <w:rFonts w:ascii="Times New Roman" w:hAnsi="Times New Roman" w:cs="Times New Roman"/>
                <w:bCs/>
                <w:sz w:val="21"/>
                <w:szCs w:val="21"/>
                <w:shd w:val="clear" w:color="auto" w:fill="FFFFFF"/>
              </w:rPr>
              <w:t>2</w:t>
            </w:r>
          </w:p>
          <w:p w14:paraId="13E3354F" w14:textId="77777777" w:rsidR="00E3130A" w:rsidRDefault="00E3130A" w:rsidP="001109C7">
            <w:pPr>
              <w:spacing w:before="60" w:after="60"/>
              <w:rPr>
                <w:rFonts w:ascii="Times New Roman" w:hAnsi="Times New Roman" w:cs="Times New Roman"/>
                <w:bCs/>
                <w:sz w:val="21"/>
                <w:szCs w:val="21"/>
                <w:shd w:val="clear" w:color="auto" w:fill="FFFFFF"/>
              </w:rPr>
            </w:pPr>
          </w:p>
          <w:p w14:paraId="7E8C28AE" w14:textId="77777777" w:rsidR="00E3130A" w:rsidRDefault="00E3130A" w:rsidP="001109C7">
            <w:pPr>
              <w:spacing w:before="60" w:after="60"/>
              <w:rPr>
                <w:rFonts w:ascii="Times New Roman" w:hAnsi="Times New Roman" w:cs="Times New Roman"/>
                <w:bCs/>
                <w:sz w:val="21"/>
                <w:szCs w:val="21"/>
                <w:shd w:val="clear" w:color="auto" w:fill="FFFFFF"/>
              </w:rPr>
            </w:pPr>
          </w:p>
          <w:p w14:paraId="01872136" w14:textId="77777777" w:rsidR="00B57B63" w:rsidRDefault="00B57B63" w:rsidP="001109C7">
            <w:pPr>
              <w:spacing w:before="60" w:after="60"/>
              <w:rPr>
                <w:rFonts w:ascii="Times New Roman" w:hAnsi="Times New Roman" w:cs="Times New Roman"/>
                <w:bCs/>
                <w:sz w:val="21"/>
                <w:szCs w:val="21"/>
                <w:shd w:val="clear" w:color="auto" w:fill="FFFFFF"/>
              </w:rPr>
            </w:pPr>
          </w:p>
          <w:p w14:paraId="448E4217" w14:textId="68543521" w:rsidR="002F20F8" w:rsidRDefault="002B07B8"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ss 26, 4</w:t>
            </w:r>
            <w:r w:rsidR="008E5F1E">
              <w:rPr>
                <w:rFonts w:ascii="Times New Roman" w:hAnsi="Times New Roman" w:cs="Times New Roman"/>
                <w:bCs/>
                <w:sz w:val="21"/>
                <w:szCs w:val="21"/>
                <w:shd w:val="clear" w:color="auto" w:fill="FFFFFF"/>
              </w:rPr>
              <w:t>0</w:t>
            </w:r>
            <w:r>
              <w:rPr>
                <w:rFonts w:ascii="Times New Roman" w:hAnsi="Times New Roman" w:cs="Times New Roman"/>
                <w:bCs/>
                <w:sz w:val="21"/>
                <w:szCs w:val="21"/>
                <w:shd w:val="clear" w:color="auto" w:fill="FFFFFF"/>
              </w:rPr>
              <w:t xml:space="preserve"> &amp; </w:t>
            </w:r>
            <w:r w:rsidR="00636291">
              <w:rPr>
                <w:rFonts w:ascii="Times New Roman" w:hAnsi="Times New Roman" w:cs="Times New Roman"/>
                <w:bCs/>
                <w:sz w:val="21"/>
                <w:szCs w:val="21"/>
                <w:shd w:val="clear" w:color="auto" w:fill="FFFFFF"/>
              </w:rPr>
              <w:t>4</w:t>
            </w:r>
            <w:r w:rsidR="008E5F1E">
              <w:rPr>
                <w:rFonts w:ascii="Times New Roman" w:hAnsi="Times New Roman" w:cs="Times New Roman"/>
                <w:bCs/>
                <w:sz w:val="21"/>
                <w:szCs w:val="21"/>
                <w:shd w:val="clear" w:color="auto" w:fill="FFFFFF"/>
              </w:rPr>
              <w:t>3</w:t>
            </w:r>
          </w:p>
          <w:p w14:paraId="14617E72" w14:textId="77777777" w:rsidR="00636291" w:rsidRDefault="00636291" w:rsidP="001109C7">
            <w:pPr>
              <w:spacing w:before="60" w:after="60"/>
              <w:rPr>
                <w:rFonts w:ascii="Times New Roman" w:hAnsi="Times New Roman" w:cs="Times New Roman"/>
                <w:bCs/>
                <w:sz w:val="21"/>
                <w:szCs w:val="21"/>
                <w:shd w:val="clear" w:color="auto" w:fill="FFFFFF"/>
              </w:rPr>
            </w:pPr>
          </w:p>
          <w:p w14:paraId="3DE4D418" w14:textId="14A8BE4A" w:rsidR="001D3CF6" w:rsidRDefault="001D3CF6"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1213BD">
              <w:rPr>
                <w:rFonts w:ascii="Times New Roman" w:hAnsi="Times New Roman" w:cs="Times New Roman"/>
                <w:bCs/>
                <w:sz w:val="21"/>
                <w:szCs w:val="21"/>
                <w:shd w:val="clear" w:color="auto" w:fill="FFFFFF"/>
              </w:rPr>
              <w:t>18</w:t>
            </w:r>
          </w:p>
          <w:p w14:paraId="1425356C" w14:textId="77777777" w:rsidR="005E1CBB" w:rsidRDefault="005E1CBB" w:rsidP="001109C7">
            <w:pPr>
              <w:spacing w:before="60" w:after="60"/>
              <w:rPr>
                <w:rFonts w:ascii="Times New Roman" w:hAnsi="Times New Roman" w:cs="Times New Roman"/>
                <w:bCs/>
                <w:sz w:val="21"/>
                <w:szCs w:val="21"/>
                <w:shd w:val="clear" w:color="auto" w:fill="FFFFFF"/>
              </w:rPr>
            </w:pPr>
          </w:p>
          <w:p w14:paraId="111F9F16" w14:textId="77777777" w:rsidR="005E1CBB" w:rsidRDefault="005E1CBB" w:rsidP="001109C7">
            <w:pPr>
              <w:spacing w:before="60" w:after="60"/>
              <w:rPr>
                <w:rFonts w:ascii="Times New Roman" w:hAnsi="Times New Roman" w:cs="Times New Roman"/>
                <w:bCs/>
                <w:sz w:val="21"/>
                <w:szCs w:val="21"/>
                <w:shd w:val="clear" w:color="auto" w:fill="FFFFFF"/>
              </w:rPr>
            </w:pPr>
          </w:p>
          <w:p w14:paraId="3E01A49B" w14:textId="77777777" w:rsidR="005E1CBB" w:rsidRDefault="005E1CBB" w:rsidP="001109C7">
            <w:pPr>
              <w:spacing w:before="60" w:after="60"/>
              <w:rPr>
                <w:rFonts w:ascii="Times New Roman" w:hAnsi="Times New Roman" w:cs="Times New Roman"/>
                <w:bCs/>
                <w:sz w:val="21"/>
                <w:szCs w:val="21"/>
                <w:shd w:val="clear" w:color="auto" w:fill="FFFFFF"/>
              </w:rPr>
            </w:pPr>
          </w:p>
          <w:p w14:paraId="3D2B15E6" w14:textId="2898D18F" w:rsidR="005E1CBB" w:rsidRPr="00D22376" w:rsidRDefault="005E1CBB"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 18</w:t>
            </w:r>
          </w:p>
        </w:tc>
      </w:tr>
      <w:tr w:rsidR="00147B16" w:rsidRPr="001109C7" w14:paraId="4BF7BF24" w14:textId="1C97FBCB" w:rsidTr="00147B16">
        <w:tc>
          <w:tcPr>
            <w:tcW w:w="1696" w:type="dxa"/>
          </w:tcPr>
          <w:p w14:paraId="251F550D" w14:textId="77777777" w:rsidR="00147B16" w:rsidRPr="001109C7" w:rsidRDefault="00147B16" w:rsidP="001109C7">
            <w:pPr>
              <w:spacing w:before="60" w:after="60"/>
              <w:rPr>
                <w:rFonts w:ascii="Times New Roman" w:hAnsi="Times New Roman" w:cs="Times New Roman"/>
                <w:b/>
                <w:sz w:val="21"/>
                <w:szCs w:val="21"/>
                <w:shd w:val="clear" w:color="auto" w:fill="FFFFFF"/>
              </w:rPr>
            </w:pPr>
            <w:r w:rsidRPr="001109C7">
              <w:rPr>
                <w:rFonts w:ascii="Times New Roman" w:hAnsi="Times New Roman" w:cs="Times New Roman"/>
                <w:b/>
                <w:sz w:val="21"/>
                <w:szCs w:val="21"/>
                <w:shd w:val="clear" w:color="auto" w:fill="FFFFFF"/>
              </w:rPr>
              <w:lastRenderedPageBreak/>
              <w:t xml:space="preserve">Measurement error </w:t>
            </w:r>
          </w:p>
        </w:tc>
        <w:tc>
          <w:tcPr>
            <w:tcW w:w="11199" w:type="dxa"/>
          </w:tcPr>
          <w:p w14:paraId="3E0EACAA" w14:textId="77777777"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Risk:</w:t>
            </w:r>
            <w:r w:rsidRPr="001109C7">
              <w:rPr>
                <w:rFonts w:ascii="Times New Roman" w:hAnsi="Times New Roman" w:cs="Times New Roman"/>
                <w:bCs/>
                <w:sz w:val="21"/>
                <w:szCs w:val="21"/>
                <w:shd w:val="clear" w:color="auto" w:fill="FFFFFF"/>
              </w:rPr>
              <w:t xml:space="preserve"> The main measurement-related integrity risk is that error in the estimation of relevant emissions and removals results in projects being over-credited.</w:t>
            </w:r>
          </w:p>
          <w:p w14:paraId="5402C089" w14:textId="4858A543" w:rsidR="00147B16" w:rsidRPr="001109C7"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Mitigants:</w:t>
            </w:r>
            <w:r w:rsidRPr="001109C7">
              <w:rPr>
                <w:rFonts w:ascii="Times New Roman" w:hAnsi="Times New Roman" w:cs="Times New Roman"/>
                <w:bCs/>
                <w:sz w:val="21"/>
                <w:szCs w:val="21"/>
                <w:shd w:val="clear" w:color="auto" w:fill="FFFFFF"/>
              </w:rPr>
              <w:t xml:space="preserve"> The risk of over-crediting due to measurement error is mitigated through the adoption of a conservative approach to the estimation of abatement, covering the construction of the baseline scenario, the estimation of emissions and removals in the project scenario, and the application of leakage discounts. Key mitigants included in the </w:t>
            </w:r>
            <w:r w:rsidR="00AE06C2">
              <w:rPr>
                <w:rFonts w:ascii="Times New Roman" w:hAnsi="Times New Roman" w:cs="Times New Roman"/>
                <w:bCs/>
                <w:sz w:val="21"/>
                <w:szCs w:val="21"/>
                <w:shd w:val="clear" w:color="auto" w:fill="FFFFFF"/>
              </w:rPr>
              <w:t>Determination</w:t>
            </w:r>
            <w:r w:rsidRPr="001109C7">
              <w:rPr>
                <w:rFonts w:ascii="Times New Roman" w:hAnsi="Times New Roman" w:cs="Times New Roman"/>
                <w:bCs/>
                <w:sz w:val="21"/>
                <w:szCs w:val="21"/>
                <w:shd w:val="clear" w:color="auto" w:fill="FFFFFF"/>
              </w:rPr>
              <w:t xml:space="preserve"> </w:t>
            </w:r>
            <w:r w:rsidR="00AE06C2">
              <w:rPr>
                <w:rFonts w:ascii="Times New Roman" w:hAnsi="Times New Roman" w:cs="Times New Roman"/>
                <w:bCs/>
                <w:sz w:val="21"/>
                <w:szCs w:val="21"/>
                <w:shd w:val="clear" w:color="auto" w:fill="FFFFFF"/>
              </w:rPr>
              <w:t xml:space="preserve">that are </w:t>
            </w:r>
            <w:r w:rsidRPr="001109C7">
              <w:rPr>
                <w:rFonts w:ascii="Times New Roman" w:hAnsi="Times New Roman" w:cs="Times New Roman"/>
                <w:bCs/>
                <w:sz w:val="21"/>
                <w:szCs w:val="21"/>
                <w:shd w:val="clear" w:color="auto" w:fill="FFFFFF"/>
              </w:rPr>
              <w:t xml:space="preserve">specifically designed to ensure conservativism in the estimation of relevant emissions and removals include the following. </w:t>
            </w:r>
          </w:p>
          <w:p w14:paraId="08A12C41" w14:textId="78ADA76B" w:rsidR="00147B16" w:rsidRPr="002D26CB" w:rsidRDefault="00147B16" w:rsidP="009D5A62">
            <w:pPr>
              <w:pStyle w:val="ListParagraph"/>
              <w:numPr>
                <w:ilvl w:val="0"/>
                <w:numId w:val="20"/>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The </w:t>
            </w:r>
            <w:r w:rsidR="006E019D">
              <w:rPr>
                <w:rFonts w:ascii="Times New Roman" w:hAnsi="Times New Roman" w:cs="Times New Roman"/>
                <w:bCs/>
                <w:sz w:val="21"/>
                <w:szCs w:val="21"/>
                <w:shd w:val="clear" w:color="auto" w:fill="FFFFFF"/>
              </w:rPr>
              <w:t>Determination excludes the</w:t>
            </w:r>
            <w:r w:rsidRPr="001109C7">
              <w:rPr>
                <w:rFonts w:ascii="Times New Roman" w:hAnsi="Times New Roman" w:cs="Times New Roman"/>
                <w:bCs/>
                <w:sz w:val="21"/>
                <w:szCs w:val="21"/>
                <w:shd w:val="clear" w:color="auto" w:fill="FFFFFF"/>
              </w:rPr>
              <w:t xml:space="preserve"> soil organic carbon pool from </w:t>
            </w:r>
            <w:r w:rsidR="00A70258">
              <w:rPr>
                <w:rFonts w:ascii="Times New Roman" w:hAnsi="Times New Roman" w:cs="Times New Roman"/>
                <w:bCs/>
                <w:sz w:val="21"/>
                <w:szCs w:val="21"/>
                <w:shd w:val="clear" w:color="auto" w:fill="FFFFFF"/>
              </w:rPr>
              <w:t>the abatement</w:t>
            </w:r>
            <w:r w:rsidR="006E019D">
              <w:rPr>
                <w:rFonts w:ascii="Times New Roman" w:hAnsi="Times New Roman" w:cs="Times New Roman"/>
                <w:bCs/>
                <w:sz w:val="21"/>
                <w:szCs w:val="21"/>
                <w:shd w:val="clear" w:color="auto" w:fill="FFFFFF"/>
              </w:rPr>
              <w:t xml:space="preserve"> calculations</w:t>
            </w:r>
            <w:r w:rsidRPr="001109C7">
              <w:rPr>
                <w:rFonts w:ascii="Times New Roman" w:hAnsi="Times New Roman" w:cs="Times New Roman"/>
                <w:bCs/>
                <w:sz w:val="21"/>
                <w:szCs w:val="21"/>
                <w:shd w:val="clear" w:color="auto" w:fill="FFFFFF"/>
              </w:rPr>
              <w:t>, even though the avoidance of harvesting is likely to increase soil organic carbon stocks.</w:t>
            </w:r>
          </w:p>
          <w:p w14:paraId="091F689C" w14:textId="7A6AEC0C" w:rsidR="002D26CB" w:rsidRPr="00E207FC" w:rsidRDefault="002D26CB" w:rsidP="009D5A62">
            <w:pPr>
              <w:pStyle w:val="ListParagraph"/>
              <w:numPr>
                <w:ilvl w:val="0"/>
                <w:numId w:val="20"/>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 xml:space="preserve">The </w:t>
            </w:r>
            <w:r>
              <w:rPr>
                <w:rFonts w:ascii="Times New Roman" w:hAnsi="Times New Roman" w:cs="Times New Roman"/>
                <w:bCs/>
                <w:sz w:val="21"/>
                <w:szCs w:val="21"/>
                <w:shd w:val="clear" w:color="auto" w:fill="FFFFFF"/>
              </w:rPr>
              <w:t xml:space="preserve">Determination excludes </w:t>
            </w:r>
            <w:r w:rsidRPr="00E207FC">
              <w:rPr>
                <w:rFonts w:ascii="Times New Roman" w:hAnsi="Times New Roman" w:cs="Times New Roman"/>
                <w:bCs/>
                <w:sz w:val="21"/>
                <w:szCs w:val="21"/>
              </w:rPr>
              <w:t xml:space="preserve">emissions from the combustion of fossil fuels </w:t>
            </w:r>
            <w:r w:rsidR="00E207FC">
              <w:rPr>
                <w:rFonts w:ascii="Times New Roman" w:hAnsi="Times New Roman" w:cs="Times New Roman"/>
                <w:bCs/>
                <w:sz w:val="21"/>
                <w:szCs w:val="21"/>
              </w:rPr>
              <w:t>associated</w:t>
            </w:r>
            <w:r w:rsidRPr="00E207FC">
              <w:rPr>
                <w:rFonts w:ascii="Times New Roman" w:hAnsi="Times New Roman" w:cs="Times New Roman"/>
                <w:bCs/>
                <w:sz w:val="21"/>
                <w:szCs w:val="21"/>
              </w:rPr>
              <w:t xml:space="preserve"> with the processing of harvested logs, the production of woodchips or the manufacture of solid wood products</w:t>
            </w:r>
            <w:r w:rsidR="00F736A0">
              <w:rPr>
                <w:rFonts w:ascii="Times New Roman" w:hAnsi="Times New Roman" w:cs="Times New Roman"/>
                <w:bCs/>
                <w:sz w:val="21"/>
                <w:szCs w:val="21"/>
              </w:rPr>
              <w:t xml:space="preserve">, which promotes </w:t>
            </w:r>
            <w:r w:rsidR="00E207FC">
              <w:rPr>
                <w:rFonts w:ascii="Times New Roman" w:hAnsi="Times New Roman" w:cs="Times New Roman"/>
                <w:bCs/>
                <w:sz w:val="21"/>
                <w:szCs w:val="21"/>
              </w:rPr>
              <w:t>conservativism</w:t>
            </w:r>
            <w:r w:rsidR="00F736A0">
              <w:rPr>
                <w:rFonts w:ascii="Times New Roman" w:hAnsi="Times New Roman" w:cs="Times New Roman"/>
                <w:bCs/>
                <w:sz w:val="21"/>
                <w:szCs w:val="21"/>
              </w:rPr>
              <w:t>.</w:t>
            </w:r>
          </w:p>
          <w:p w14:paraId="16ED844C" w14:textId="4636A18B" w:rsidR="002D26CB" w:rsidRPr="002D26CB" w:rsidRDefault="00657E29" w:rsidP="009D5A62">
            <w:pPr>
              <w:pStyle w:val="ListParagraph"/>
              <w:numPr>
                <w:ilvl w:val="0"/>
                <w:numId w:val="20"/>
              </w:numPr>
              <w:spacing w:before="60" w:after="60"/>
              <w:rPr>
                <w:rFonts w:ascii="Times New Roman" w:hAnsi="Times New Roman" w:cs="Times New Roman"/>
                <w:bCs/>
                <w:sz w:val="21"/>
                <w:szCs w:val="21"/>
              </w:rPr>
            </w:pPr>
            <w:r>
              <w:rPr>
                <w:rFonts w:ascii="Times New Roman" w:hAnsi="Times New Roman" w:cs="Times New Roman"/>
                <w:bCs/>
                <w:sz w:val="21"/>
                <w:szCs w:val="21"/>
                <w:shd w:val="clear" w:color="auto" w:fill="FFFFFF"/>
              </w:rPr>
              <w:t>In calculating the net abatement amount, t</w:t>
            </w:r>
            <w:r w:rsidR="00147B16" w:rsidRPr="001109C7">
              <w:rPr>
                <w:rFonts w:ascii="Times New Roman" w:hAnsi="Times New Roman" w:cs="Times New Roman"/>
                <w:bCs/>
                <w:sz w:val="21"/>
                <w:szCs w:val="21"/>
                <w:shd w:val="clear" w:color="auto" w:fill="FFFFFF"/>
              </w:rPr>
              <w:t xml:space="preserve">he </w:t>
            </w:r>
            <w:r>
              <w:rPr>
                <w:rFonts w:ascii="Times New Roman" w:hAnsi="Times New Roman" w:cs="Times New Roman"/>
                <w:bCs/>
                <w:sz w:val="21"/>
                <w:szCs w:val="21"/>
                <w:shd w:val="clear" w:color="auto" w:fill="FFFFFF"/>
              </w:rPr>
              <w:t xml:space="preserve">Determinations requires </w:t>
            </w:r>
            <w:proofErr w:type="spellStart"/>
            <w:r w:rsidR="00147B16" w:rsidRPr="001109C7">
              <w:rPr>
                <w:rFonts w:ascii="Times New Roman" w:hAnsi="Times New Roman" w:cs="Times New Roman"/>
                <w:bCs/>
                <w:sz w:val="21"/>
                <w:szCs w:val="21"/>
                <w:shd w:val="clear" w:color="auto" w:fill="FFFFFF"/>
              </w:rPr>
              <w:t>pulplogs</w:t>
            </w:r>
            <w:proofErr w:type="spellEnd"/>
            <w:r w:rsidR="00147B16" w:rsidRPr="001109C7">
              <w:rPr>
                <w:rFonts w:ascii="Times New Roman" w:hAnsi="Times New Roman" w:cs="Times New Roman"/>
                <w:bCs/>
                <w:sz w:val="21"/>
                <w:szCs w:val="21"/>
                <w:shd w:val="clear" w:color="auto" w:fill="FFFFFF"/>
              </w:rPr>
              <w:t xml:space="preserve"> to be instantly oxidised following harvest in the project scenario but not in the baseline scenario. This creates an intentional inconsistency in the scenarios, which promotes conservativism in the abatement estimates.</w:t>
            </w:r>
          </w:p>
          <w:p w14:paraId="0607961A" w14:textId="26205CBC" w:rsidR="00860B17" w:rsidRPr="00D24A84" w:rsidRDefault="00860B17" w:rsidP="009D5A62">
            <w:pPr>
              <w:pStyle w:val="ListParagraph"/>
              <w:numPr>
                <w:ilvl w:val="0"/>
                <w:numId w:val="20"/>
              </w:numPr>
              <w:spacing w:before="60" w:after="60"/>
              <w:rPr>
                <w:rFonts w:ascii="Times New Roman" w:hAnsi="Times New Roman" w:cs="Times New Roman"/>
                <w:bCs/>
                <w:sz w:val="21"/>
                <w:szCs w:val="21"/>
              </w:rPr>
            </w:pPr>
            <w:r>
              <w:rPr>
                <w:rFonts w:ascii="Times New Roman" w:hAnsi="Times New Roman" w:cs="Times New Roman"/>
                <w:bCs/>
                <w:sz w:val="21"/>
                <w:szCs w:val="21"/>
              </w:rPr>
              <w:t xml:space="preserve">The Determination requires </w:t>
            </w:r>
            <w:r w:rsidR="00D24A84">
              <w:rPr>
                <w:rFonts w:ascii="Times New Roman" w:hAnsi="Times New Roman" w:cs="Times New Roman"/>
                <w:bCs/>
                <w:sz w:val="21"/>
                <w:szCs w:val="21"/>
              </w:rPr>
              <w:t xml:space="preserve">the net abatement amount to be calculated using </w:t>
            </w:r>
            <w:r w:rsidRPr="00860B17">
              <w:rPr>
                <w:rFonts w:ascii="Times New Roman" w:hAnsi="Times New Roman" w:cs="Times New Roman"/>
                <w:bCs/>
                <w:sz w:val="21"/>
                <w:szCs w:val="21"/>
              </w:rPr>
              <w:t xml:space="preserve">representative </w:t>
            </w:r>
            <w:proofErr w:type="spellStart"/>
            <w:r w:rsidR="00D24A84">
              <w:rPr>
                <w:rFonts w:ascii="Times New Roman" w:hAnsi="Times New Roman" w:cs="Times New Roman"/>
                <w:bCs/>
                <w:sz w:val="21"/>
                <w:szCs w:val="21"/>
              </w:rPr>
              <w:t>FullCAM</w:t>
            </w:r>
            <w:proofErr w:type="spellEnd"/>
            <w:r w:rsidR="00D24A84">
              <w:rPr>
                <w:rFonts w:ascii="Times New Roman" w:hAnsi="Times New Roman" w:cs="Times New Roman"/>
                <w:bCs/>
                <w:sz w:val="21"/>
                <w:szCs w:val="21"/>
              </w:rPr>
              <w:t xml:space="preserve"> </w:t>
            </w:r>
            <w:r w:rsidRPr="00860B17">
              <w:rPr>
                <w:rFonts w:ascii="Times New Roman" w:hAnsi="Times New Roman" w:cs="Times New Roman"/>
                <w:bCs/>
                <w:sz w:val="21"/>
                <w:szCs w:val="21"/>
              </w:rPr>
              <w:t xml:space="preserve">plots </w:t>
            </w:r>
            <w:r w:rsidR="00D24A84">
              <w:rPr>
                <w:rFonts w:ascii="Times New Roman" w:hAnsi="Times New Roman" w:cs="Times New Roman"/>
                <w:bCs/>
                <w:sz w:val="21"/>
                <w:szCs w:val="21"/>
              </w:rPr>
              <w:t>that</w:t>
            </w:r>
            <w:r w:rsidRPr="00860B17">
              <w:rPr>
                <w:rFonts w:ascii="Times New Roman" w:hAnsi="Times New Roman" w:cs="Times New Roman"/>
                <w:bCs/>
                <w:sz w:val="21"/>
                <w:szCs w:val="21"/>
              </w:rPr>
              <w:t xml:space="preserve"> reflect</w:t>
            </w:r>
            <w:r w:rsidR="00D24A84">
              <w:rPr>
                <w:rFonts w:ascii="Times New Roman" w:hAnsi="Times New Roman" w:cs="Times New Roman"/>
                <w:bCs/>
                <w:sz w:val="21"/>
                <w:szCs w:val="21"/>
              </w:rPr>
              <w:t xml:space="preserve"> </w:t>
            </w:r>
            <w:r w:rsidRPr="00D24A84">
              <w:rPr>
                <w:rFonts w:ascii="Times New Roman" w:hAnsi="Times New Roman" w:cs="Times New Roman"/>
                <w:bCs/>
                <w:sz w:val="21"/>
                <w:szCs w:val="21"/>
              </w:rPr>
              <w:t>the forest types</w:t>
            </w:r>
            <w:r w:rsidR="00D24A84">
              <w:rPr>
                <w:rFonts w:ascii="Times New Roman" w:hAnsi="Times New Roman" w:cs="Times New Roman"/>
                <w:bCs/>
                <w:sz w:val="21"/>
                <w:szCs w:val="21"/>
              </w:rPr>
              <w:t>,</w:t>
            </w:r>
            <w:r w:rsidRPr="00D24A84">
              <w:rPr>
                <w:rFonts w:ascii="Times New Roman" w:hAnsi="Times New Roman" w:cs="Times New Roman"/>
                <w:bCs/>
                <w:sz w:val="21"/>
                <w:szCs w:val="21"/>
              </w:rPr>
              <w:t xml:space="preserve"> harvesting practices </w:t>
            </w:r>
            <w:r w:rsidR="000B61BE">
              <w:rPr>
                <w:rFonts w:ascii="Times New Roman" w:hAnsi="Times New Roman" w:cs="Times New Roman"/>
                <w:bCs/>
                <w:sz w:val="21"/>
                <w:szCs w:val="21"/>
              </w:rPr>
              <w:t xml:space="preserve">and harvest age of the forests </w:t>
            </w:r>
            <w:r w:rsidRPr="00D24A84">
              <w:rPr>
                <w:rFonts w:ascii="Times New Roman" w:hAnsi="Times New Roman" w:cs="Times New Roman"/>
                <w:bCs/>
                <w:sz w:val="21"/>
                <w:szCs w:val="21"/>
              </w:rPr>
              <w:t xml:space="preserve">over the </w:t>
            </w:r>
            <w:r w:rsidR="00D24A84">
              <w:rPr>
                <w:rFonts w:ascii="Times New Roman" w:hAnsi="Times New Roman" w:cs="Times New Roman"/>
                <w:bCs/>
                <w:sz w:val="21"/>
                <w:szCs w:val="21"/>
              </w:rPr>
              <w:t>5-year</w:t>
            </w:r>
            <w:r w:rsidRPr="00D24A84">
              <w:rPr>
                <w:rFonts w:ascii="Times New Roman" w:hAnsi="Times New Roman" w:cs="Times New Roman"/>
                <w:bCs/>
                <w:sz w:val="21"/>
                <w:szCs w:val="21"/>
              </w:rPr>
              <w:t xml:space="preserve"> period</w:t>
            </w:r>
            <w:r w:rsidR="002019CA">
              <w:rPr>
                <w:rFonts w:ascii="Times New Roman" w:hAnsi="Times New Roman" w:cs="Times New Roman"/>
                <w:bCs/>
                <w:sz w:val="21"/>
                <w:szCs w:val="21"/>
              </w:rPr>
              <w:t xml:space="preserve"> </w:t>
            </w:r>
            <w:r w:rsidR="002019CA" w:rsidRPr="002019CA">
              <w:rPr>
                <w:rFonts w:ascii="Times New Roman" w:hAnsi="Times New Roman" w:cs="Times New Roman"/>
                <w:bCs/>
                <w:sz w:val="21"/>
                <w:szCs w:val="21"/>
              </w:rPr>
              <w:t xml:space="preserve">prior to the end of the last financial year prior to the </w:t>
            </w:r>
            <w:r w:rsidR="002019CA">
              <w:rPr>
                <w:rFonts w:ascii="Times New Roman" w:hAnsi="Times New Roman" w:cs="Times New Roman"/>
                <w:bCs/>
                <w:sz w:val="21"/>
                <w:szCs w:val="21"/>
              </w:rPr>
              <w:t xml:space="preserve">registration of the project. </w:t>
            </w:r>
            <w:r w:rsidR="00493390">
              <w:rPr>
                <w:rFonts w:ascii="Times New Roman" w:hAnsi="Times New Roman" w:cs="Times New Roman"/>
                <w:bCs/>
                <w:sz w:val="21"/>
                <w:szCs w:val="21"/>
              </w:rPr>
              <w:t xml:space="preserve">The use of historical data for these purposes ensures verifiability </w:t>
            </w:r>
            <w:r w:rsidR="00090251">
              <w:rPr>
                <w:rFonts w:ascii="Times New Roman" w:hAnsi="Times New Roman" w:cs="Times New Roman"/>
                <w:bCs/>
                <w:sz w:val="21"/>
                <w:szCs w:val="21"/>
              </w:rPr>
              <w:t xml:space="preserve">and limits opportunities for gaming in modelling forest carbon stocks in the project and baseline scenarios. </w:t>
            </w:r>
          </w:p>
          <w:p w14:paraId="4F1DF974" w14:textId="71C3F7D5" w:rsidR="00147B16" w:rsidRPr="001109C7" w:rsidRDefault="00147B16" w:rsidP="009D5A62">
            <w:pPr>
              <w:pStyle w:val="ListParagraph"/>
              <w:numPr>
                <w:ilvl w:val="0"/>
                <w:numId w:val="20"/>
              </w:numPr>
              <w:spacing w:before="60" w:after="60"/>
              <w:rPr>
                <w:rFonts w:ascii="Times New Roman" w:hAnsi="Times New Roman" w:cs="Times New Roman"/>
                <w:bCs/>
                <w:sz w:val="21"/>
                <w:szCs w:val="21"/>
              </w:rPr>
            </w:pPr>
            <w:r w:rsidRPr="001109C7">
              <w:rPr>
                <w:rFonts w:ascii="Times New Roman" w:hAnsi="Times New Roman" w:cs="Times New Roman"/>
                <w:bCs/>
                <w:sz w:val="21"/>
                <w:szCs w:val="21"/>
                <w:shd w:val="clear" w:color="auto" w:fill="FFFFFF"/>
              </w:rPr>
              <w:t>CO</w:t>
            </w:r>
            <w:r w:rsidRPr="001109C7">
              <w:rPr>
                <w:rFonts w:ascii="Times New Roman" w:hAnsi="Times New Roman" w:cs="Times New Roman"/>
                <w:bCs/>
                <w:sz w:val="21"/>
                <w:szCs w:val="21"/>
                <w:shd w:val="clear" w:color="auto" w:fill="FFFFFF"/>
                <w:vertAlign w:val="subscript"/>
              </w:rPr>
              <w:t>2</w:t>
            </w:r>
            <w:r w:rsidRPr="001109C7">
              <w:rPr>
                <w:rFonts w:ascii="Times New Roman" w:hAnsi="Times New Roman" w:cs="Times New Roman"/>
                <w:bCs/>
                <w:sz w:val="21"/>
                <w:szCs w:val="21"/>
                <w:shd w:val="clear" w:color="auto" w:fill="FFFFFF"/>
              </w:rPr>
              <w:t>, CH</w:t>
            </w:r>
            <w:r w:rsidRPr="001109C7">
              <w:rPr>
                <w:rFonts w:ascii="Times New Roman" w:hAnsi="Times New Roman" w:cs="Times New Roman"/>
                <w:bCs/>
                <w:sz w:val="21"/>
                <w:szCs w:val="21"/>
                <w:shd w:val="clear" w:color="auto" w:fill="FFFFFF"/>
                <w:vertAlign w:val="subscript"/>
              </w:rPr>
              <w:t>4</w:t>
            </w:r>
            <w:r w:rsidRPr="001109C7">
              <w:rPr>
                <w:rFonts w:ascii="Times New Roman" w:hAnsi="Times New Roman" w:cs="Times New Roman"/>
                <w:bCs/>
                <w:sz w:val="21"/>
                <w:szCs w:val="21"/>
                <w:shd w:val="clear" w:color="auto" w:fill="FFFFFF"/>
              </w:rPr>
              <w:t xml:space="preserve"> and N</w:t>
            </w:r>
            <w:r w:rsidRPr="001109C7">
              <w:rPr>
                <w:rFonts w:ascii="Times New Roman" w:hAnsi="Times New Roman" w:cs="Times New Roman"/>
                <w:bCs/>
                <w:sz w:val="21"/>
                <w:szCs w:val="21"/>
                <w:shd w:val="clear" w:color="auto" w:fill="FFFFFF"/>
                <w:vertAlign w:val="subscript"/>
              </w:rPr>
              <w:t>2</w:t>
            </w:r>
            <w:r w:rsidRPr="001109C7">
              <w:rPr>
                <w:rFonts w:ascii="Times New Roman" w:hAnsi="Times New Roman" w:cs="Times New Roman"/>
                <w:bCs/>
                <w:sz w:val="21"/>
                <w:szCs w:val="21"/>
                <w:shd w:val="clear" w:color="auto" w:fill="FFFFFF"/>
              </w:rPr>
              <w:t xml:space="preserve">O emissions from fossil fuel combustion must be calculated in accordance with </w:t>
            </w:r>
            <w:r w:rsidR="002B3811" w:rsidRPr="002B3811">
              <w:rPr>
                <w:rFonts w:ascii="Times New Roman" w:hAnsi="Times New Roman" w:cs="Times New Roman"/>
                <w:bCs/>
                <w:sz w:val="21"/>
                <w:szCs w:val="21"/>
                <w:shd w:val="clear" w:color="auto" w:fill="FFFFFF"/>
              </w:rPr>
              <w:t>National Greenhouse and Energy Reporting Scheme</w:t>
            </w:r>
            <w:r w:rsidR="002B3811">
              <w:rPr>
                <w:rFonts w:ascii="Times New Roman" w:hAnsi="Times New Roman" w:cs="Times New Roman"/>
                <w:bCs/>
                <w:sz w:val="21"/>
                <w:szCs w:val="21"/>
                <w:shd w:val="clear" w:color="auto" w:fill="FFFFFF"/>
              </w:rPr>
              <w:t xml:space="preserve"> </w:t>
            </w:r>
            <w:r w:rsidRPr="001109C7">
              <w:rPr>
                <w:rFonts w:ascii="Times New Roman" w:hAnsi="Times New Roman" w:cs="Times New Roman"/>
                <w:bCs/>
                <w:sz w:val="21"/>
                <w:szCs w:val="21"/>
                <w:shd w:val="clear" w:color="auto" w:fill="FFFFFF"/>
              </w:rPr>
              <w:t>methods. This ensures consistency in approach across projects and other relevant methods.</w:t>
            </w:r>
          </w:p>
        </w:tc>
        <w:tc>
          <w:tcPr>
            <w:tcW w:w="1417" w:type="dxa"/>
          </w:tcPr>
          <w:p w14:paraId="30095584" w14:textId="77777777" w:rsidR="00147B16" w:rsidRDefault="00147B16" w:rsidP="001109C7">
            <w:pPr>
              <w:spacing w:before="60" w:after="60"/>
              <w:rPr>
                <w:rFonts w:ascii="Times New Roman" w:hAnsi="Times New Roman" w:cs="Times New Roman"/>
                <w:bCs/>
                <w:sz w:val="21"/>
                <w:szCs w:val="21"/>
                <w:shd w:val="clear" w:color="auto" w:fill="FFFFFF"/>
              </w:rPr>
            </w:pPr>
          </w:p>
          <w:p w14:paraId="541A5641" w14:textId="77777777" w:rsidR="00AE06C2" w:rsidRDefault="00AE06C2" w:rsidP="001109C7">
            <w:pPr>
              <w:spacing w:before="60" w:after="60"/>
              <w:rPr>
                <w:rFonts w:ascii="Times New Roman" w:hAnsi="Times New Roman" w:cs="Times New Roman"/>
                <w:bCs/>
                <w:sz w:val="21"/>
                <w:szCs w:val="21"/>
                <w:shd w:val="clear" w:color="auto" w:fill="FFFFFF"/>
              </w:rPr>
            </w:pPr>
          </w:p>
          <w:p w14:paraId="710B1342" w14:textId="77777777" w:rsidR="00AE06C2" w:rsidRDefault="00AE06C2" w:rsidP="001109C7">
            <w:pPr>
              <w:spacing w:before="60" w:after="60"/>
              <w:rPr>
                <w:rFonts w:ascii="Times New Roman" w:hAnsi="Times New Roman" w:cs="Times New Roman"/>
                <w:bCs/>
                <w:sz w:val="21"/>
                <w:szCs w:val="21"/>
                <w:shd w:val="clear" w:color="auto" w:fill="FFFFFF"/>
              </w:rPr>
            </w:pPr>
          </w:p>
          <w:p w14:paraId="723AC95F" w14:textId="77777777" w:rsidR="00AE06C2" w:rsidRDefault="00AE06C2" w:rsidP="001109C7">
            <w:pPr>
              <w:spacing w:before="60" w:after="60"/>
              <w:rPr>
                <w:rFonts w:ascii="Times New Roman" w:hAnsi="Times New Roman" w:cs="Times New Roman"/>
                <w:bCs/>
                <w:sz w:val="21"/>
                <w:szCs w:val="21"/>
                <w:shd w:val="clear" w:color="auto" w:fill="FFFFFF"/>
              </w:rPr>
            </w:pPr>
          </w:p>
          <w:p w14:paraId="68046E5E" w14:textId="77777777" w:rsidR="00AE06C2" w:rsidRDefault="00AE06C2" w:rsidP="001109C7">
            <w:pPr>
              <w:spacing w:before="60" w:after="60"/>
              <w:rPr>
                <w:rFonts w:ascii="Times New Roman" w:hAnsi="Times New Roman" w:cs="Times New Roman"/>
                <w:bCs/>
                <w:sz w:val="21"/>
                <w:szCs w:val="21"/>
                <w:shd w:val="clear" w:color="auto" w:fill="FFFFFF"/>
              </w:rPr>
            </w:pPr>
          </w:p>
          <w:p w14:paraId="413FA2ED" w14:textId="77777777" w:rsidR="00AE06C2" w:rsidRDefault="0075641A"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 24(2)</w:t>
            </w:r>
          </w:p>
          <w:p w14:paraId="3A12E709" w14:textId="77777777" w:rsidR="0075641A" w:rsidRDefault="0075641A" w:rsidP="001109C7">
            <w:pPr>
              <w:spacing w:before="60" w:after="60"/>
              <w:rPr>
                <w:rFonts w:ascii="Times New Roman" w:hAnsi="Times New Roman" w:cs="Times New Roman"/>
                <w:bCs/>
                <w:sz w:val="21"/>
                <w:szCs w:val="21"/>
                <w:shd w:val="clear" w:color="auto" w:fill="FFFFFF"/>
              </w:rPr>
            </w:pPr>
          </w:p>
          <w:p w14:paraId="09384CE7" w14:textId="705D503D" w:rsidR="00F736A0" w:rsidRDefault="00F736A0"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 24(2)</w:t>
            </w:r>
          </w:p>
          <w:p w14:paraId="0035294D" w14:textId="77777777" w:rsidR="00F736A0" w:rsidRDefault="00F736A0" w:rsidP="001109C7">
            <w:pPr>
              <w:spacing w:before="60" w:after="60"/>
              <w:rPr>
                <w:rFonts w:ascii="Times New Roman" w:hAnsi="Times New Roman" w:cs="Times New Roman"/>
                <w:bCs/>
                <w:sz w:val="21"/>
                <w:szCs w:val="21"/>
                <w:shd w:val="clear" w:color="auto" w:fill="FFFFFF"/>
              </w:rPr>
            </w:pPr>
          </w:p>
          <w:p w14:paraId="4A139E53" w14:textId="2BA10CF7" w:rsidR="0075641A" w:rsidRDefault="000C37FF"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w:t>
            </w:r>
            <w:r w:rsidR="00275473">
              <w:rPr>
                <w:rFonts w:ascii="Times New Roman" w:hAnsi="Times New Roman" w:cs="Times New Roman"/>
                <w:bCs/>
                <w:sz w:val="21"/>
                <w:szCs w:val="21"/>
                <w:shd w:val="clear" w:color="auto" w:fill="FFFFFF"/>
              </w:rPr>
              <w:t>s</w:t>
            </w:r>
            <w:r>
              <w:rPr>
                <w:rFonts w:ascii="Times New Roman" w:hAnsi="Times New Roman" w:cs="Times New Roman"/>
                <w:bCs/>
                <w:sz w:val="21"/>
                <w:szCs w:val="21"/>
                <w:shd w:val="clear" w:color="auto" w:fill="FFFFFF"/>
              </w:rPr>
              <w:t xml:space="preserve"> </w:t>
            </w:r>
            <w:r w:rsidR="00275473">
              <w:rPr>
                <w:rFonts w:ascii="Times New Roman" w:hAnsi="Times New Roman" w:cs="Times New Roman"/>
                <w:bCs/>
                <w:sz w:val="21"/>
                <w:szCs w:val="21"/>
                <w:shd w:val="clear" w:color="auto" w:fill="FFFFFF"/>
              </w:rPr>
              <w:t xml:space="preserve">26 &amp; </w:t>
            </w:r>
            <w:r>
              <w:rPr>
                <w:rFonts w:ascii="Times New Roman" w:hAnsi="Times New Roman" w:cs="Times New Roman"/>
                <w:bCs/>
                <w:sz w:val="21"/>
                <w:szCs w:val="21"/>
                <w:shd w:val="clear" w:color="auto" w:fill="FFFFFF"/>
              </w:rPr>
              <w:t>3</w:t>
            </w:r>
            <w:r w:rsidR="00066F32">
              <w:rPr>
                <w:rFonts w:ascii="Times New Roman" w:hAnsi="Times New Roman" w:cs="Times New Roman"/>
                <w:bCs/>
                <w:sz w:val="21"/>
                <w:szCs w:val="21"/>
                <w:shd w:val="clear" w:color="auto" w:fill="FFFFFF"/>
              </w:rPr>
              <w:t>5</w:t>
            </w:r>
            <w:r>
              <w:rPr>
                <w:rFonts w:ascii="Times New Roman" w:hAnsi="Times New Roman" w:cs="Times New Roman"/>
                <w:bCs/>
                <w:sz w:val="21"/>
                <w:szCs w:val="21"/>
                <w:shd w:val="clear" w:color="auto" w:fill="FFFFFF"/>
              </w:rPr>
              <w:t>(3)</w:t>
            </w:r>
          </w:p>
          <w:p w14:paraId="3CDDA295" w14:textId="77777777" w:rsidR="00D70C12" w:rsidRDefault="00D70C12" w:rsidP="001109C7">
            <w:pPr>
              <w:spacing w:before="60" w:after="60"/>
              <w:rPr>
                <w:rFonts w:ascii="Times New Roman" w:hAnsi="Times New Roman" w:cs="Times New Roman"/>
                <w:bCs/>
                <w:sz w:val="21"/>
                <w:szCs w:val="21"/>
                <w:shd w:val="clear" w:color="auto" w:fill="FFFFFF"/>
              </w:rPr>
            </w:pPr>
          </w:p>
          <w:p w14:paraId="459BB441" w14:textId="63DD3EDC" w:rsidR="00582401" w:rsidRDefault="00582401"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ss 26, </w:t>
            </w:r>
            <w:r w:rsidR="002F649C">
              <w:rPr>
                <w:rFonts w:ascii="Times New Roman" w:hAnsi="Times New Roman" w:cs="Times New Roman"/>
                <w:bCs/>
                <w:sz w:val="21"/>
                <w:szCs w:val="21"/>
                <w:shd w:val="clear" w:color="auto" w:fill="FFFFFF"/>
              </w:rPr>
              <w:t>2</w:t>
            </w:r>
            <w:r w:rsidR="00066F32">
              <w:rPr>
                <w:rFonts w:ascii="Times New Roman" w:hAnsi="Times New Roman" w:cs="Times New Roman"/>
                <w:bCs/>
                <w:sz w:val="21"/>
                <w:szCs w:val="21"/>
                <w:shd w:val="clear" w:color="auto" w:fill="FFFFFF"/>
              </w:rPr>
              <w:t>8</w:t>
            </w:r>
            <w:r w:rsidR="00C60061">
              <w:rPr>
                <w:rFonts w:ascii="Times New Roman" w:hAnsi="Times New Roman" w:cs="Times New Roman"/>
                <w:bCs/>
                <w:sz w:val="21"/>
                <w:szCs w:val="21"/>
                <w:shd w:val="clear" w:color="auto" w:fill="FFFFFF"/>
              </w:rPr>
              <w:t xml:space="preserve"> &amp;</w:t>
            </w:r>
            <w:r w:rsidR="002F649C">
              <w:rPr>
                <w:rFonts w:ascii="Times New Roman" w:hAnsi="Times New Roman" w:cs="Times New Roman"/>
                <w:bCs/>
                <w:sz w:val="21"/>
                <w:szCs w:val="21"/>
                <w:shd w:val="clear" w:color="auto" w:fill="FFFFFF"/>
              </w:rPr>
              <w:t xml:space="preserve"> 3</w:t>
            </w:r>
            <w:r w:rsidR="00066F32">
              <w:rPr>
                <w:rFonts w:ascii="Times New Roman" w:hAnsi="Times New Roman" w:cs="Times New Roman"/>
                <w:bCs/>
                <w:sz w:val="21"/>
                <w:szCs w:val="21"/>
                <w:shd w:val="clear" w:color="auto" w:fill="FFFFFF"/>
              </w:rPr>
              <w:t>4</w:t>
            </w:r>
          </w:p>
          <w:p w14:paraId="32D8EEB6" w14:textId="77777777" w:rsidR="00582401" w:rsidRDefault="00582401" w:rsidP="001109C7">
            <w:pPr>
              <w:spacing w:before="60" w:after="60"/>
              <w:rPr>
                <w:rFonts w:ascii="Times New Roman" w:hAnsi="Times New Roman" w:cs="Times New Roman"/>
                <w:bCs/>
                <w:sz w:val="21"/>
                <w:szCs w:val="21"/>
                <w:shd w:val="clear" w:color="auto" w:fill="FFFFFF"/>
              </w:rPr>
            </w:pPr>
          </w:p>
          <w:p w14:paraId="12A9FDB7" w14:textId="77777777" w:rsidR="00582401" w:rsidRDefault="00582401" w:rsidP="001109C7">
            <w:pPr>
              <w:spacing w:before="60" w:after="60"/>
              <w:rPr>
                <w:rFonts w:ascii="Times New Roman" w:hAnsi="Times New Roman" w:cs="Times New Roman"/>
                <w:bCs/>
                <w:sz w:val="21"/>
                <w:szCs w:val="21"/>
                <w:shd w:val="clear" w:color="auto" w:fill="FFFFFF"/>
              </w:rPr>
            </w:pPr>
          </w:p>
          <w:p w14:paraId="0DA36E85" w14:textId="3194C4D7" w:rsidR="002B3811" w:rsidRPr="00D22376" w:rsidRDefault="002B3811"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s</w:t>
            </w:r>
            <w:r w:rsidR="00856E9E">
              <w:rPr>
                <w:rFonts w:ascii="Times New Roman" w:hAnsi="Times New Roman" w:cs="Times New Roman"/>
                <w:bCs/>
                <w:sz w:val="21"/>
                <w:szCs w:val="21"/>
                <w:shd w:val="clear" w:color="auto" w:fill="FFFFFF"/>
              </w:rPr>
              <w:t>s 26, 3</w:t>
            </w:r>
            <w:r w:rsidR="00066F32">
              <w:rPr>
                <w:rFonts w:ascii="Times New Roman" w:hAnsi="Times New Roman" w:cs="Times New Roman"/>
                <w:bCs/>
                <w:sz w:val="21"/>
                <w:szCs w:val="21"/>
                <w:shd w:val="clear" w:color="auto" w:fill="FFFFFF"/>
              </w:rPr>
              <w:t>8</w:t>
            </w:r>
            <w:r w:rsidR="00856E9E">
              <w:rPr>
                <w:rFonts w:ascii="Times New Roman" w:hAnsi="Times New Roman" w:cs="Times New Roman"/>
                <w:bCs/>
                <w:sz w:val="21"/>
                <w:szCs w:val="21"/>
                <w:shd w:val="clear" w:color="auto" w:fill="FFFFFF"/>
              </w:rPr>
              <w:t xml:space="preserve"> &amp; </w:t>
            </w:r>
            <w:r w:rsidR="00066F32">
              <w:rPr>
                <w:rFonts w:ascii="Times New Roman" w:hAnsi="Times New Roman" w:cs="Times New Roman"/>
                <w:bCs/>
                <w:sz w:val="21"/>
                <w:szCs w:val="21"/>
                <w:shd w:val="clear" w:color="auto" w:fill="FFFFFF"/>
              </w:rPr>
              <w:t>39</w:t>
            </w:r>
            <w:r>
              <w:rPr>
                <w:rFonts w:ascii="Times New Roman" w:hAnsi="Times New Roman" w:cs="Times New Roman"/>
                <w:bCs/>
                <w:sz w:val="21"/>
                <w:szCs w:val="21"/>
                <w:shd w:val="clear" w:color="auto" w:fill="FFFFFF"/>
              </w:rPr>
              <w:t xml:space="preserve"> </w:t>
            </w:r>
          </w:p>
        </w:tc>
      </w:tr>
      <w:tr w:rsidR="00147B16" w:rsidRPr="001109C7" w14:paraId="2D338034" w14:textId="61F0521B" w:rsidTr="00147B16">
        <w:tc>
          <w:tcPr>
            <w:tcW w:w="1696" w:type="dxa"/>
          </w:tcPr>
          <w:p w14:paraId="7A6CA669" w14:textId="77777777" w:rsidR="00147B16" w:rsidRPr="001109C7" w:rsidRDefault="00147B16" w:rsidP="001109C7">
            <w:pPr>
              <w:spacing w:before="60" w:after="60"/>
              <w:rPr>
                <w:rFonts w:ascii="Times New Roman" w:hAnsi="Times New Roman" w:cs="Times New Roman"/>
                <w:b/>
                <w:sz w:val="21"/>
                <w:szCs w:val="21"/>
              </w:rPr>
            </w:pPr>
            <w:r w:rsidRPr="001109C7">
              <w:rPr>
                <w:rFonts w:ascii="Times New Roman" w:hAnsi="Times New Roman" w:cs="Times New Roman"/>
                <w:b/>
                <w:sz w:val="21"/>
                <w:szCs w:val="21"/>
              </w:rPr>
              <w:t>Permanence</w:t>
            </w:r>
          </w:p>
        </w:tc>
        <w:tc>
          <w:tcPr>
            <w:tcW w:w="11199" w:type="dxa"/>
          </w:tcPr>
          <w:p w14:paraId="3538FE49" w14:textId="26A47977" w:rsidR="00147B16" w:rsidRPr="00D22FB0" w:rsidRDefault="00147B16" w:rsidP="001109C7">
            <w:pPr>
              <w:spacing w:before="60" w:after="60"/>
              <w:rPr>
                <w:rFonts w:ascii="Times New Roman" w:hAnsi="Times New Roman" w:cs="Times New Roman"/>
                <w:bCs/>
                <w:sz w:val="21"/>
                <w:szCs w:val="21"/>
                <w:shd w:val="clear" w:color="auto" w:fill="FFFFFF"/>
              </w:rPr>
            </w:pPr>
            <w:r w:rsidRPr="001109C7">
              <w:rPr>
                <w:rFonts w:ascii="Times New Roman" w:hAnsi="Times New Roman" w:cs="Times New Roman"/>
                <w:b/>
                <w:sz w:val="21"/>
                <w:szCs w:val="21"/>
                <w:shd w:val="clear" w:color="auto" w:fill="FFFFFF"/>
              </w:rPr>
              <w:t>Risk:</w:t>
            </w:r>
            <w:r w:rsidRPr="001109C7">
              <w:rPr>
                <w:rFonts w:ascii="Times New Roman" w:hAnsi="Times New Roman" w:cs="Times New Roman"/>
                <w:bCs/>
                <w:sz w:val="21"/>
                <w:szCs w:val="21"/>
                <w:shd w:val="clear" w:color="auto" w:fill="FFFFFF"/>
              </w:rPr>
              <w:t xml:space="preserve"> The permanence risk associated with INFM projects is that the credited increases in forest carbon stocks could be lost through </w:t>
            </w:r>
            <w:r w:rsidRPr="00D22FB0">
              <w:rPr>
                <w:rFonts w:ascii="Times New Roman" w:hAnsi="Times New Roman" w:cs="Times New Roman"/>
                <w:bCs/>
                <w:sz w:val="21"/>
                <w:szCs w:val="21"/>
                <w:shd w:val="clear" w:color="auto" w:fill="FFFFFF"/>
              </w:rPr>
              <w:t>natural disturbances or subsequent changes in management practices</w:t>
            </w:r>
            <w:r w:rsidR="00856E9E" w:rsidRPr="00D22FB0">
              <w:rPr>
                <w:rFonts w:ascii="Times New Roman" w:hAnsi="Times New Roman" w:cs="Times New Roman"/>
                <w:bCs/>
                <w:sz w:val="21"/>
                <w:szCs w:val="21"/>
                <w:shd w:val="clear" w:color="auto" w:fill="FFFFFF"/>
              </w:rPr>
              <w:t xml:space="preserve">, including the resumption of </w:t>
            </w:r>
            <w:r w:rsidR="005A4F56" w:rsidRPr="00D22FB0">
              <w:rPr>
                <w:rFonts w:ascii="Times New Roman" w:hAnsi="Times New Roman" w:cs="Times New Roman"/>
                <w:bCs/>
                <w:sz w:val="21"/>
                <w:szCs w:val="21"/>
                <w:shd w:val="clear" w:color="auto" w:fill="FFFFFF"/>
              </w:rPr>
              <w:t>harvesting after the end of the crediting period</w:t>
            </w:r>
            <w:r w:rsidRPr="00D22FB0">
              <w:rPr>
                <w:rFonts w:ascii="Times New Roman" w:hAnsi="Times New Roman" w:cs="Times New Roman"/>
                <w:bCs/>
                <w:sz w:val="21"/>
                <w:szCs w:val="21"/>
                <w:shd w:val="clear" w:color="auto" w:fill="FFFFFF"/>
              </w:rPr>
              <w:t>.</w:t>
            </w:r>
          </w:p>
          <w:p w14:paraId="667FFEF9" w14:textId="205455DD" w:rsidR="00147B16" w:rsidRPr="00D22FB0" w:rsidRDefault="00147B16" w:rsidP="001109C7">
            <w:pPr>
              <w:spacing w:before="60" w:after="60"/>
              <w:rPr>
                <w:rFonts w:ascii="Times New Roman" w:hAnsi="Times New Roman" w:cs="Times New Roman"/>
                <w:bCs/>
                <w:sz w:val="21"/>
                <w:szCs w:val="21"/>
              </w:rPr>
            </w:pPr>
            <w:r w:rsidRPr="00D22FB0">
              <w:rPr>
                <w:rFonts w:ascii="Times New Roman" w:hAnsi="Times New Roman" w:cs="Times New Roman"/>
                <w:b/>
                <w:sz w:val="21"/>
                <w:szCs w:val="21"/>
                <w:shd w:val="clear" w:color="auto" w:fill="FFFFFF"/>
              </w:rPr>
              <w:t>Mitigants:</w:t>
            </w:r>
            <w:r w:rsidRPr="00D22FB0">
              <w:rPr>
                <w:rFonts w:ascii="Times New Roman" w:hAnsi="Times New Roman" w:cs="Times New Roman"/>
                <w:bCs/>
                <w:sz w:val="21"/>
                <w:szCs w:val="21"/>
                <w:shd w:val="clear" w:color="auto" w:fill="FFFFFF"/>
              </w:rPr>
              <w:t xml:space="preserve"> Key mitigants included in the </w:t>
            </w:r>
            <w:r w:rsidR="005A4F56" w:rsidRPr="00D22FB0">
              <w:rPr>
                <w:rFonts w:ascii="Times New Roman" w:hAnsi="Times New Roman" w:cs="Times New Roman"/>
                <w:bCs/>
                <w:sz w:val="21"/>
                <w:szCs w:val="21"/>
                <w:shd w:val="clear" w:color="auto" w:fill="FFFFFF"/>
              </w:rPr>
              <w:t>Determination</w:t>
            </w:r>
            <w:r w:rsidRPr="00D22FB0">
              <w:rPr>
                <w:rFonts w:ascii="Times New Roman" w:hAnsi="Times New Roman" w:cs="Times New Roman"/>
                <w:bCs/>
                <w:sz w:val="21"/>
                <w:szCs w:val="21"/>
                <w:shd w:val="clear" w:color="auto" w:fill="FFFFFF"/>
              </w:rPr>
              <w:t xml:space="preserve"> to address </w:t>
            </w:r>
            <w:r w:rsidR="005A4F56" w:rsidRPr="00D22FB0">
              <w:rPr>
                <w:rFonts w:ascii="Times New Roman" w:hAnsi="Times New Roman" w:cs="Times New Roman"/>
                <w:bCs/>
                <w:sz w:val="21"/>
                <w:szCs w:val="21"/>
                <w:shd w:val="clear" w:color="auto" w:fill="FFFFFF"/>
              </w:rPr>
              <w:t>permanence</w:t>
            </w:r>
            <w:r w:rsidRPr="00D22FB0">
              <w:rPr>
                <w:rFonts w:ascii="Times New Roman" w:hAnsi="Times New Roman" w:cs="Times New Roman"/>
                <w:bCs/>
                <w:sz w:val="21"/>
                <w:szCs w:val="21"/>
                <w:shd w:val="clear" w:color="auto" w:fill="FFFFFF"/>
              </w:rPr>
              <w:t xml:space="preserve"> risks are as follows.</w:t>
            </w:r>
          </w:p>
          <w:p w14:paraId="57658919" w14:textId="77777777" w:rsidR="00147B16" w:rsidRPr="00D22FB0" w:rsidRDefault="00147B16" w:rsidP="009D5A62">
            <w:pPr>
              <w:pStyle w:val="ListParagraph"/>
              <w:numPr>
                <w:ilvl w:val="0"/>
                <w:numId w:val="21"/>
              </w:numPr>
              <w:spacing w:before="60" w:after="60"/>
              <w:rPr>
                <w:rFonts w:ascii="Times New Roman" w:hAnsi="Times New Roman" w:cs="Times New Roman"/>
                <w:bCs/>
                <w:sz w:val="21"/>
                <w:szCs w:val="21"/>
              </w:rPr>
            </w:pPr>
            <w:r w:rsidRPr="00D22FB0">
              <w:rPr>
                <w:rFonts w:ascii="Times New Roman" w:hAnsi="Times New Roman" w:cs="Times New Roman"/>
                <w:bCs/>
                <w:sz w:val="21"/>
                <w:szCs w:val="21"/>
              </w:rPr>
              <w:t>INFM projects must have 100-year permanence periods. The option of having 25-year permanence periods is not available under the INFM method.</w:t>
            </w:r>
          </w:p>
          <w:p w14:paraId="6D495A79" w14:textId="77777777" w:rsidR="00147B16" w:rsidRPr="00D22FB0" w:rsidRDefault="00147B16" w:rsidP="009D5A62">
            <w:pPr>
              <w:pStyle w:val="ListParagraph"/>
              <w:numPr>
                <w:ilvl w:val="0"/>
                <w:numId w:val="21"/>
              </w:numPr>
              <w:spacing w:before="60" w:after="60"/>
              <w:rPr>
                <w:rFonts w:ascii="Times New Roman" w:hAnsi="Times New Roman" w:cs="Times New Roman"/>
                <w:bCs/>
                <w:sz w:val="21"/>
                <w:szCs w:val="21"/>
              </w:rPr>
            </w:pPr>
            <w:r w:rsidRPr="00D22FB0">
              <w:rPr>
                <w:rFonts w:ascii="Times New Roman" w:hAnsi="Times New Roman" w:cs="Times New Roman"/>
                <w:bCs/>
                <w:sz w:val="21"/>
                <w:szCs w:val="21"/>
              </w:rPr>
              <w:lastRenderedPageBreak/>
              <w:t>Like all sequestration projects under the ACCU scheme, a 5% risk of reversal buffer discount is applied when calculating the unit entitlement. This is intended to insure the scheme against reversals that occur during the permanence period.</w:t>
            </w:r>
          </w:p>
          <w:p w14:paraId="7057F02C" w14:textId="77777777" w:rsidR="008B1E7E" w:rsidRPr="00D22FB0" w:rsidRDefault="00147B16" w:rsidP="009D5A62">
            <w:pPr>
              <w:pStyle w:val="ListParagraph"/>
              <w:numPr>
                <w:ilvl w:val="0"/>
                <w:numId w:val="21"/>
              </w:numPr>
              <w:spacing w:before="60" w:after="60"/>
              <w:rPr>
                <w:rFonts w:ascii="Times New Roman" w:hAnsi="Times New Roman" w:cs="Times New Roman"/>
                <w:bCs/>
                <w:sz w:val="21"/>
                <w:szCs w:val="21"/>
              </w:rPr>
            </w:pPr>
            <w:r w:rsidRPr="00D22FB0">
              <w:rPr>
                <w:rFonts w:ascii="Times New Roman" w:hAnsi="Times New Roman" w:cs="Times New Roman"/>
                <w:bCs/>
                <w:sz w:val="21"/>
                <w:szCs w:val="21"/>
              </w:rPr>
              <w:t>INFM projects are subject to the standard CFI Act obligations to protect and maintain the credited carbon stocks over the permanence period.</w:t>
            </w:r>
          </w:p>
          <w:p w14:paraId="3220BE5B" w14:textId="4DA777A0" w:rsidR="00147B16" w:rsidRPr="00A22855" w:rsidRDefault="0068760C" w:rsidP="009D5A62">
            <w:pPr>
              <w:pStyle w:val="ListParagraph"/>
              <w:numPr>
                <w:ilvl w:val="0"/>
                <w:numId w:val="21"/>
              </w:numPr>
              <w:spacing w:before="60" w:after="60"/>
              <w:rPr>
                <w:rFonts w:ascii="Times New Roman" w:hAnsi="Times New Roman" w:cs="Times New Roman"/>
                <w:bCs/>
                <w:sz w:val="21"/>
                <w:szCs w:val="21"/>
              </w:rPr>
            </w:pPr>
            <w:r w:rsidRPr="00D22FB0">
              <w:rPr>
                <w:rFonts w:ascii="Times New Roman" w:hAnsi="Times New Roman" w:cs="Times New Roman"/>
                <w:bCs/>
                <w:sz w:val="21"/>
                <w:szCs w:val="21"/>
              </w:rPr>
              <w:t xml:space="preserve">The Determination includes additional permanence provisions that require the proponent to relinquish ACCUs if, after the end of the 15-year crediting period but before the end of the 100-year permanence period, </w:t>
            </w:r>
            <w:r w:rsidR="00926B14" w:rsidRPr="00926B14">
              <w:rPr>
                <w:rFonts w:ascii="Times New Roman" w:hAnsi="Times New Roman" w:cs="Times New Roman"/>
                <w:bCs/>
                <w:sz w:val="21"/>
                <w:szCs w:val="21"/>
              </w:rPr>
              <w:t xml:space="preserve">harvesting resumes in any carbon protection area </w:t>
            </w:r>
            <w:r w:rsidR="00926B14">
              <w:rPr>
                <w:rFonts w:ascii="Times New Roman" w:hAnsi="Times New Roman" w:cs="Times New Roman"/>
                <w:bCs/>
                <w:sz w:val="21"/>
                <w:szCs w:val="21"/>
              </w:rPr>
              <w:t xml:space="preserve">or </w:t>
            </w:r>
            <w:r w:rsidRPr="00D22FB0">
              <w:rPr>
                <w:rFonts w:ascii="Times New Roman" w:hAnsi="Times New Roman" w:cs="Times New Roman"/>
                <w:bCs/>
                <w:sz w:val="21"/>
                <w:szCs w:val="21"/>
              </w:rPr>
              <w:t>the volume of wood extracted from the project area</w:t>
            </w:r>
            <w:r w:rsidR="008521B8">
              <w:rPr>
                <w:rFonts w:ascii="Times New Roman" w:hAnsi="Times New Roman" w:cs="Times New Roman"/>
                <w:bCs/>
                <w:sz w:val="21"/>
                <w:szCs w:val="21"/>
              </w:rPr>
              <w:t xml:space="preserve">, </w:t>
            </w:r>
            <w:r w:rsidRPr="00D22FB0">
              <w:rPr>
                <w:rFonts w:ascii="Times New Roman" w:hAnsi="Times New Roman" w:cs="Times New Roman"/>
                <w:bCs/>
                <w:sz w:val="21"/>
                <w:szCs w:val="21"/>
              </w:rPr>
              <w:t xml:space="preserve">excluded sections of the proponent’s </w:t>
            </w:r>
            <w:r w:rsidR="00E31C42" w:rsidRPr="00D22FB0">
              <w:rPr>
                <w:rFonts w:ascii="Times New Roman" w:hAnsi="Times New Roman" w:cs="Times New Roman"/>
                <w:bCs/>
                <w:sz w:val="21"/>
                <w:szCs w:val="21"/>
              </w:rPr>
              <w:t xml:space="preserve">public </w:t>
            </w:r>
            <w:r w:rsidRPr="00D22FB0">
              <w:rPr>
                <w:rFonts w:ascii="Times New Roman" w:hAnsi="Times New Roman" w:cs="Times New Roman"/>
                <w:bCs/>
                <w:sz w:val="21"/>
                <w:szCs w:val="21"/>
              </w:rPr>
              <w:t xml:space="preserve">native forest estate </w:t>
            </w:r>
            <w:r w:rsidR="008521B8">
              <w:rPr>
                <w:rFonts w:ascii="Times New Roman" w:hAnsi="Times New Roman" w:cs="Times New Roman"/>
                <w:bCs/>
                <w:sz w:val="21"/>
                <w:szCs w:val="21"/>
              </w:rPr>
              <w:t xml:space="preserve">or </w:t>
            </w:r>
            <w:r w:rsidR="00B31B1D">
              <w:rPr>
                <w:rFonts w:ascii="Times New Roman" w:hAnsi="Times New Roman" w:cs="Times New Roman"/>
                <w:bCs/>
                <w:sz w:val="21"/>
                <w:szCs w:val="21"/>
              </w:rPr>
              <w:t xml:space="preserve">private native forests in the jurisdiction in which the project is located </w:t>
            </w:r>
            <w:r w:rsidRPr="00D22FB0">
              <w:rPr>
                <w:rFonts w:ascii="Times New Roman" w:hAnsi="Times New Roman" w:cs="Times New Roman"/>
                <w:bCs/>
                <w:sz w:val="21"/>
                <w:szCs w:val="21"/>
              </w:rPr>
              <w:t>exceed</w:t>
            </w:r>
            <w:r w:rsidR="0011705E" w:rsidRPr="00D22FB0">
              <w:rPr>
                <w:rFonts w:ascii="Times New Roman" w:hAnsi="Times New Roman" w:cs="Times New Roman"/>
                <w:bCs/>
                <w:sz w:val="21"/>
                <w:szCs w:val="21"/>
              </w:rPr>
              <w:t xml:space="preserve"> </w:t>
            </w:r>
            <w:r w:rsidR="00E31C42" w:rsidRPr="00D22FB0">
              <w:rPr>
                <w:rFonts w:ascii="Times New Roman" w:hAnsi="Times New Roman" w:cs="Times New Roman"/>
                <w:bCs/>
                <w:sz w:val="21"/>
                <w:szCs w:val="21"/>
              </w:rPr>
              <w:t xml:space="preserve">prescribed </w:t>
            </w:r>
            <w:r w:rsidR="00B31B1D">
              <w:rPr>
                <w:rFonts w:ascii="Times New Roman" w:hAnsi="Times New Roman" w:cs="Times New Roman"/>
                <w:bCs/>
                <w:sz w:val="21"/>
                <w:szCs w:val="21"/>
              </w:rPr>
              <w:t xml:space="preserve">baseline </w:t>
            </w:r>
            <w:r w:rsidR="00E31C42" w:rsidRPr="00D22FB0">
              <w:rPr>
                <w:rFonts w:ascii="Times New Roman" w:hAnsi="Times New Roman" w:cs="Times New Roman"/>
                <w:bCs/>
                <w:sz w:val="21"/>
                <w:szCs w:val="21"/>
              </w:rPr>
              <w:t xml:space="preserve">levels. For the project area, </w:t>
            </w:r>
            <w:r w:rsidR="00DB1CBB" w:rsidRPr="00D22FB0">
              <w:rPr>
                <w:rFonts w:ascii="Times New Roman" w:hAnsi="Times New Roman" w:cs="Times New Roman"/>
                <w:sz w:val="21"/>
                <w:szCs w:val="21"/>
              </w:rPr>
              <w:t xml:space="preserve">the volume of wood extracted </w:t>
            </w:r>
            <w:r w:rsidR="00E31C42" w:rsidRPr="00D22FB0">
              <w:rPr>
                <w:rFonts w:ascii="Times New Roman" w:hAnsi="Times New Roman" w:cs="Times New Roman"/>
                <w:sz w:val="21"/>
                <w:szCs w:val="21"/>
              </w:rPr>
              <w:t>must not</w:t>
            </w:r>
            <w:r w:rsidR="00DB1CBB" w:rsidRPr="00D22FB0">
              <w:rPr>
                <w:rFonts w:ascii="Times New Roman" w:hAnsi="Times New Roman" w:cs="Times New Roman"/>
                <w:sz w:val="21"/>
                <w:szCs w:val="21"/>
              </w:rPr>
              <w:t xml:space="preserve"> exceed</w:t>
            </w:r>
            <w:r w:rsidR="00E31C42" w:rsidRPr="00D22FB0">
              <w:rPr>
                <w:rFonts w:ascii="Times New Roman" w:hAnsi="Times New Roman" w:cs="Times New Roman"/>
                <w:sz w:val="21"/>
                <w:szCs w:val="21"/>
              </w:rPr>
              <w:t xml:space="preserve"> </w:t>
            </w:r>
            <w:r w:rsidR="00DB1CBB" w:rsidRPr="00D22FB0">
              <w:rPr>
                <w:rFonts w:ascii="Times New Roman" w:hAnsi="Times New Roman" w:cs="Times New Roman"/>
                <w:sz w:val="21"/>
                <w:szCs w:val="21"/>
              </w:rPr>
              <w:t>the levels in the baseline scenario for the project</w:t>
            </w:r>
            <w:r w:rsidR="00B12102">
              <w:rPr>
                <w:rFonts w:ascii="Times New Roman" w:hAnsi="Times New Roman" w:cs="Times New Roman"/>
                <w:sz w:val="21"/>
                <w:szCs w:val="21"/>
              </w:rPr>
              <w:t xml:space="preserve"> over any 2-year period</w:t>
            </w:r>
            <w:r w:rsidR="00E31C42" w:rsidRPr="00D22FB0">
              <w:rPr>
                <w:rFonts w:ascii="Times New Roman" w:hAnsi="Times New Roman" w:cs="Times New Roman"/>
                <w:sz w:val="21"/>
                <w:szCs w:val="21"/>
              </w:rPr>
              <w:t>. For the excluded sections of the proponent’s public native forest estate,</w:t>
            </w:r>
            <w:r w:rsidR="00DB1CBB" w:rsidRPr="00D22FB0">
              <w:rPr>
                <w:rFonts w:ascii="Times New Roman" w:hAnsi="Times New Roman" w:cs="Times New Roman"/>
                <w:sz w:val="21"/>
                <w:szCs w:val="21"/>
              </w:rPr>
              <w:t xml:space="preserve"> </w:t>
            </w:r>
            <w:r w:rsidR="00E31C42" w:rsidRPr="00D22FB0">
              <w:rPr>
                <w:rFonts w:ascii="Times New Roman" w:hAnsi="Times New Roman" w:cs="Times New Roman"/>
                <w:sz w:val="21"/>
                <w:szCs w:val="21"/>
              </w:rPr>
              <w:t>the volume of wood extracted</w:t>
            </w:r>
            <w:r w:rsidR="00D22FB0" w:rsidRPr="00D22FB0">
              <w:rPr>
                <w:rFonts w:ascii="Times New Roman" w:hAnsi="Times New Roman" w:cs="Times New Roman"/>
                <w:sz w:val="21"/>
                <w:szCs w:val="21"/>
              </w:rPr>
              <w:t xml:space="preserve"> must not exceed the </w:t>
            </w:r>
            <w:r w:rsidR="00DB1CBB" w:rsidRPr="00D22FB0">
              <w:rPr>
                <w:rFonts w:ascii="Times New Roman" w:hAnsi="Times New Roman" w:cs="Times New Roman"/>
                <w:sz w:val="21"/>
                <w:szCs w:val="21"/>
              </w:rPr>
              <w:t>direct leakage baseline harvest level</w:t>
            </w:r>
            <w:r w:rsidR="00E52549">
              <w:rPr>
                <w:rFonts w:ascii="Times New Roman" w:hAnsi="Times New Roman" w:cs="Times New Roman"/>
                <w:sz w:val="21"/>
                <w:szCs w:val="21"/>
              </w:rPr>
              <w:t xml:space="preserve"> over any 2-year period</w:t>
            </w:r>
            <w:r w:rsidR="00D22FB0" w:rsidRPr="00D22FB0">
              <w:rPr>
                <w:rFonts w:ascii="Times New Roman" w:hAnsi="Times New Roman" w:cs="Times New Roman"/>
                <w:sz w:val="21"/>
                <w:szCs w:val="21"/>
              </w:rPr>
              <w:t xml:space="preserve">. </w:t>
            </w:r>
            <w:r w:rsidR="00B31B1D">
              <w:rPr>
                <w:rFonts w:ascii="Times New Roman" w:hAnsi="Times New Roman" w:cs="Times New Roman"/>
                <w:sz w:val="21"/>
                <w:szCs w:val="21"/>
              </w:rPr>
              <w:t xml:space="preserve">For </w:t>
            </w:r>
            <w:r w:rsidR="00D82DF9">
              <w:rPr>
                <w:rFonts w:ascii="Times New Roman" w:hAnsi="Times New Roman" w:cs="Times New Roman"/>
                <w:sz w:val="21"/>
                <w:szCs w:val="21"/>
              </w:rPr>
              <w:t xml:space="preserve">the </w:t>
            </w:r>
            <w:r w:rsidR="00B31B1D">
              <w:rPr>
                <w:rFonts w:ascii="Times New Roman" w:hAnsi="Times New Roman" w:cs="Times New Roman"/>
                <w:sz w:val="21"/>
                <w:szCs w:val="21"/>
              </w:rPr>
              <w:t>private native forests</w:t>
            </w:r>
            <w:r w:rsidR="00D82DF9">
              <w:rPr>
                <w:rFonts w:ascii="Times New Roman" w:hAnsi="Times New Roman" w:cs="Times New Roman"/>
                <w:sz w:val="21"/>
                <w:szCs w:val="21"/>
              </w:rPr>
              <w:t xml:space="preserve"> in the jurisdiction in which the project is located, </w:t>
            </w:r>
            <w:r w:rsidR="00D82DF9" w:rsidRPr="00D22FB0">
              <w:rPr>
                <w:rFonts w:ascii="Times New Roman" w:hAnsi="Times New Roman" w:cs="Times New Roman"/>
                <w:sz w:val="21"/>
                <w:szCs w:val="21"/>
              </w:rPr>
              <w:t xml:space="preserve">the volume of wood extracted </w:t>
            </w:r>
            <w:r w:rsidR="00D82DF9">
              <w:rPr>
                <w:rFonts w:ascii="Times New Roman" w:hAnsi="Times New Roman" w:cs="Times New Roman"/>
                <w:sz w:val="21"/>
                <w:szCs w:val="21"/>
              </w:rPr>
              <w:t>must not exceed the</w:t>
            </w:r>
            <w:r w:rsidR="004B0663">
              <w:t xml:space="preserve"> </w:t>
            </w:r>
            <w:r w:rsidR="004B0663" w:rsidRPr="004B0663">
              <w:rPr>
                <w:rFonts w:ascii="Times New Roman" w:hAnsi="Times New Roman" w:cs="Times New Roman"/>
                <w:sz w:val="21"/>
                <w:szCs w:val="21"/>
              </w:rPr>
              <w:t>private native forests leakage baseline harvest level</w:t>
            </w:r>
            <w:r w:rsidR="00E52549">
              <w:rPr>
                <w:rFonts w:ascii="Times New Roman" w:hAnsi="Times New Roman" w:cs="Times New Roman"/>
                <w:sz w:val="21"/>
                <w:szCs w:val="21"/>
              </w:rPr>
              <w:t xml:space="preserve"> over any 2-year period</w:t>
            </w:r>
            <w:r w:rsidR="004B0663">
              <w:rPr>
                <w:rFonts w:ascii="Times New Roman" w:hAnsi="Times New Roman" w:cs="Times New Roman"/>
                <w:sz w:val="21"/>
                <w:szCs w:val="21"/>
              </w:rPr>
              <w:t>.</w:t>
            </w:r>
            <w:r w:rsidR="00D82DF9">
              <w:rPr>
                <w:rFonts w:ascii="Times New Roman" w:hAnsi="Times New Roman" w:cs="Times New Roman"/>
                <w:sz w:val="21"/>
                <w:szCs w:val="21"/>
              </w:rPr>
              <w:t xml:space="preserve"> </w:t>
            </w:r>
            <w:r w:rsidR="004B5BC0">
              <w:rPr>
                <w:rFonts w:ascii="Times New Roman" w:hAnsi="Times New Roman" w:cs="Times New Roman"/>
                <w:bCs/>
                <w:sz w:val="21"/>
                <w:szCs w:val="21"/>
              </w:rPr>
              <w:t xml:space="preserve">The </w:t>
            </w:r>
            <w:r w:rsidR="00036517">
              <w:rPr>
                <w:rFonts w:ascii="Times New Roman" w:hAnsi="Times New Roman" w:cs="Times New Roman"/>
                <w:bCs/>
                <w:sz w:val="21"/>
                <w:szCs w:val="21"/>
              </w:rPr>
              <w:t>relinquishment</w:t>
            </w:r>
            <w:r w:rsidR="004B5BC0">
              <w:rPr>
                <w:rFonts w:ascii="Times New Roman" w:hAnsi="Times New Roman" w:cs="Times New Roman"/>
                <w:bCs/>
                <w:sz w:val="21"/>
                <w:szCs w:val="21"/>
              </w:rPr>
              <w:t xml:space="preserve"> requirement is doubled in the event of a resumption of harvesting in a carbon protection area. </w:t>
            </w:r>
            <w:r w:rsidR="00147B16" w:rsidRPr="00A22855">
              <w:rPr>
                <w:rFonts w:ascii="Times New Roman" w:hAnsi="Times New Roman" w:cs="Times New Roman"/>
                <w:bCs/>
                <w:sz w:val="21"/>
                <w:szCs w:val="21"/>
              </w:rPr>
              <w:t>Th</w:t>
            </w:r>
            <w:r w:rsidR="00E52549">
              <w:rPr>
                <w:rFonts w:ascii="Times New Roman" w:hAnsi="Times New Roman" w:cs="Times New Roman"/>
                <w:bCs/>
                <w:sz w:val="21"/>
                <w:szCs w:val="21"/>
              </w:rPr>
              <w:t>ese requirements</w:t>
            </w:r>
            <w:r w:rsidR="00147B16" w:rsidRPr="00A22855">
              <w:rPr>
                <w:rFonts w:ascii="Times New Roman" w:hAnsi="Times New Roman" w:cs="Times New Roman"/>
                <w:bCs/>
                <w:sz w:val="21"/>
                <w:szCs w:val="21"/>
              </w:rPr>
              <w:t xml:space="preserve"> enhance the security around permanence by clarifying the nature of the protected carbon stocks and ensuring they cover the forest carbon stocks across the proponent’s entire </w:t>
            </w:r>
            <w:r w:rsidR="00A22855">
              <w:rPr>
                <w:rFonts w:ascii="Times New Roman" w:hAnsi="Times New Roman" w:cs="Times New Roman"/>
                <w:bCs/>
                <w:sz w:val="21"/>
                <w:szCs w:val="21"/>
              </w:rPr>
              <w:t xml:space="preserve">public </w:t>
            </w:r>
            <w:r w:rsidR="00147B16" w:rsidRPr="00A22855">
              <w:rPr>
                <w:rFonts w:ascii="Times New Roman" w:hAnsi="Times New Roman" w:cs="Times New Roman"/>
                <w:bCs/>
                <w:sz w:val="21"/>
                <w:szCs w:val="21"/>
              </w:rPr>
              <w:t>native forest estate.</w:t>
            </w:r>
          </w:p>
        </w:tc>
        <w:tc>
          <w:tcPr>
            <w:tcW w:w="1417" w:type="dxa"/>
          </w:tcPr>
          <w:p w14:paraId="5CEE5969" w14:textId="77777777" w:rsidR="00147B16" w:rsidRDefault="00147B16" w:rsidP="001109C7">
            <w:pPr>
              <w:spacing w:before="60" w:after="60"/>
              <w:rPr>
                <w:rFonts w:ascii="Times New Roman" w:hAnsi="Times New Roman" w:cs="Times New Roman"/>
                <w:bCs/>
                <w:sz w:val="21"/>
                <w:szCs w:val="21"/>
                <w:shd w:val="clear" w:color="auto" w:fill="FFFFFF"/>
              </w:rPr>
            </w:pPr>
          </w:p>
          <w:p w14:paraId="07F33E14" w14:textId="77777777" w:rsidR="005A4F56" w:rsidRDefault="005A4F56" w:rsidP="001109C7">
            <w:pPr>
              <w:spacing w:before="60" w:after="60"/>
              <w:rPr>
                <w:rFonts w:ascii="Times New Roman" w:hAnsi="Times New Roman" w:cs="Times New Roman"/>
                <w:bCs/>
                <w:sz w:val="21"/>
                <w:szCs w:val="21"/>
                <w:shd w:val="clear" w:color="auto" w:fill="FFFFFF"/>
              </w:rPr>
            </w:pPr>
          </w:p>
          <w:p w14:paraId="573617C6" w14:textId="77777777" w:rsidR="005A4F56" w:rsidRDefault="005A4F56" w:rsidP="001109C7">
            <w:pPr>
              <w:spacing w:before="60" w:after="60"/>
              <w:rPr>
                <w:rFonts w:ascii="Times New Roman" w:hAnsi="Times New Roman" w:cs="Times New Roman"/>
                <w:bCs/>
                <w:sz w:val="21"/>
                <w:szCs w:val="21"/>
                <w:shd w:val="clear" w:color="auto" w:fill="FFFFFF"/>
              </w:rPr>
            </w:pPr>
          </w:p>
          <w:p w14:paraId="5DAAB642" w14:textId="77777777" w:rsidR="005A4F56" w:rsidRDefault="005A4F56" w:rsidP="001109C7">
            <w:pPr>
              <w:spacing w:before="60" w:after="60"/>
              <w:rPr>
                <w:rFonts w:ascii="Times New Roman" w:hAnsi="Times New Roman" w:cs="Times New Roman"/>
                <w:bCs/>
                <w:sz w:val="21"/>
                <w:szCs w:val="21"/>
                <w:shd w:val="clear" w:color="auto" w:fill="FFFFFF"/>
              </w:rPr>
            </w:pPr>
          </w:p>
          <w:p w14:paraId="544490EB" w14:textId="30ECF9B8" w:rsidR="00B00235" w:rsidRDefault="005A4F56"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B00235">
              <w:rPr>
                <w:rFonts w:ascii="Times New Roman" w:hAnsi="Times New Roman" w:cs="Times New Roman"/>
                <w:bCs/>
                <w:sz w:val="21"/>
                <w:szCs w:val="21"/>
                <w:shd w:val="clear" w:color="auto" w:fill="FFFFFF"/>
              </w:rPr>
              <w:t>17</w:t>
            </w:r>
          </w:p>
          <w:p w14:paraId="43B1AE4E" w14:textId="77777777" w:rsidR="008E66AB" w:rsidRDefault="008E66AB" w:rsidP="001109C7">
            <w:pPr>
              <w:spacing w:before="60" w:after="60"/>
              <w:rPr>
                <w:rFonts w:ascii="Times New Roman" w:hAnsi="Times New Roman" w:cs="Times New Roman"/>
                <w:bCs/>
                <w:sz w:val="21"/>
                <w:szCs w:val="21"/>
                <w:shd w:val="clear" w:color="auto" w:fill="FFFFFF"/>
              </w:rPr>
            </w:pPr>
          </w:p>
          <w:p w14:paraId="4E481332" w14:textId="77777777" w:rsidR="00B00235" w:rsidRDefault="00B00235"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CFI Act, s </w:t>
            </w:r>
            <w:r w:rsidR="008B1E7E">
              <w:rPr>
                <w:rFonts w:ascii="Times New Roman" w:hAnsi="Times New Roman" w:cs="Times New Roman"/>
                <w:bCs/>
                <w:sz w:val="21"/>
                <w:szCs w:val="21"/>
                <w:shd w:val="clear" w:color="auto" w:fill="FFFFFF"/>
              </w:rPr>
              <w:t>16</w:t>
            </w:r>
          </w:p>
          <w:p w14:paraId="1D94CA51" w14:textId="77777777" w:rsidR="003922B6" w:rsidRDefault="003922B6" w:rsidP="001109C7">
            <w:pPr>
              <w:spacing w:before="60" w:after="60"/>
              <w:rPr>
                <w:rFonts w:ascii="Times New Roman" w:hAnsi="Times New Roman" w:cs="Times New Roman"/>
                <w:bCs/>
                <w:sz w:val="21"/>
                <w:szCs w:val="21"/>
                <w:shd w:val="clear" w:color="auto" w:fill="FFFFFF"/>
              </w:rPr>
            </w:pPr>
          </w:p>
          <w:p w14:paraId="16167BBC" w14:textId="0E34E07D" w:rsidR="008B1E7E" w:rsidRDefault="008B1E7E"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CFI Act, </w:t>
            </w:r>
            <w:r w:rsidR="0038053E">
              <w:rPr>
                <w:rFonts w:ascii="Times New Roman" w:hAnsi="Times New Roman" w:cs="Times New Roman"/>
                <w:bCs/>
                <w:sz w:val="21"/>
                <w:szCs w:val="21"/>
                <w:shd w:val="clear" w:color="auto" w:fill="FFFFFF"/>
              </w:rPr>
              <w:t>ss 90</w:t>
            </w:r>
            <w:r w:rsidR="00692667">
              <w:rPr>
                <w:rFonts w:ascii="Times New Roman" w:hAnsi="Times New Roman" w:cs="Times New Roman"/>
                <w:bCs/>
                <w:sz w:val="21"/>
                <w:szCs w:val="21"/>
                <w:shd w:val="clear" w:color="auto" w:fill="FFFFFF"/>
              </w:rPr>
              <w:t>, 91, 97</w:t>
            </w:r>
            <w:r w:rsidR="005668A9">
              <w:rPr>
                <w:rFonts w:ascii="Times New Roman" w:hAnsi="Times New Roman" w:cs="Times New Roman"/>
                <w:bCs/>
                <w:sz w:val="21"/>
                <w:szCs w:val="21"/>
                <w:shd w:val="clear" w:color="auto" w:fill="FFFFFF"/>
              </w:rPr>
              <w:t>, 100</w:t>
            </w:r>
            <w:r w:rsidR="00043F00">
              <w:rPr>
                <w:rFonts w:ascii="Times New Roman" w:hAnsi="Times New Roman" w:cs="Times New Roman"/>
                <w:bCs/>
                <w:sz w:val="21"/>
                <w:szCs w:val="21"/>
                <w:shd w:val="clear" w:color="auto" w:fill="FFFFFF"/>
              </w:rPr>
              <w:t>, 179, 180 &amp; 181</w:t>
            </w:r>
          </w:p>
          <w:p w14:paraId="193DAABC" w14:textId="77777777" w:rsidR="00043F00" w:rsidRDefault="00043F00" w:rsidP="001109C7">
            <w:pPr>
              <w:spacing w:before="60" w:after="60"/>
              <w:rPr>
                <w:rFonts w:ascii="Times New Roman" w:hAnsi="Times New Roman" w:cs="Times New Roman"/>
                <w:bCs/>
                <w:sz w:val="21"/>
                <w:szCs w:val="21"/>
                <w:shd w:val="clear" w:color="auto" w:fill="FFFFFF"/>
              </w:rPr>
            </w:pPr>
          </w:p>
          <w:p w14:paraId="5B8AB245" w14:textId="5BD22AFA" w:rsidR="00A22855" w:rsidRPr="00D22376" w:rsidRDefault="00A22855" w:rsidP="001109C7">
            <w:pPr>
              <w:spacing w:before="60" w:after="60"/>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 xml:space="preserve">s </w:t>
            </w:r>
            <w:r w:rsidR="00AE7D43">
              <w:rPr>
                <w:rFonts w:ascii="Times New Roman" w:hAnsi="Times New Roman" w:cs="Times New Roman"/>
                <w:bCs/>
                <w:sz w:val="21"/>
                <w:szCs w:val="21"/>
                <w:shd w:val="clear" w:color="auto" w:fill="FFFFFF"/>
              </w:rPr>
              <w:t>18</w:t>
            </w:r>
          </w:p>
        </w:tc>
      </w:tr>
    </w:tbl>
    <w:p w14:paraId="13D1FEA5" w14:textId="62C030EB" w:rsidR="002A47FC" w:rsidRPr="00FE6196" w:rsidRDefault="002A47FC" w:rsidP="00144B43">
      <w:pPr>
        <w:pStyle w:val="NormalWeb"/>
        <w:spacing w:before="0" w:beforeAutospacing="0" w:after="240" w:afterAutospacing="0"/>
      </w:pPr>
    </w:p>
    <w:sectPr w:rsidR="002A47FC" w:rsidRPr="00FE6196" w:rsidSect="00FF0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D7CB" w14:textId="77777777" w:rsidR="0077055C" w:rsidRDefault="0077055C" w:rsidP="00C6666E">
      <w:pPr>
        <w:spacing w:after="0" w:line="240" w:lineRule="auto"/>
      </w:pPr>
      <w:r>
        <w:separator/>
      </w:r>
    </w:p>
  </w:endnote>
  <w:endnote w:type="continuationSeparator" w:id="0">
    <w:p w14:paraId="2C265492" w14:textId="77777777" w:rsidR="0077055C" w:rsidRDefault="0077055C" w:rsidP="00C6666E">
      <w:pPr>
        <w:spacing w:after="0" w:line="240" w:lineRule="auto"/>
      </w:pPr>
      <w:r>
        <w:continuationSeparator/>
      </w:r>
    </w:p>
  </w:endnote>
  <w:endnote w:type="continuationNotice" w:id="1">
    <w:p w14:paraId="4058F15A" w14:textId="77777777" w:rsidR="0077055C" w:rsidRDefault="00770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C6FE" w14:textId="47382152" w:rsidR="00DC5F30" w:rsidRDefault="00947D5A">
    <w:pPr>
      <w:pStyle w:val="Footer"/>
    </w:pPr>
    <w:r>
      <w:rPr>
        <w:noProof/>
      </w:rPr>
      <mc:AlternateContent>
        <mc:Choice Requires="wps">
          <w:drawing>
            <wp:anchor distT="0" distB="0" distL="0" distR="0" simplePos="0" relativeHeight="251658244" behindDoc="0" locked="0" layoutInCell="1" allowOverlap="1" wp14:anchorId="4F633336" wp14:editId="4921A86E">
              <wp:simplePos x="635" y="635"/>
              <wp:positionH relativeFrom="page">
                <wp:align>center</wp:align>
              </wp:positionH>
              <wp:positionV relativeFrom="page">
                <wp:align>bottom</wp:align>
              </wp:positionV>
              <wp:extent cx="551815" cy="391160"/>
              <wp:effectExtent l="0" t="0" r="635" b="0"/>
              <wp:wrapNone/>
              <wp:docPr id="258450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159D2C" w14:textId="773B5907"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33336"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2B159D2C" w14:textId="773B5907"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EECC" w14:textId="6D2844A8" w:rsidR="006D78AF" w:rsidRPr="00EC7145" w:rsidRDefault="00947D5A">
    <w:pPr>
      <w:pStyle w:val="Footer"/>
      <w:jc w:val="center"/>
      <w:rPr>
        <w:rFonts w:ascii="Times New Roman" w:hAnsi="Times New Roman" w:cs="Times New Roman"/>
      </w:rPr>
    </w:pPr>
    <w:r>
      <w:rPr>
        <w:noProof/>
      </w:rPr>
      <mc:AlternateContent>
        <mc:Choice Requires="wps">
          <w:drawing>
            <wp:anchor distT="0" distB="0" distL="0" distR="0" simplePos="0" relativeHeight="251658245" behindDoc="0" locked="0" layoutInCell="1" allowOverlap="1" wp14:anchorId="3CDEDF96" wp14:editId="7F218537">
              <wp:simplePos x="635" y="635"/>
              <wp:positionH relativeFrom="page">
                <wp:align>center</wp:align>
              </wp:positionH>
              <wp:positionV relativeFrom="page">
                <wp:align>bottom</wp:align>
              </wp:positionV>
              <wp:extent cx="551815" cy="391160"/>
              <wp:effectExtent l="0" t="0" r="635" b="0"/>
              <wp:wrapNone/>
              <wp:docPr id="5459375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D67742" w14:textId="40AA0734"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EDF9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6AD67742" w14:textId="40AA0734"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sdt>
      <w:sdtPr>
        <w:id w:val="-1703241223"/>
        <w:docPartObj>
          <w:docPartGallery w:val="Page Numbers (Bottom of Page)"/>
          <w:docPartUnique/>
        </w:docPartObj>
      </w:sdtPr>
      <w:sdtEndPr>
        <w:rPr>
          <w:rFonts w:ascii="Times New Roman" w:hAnsi="Times New Roman" w:cs="Times New Roman"/>
          <w:noProof/>
        </w:rPr>
      </w:sdtEndPr>
      <w:sdtContent>
        <w:r w:rsidR="006D78AF" w:rsidRPr="00EC7145">
          <w:rPr>
            <w:rFonts w:ascii="Times New Roman" w:hAnsi="Times New Roman" w:cs="Times New Roman"/>
          </w:rPr>
          <w:fldChar w:fldCharType="begin"/>
        </w:r>
        <w:r w:rsidR="006D78AF" w:rsidRPr="00EC7145">
          <w:rPr>
            <w:rFonts w:ascii="Times New Roman" w:hAnsi="Times New Roman" w:cs="Times New Roman"/>
          </w:rPr>
          <w:instrText xml:space="preserve"> PAGE   \* MERGEFORMAT </w:instrText>
        </w:r>
        <w:r w:rsidR="006D78AF" w:rsidRPr="00EC7145">
          <w:rPr>
            <w:rFonts w:ascii="Times New Roman" w:hAnsi="Times New Roman" w:cs="Times New Roman"/>
          </w:rPr>
          <w:fldChar w:fldCharType="separate"/>
        </w:r>
        <w:r w:rsidR="006D78AF" w:rsidRPr="00EC7145">
          <w:rPr>
            <w:rFonts w:ascii="Times New Roman" w:hAnsi="Times New Roman" w:cs="Times New Roman"/>
            <w:noProof/>
          </w:rPr>
          <w:t>2</w:t>
        </w:r>
        <w:r w:rsidR="006D78AF" w:rsidRPr="00EC7145">
          <w:rPr>
            <w:rFonts w:ascii="Times New Roman" w:hAnsi="Times New Roman" w:cs="Times New Roman"/>
            <w:noProof/>
          </w:rPr>
          <w:fldChar w:fldCharType="end"/>
        </w:r>
      </w:sdtContent>
    </w:sdt>
  </w:p>
  <w:p w14:paraId="3890A62E" w14:textId="2C548152" w:rsidR="00DC5F30" w:rsidRDefault="00DC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A0C0" w14:textId="1C8542AA" w:rsidR="00DC5F30" w:rsidRDefault="00947D5A">
    <w:pPr>
      <w:pStyle w:val="Footer"/>
    </w:pPr>
    <w:r>
      <w:rPr>
        <w:noProof/>
      </w:rPr>
      <mc:AlternateContent>
        <mc:Choice Requires="wps">
          <w:drawing>
            <wp:anchor distT="0" distB="0" distL="0" distR="0" simplePos="0" relativeHeight="251658243" behindDoc="0" locked="0" layoutInCell="1" allowOverlap="1" wp14:anchorId="3F5B3B3D" wp14:editId="1BC13FC8">
              <wp:simplePos x="635" y="635"/>
              <wp:positionH relativeFrom="page">
                <wp:align>center</wp:align>
              </wp:positionH>
              <wp:positionV relativeFrom="page">
                <wp:align>bottom</wp:align>
              </wp:positionV>
              <wp:extent cx="551815" cy="391160"/>
              <wp:effectExtent l="0" t="0" r="635" b="0"/>
              <wp:wrapNone/>
              <wp:docPr id="2170565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9217CA" w14:textId="60A785E9"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5B3B3D"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fill o:detectmouseclick="t"/>
              <v:textbox style="mso-fit-shape-to-text:t" inset="0,0,0,15pt">
                <w:txbxContent>
                  <w:p w14:paraId="559217CA" w14:textId="60A785E9"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FB10" w14:textId="77777777" w:rsidR="0077055C" w:rsidRDefault="0077055C" w:rsidP="00C6666E">
      <w:pPr>
        <w:spacing w:after="0" w:line="240" w:lineRule="auto"/>
      </w:pPr>
      <w:r>
        <w:separator/>
      </w:r>
    </w:p>
  </w:footnote>
  <w:footnote w:type="continuationSeparator" w:id="0">
    <w:p w14:paraId="24EF9CA0" w14:textId="77777777" w:rsidR="0077055C" w:rsidRDefault="0077055C" w:rsidP="00C6666E">
      <w:pPr>
        <w:spacing w:after="0" w:line="240" w:lineRule="auto"/>
      </w:pPr>
      <w:r>
        <w:continuationSeparator/>
      </w:r>
    </w:p>
  </w:footnote>
  <w:footnote w:type="continuationNotice" w:id="1">
    <w:p w14:paraId="3501C8A4" w14:textId="77777777" w:rsidR="0077055C" w:rsidRDefault="00770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49FD" w14:textId="5F1546F0" w:rsidR="00DC5F30" w:rsidRDefault="00947D5A">
    <w:pPr>
      <w:pStyle w:val="Header"/>
    </w:pPr>
    <w:r>
      <w:rPr>
        <w:noProof/>
      </w:rPr>
      <mc:AlternateContent>
        <mc:Choice Requires="wps">
          <w:drawing>
            <wp:anchor distT="0" distB="0" distL="0" distR="0" simplePos="0" relativeHeight="251658241" behindDoc="0" locked="0" layoutInCell="1" allowOverlap="1" wp14:anchorId="4E4F4ED6" wp14:editId="133F1B9C">
              <wp:simplePos x="635" y="635"/>
              <wp:positionH relativeFrom="page">
                <wp:align>center</wp:align>
              </wp:positionH>
              <wp:positionV relativeFrom="page">
                <wp:align>top</wp:align>
              </wp:positionV>
              <wp:extent cx="551815" cy="391160"/>
              <wp:effectExtent l="0" t="0" r="635" b="8890"/>
              <wp:wrapNone/>
              <wp:docPr id="7308486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D77B4C" w14:textId="45A20985"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F4ED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60D77B4C" w14:textId="45A20985"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C2C6" w14:textId="2E8F0D37" w:rsidR="00D06BB6" w:rsidRDefault="00947D5A">
    <w:pPr>
      <w:pStyle w:val="Header"/>
    </w:pPr>
    <w:r>
      <w:rPr>
        <w:noProof/>
      </w:rPr>
      <mc:AlternateContent>
        <mc:Choice Requires="wps">
          <w:drawing>
            <wp:anchor distT="0" distB="0" distL="0" distR="0" simplePos="0" relativeHeight="251658242" behindDoc="0" locked="0" layoutInCell="1" allowOverlap="1" wp14:anchorId="40FAB971" wp14:editId="744C870A">
              <wp:simplePos x="635" y="635"/>
              <wp:positionH relativeFrom="page">
                <wp:align>center</wp:align>
              </wp:positionH>
              <wp:positionV relativeFrom="page">
                <wp:align>top</wp:align>
              </wp:positionV>
              <wp:extent cx="551815" cy="391160"/>
              <wp:effectExtent l="0" t="0" r="635" b="8890"/>
              <wp:wrapNone/>
              <wp:docPr id="9830153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CA7DE0" w14:textId="7E4BA083"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AB971"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07CA7DE0" w14:textId="7E4BA083"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DB2D" w14:textId="311C8C31" w:rsidR="00DC5F30" w:rsidRDefault="00947D5A">
    <w:pPr>
      <w:pStyle w:val="Header"/>
    </w:pPr>
    <w:r>
      <w:rPr>
        <w:noProof/>
      </w:rPr>
      <mc:AlternateContent>
        <mc:Choice Requires="wps">
          <w:drawing>
            <wp:anchor distT="0" distB="0" distL="0" distR="0" simplePos="0" relativeHeight="251658240" behindDoc="0" locked="0" layoutInCell="1" allowOverlap="1" wp14:anchorId="2F3AFBE2" wp14:editId="709D1114">
              <wp:simplePos x="635" y="635"/>
              <wp:positionH relativeFrom="page">
                <wp:align>center</wp:align>
              </wp:positionH>
              <wp:positionV relativeFrom="page">
                <wp:align>top</wp:align>
              </wp:positionV>
              <wp:extent cx="551815" cy="391160"/>
              <wp:effectExtent l="0" t="0" r="635" b="8890"/>
              <wp:wrapNone/>
              <wp:docPr id="2101903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04E8D" w14:textId="45825FBF"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AFBE2"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E704E8D" w14:textId="45825FBF" w:rsidR="00947D5A" w:rsidRPr="00947D5A" w:rsidRDefault="00947D5A" w:rsidP="00947D5A">
                    <w:pPr>
                      <w:spacing w:after="0"/>
                      <w:rPr>
                        <w:rFonts w:ascii="Calibri" w:eastAsia="Calibri" w:hAnsi="Calibri" w:cs="Calibri"/>
                        <w:noProof/>
                        <w:color w:val="FF0000"/>
                        <w:sz w:val="24"/>
                        <w:szCs w:val="24"/>
                      </w:rPr>
                    </w:pPr>
                    <w:r w:rsidRPr="00947D5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53A"/>
    <w:multiLevelType w:val="hybridMultilevel"/>
    <w:tmpl w:val="6D72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3A64E0"/>
    <w:multiLevelType w:val="hybridMultilevel"/>
    <w:tmpl w:val="409CF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17983"/>
    <w:multiLevelType w:val="hybridMultilevel"/>
    <w:tmpl w:val="CB0E5AEC"/>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76AE7"/>
    <w:multiLevelType w:val="hybridMultilevel"/>
    <w:tmpl w:val="CA7C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D602C"/>
    <w:multiLevelType w:val="hybridMultilevel"/>
    <w:tmpl w:val="86226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B75941"/>
    <w:multiLevelType w:val="hybridMultilevel"/>
    <w:tmpl w:val="AC2CC24C"/>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782A10"/>
    <w:multiLevelType w:val="hybridMultilevel"/>
    <w:tmpl w:val="C6483296"/>
    <w:lvl w:ilvl="0" w:tplc="7F5445DE">
      <w:start w:val="1"/>
      <w:numFmt w:val="lowerLetter"/>
      <w:lvlText w:val="(%1)"/>
      <w:lvlJc w:val="left"/>
      <w:pPr>
        <w:ind w:left="720" w:hanging="360"/>
      </w:pPr>
      <w:rPr>
        <w:rFonts w:ascii="Cambria" w:eastAsia="Times New Roman" w:hAnsi="Cambria"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040415"/>
    <w:multiLevelType w:val="hybridMultilevel"/>
    <w:tmpl w:val="A0902B00"/>
    <w:lvl w:ilvl="0" w:tplc="B8D8B3B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A43FAD"/>
    <w:multiLevelType w:val="hybridMultilevel"/>
    <w:tmpl w:val="450C3124"/>
    <w:lvl w:ilvl="0" w:tplc="7F5445DE">
      <w:start w:val="1"/>
      <w:numFmt w:val="lowerLetter"/>
      <w:lvlText w:val="(%1)"/>
      <w:lvlJc w:val="left"/>
      <w:pPr>
        <w:ind w:left="720" w:hanging="360"/>
      </w:pPr>
      <w:rPr>
        <w:rFonts w:ascii="Cambria" w:eastAsia="Times New Roman" w:hAnsi="Cambria"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4808FE"/>
    <w:multiLevelType w:val="hybridMultilevel"/>
    <w:tmpl w:val="6786DB70"/>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1245FF"/>
    <w:multiLevelType w:val="hybridMultilevel"/>
    <w:tmpl w:val="0F9C29A4"/>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9C0B64"/>
    <w:multiLevelType w:val="hybridMultilevel"/>
    <w:tmpl w:val="5958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7E6C37"/>
    <w:multiLevelType w:val="hybridMultilevel"/>
    <w:tmpl w:val="099875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30742F"/>
    <w:multiLevelType w:val="hybridMultilevel"/>
    <w:tmpl w:val="24C62D4A"/>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D112D3"/>
    <w:multiLevelType w:val="hybridMultilevel"/>
    <w:tmpl w:val="9476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3F2972"/>
    <w:multiLevelType w:val="hybridMultilevel"/>
    <w:tmpl w:val="50262CB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8F719E"/>
    <w:multiLevelType w:val="hybridMultilevel"/>
    <w:tmpl w:val="36BE7066"/>
    <w:lvl w:ilvl="0" w:tplc="B8D8B3B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C410FA7"/>
    <w:multiLevelType w:val="hybridMultilevel"/>
    <w:tmpl w:val="E66A0FA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8C0E90"/>
    <w:multiLevelType w:val="hybridMultilevel"/>
    <w:tmpl w:val="A7A4D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FE1219"/>
    <w:multiLevelType w:val="hybridMultilevel"/>
    <w:tmpl w:val="FB9C1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7700D6"/>
    <w:multiLevelType w:val="hybridMultilevel"/>
    <w:tmpl w:val="99A8387E"/>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1665CB"/>
    <w:multiLevelType w:val="hybridMultilevel"/>
    <w:tmpl w:val="D902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1C26EB"/>
    <w:multiLevelType w:val="hybridMultilevel"/>
    <w:tmpl w:val="6F545DEC"/>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89182C"/>
    <w:multiLevelType w:val="hybridMultilevel"/>
    <w:tmpl w:val="2F5A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CA5205"/>
    <w:multiLevelType w:val="hybridMultilevel"/>
    <w:tmpl w:val="EF5AE4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617804"/>
    <w:multiLevelType w:val="hybridMultilevel"/>
    <w:tmpl w:val="0F80D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B7606D"/>
    <w:multiLevelType w:val="hybridMultilevel"/>
    <w:tmpl w:val="930CC45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CA2DCB"/>
    <w:multiLevelType w:val="hybridMultilevel"/>
    <w:tmpl w:val="F508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C813B8"/>
    <w:multiLevelType w:val="hybridMultilevel"/>
    <w:tmpl w:val="8126EC68"/>
    <w:lvl w:ilvl="0" w:tplc="7F5445DE">
      <w:start w:val="1"/>
      <w:numFmt w:val="lowerLetter"/>
      <w:lvlText w:val="(%1)"/>
      <w:lvlJc w:val="left"/>
      <w:pPr>
        <w:ind w:left="720" w:hanging="360"/>
      </w:pPr>
      <w:rPr>
        <w:rFonts w:ascii="Cambria" w:eastAsia="Times New Roman" w:hAnsi="Cambria"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A4B281B"/>
    <w:multiLevelType w:val="hybridMultilevel"/>
    <w:tmpl w:val="6786D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E7779F"/>
    <w:multiLevelType w:val="hybridMultilevel"/>
    <w:tmpl w:val="A23A388E"/>
    <w:lvl w:ilvl="0" w:tplc="B8D8B3BC">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1" w15:restartNumberingAfterBreak="0">
    <w:nsid w:val="2C2A74A8"/>
    <w:multiLevelType w:val="hybridMultilevel"/>
    <w:tmpl w:val="28DE2326"/>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D943489"/>
    <w:multiLevelType w:val="hybridMultilevel"/>
    <w:tmpl w:val="3D320944"/>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760589"/>
    <w:multiLevelType w:val="hybridMultilevel"/>
    <w:tmpl w:val="2668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5FE0B90"/>
    <w:multiLevelType w:val="hybridMultilevel"/>
    <w:tmpl w:val="83B2D5F2"/>
    <w:lvl w:ilvl="0" w:tplc="C4AEB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B9166E"/>
    <w:multiLevelType w:val="hybridMultilevel"/>
    <w:tmpl w:val="39CA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7B9673D"/>
    <w:multiLevelType w:val="hybridMultilevel"/>
    <w:tmpl w:val="D52EFEB0"/>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A052245"/>
    <w:multiLevelType w:val="hybridMultilevel"/>
    <w:tmpl w:val="ACDE6EF0"/>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B044F7F"/>
    <w:multiLevelType w:val="hybridMultilevel"/>
    <w:tmpl w:val="267CA900"/>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CF12A8B"/>
    <w:multiLevelType w:val="hybridMultilevel"/>
    <w:tmpl w:val="6786D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1C274E"/>
    <w:multiLevelType w:val="hybridMultilevel"/>
    <w:tmpl w:val="0A327864"/>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D273854"/>
    <w:multiLevelType w:val="hybridMultilevel"/>
    <w:tmpl w:val="377C21B4"/>
    <w:lvl w:ilvl="0" w:tplc="B39E6B32">
      <w:start w:val="1"/>
      <w:numFmt w:val="bullet"/>
      <w:lvlText w:val=""/>
      <w:lvlJc w:val="left"/>
      <w:pPr>
        <w:ind w:left="1741" w:hanging="360"/>
      </w:pPr>
      <w:rPr>
        <w:rFonts w:ascii="Symbol" w:hAnsi="Symbol"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2" w15:restartNumberingAfterBreak="0">
    <w:nsid w:val="3EAE5AB8"/>
    <w:multiLevelType w:val="hybridMultilevel"/>
    <w:tmpl w:val="6F545DEC"/>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F2D5FE9"/>
    <w:multiLevelType w:val="hybridMultilevel"/>
    <w:tmpl w:val="6A56C87C"/>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F630C8E"/>
    <w:multiLevelType w:val="hybridMultilevel"/>
    <w:tmpl w:val="A6A81AAA"/>
    <w:lvl w:ilvl="0" w:tplc="C4AEB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12C7115"/>
    <w:multiLevelType w:val="hybridMultilevel"/>
    <w:tmpl w:val="08DADA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1F51E1A"/>
    <w:multiLevelType w:val="hybridMultilevel"/>
    <w:tmpl w:val="F36884E2"/>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3765854"/>
    <w:multiLevelType w:val="hybridMultilevel"/>
    <w:tmpl w:val="59B61D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3A71B90"/>
    <w:multiLevelType w:val="hybridMultilevel"/>
    <w:tmpl w:val="3752D460"/>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4721A47"/>
    <w:multiLevelType w:val="hybridMultilevel"/>
    <w:tmpl w:val="3AC4DC90"/>
    <w:lvl w:ilvl="0" w:tplc="FFFFFFFF">
      <w:start w:val="1"/>
      <w:numFmt w:val="lowerLetter"/>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5714819"/>
    <w:multiLevelType w:val="hybridMultilevel"/>
    <w:tmpl w:val="2F96F552"/>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6381429"/>
    <w:multiLevelType w:val="hybridMultilevel"/>
    <w:tmpl w:val="EEAA9FF2"/>
    <w:lvl w:ilvl="0" w:tplc="FFFFFFFF">
      <w:start w:val="1"/>
      <w:numFmt w:val="bullet"/>
      <w:lvlText w:val=""/>
      <w:lvlJc w:val="left"/>
      <w:pPr>
        <w:ind w:left="720" w:hanging="360"/>
      </w:pPr>
      <w:rPr>
        <w:rFonts w:ascii="Symbol" w:hAnsi="Symbol" w:hint="default"/>
      </w:rPr>
    </w:lvl>
    <w:lvl w:ilvl="1" w:tplc="B39E6B3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F3678A"/>
    <w:multiLevelType w:val="hybridMultilevel"/>
    <w:tmpl w:val="E8BAE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8191815"/>
    <w:multiLevelType w:val="hybridMultilevel"/>
    <w:tmpl w:val="555E507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9557B5C"/>
    <w:multiLevelType w:val="hybridMultilevel"/>
    <w:tmpl w:val="6786D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9358F0"/>
    <w:multiLevelType w:val="hybridMultilevel"/>
    <w:tmpl w:val="6BECB460"/>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DDC3C33"/>
    <w:multiLevelType w:val="hybridMultilevel"/>
    <w:tmpl w:val="736C5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6F2911"/>
    <w:multiLevelType w:val="hybridMultilevel"/>
    <w:tmpl w:val="6DF0FB96"/>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03B3CFE"/>
    <w:multiLevelType w:val="hybridMultilevel"/>
    <w:tmpl w:val="59B61D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15E585F"/>
    <w:multiLevelType w:val="hybridMultilevel"/>
    <w:tmpl w:val="14B23E60"/>
    <w:lvl w:ilvl="0" w:tplc="FFFFFFFF">
      <w:start w:val="1"/>
      <w:numFmt w:val="lowerLetter"/>
      <w:lvlText w:val="(%1)"/>
      <w:lvlJc w:val="left"/>
      <w:pPr>
        <w:ind w:left="720" w:hanging="360"/>
      </w:pPr>
      <w:rPr>
        <w:rFonts w:ascii="Times New Roman" w:eastAsia="Times New Roman" w:hAnsi="Times New Roman" w:cs="Times New Roman"/>
      </w:rPr>
    </w:lvl>
    <w:lvl w:ilvl="1" w:tplc="0C09001B">
      <w:start w:val="1"/>
      <w:numFmt w:val="lowerRoman"/>
      <w:lvlText w:val="%2."/>
      <w:lvlJc w:val="right"/>
      <w:pPr>
        <w:ind w:left="174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0C6944"/>
    <w:multiLevelType w:val="hybridMultilevel"/>
    <w:tmpl w:val="3AC4DC90"/>
    <w:lvl w:ilvl="0" w:tplc="FFFFFFFF">
      <w:start w:val="1"/>
      <w:numFmt w:val="lowerLetter"/>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2542F67"/>
    <w:multiLevelType w:val="hybridMultilevel"/>
    <w:tmpl w:val="8AA2D780"/>
    <w:lvl w:ilvl="0" w:tplc="C4AEB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AC3EA4"/>
    <w:multiLevelType w:val="hybridMultilevel"/>
    <w:tmpl w:val="59B61D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4CD07A7"/>
    <w:multiLevelType w:val="hybridMultilevel"/>
    <w:tmpl w:val="6A56C8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AC18E4"/>
    <w:multiLevelType w:val="hybridMultilevel"/>
    <w:tmpl w:val="E49E4530"/>
    <w:lvl w:ilvl="0" w:tplc="FFFFFFFF">
      <w:start w:val="1"/>
      <w:numFmt w:val="lowerLetter"/>
      <w:lvlText w:val="(%1)"/>
      <w:lvlJc w:val="left"/>
      <w:pPr>
        <w:ind w:left="720" w:hanging="360"/>
      </w:pPr>
      <w:rPr>
        <w:rFonts w:hint="default"/>
      </w:rPr>
    </w:lvl>
    <w:lvl w:ilvl="1" w:tplc="0C09001B">
      <w:start w:val="1"/>
      <w:numFmt w:val="lowerRoman"/>
      <w:lvlText w:val="%2."/>
      <w:lvlJc w:val="right"/>
      <w:pPr>
        <w:ind w:left="174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090FF0"/>
    <w:multiLevelType w:val="hybridMultilevel"/>
    <w:tmpl w:val="6016895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92A6399"/>
    <w:multiLevelType w:val="hybridMultilevel"/>
    <w:tmpl w:val="6108D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A222043"/>
    <w:multiLevelType w:val="hybridMultilevel"/>
    <w:tmpl w:val="B88EA522"/>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AB6509A"/>
    <w:multiLevelType w:val="hybridMultilevel"/>
    <w:tmpl w:val="CE94B5DE"/>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B616094"/>
    <w:multiLevelType w:val="hybridMultilevel"/>
    <w:tmpl w:val="AC7ED752"/>
    <w:lvl w:ilvl="0" w:tplc="B8D8B3B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15:restartNumberingAfterBreak="0">
    <w:nsid w:val="5BE828A1"/>
    <w:multiLevelType w:val="hybridMultilevel"/>
    <w:tmpl w:val="E23E1BBA"/>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06260F9"/>
    <w:multiLevelType w:val="hybridMultilevel"/>
    <w:tmpl w:val="6786D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5302C16"/>
    <w:multiLevelType w:val="hybridMultilevel"/>
    <w:tmpl w:val="22CAE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58A1BEB"/>
    <w:multiLevelType w:val="hybridMultilevel"/>
    <w:tmpl w:val="176CDF4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6A066EF"/>
    <w:multiLevelType w:val="hybridMultilevel"/>
    <w:tmpl w:val="7B7E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76309B1"/>
    <w:multiLevelType w:val="hybridMultilevel"/>
    <w:tmpl w:val="070A5C86"/>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79E5BF1"/>
    <w:multiLevelType w:val="hybridMultilevel"/>
    <w:tmpl w:val="FDC04542"/>
    <w:lvl w:ilvl="0" w:tplc="FFFFFFFF">
      <w:start w:val="1"/>
      <w:numFmt w:val="lowerLetter"/>
      <w:lvlText w:val="(%1)"/>
      <w:lvlJc w:val="left"/>
      <w:pPr>
        <w:ind w:left="720" w:hanging="360"/>
      </w:pPr>
      <w:rPr>
        <w:rFonts w:ascii="Times New Roman" w:eastAsia="Times New Roman" w:hAnsi="Times New Roman" w:cs="Times New Roman"/>
      </w:rPr>
    </w:lvl>
    <w:lvl w:ilvl="1" w:tplc="81A07766">
      <w:start w:val="1"/>
      <w:numFmt w:val="lowerRoman"/>
      <w:lvlText w:val="(%2)"/>
      <w:lvlJc w:val="right"/>
      <w:pPr>
        <w:ind w:left="1741"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C95F55"/>
    <w:multiLevelType w:val="hybridMultilevel"/>
    <w:tmpl w:val="3710B29E"/>
    <w:lvl w:ilvl="0" w:tplc="56546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7D770B1"/>
    <w:multiLevelType w:val="hybridMultilevel"/>
    <w:tmpl w:val="76F280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ABA3BDC"/>
    <w:multiLevelType w:val="hybridMultilevel"/>
    <w:tmpl w:val="32C665E0"/>
    <w:lvl w:ilvl="0" w:tplc="B8D8B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B8C288A"/>
    <w:multiLevelType w:val="hybridMultilevel"/>
    <w:tmpl w:val="02EC978E"/>
    <w:lvl w:ilvl="0" w:tplc="0C09001B">
      <w:start w:val="1"/>
      <w:numFmt w:val="lowerRoman"/>
      <w:lvlText w:val="%1."/>
      <w:lvlJc w:val="right"/>
      <w:pPr>
        <w:ind w:left="1741" w:hanging="360"/>
      </w:pPr>
    </w:lvl>
    <w:lvl w:ilvl="1" w:tplc="0C090019" w:tentative="1">
      <w:start w:val="1"/>
      <w:numFmt w:val="lowerLetter"/>
      <w:lvlText w:val="%2."/>
      <w:lvlJc w:val="left"/>
      <w:pPr>
        <w:ind w:left="2461" w:hanging="360"/>
      </w:pPr>
    </w:lvl>
    <w:lvl w:ilvl="2" w:tplc="0C09001B" w:tentative="1">
      <w:start w:val="1"/>
      <w:numFmt w:val="lowerRoman"/>
      <w:lvlText w:val="%3."/>
      <w:lvlJc w:val="right"/>
      <w:pPr>
        <w:ind w:left="3181" w:hanging="180"/>
      </w:pPr>
    </w:lvl>
    <w:lvl w:ilvl="3" w:tplc="0C09000F" w:tentative="1">
      <w:start w:val="1"/>
      <w:numFmt w:val="decimal"/>
      <w:lvlText w:val="%4."/>
      <w:lvlJc w:val="left"/>
      <w:pPr>
        <w:ind w:left="3901" w:hanging="360"/>
      </w:pPr>
    </w:lvl>
    <w:lvl w:ilvl="4" w:tplc="0C090019" w:tentative="1">
      <w:start w:val="1"/>
      <w:numFmt w:val="lowerLetter"/>
      <w:lvlText w:val="%5."/>
      <w:lvlJc w:val="left"/>
      <w:pPr>
        <w:ind w:left="4621" w:hanging="360"/>
      </w:pPr>
    </w:lvl>
    <w:lvl w:ilvl="5" w:tplc="0C09001B" w:tentative="1">
      <w:start w:val="1"/>
      <w:numFmt w:val="lowerRoman"/>
      <w:lvlText w:val="%6."/>
      <w:lvlJc w:val="right"/>
      <w:pPr>
        <w:ind w:left="5341" w:hanging="180"/>
      </w:pPr>
    </w:lvl>
    <w:lvl w:ilvl="6" w:tplc="0C09000F" w:tentative="1">
      <w:start w:val="1"/>
      <w:numFmt w:val="decimal"/>
      <w:lvlText w:val="%7."/>
      <w:lvlJc w:val="left"/>
      <w:pPr>
        <w:ind w:left="6061" w:hanging="360"/>
      </w:pPr>
    </w:lvl>
    <w:lvl w:ilvl="7" w:tplc="0C090019" w:tentative="1">
      <w:start w:val="1"/>
      <w:numFmt w:val="lowerLetter"/>
      <w:lvlText w:val="%8."/>
      <w:lvlJc w:val="left"/>
      <w:pPr>
        <w:ind w:left="6781" w:hanging="360"/>
      </w:pPr>
    </w:lvl>
    <w:lvl w:ilvl="8" w:tplc="0C09001B" w:tentative="1">
      <w:start w:val="1"/>
      <w:numFmt w:val="lowerRoman"/>
      <w:lvlText w:val="%9."/>
      <w:lvlJc w:val="right"/>
      <w:pPr>
        <w:ind w:left="7501" w:hanging="180"/>
      </w:pPr>
    </w:lvl>
  </w:abstractNum>
  <w:abstractNum w:abstractNumId="81" w15:restartNumberingAfterBreak="0">
    <w:nsid w:val="6FF3134D"/>
    <w:multiLevelType w:val="hybridMultilevel"/>
    <w:tmpl w:val="3954B298"/>
    <w:lvl w:ilvl="0" w:tplc="565467F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0217BDC"/>
    <w:multiLevelType w:val="hybridMultilevel"/>
    <w:tmpl w:val="769C99E0"/>
    <w:lvl w:ilvl="0" w:tplc="8F367A7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0D900E2"/>
    <w:multiLevelType w:val="hybridMultilevel"/>
    <w:tmpl w:val="2FC4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2050848"/>
    <w:multiLevelType w:val="hybridMultilevel"/>
    <w:tmpl w:val="9B3E4AC6"/>
    <w:lvl w:ilvl="0" w:tplc="FFFFFFFF">
      <w:start w:val="1"/>
      <w:numFmt w:val="bullet"/>
      <w:lvlText w:val=""/>
      <w:lvlJc w:val="left"/>
      <w:pPr>
        <w:ind w:left="720" w:hanging="360"/>
      </w:pPr>
      <w:rPr>
        <w:rFonts w:ascii="Symbol" w:hAnsi="Symbol" w:hint="default"/>
      </w:rPr>
    </w:lvl>
    <w:lvl w:ilvl="1" w:tplc="B39E6B3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32A6970"/>
    <w:multiLevelType w:val="hybridMultilevel"/>
    <w:tmpl w:val="61E05F4C"/>
    <w:lvl w:ilvl="0" w:tplc="B8D8B3B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74ED752C"/>
    <w:multiLevelType w:val="hybridMultilevel"/>
    <w:tmpl w:val="77A0B33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53C5199"/>
    <w:multiLevelType w:val="hybridMultilevel"/>
    <w:tmpl w:val="50262CBA"/>
    <w:lvl w:ilvl="0" w:tplc="1F2AD14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56C03ED"/>
    <w:multiLevelType w:val="hybridMultilevel"/>
    <w:tmpl w:val="8BF2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57C5E3B"/>
    <w:multiLevelType w:val="hybridMultilevel"/>
    <w:tmpl w:val="8A1E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6E2152A"/>
    <w:multiLevelType w:val="hybridMultilevel"/>
    <w:tmpl w:val="3AC4DC90"/>
    <w:lvl w:ilvl="0" w:tplc="1F2AD142">
      <w:start w:val="1"/>
      <w:numFmt w:val="lowerLetter"/>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AF153EF"/>
    <w:multiLevelType w:val="hybridMultilevel"/>
    <w:tmpl w:val="6F545DEC"/>
    <w:lvl w:ilvl="0" w:tplc="FFFFFFFF">
      <w:start w:val="1"/>
      <w:numFmt w:val="lowerLetter"/>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EF4959"/>
    <w:multiLevelType w:val="hybridMultilevel"/>
    <w:tmpl w:val="2B165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C9F37D4"/>
    <w:multiLevelType w:val="hybridMultilevel"/>
    <w:tmpl w:val="6786D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574126">
    <w:abstractNumId w:val="82"/>
  </w:num>
  <w:num w:numId="2" w16cid:durableId="749500057">
    <w:abstractNumId w:val="18"/>
  </w:num>
  <w:num w:numId="3" w16cid:durableId="272441556">
    <w:abstractNumId w:val="9"/>
  </w:num>
  <w:num w:numId="4" w16cid:durableId="1633631257">
    <w:abstractNumId w:val="70"/>
  </w:num>
  <w:num w:numId="5" w16cid:durableId="1437948345">
    <w:abstractNumId w:val="52"/>
  </w:num>
  <w:num w:numId="6" w16cid:durableId="1824347562">
    <w:abstractNumId w:val="93"/>
  </w:num>
  <w:num w:numId="7" w16cid:durableId="1940604138">
    <w:abstractNumId w:val="71"/>
  </w:num>
  <w:num w:numId="8" w16cid:durableId="1540584205">
    <w:abstractNumId w:val="54"/>
  </w:num>
  <w:num w:numId="9" w16cid:durableId="411898731">
    <w:abstractNumId w:val="34"/>
  </w:num>
  <w:num w:numId="10" w16cid:durableId="1161048034">
    <w:abstractNumId w:val="44"/>
  </w:num>
  <w:num w:numId="11" w16cid:durableId="951133788">
    <w:abstractNumId w:val="61"/>
  </w:num>
  <w:num w:numId="12" w16cid:durableId="2039693267">
    <w:abstractNumId w:val="26"/>
  </w:num>
  <w:num w:numId="13" w16cid:durableId="416361949">
    <w:abstractNumId w:val="65"/>
  </w:num>
  <w:num w:numId="14" w16cid:durableId="602302545">
    <w:abstractNumId w:val="53"/>
  </w:num>
  <w:num w:numId="15" w16cid:durableId="1565293472">
    <w:abstractNumId w:val="4"/>
  </w:num>
  <w:num w:numId="16" w16cid:durableId="222722894">
    <w:abstractNumId w:val="78"/>
  </w:num>
  <w:num w:numId="17" w16cid:durableId="485707779">
    <w:abstractNumId w:val="47"/>
  </w:num>
  <w:num w:numId="18" w16cid:durableId="680936128">
    <w:abstractNumId w:val="58"/>
  </w:num>
  <w:num w:numId="19" w16cid:durableId="1966738012">
    <w:abstractNumId w:val="12"/>
  </w:num>
  <w:num w:numId="20" w16cid:durableId="2123844456">
    <w:abstractNumId w:val="62"/>
  </w:num>
  <w:num w:numId="21" w16cid:durableId="934361600">
    <w:abstractNumId w:val="17"/>
  </w:num>
  <w:num w:numId="22" w16cid:durableId="1804037879">
    <w:abstractNumId w:val="38"/>
  </w:num>
  <w:num w:numId="23" w16cid:durableId="1943174881">
    <w:abstractNumId w:val="43"/>
  </w:num>
  <w:num w:numId="24" w16cid:durableId="1794179079">
    <w:abstractNumId w:val="35"/>
  </w:num>
  <w:num w:numId="25" w16cid:durableId="583952608">
    <w:abstractNumId w:val="33"/>
  </w:num>
  <w:num w:numId="26" w16cid:durableId="325132863">
    <w:abstractNumId w:val="2"/>
  </w:num>
  <w:num w:numId="27" w16cid:durableId="1529638797">
    <w:abstractNumId w:val="37"/>
  </w:num>
  <w:num w:numId="28" w16cid:durableId="1199587100">
    <w:abstractNumId w:val="77"/>
  </w:num>
  <w:num w:numId="29" w16cid:durableId="1716079055">
    <w:abstractNumId w:val="84"/>
  </w:num>
  <w:num w:numId="30" w16cid:durableId="1488668523">
    <w:abstractNumId w:val="29"/>
  </w:num>
  <w:num w:numId="31" w16cid:durableId="1487819401">
    <w:abstractNumId w:val="10"/>
  </w:num>
  <w:num w:numId="32" w16cid:durableId="64496345">
    <w:abstractNumId w:val="13"/>
  </w:num>
  <w:num w:numId="33" w16cid:durableId="1562211234">
    <w:abstractNumId w:val="39"/>
  </w:num>
  <w:num w:numId="34" w16cid:durableId="1891964636">
    <w:abstractNumId w:val="40"/>
  </w:num>
  <w:num w:numId="35" w16cid:durableId="1182354008">
    <w:abstractNumId w:val="7"/>
  </w:num>
  <w:num w:numId="36" w16cid:durableId="708530437">
    <w:abstractNumId w:val="79"/>
  </w:num>
  <w:num w:numId="37" w16cid:durableId="770206360">
    <w:abstractNumId w:val="5"/>
  </w:num>
  <w:num w:numId="38" w16cid:durableId="698048047">
    <w:abstractNumId w:val="80"/>
  </w:num>
  <w:num w:numId="39" w16cid:durableId="1000423755">
    <w:abstractNumId w:val="25"/>
  </w:num>
  <w:num w:numId="40" w16cid:durableId="1026445455">
    <w:abstractNumId w:val="50"/>
  </w:num>
  <w:num w:numId="41" w16cid:durableId="653148665">
    <w:abstractNumId w:val="36"/>
  </w:num>
  <w:num w:numId="42" w16cid:durableId="1805269064">
    <w:abstractNumId w:val="75"/>
  </w:num>
  <w:num w:numId="43" w16cid:durableId="1277054981">
    <w:abstractNumId w:val="8"/>
  </w:num>
  <w:num w:numId="44" w16cid:durableId="1447577512">
    <w:abstractNumId w:val="28"/>
  </w:num>
  <w:num w:numId="45" w16cid:durableId="453985612">
    <w:abstractNumId w:val="23"/>
  </w:num>
  <w:num w:numId="46" w16cid:durableId="1795519058">
    <w:abstractNumId w:val="0"/>
  </w:num>
  <w:num w:numId="47" w16cid:durableId="2083598882">
    <w:abstractNumId w:val="81"/>
  </w:num>
  <w:num w:numId="48" w16cid:durableId="572080608">
    <w:abstractNumId w:val="64"/>
  </w:num>
  <w:num w:numId="49" w16cid:durableId="1567759161">
    <w:abstractNumId w:val="6"/>
  </w:num>
  <w:num w:numId="50" w16cid:durableId="673528878">
    <w:abstractNumId w:val="74"/>
  </w:num>
  <w:num w:numId="51" w16cid:durableId="1635403710">
    <w:abstractNumId w:val="11"/>
  </w:num>
  <w:num w:numId="52" w16cid:durableId="505483709">
    <w:abstractNumId w:val="41"/>
  </w:num>
  <w:num w:numId="53" w16cid:durableId="1874880213">
    <w:abstractNumId w:val="86"/>
  </w:num>
  <w:num w:numId="54" w16cid:durableId="422727664">
    <w:abstractNumId w:val="51"/>
  </w:num>
  <w:num w:numId="55" w16cid:durableId="874542064">
    <w:abstractNumId w:val="73"/>
  </w:num>
  <w:num w:numId="56" w16cid:durableId="1847793260">
    <w:abstractNumId w:val="66"/>
  </w:num>
  <w:num w:numId="57" w16cid:durableId="1403215412">
    <w:abstractNumId w:val="31"/>
  </w:num>
  <w:num w:numId="58" w16cid:durableId="1736706306">
    <w:abstractNumId w:val="55"/>
  </w:num>
  <w:num w:numId="59" w16cid:durableId="306276878">
    <w:abstractNumId w:val="90"/>
  </w:num>
  <w:num w:numId="60" w16cid:durableId="1881670422">
    <w:abstractNumId w:val="59"/>
  </w:num>
  <w:num w:numId="61" w16cid:durableId="1392458778">
    <w:abstractNumId w:val="24"/>
  </w:num>
  <w:num w:numId="62" w16cid:durableId="164782891">
    <w:abstractNumId w:val="46"/>
  </w:num>
  <w:num w:numId="63" w16cid:durableId="1071585466">
    <w:abstractNumId w:val="56"/>
  </w:num>
  <w:num w:numId="64" w16cid:durableId="37896552">
    <w:abstractNumId w:val="83"/>
  </w:num>
  <w:num w:numId="65" w16cid:durableId="1518546403">
    <w:abstractNumId w:val="27"/>
  </w:num>
  <w:num w:numId="66" w16cid:durableId="1066143241">
    <w:abstractNumId w:val="22"/>
  </w:num>
  <w:num w:numId="67" w16cid:durableId="1278639191">
    <w:abstractNumId w:val="67"/>
  </w:num>
  <w:num w:numId="68" w16cid:durableId="1779720701">
    <w:abstractNumId w:val="87"/>
  </w:num>
  <w:num w:numId="69" w16cid:durableId="1511260351">
    <w:abstractNumId w:val="68"/>
  </w:num>
  <w:num w:numId="70" w16cid:durableId="1493519477">
    <w:abstractNumId w:val="92"/>
  </w:num>
  <w:num w:numId="71" w16cid:durableId="1465733207">
    <w:abstractNumId w:val="57"/>
  </w:num>
  <w:num w:numId="72" w16cid:durableId="1029797920">
    <w:abstractNumId w:val="32"/>
  </w:num>
  <w:num w:numId="73" w16cid:durableId="711153681">
    <w:abstractNumId w:val="48"/>
  </w:num>
  <w:num w:numId="74" w16cid:durableId="979774257">
    <w:abstractNumId w:val="63"/>
  </w:num>
  <w:num w:numId="75" w16cid:durableId="1233734360">
    <w:abstractNumId w:val="14"/>
  </w:num>
  <w:num w:numId="76" w16cid:durableId="1309048466">
    <w:abstractNumId w:val="89"/>
  </w:num>
  <w:num w:numId="77" w16cid:durableId="1499496336">
    <w:abstractNumId w:val="3"/>
  </w:num>
  <w:num w:numId="78" w16cid:durableId="1574655502">
    <w:abstractNumId w:val="19"/>
  </w:num>
  <w:num w:numId="79" w16cid:durableId="862939128">
    <w:abstractNumId w:val="88"/>
  </w:num>
  <w:num w:numId="80" w16cid:durableId="904339809">
    <w:abstractNumId w:val="45"/>
  </w:num>
  <w:num w:numId="81" w16cid:durableId="1392968715">
    <w:abstractNumId w:val="30"/>
  </w:num>
  <w:num w:numId="82" w16cid:durableId="1215118002">
    <w:abstractNumId w:val="85"/>
  </w:num>
  <w:num w:numId="83" w16cid:durableId="55058233">
    <w:abstractNumId w:val="16"/>
  </w:num>
  <w:num w:numId="84" w16cid:durableId="301235977">
    <w:abstractNumId w:val="69"/>
  </w:num>
  <w:num w:numId="85" w16cid:durableId="239798909">
    <w:abstractNumId w:val="20"/>
  </w:num>
  <w:num w:numId="86" w16cid:durableId="723333059">
    <w:abstractNumId w:val="15"/>
  </w:num>
  <w:num w:numId="87" w16cid:durableId="283660358">
    <w:abstractNumId w:val="42"/>
  </w:num>
  <w:num w:numId="88" w16cid:durableId="1301954413">
    <w:abstractNumId w:val="91"/>
  </w:num>
  <w:num w:numId="89" w16cid:durableId="1816754493">
    <w:abstractNumId w:val="76"/>
  </w:num>
  <w:num w:numId="90" w16cid:durableId="1206916097">
    <w:abstractNumId w:val="21"/>
  </w:num>
  <w:num w:numId="91" w16cid:durableId="1351106243">
    <w:abstractNumId w:val="1"/>
  </w:num>
  <w:num w:numId="92" w16cid:durableId="1195118161">
    <w:abstractNumId w:val="72"/>
  </w:num>
  <w:num w:numId="93" w16cid:durableId="1031414705">
    <w:abstractNumId w:val="49"/>
  </w:num>
  <w:num w:numId="94" w16cid:durableId="580868992">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2A"/>
    <w:rsid w:val="00000112"/>
    <w:rsid w:val="0000043E"/>
    <w:rsid w:val="000006D8"/>
    <w:rsid w:val="00000AC8"/>
    <w:rsid w:val="00000CD9"/>
    <w:rsid w:val="00000D4B"/>
    <w:rsid w:val="00000E24"/>
    <w:rsid w:val="0000119D"/>
    <w:rsid w:val="00001364"/>
    <w:rsid w:val="0000187D"/>
    <w:rsid w:val="000021E7"/>
    <w:rsid w:val="00002CC8"/>
    <w:rsid w:val="00002CD4"/>
    <w:rsid w:val="00003185"/>
    <w:rsid w:val="000031F2"/>
    <w:rsid w:val="0000358F"/>
    <w:rsid w:val="00003998"/>
    <w:rsid w:val="00003B3B"/>
    <w:rsid w:val="0000425F"/>
    <w:rsid w:val="0000462C"/>
    <w:rsid w:val="00004A77"/>
    <w:rsid w:val="00004E1A"/>
    <w:rsid w:val="00004FDD"/>
    <w:rsid w:val="0000550F"/>
    <w:rsid w:val="00005806"/>
    <w:rsid w:val="000058BD"/>
    <w:rsid w:val="00006922"/>
    <w:rsid w:val="000069B5"/>
    <w:rsid w:val="00006A31"/>
    <w:rsid w:val="00006F9F"/>
    <w:rsid w:val="00006FB6"/>
    <w:rsid w:val="000073ED"/>
    <w:rsid w:val="000076F8"/>
    <w:rsid w:val="000077D4"/>
    <w:rsid w:val="000109C2"/>
    <w:rsid w:val="00010B04"/>
    <w:rsid w:val="00010EA9"/>
    <w:rsid w:val="000111B0"/>
    <w:rsid w:val="0001150D"/>
    <w:rsid w:val="0001152D"/>
    <w:rsid w:val="00011F06"/>
    <w:rsid w:val="000120A5"/>
    <w:rsid w:val="0001293D"/>
    <w:rsid w:val="00012A8A"/>
    <w:rsid w:val="00012F23"/>
    <w:rsid w:val="0001390E"/>
    <w:rsid w:val="00013BD5"/>
    <w:rsid w:val="00014507"/>
    <w:rsid w:val="0001460B"/>
    <w:rsid w:val="0001466F"/>
    <w:rsid w:val="00014D3F"/>
    <w:rsid w:val="0001526F"/>
    <w:rsid w:val="00015860"/>
    <w:rsid w:val="0001613F"/>
    <w:rsid w:val="00016482"/>
    <w:rsid w:val="00016585"/>
    <w:rsid w:val="000165AC"/>
    <w:rsid w:val="000166C4"/>
    <w:rsid w:val="00016CBF"/>
    <w:rsid w:val="0001722E"/>
    <w:rsid w:val="000173A9"/>
    <w:rsid w:val="000200E3"/>
    <w:rsid w:val="0002035C"/>
    <w:rsid w:val="00020BEB"/>
    <w:rsid w:val="00020E12"/>
    <w:rsid w:val="00021028"/>
    <w:rsid w:val="0002112D"/>
    <w:rsid w:val="0002113B"/>
    <w:rsid w:val="0002121B"/>
    <w:rsid w:val="0002128E"/>
    <w:rsid w:val="00021716"/>
    <w:rsid w:val="00021757"/>
    <w:rsid w:val="00021D2A"/>
    <w:rsid w:val="00021D4E"/>
    <w:rsid w:val="00021E2E"/>
    <w:rsid w:val="00022116"/>
    <w:rsid w:val="00022363"/>
    <w:rsid w:val="00022587"/>
    <w:rsid w:val="00022AE6"/>
    <w:rsid w:val="00022BDA"/>
    <w:rsid w:val="00022EC3"/>
    <w:rsid w:val="000231A8"/>
    <w:rsid w:val="0002327F"/>
    <w:rsid w:val="00023D76"/>
    <w:rsid w:val="00024238"/>
    <w:rsid w:val="00024BEF"/>
    <w:rsid w:val="00024E85"/>
    <w:rsid w:val="00025202"/>
    <w:rsid w:val="000252ED"/>
    <w:rsid w:val="00025507"/>
    <w:rsid w:val="000255E2"/>
    <w:rsid w:val="00025814"/>
    <w:rsid w:val="000258FB"/>
    <w:rsid w:val="000268DB"/>
    <w:rsid w:val="00026C96"/>
    <w:rsid w:val="00026DEE"/>
    <w:rsid w:val="00027343"/>
    <w:rsid w:val="00027863"/>
    <w:rsid w:val="00027881"/>
    <w:rsid w:val="000279C8"/>
    <w:rsid w:val="00027BE6"/>
    <w:rsid w:val="000303F3"/>
    <w:rsid w:val="000304E9"/>
    <w:rsid w:val="000307C4"/>
    <w:rsid w:val="00030B5E"/>
    <w:rsid w:val="00030EA7"/>
    <w:rsid w:val="00030F1B"/>
    <w:rsid w:val="00031716"/>
    <w:rsid w:val="00031D49"/>
    <w:rsid w:val="00031D81"/>
    <w:rsid w:val="00031DE3"/>
    <w:rsid w:val="00032109"/>
    <w:rsid w:val="0003210F"/>
    <w:rsid w:val="000325C7"/>
    <w:rsid w:val="0003264D"/>
    <w:rsid w:val="00032C7C"/>
    <w:rsid w:val="00033142"/>
    <w:rsid w:val="000335C1"/>
    <w:rsid w:val="00033A7F"/>
    <w:rsid w:val="00034B17"/>
    <w:rsid w:val="00034E22"/>
    <w:rsid w:val="000352E7"/>
    <w:rsid w:val="000354CA"/>
    <w:rsid w:val="00035E1D"/>
    <w:rsid w:val="00035FC3"/>
    <w:rsid w:val="000361DE"/>
    <w:rsid w:val="00036422"/>
    <w:rsid w:val="00036517"/>
    <w:rsid w:val="00036719"/>
    <w:rsid w:val="0003732E"/>
    <w:rsid w:val="00037432"/>
    <w:rsid w:val="000376E6"/>
    <w:rsid w:val="000377E1"/>
    <w:rsid w:val="00037AF0"/>
    <w:rsid w:val="00037F4C"/>
    <w:rsid w:val="000402B0"/>
    <w:rsid w:val="000406AC"/>
    <w:rsid w:val="0004083A"/>
    <w:rsid w:val="00040A90"/>
    <w:rsid w:val="00040A9B"/>
    <w:rsid w:val="00040EAC"/>
    <w:rsid w:val="00040EE8"/>
    <w:rsid w:val="00040F1D"/>
    <w:rsid w:val="0004164E"/>
    <w:rsid w:val="000419C3"/>
    <w:rsid w:val="00041A02"/>
    <w:rsid w:val="00042092"/>
    <w:rsid w:val="00042BF4"/>
    <w:rsid w:val="0004315A"/>
    <w:rsid w:val="000431F1"/>
    <w:rsid w:val="00043808"/>
    <w:rsid w:val="00043D36"/>
    <w:rsid w:val="00043D91"/>
    <w:rsid w:val="00043F00"/>
    <w:rsid w:val="00044223"/>
    <w:rsid w:val="000442FA"/>
    <w:rsid w:val="0004461F"/>
    <w:rsid w:val="00044860"/>
    <w:rsid w:val="00044A59"/>
    <w:rsid w:val="00045103"/>
    <w:rsid w:val="00045A54"/>
    <w:rsid w:val="00045ABF"/>
    <w:rsid w:val="00045B36"/>
    <w:rsid w:val="00046089"/>
    <w:rsid w:val="000464FC"/>
    <w:rsid w:val="0004695C"/>
    <w:rsid w:val="000476D0"/>
    <w:rsid w:val="00047B86"/>
    <w:rsid w:val="00047CC8"/>
    <w:rsid w:val="00050236"/>
    <w:rsid w:val="000503BF"/>
    <w:rsid w:val="000504D8"/>
    <w:rsid w:val="00050682"/>
    <w:rsid w:val="000507CF"/>
    <w:rsid w:val="00050B65"/>
    <w:rsid w:val="0005132B"/>
    <w:rsid w:val="00051A61"/>
    <w:rsid w:val="00051DE6"/>
    <w:rsid w:val="00051E8E"/>
    <w:rsid w:val="00051EDC"/>
    <w:rsid w:val="00052022"/>
    <w:rsid w:val="00052050"/>
    <w:rsid w:val="0005207C"/>
    <w:rsid w:val="00052182"/>
    <w:rsid w:val="000523BF"/>
    <w:rsid w:val="00052E53"/>
    <w:rsid w:val="00053184"/>
    <w:rsid w:val="00053B77"/>
    <w:rsid w:val="00053F32"/>
    <w:rsid w:val="00054019"/>
    <w:rsid w:val="00054339"/>
    <w:rsid w:val="000548B4"/>
    <w:rsid w:val="00054A07"/>
    <w:rsid w:val="000552BA"/>
    <w:rsid w:val="00055639"/>
    <w:rsid w:val="0005578D"/>
    <w:rsid w:val="00055C88"/>
    <w:rsid w:val="00055CBD"/>
    <w:rsid w:val="0005699D"/>
    <w:rsid w:val="000577BC"/>
    <w:rsid w:val="00057A04"/>
    <w:rsid w:val="00057F78"/>
    <w:rsid w:val="00060287"/>
    <w:rsid w:val="000607D3"/>
    <w:rsid w:val="000609AC"/>
    <w:rsid w:val="00060B65"/>
    <w:rsid w:val="00060C8C"/>
    <w:rsid w:val="00060CFA"/>
    <w:rsid w:val="000618DA"/>
    <w:rsid w:val="00061AC5"/>
    <w:rsid w:val="00061FB3"/>
    <w:rsid w:val="00062369"/>
    <w:rsid w:val="00062C74"/>
    <w:rsid w:val="00062CD4"/>
    <w:rsid w:val="00062D37"/>
    <w:rsid w:val="00062FB9"/>
    <w:rsid w:val="00063A2E"/>
    <w:rsid w:val="00063ABD"/>
    <w:rsid w:val="0006476B"/>
    <w:rsid w:val="00064939"/>
    <w:rsid w:val="00064F09"/>
    <w:rsid w:val="000652D8"/>
    <w:rsid w:val="000656C0"/>
    <w:rsid w:val="00065736"/>
    <w:rsid w:val="00065838"/>
    <w:rsid w:val="00065951"/>
    <w:rsid w:val="00065A5D"/>
    <w:rsid w:val="00065EF8"/>
    <w:rsid w:val="00066297"/>
    <w:rsid w:val="0006631B"/>
    <w:rsid w:val="00066470"/>
    <w:rsid w:val="00066550"/>
    <w:rsid w:val="0006694A"/>
    <w:rsid w:val="00066A79"/>
    <w:rsid w:val="00066BB7"/>
    <w:rsid w:val="00066F32"/>
    <w:rsid w:val="00067344"/>
    <w:rsid w:val="00067514"/>
    <w:rsid w:val="00067563"/>
    <w:rsid w:val="00067AC4"/>
    <w:rsid w:val="00067B9C"/>
    <w:rsid w:val="00067E10"/>
    <w:rsid w:val="0007019F"/>
    <w:rsid w:val="00070E0F"/>
    <w:rsid w:val="00070E15"/>
    <w:rsid w:val="00070F4B"/>
    <w:rsid w:val="00070FB5"/>
    <w:rsid w:val="0007108A"/>
    <w:rsid w:val="00071861"/>
    <w:rsid w:val="00071C33"/>
    <w:rsid w:val="00072728"/>
    <w:rsid w:val="000727A5"/>
    <w:rsid w:val="0007286F"/>
    <w:rsid w:val="00072BAD"/>
    <w:rsid w:val="00073030"/>
    <w:rsid w:val="00073418"/>
    <w:rsid w:val="00073963"/>
    <w:rsid w:val="00074128"/>
    <w:rsid w:val="0007441D"/>
    <w:rsid w:val="0007525E"/>
    <w:rsid w:val="00075865"/>
    <w:rsid w:val="00075B16"/>
    <w:rsid w:val="00075C44"/>
    <w:rsid w:val="000761E4"/>
    <w:rsid w:val="00076354"/>
    <w:rsid w:val="0007652C"/>
    <w:rsid w:val="0007660B"/>
    <w:rsid w:val="00076E46"/>
    <w:rsid w:val="00077544"/>
    <w:rsid w:val="00077B9F"/>
    <w:rsid w:val="00077C72"/>
    <w:rsid w:val="00080538"/>
    <w:rsid w:val="000806FA"/>
    <w:rsid w:val="000809D3"/>
    <w:rsid w:val="00080A3A"/>
    <w:rsid w:val="00080CDB"/>
    <w:rsid w:val="00080F65"/>
    <w:rsid w:val="00081039"/>
    <w:rsid w:val="00081055"/>
    <w:rsid w:val="0008148A"/>
    <w:rsid w:val="00081899"/>
    <w:rsid w:val="000819B7"/>
    <w:rsid w:val="00081D78"/>
    <w:rsid w:val="00081DB1"/>
    <w:rsid w:val="00082400"/>
    <w:rsid w:val="000824DB"/>
    <w:rsid w:val="000829D1"/>
    <w:rsid w:val="00082BE9"/>
    <w:rsid w:val="0008310B"/>
    <w:rsid w:val="000831E7"/>
    <w:rsid w:val="000834F5"/>
    <w:rsid w:val="00083784"/>
    <w:rsid w:val="000837FD"/>
    <w:rsid w:val="00083900"/>
    <w:rsid w:val="00083A56"/>
    <w:rsid w:val="00083DCE"/>
    <w:rsid w:val="00083E3D"/>
    <w:rsid w:val="00083E46"/>
    <w:rsid w:val="00084DDF"/>
    <w:rsid w:val="00084E73"/>
    <w:rsid w:val="000850A5"/>
    <w:rsid w:val="00085577"/>
    <w:rsid w:val="000856AB"/>
    <w:rsid w:val="00085965"/>
    <w:rsid w:val="00085A5F"/>
    <w:rsid w:val="00085EC8"/>
    <w:rsid w:val="00086177"/>
    <w:rsid w:val="000864F2"/>
    <w:rsid w:val="00086548"/>
    <w:rsid w:val="000867E6"/>
    <w:rsid w:val="000867E8"/>
    <w:rsid w:val="00086AB1"/>
    <w:rsid w:val="00086E9E"/>
    <w:rsid w:val="00087704"/>
    <w:rsid w:val="00087BA3"/>
    <w:rsid w:val="00087EC6"/>
    <w:rsid w:val="00087EED"/>
    <w:rsid w:val="000900B7"/>
    <w:rsid w:val="00090251"/>
    <w:rsid w:val="000905E4"/>
    <w:rsid w:val="00090D33"/>
    <w:rsid w:val="000911BB"/>
    <w:rsid w:val="00091B95"/>
    <w:rsid w:val="00091D16"/>
    <w:rsid w:val="00091ED3"/>
    <w:rsid w:val="00092115"/>
    <w:rsid w:val="00092177"/>
    <w:rsid w:val="000923E7"/>
    <w:rsid w:val="000924D6"/>
    <w:rsid w:val="000934BF"/>
    <w:rsid w:val="000936E2"/>
    <w:rsid w:val="0009394C"/>
    <w:rsid w:val="00094140"/>
    <w:rsid w:val="00094363"/>
    <w:rsid w:val="000943CD"/>
    <w:rsid w:val="0009447D"/>
    <w:rsid w:val="000945E2"/>
    <w:rsid w:val="000948F3"/>
    <w:rsid w:val="00094CF8"/>
    <w:rsid w:val="0009535D"/>
    <w:rsid w:val="00095693"/>
    <w:rsid w:val="00095AA0"/>
    <w:rsid w:val="00095FDD"/>
    <w:rsid w:val="000969F3"/>
    <w:rsid w:val="00096C51"/>
    <w:rsid w:val="00096D41"/>
    <w:rsid w:val="00096D52"/>
    <w:rsid w:val="000977EE"/>
    <w:rsid w:val="00097A6E"/>
    <w:rsid w:val="00097E01"/>
    <w:rsid w:val="000A0431"/>
    <w:rsid w:val="000A05BE"/>
    <w:rsid w:val="000A0BB2"/>
    <w:rsid w:val="000A0F2B"/>
    <w:rsid w:val="000A0FFC"/>
    <w:rsid w:val="000A1A81"/>
    <w:rsid w:val="000A225B"/>
    <w:rsid w:val="000A249E"/>
    <w:rsid w:val="000A26F9"/>
    <w:rsid w:val="000A2C56"/>
    <w:rsid w:val="000A2CD3"/>
    <w:rsid w:val="000A2E79"/>
    <w:rsid w:val="000A2EFD"/>
    <w:rsid w:val="000A2F96"/>
    <w:rsid w:val="000A32F1"/>
    <w:rsid w:val="000A34F5"/>
    <w:rsid w:val="000A39CF"/>
    <w:rsid w:val="000A40DC"/>
    <w:rsid w:val="000A42AB"/>
    <w:rsid w:val="000A4A8D"/>
    <w:rsid w:val="000A532D"/>
    <w:rsid w:val="000A55FD"/>
    <w:rsid w:val="000A5865"/>
    <w:rsid w:val="000A5E1A"/>
    <w:rsid w:val="000A5E7D"/>
    <w:rsid w:val="000A630D"/>
    <w:rsid w:val="000A66F7"/>
    <w:rsid w:val="000A6D6B"/>
    <w:rsid w:val="000A6DE4"/>
    <w:rsid w:val="000A712B"/>
    <w:rsid w:val="000A717D"/>
    <w:rsid w:val="000B0139"/>
    <w:rsid w:val="000B01FA"/>
    <w:rsid w:val="000B0604"/>
    <w:rsid w:val="000B0765"/>
    <w:rsid w:val="000B0A12"/>
    <w:rsid w:val="000B0E0A"/>
    <w:rsid w:val="000B1099"/>
    <w:rsid w:val="000B11B6"/>
    <w:rsid w:val="000B1291"/>
    <w:rsid w:val="000B1344"/>
    <w:rsid w:val="000B19F0"/>
    <w:rsid w:val="000B19F3"/>
    <w:rsid w:val="000B1BB2"/>
    <w:rsid w:val="000B1E07"/>
    <w:rsid w:val="000B1EA8"/>
    <w:rsid w:val="000B21F4"/>
    <w:rsid w:val="000B257D"/>
    <w:rsid w:val="000B2872"/>
    <w:rsid w:val="000B2EEF"/>
    <w:rsid w:val="000B3AAF"/>
    <w:rsid w:val="000B3ABC"/>
    <w:rsid w:val="000B3F7F"/>
    <w:rsid w:val="000B4086"/>
    <w:rsid w:val="000B4EDB"/>
    <w:rsid w:val="000B525E"/>
    <w:rsid w:val="000B532B"/>
    <w:rsid w:val="000B593A"/>
    <w:rsid w:val="000B5996"/>
    <w:rsid w:val="000B5C41"/>
    <w:rsid w:val="000B5FC4"/>
    <w:rsid w:val="000B61BB"/>
    <w:rsid w:val="000B61BE"/>
    <w:rsid w:val="000B69BE"/>
    <w:rsid w:val="000B6A23"/>
    <w:rsid w:val="000B7272"/>
    <w:rsid w:val="000B727B"/>
    <w:rsid w:val="000B738B"/>
    <w:rsid w:val="000B798F"/>
    <w:rsid w:val="000B7E81"/>
    <w:rsid w:val="000C00FF"/>
    <w:rsid w:val="000C02BF"/>
    <w:rsid w:val="000C0401"/>
    <w:rsid w:val="000C0517"/>
    <w:rsid w:val="000C0684"/>
    <w:rsid w:val="000C0E4E"/>
    <w:rsid w:val="000C0F3F"/>
    <w:rsid w:val="000C1127"/>
    <w:rsid w:val="000C1D58"/>
    <w:rsid w:val="000C1F6F"/>
    <w:rsid w:val="000C23F0"/>
    <w:rsid w:val="000C24C2"/>
    <w:rsid w:val="000C263D"/>
    <w:rsid w:val="000C2A22"/>
    <w:rsid w:val="000C2A6C"/>
    <w:rsid w:val="000C37FF"/>
    <w:rsid w:val="000C3F01"/>
    <w:rsid w:val="000C4068"/>
    <w:rsid w:val="000C412B"/>
    <w:rsid w:val="000C432A"/>
    <w:rsid w:val="000C4412"/>
    <w:rsid w:val="000C4D08"/>
    <w:rsid w:val="000C5310"/>
    <w:rsid w:val="000C562D"/>
    <w:rsid w:val="000C57EC"/>
    <w:rsid w:val="000C5826"/>
    <w:rsid w:val="000C5886"/>
    <w:rsid w:val="000C632B"/>
    <w:rsid w:val="000C649C"/>
    <w:rsid w:val="000C67F6"/>
    <w:rsid w:val="000C6804"/>
    <w:rsid w:val="000C6808"/>
    <w:rsid w:val="000C6A40"/>
    <w:rsid w:val="000C7139"/>
    <w:rsid w:val="000C7625"/>
    <w:rsid w:val="000C79DB"/>
    <w:rsid w:val="000C7A38"/>
    <w:rsid w:val="000D0360"/>
    <w:rsid w:val="000D0993"/>
    <w:rsid w:val="000D0B36"/>
    <w:rsid w:val="000D0BC1"/>
    <w:rsid w:val="000D0C59"/>
    <w:rsid w:val="000D0D66"/>
    <w:rsid w:val="000D0DC3"/>
    <w:rsid w:val="000D11C0"/>
    <w:rsid w:val="000D1357"/>
    <w:rsid w:val="000D144B"/>
    <w:rsid w:val="000D18B7"/>
    <w:rsid w:val="000D1E1D"/>
    <w:rsid w:val="000D1F1C"/>
    <w:rsid w:val="000D203E"/>
    <w:rsid w:val="000D2303"/>
    <w:rsid w:val="000D2485"/>
    <w:rsid w:val="000D2544"/>
    <w:rsid w:val="000D26D1"/>
    <w:rsid w:val="000D2766"/>
    <w:rsid w:val="000D284B"/>
    <w:rsid w:val="000D2A6D"/>
    <w:rsid w:val="000D2B0D"/>
    <w:rsid w:val="000D2DFC"/>
    <w:rsid w:val="000D35A1"/>
    <w:rsid w:val="000D3AA1"/>
    <w:rsid w:val="000D4C56"/>
    <w:rsid w:val="000D515A"/>
    <w:rsid w:val="000D576C"/>
    <w:rsid w:val="000D5930"/>
    <w:rsid w:val="000D5D4A"/>
    <w:rsid w:val="000D5D79"/>
    <w:rsid w:val="000D62A9"/>
    <w:rsid w:val="000D664F"/>
    <w:rsid w:val="000D673D"/>
    <w:rsid w:val="000D67E8"/>
    <w:rsid w:val="000D68E2"/>
    <w:rsid w:val="000D6FEC"/>
    <w:rsid w:val="000D71E7"/>
    <w:rsid w:val="000D7312"/>
    <w:rsid w:val="000D7D85"/>
    <w:rsid w:val="000D7FEC"/>
    <w:rsid w:val="000E0649"/>
    <w:rsid w:val="000E0CB0"/>
    <w:rsid w:val="000E0E71"/>
    <w:rsid w:val="000E1320"/>
    <w:rsid w:val="000E1375"/>
    <w:rsid w:val="000E185A"/>
    <w:rsid w:val="000E1D45"/>
    <w:rsid w:val="000E1E94"/>
    <w:rsid w:val="000E1F0F"/>
    <w:rsid w:val="000E266F"/>
    <w:rsid w:val="000E26C0"/>
    <w:rsid w:val="000E29A5"/>
    <w:rsid w:val="000E3293"/>
    <w:rsid w:val="000E33B8"/>
    <w:rsid w:val="000E3455"/>
    <w:rsid w:val="000E39F6"/>
    <w:rsid w:val="000E3A1B"/>
    <w:rsid w:val="000E3A4F"/>
    <w:rsid w:val="000E3C9D"/>
    <w:rsid w:val="000E3F5D"/>
    <w:rsid w:val="000E49A0"/>
    <w:rsid w:val="000E5070"/>
    <w:rsid w:val="000E531C"/>
    <w:rsid w:val="000E55F2"/>
    <w:rsid w:val="000E5C0B"/>
    <w:rsid w:val="000E7031"/>
    <w:rsid w:val="000E705D"/>
    <w:rsid w:val="000E7C40"/>
    <w:rsid w:val="000E7C54"/>
    <w:rsid w:val="000F0004"/>
    <w:rsid w:val="000F0586"/>
    <w:rsid w:val="000F0801"/>
    <w:rsid w:val="000F08C0"/>
    <w:rsid w:val="000F08E6"/>
    <w:rsid w:val="000F0E18"/>
    <w:rsid w:val="000F12A2"/>
    <w:rsid w:val="000F2673"/>
    <w:rsid w:val="000F276F"/>
    <w:rsid w:val="000F2D9A"/>
    <w:rsid w:val="000F414E"/>
    <w:rsid w:val="000F42D6"/>
    <w:rsid w:val="000F470E"/>
    <w:rsid w:val="000F523B"/>
    <w:rsid w:val="000F5442"/>
    <w:rsid w:val="000F54A0"/>
    <w:rsid w:val="000F54C2"/>
    <w:rsid w:val="000F5B4D"/>
    <w:rsid w:val="000F5B59"/>
    <w:rsid w:val="000F60E2"/>
    <w:rsid w:val="000F6CAB"/>
    <w:rsid w:val="000F6EF8"/>
    <w:rsid w:val="000F706C"/>
    <w:rsid w:val="000F7777"/>
    <w:rsid w:val="000F7D34"/>
    <w:rsid w:val="001004C4"/>
    <w:rsid w:val="00100689"/>
    <w:rsid w:val="00100C3C"/>
    <w:rsid w:val="00101229"/>
    <w:rsid w:val="00101819"/>
    <w:rsid w:val="00101F11"/>
    <w:rsid w:val="00102046"/>
    <w:rsid w:val="001021FF"/>
    <w:rsid w:val="001027D7"/>
    <w:rsid w:val="001027E2"/>
    <w:rsid w:val="0010326C"/>
    <w:rsid w:val="00103309"/>
    <w:rsid w:val="00103799"/>
    <w:rsid w:val="00103ACC"/>
    <w:rsid w:val="00103F31"/>
    <w:rsid w:val="00103FC1"/>
    <w:rsid w:val="0010418C"/>
    <w:rsid w:val="00104649"/>
    <w:rsid w:val="001048DC"/>
    <w:rsid w:val="0010573A"/>
    <w:rsid w:val="001058C5"/>
    <w:rsid w:val="00105C27"/>
    <w:rsid w:val="00105C83"/>
    <w:rsid w:val="00105FC8"/>
    <w:rsid w:val="00106163"/>
    <w:rsid w:val="001069C6"/>
    <w:rsid w:val="00106BEA"/>
    <w:rsid w:val="001070EE"/>
    <w:rsid w:val="00107272"/>
    <w:rsid w:val="00107431"/>
    <w:rsid w:val="00107D06"/>
    <w:rsid w:val="001100ED"/>
    <w:rsid w:val="00110538"/>
    <w:rsid w:val="001106C2"/>
    <w:rsid w:val="00110985"/>
    <w:rsid w:val="001109C7"/>
    <w:rsid w:val="00110F15"/>
    <w:rsid w:val="0011147A"/>
    <w:rsid w:val="001116BC"/>
    <w:rsid w:val="00111B80"/>
    <w:rsid w:val="00111BEA"/>
    <w:rsid w:val="00112052"/>
    <w:rsid w:val="001126E3"/>
    <w:rsid w:val="00112ABD"/>
    <w:rsid w:val="00112CF9"/>
    <w:rsid w:val="00112EAD"/>
    <w:rsid w:val="00113171"/>
    <w:rsid w:val="0011330A"/>
    <w:rsid w:val="00113647"/>
    <w:rsid w:val="00113D12"/>
    <w:rsid w:val="00114215"/>
    <w:rsid w:val="0011430F"/>
    <w:rsid w:val="00114525"/>
    <w:rsid w:val="0011472C"/>
    <w:rsid w:val="001149E6"/>
    <w:rsid w:val="001149F1"/>
    <w:rsid w:val="00114DB5"/>
    <w:rsid w:val="00114FB1"/>
    <w:rsid w:val="00115151"/>
    <w:rsid w:val="001156F1"/>
    <w:rsid w:val="001158AF"/>
    <w:rsid w:val="00115BCF"/>
    <w:rsid w:val="00115BF1"/>
    <w:rsid w:val="00115C3E"/>
    <w:rsid w:val="0011620F"/>
    <w:rsid w:val="00116424"/>
    <w:rsid w:val="0011673A"/>
    <w:rsid w:val="00116E0B"/>
    <w:rsid w:val="00116F21"/>
    <w:rsid w:val="00116F6D"/>
    <w:rsid w:val="0011705E"/>
    <w:rsid w:val="0011719A"/>
    <w:rsid w:val="001172B2"/>
    <w:rsid w:val="001173F6"/>
    <w:rsid w:val="0011775E"/>
    <w:rsid w:val="00117A40"/>
    <w:rsid w:val="00117B76"/>
    <w:rsid w:val="00117B97"/>
    <w:rsid w:val="00120438"/>
    <w:rsid w:val="0012048A"/>
    <w:rsid w:val="0012059C"/>
    <w:rsid w:val="00120C1F"/>
    <w:rsid w:val="00120D91"/>
    <w:rsid w:val="00121020"/>
    <w:rsid w:val="00121094"/>
    <w:rsid w:val="001213BD"/>
    <w:rsid w:val="0012152C"/>
    <w:rsid w:val="00121A0A"/>
    <w:rsid w:val="00121B40"/>
    <w:rsid w:val="00121B45"/>
    <w:rsid w:val="00121C6D"/>
    <w:rsid w:val="00121CB7"/>
    <w:rsid w:val="00121F9A"/>
    <w:rsid w:val="0012218B"/>
    <w:rsid w:val="00122297"/>
    <w:rsid w:val="001227D5"/>
    <w:rsid w:val="00122AA8"/>
    <w:rsid w:val="00122AC5"/>
    <w:rsid w:val="00122C24"/>
    <w:rsid w:val="00122C97"/>
    <w:rsid w:val="00123110"/>
    <w:rsid w:val="0012350A"/>
    <w:rsid w:val="00123518"/>
    <w:rsid w:val="001235ED"/>
    <w:rsid w:val="0012376E"/>
    <w:rsid w:val="00123B52"/>
    <w:rsid w:val="00123CA2"/>
    <w:rsid w:val="00124017"/>
    <w:rsid w:val="00124456"/>
    <w:rsid w:val="00124790"/>
    <w:rsid w:val="00124862"/>
    <w:rsid w:val="00124BF5"/>
    <w:rsid w:val="00124E64"/>
    <w:rsid w:val="001253FE"/>
    <w:rsid w:val="00125641"/>
    <w:rsid w:val="001256E3"/>
    <w:rsid w:val="00125810"/>
    <w:rsid w:val="00125954"/>
    <w:rsid w:val="00125A9B"/>
    <w:rsid w:val="00125C23"/>
    <w:rsid w:val="00125D04"/>
    <w:rsid w:val="00126028"/>
    <w:rsid w:val="001260C8"/>
    <w:rsid w:val="00126705"/>
    <w:rsid w:val="00126DBD"/>
    <w:rsid w:val="00126EEF"/>
    <w:rsid w:val="00127104"/>
    <w:rsid w:val="0012739D"/>
    <w:rsid w:val="00127583"/>
    <w:rsid w:val="00127649"/>
    <w:rsid w:val="001278DF"/>
    <w:rsid w:val="00127B2B"/>
    <w:rsid w:val="00127DF5"/>
    <w:rsid w:val="00127E6F"/>
    <w:rsid w:val="0013030B"/>
    <w:rsid w:val="001307A7"/>
    <w:rsid w:val="00130D21"/>
    <w:rsid w:val="00131086"/>
    <w:rsid w:val="00131761"/>
    <w:rsid w:val="0013197A"/>
    <w:rsid w:val="001322F9"/>
    <w:rsid w:val="001325E1"/>
    <w:rsid w:val="00132744"/>
    <w:rsid w:val="00132771"/>
    <w:rsid w:val="00132773"/>
    <w:rsid w:val="00132D49"/>
    <w:rsid w:val="00132F33"/>
    <w:rsid w:val="00133111"/>
    <w:rsid w:val="00133346"/>
    <w:rsid w:val="00133A70"/>
    <w:rsid w:val="00133D25"/>
    <w:rsid w:val="00133F68"/>
    <w:rsid w:val="001350B9"/>
    <w:rsid w:val="001355A2"/>
    <w:rsid w:val="00135E1C"/>
    <w:rsid w:val="0013635F"/>
    <w:rsid w:val="001364CE"/>
    <w:rsid w:val="001365B9"/>
    <w:rsid w:val="001368A6"/>
    <w:rsid w:val="00136E4E"/>
    <w:rsid w:val="00136F5E"/>
    <w:rsid w:val="00137702"/>
    <w:rsid w:val="0013781F"/>
    <w:rsid w:val="001379BC"/>
    <w:rsid w:val="00137CDA"/>
    <w:rsid w:val="0014029A"/>
    <w:rsid w:val="0014054F"/>
    <w:rsid w:val="00140875"/>
    <w:rsid w:val="00142086"/>
    <w:rsid w:val="00142CA1"/>
    <w:rsid w:val="00142E2B"/>
    <w:rsid w:val="00142FDC"/>
    <w:rsid w:val="00142FF7"/>
    <w:rsid w:val="0014305D"/>
    <w:rsid w:val="001431D5"/>
    <w:rsid w:val="0014327F"/>
    <w:rsid w:val="001435D4"/>
    <w:rsid w:val="001436C6"/>
    <w:rsid w:val="001437E8"/>
    <w:rsid w:val="0014386B"/>
    <w:rsid w:val="0014435D"/>
    <w:rsid w:val="001443FA"/>
    <w:rsid w:val="0014461C"/>
    <w:rsid w:val="00144753"/>
    <w:rsid w:val="00144B43"/>
    <w:rsid w:val="00144E6F"/>
    <w:rsid w:val="00145955"/>
    <w:rsid w:val="00146420"/>
    <w:rsid w:val="001464EF"/>
    <w:rsid w:val="001464FF"/>
    <w:rsid w:val="00146EC2"/>
    <w:rsid w:val="0014770F"/>
    <w:rsid w:val="0014775C"/>
    <w:rsid w:val="00147B16"/>
    <w:rsid w:val="00147F42"/>
    <w:rsid w:val="001509B9"/>
    <w:rsid w:val="00150D6A"/>
    <w:rsid w:val="00151044"/>
    <w:rsid w:val="0015169B"/>
    <w:rsid w:val="00151884"/>
    <w:rsid w:val="00151955"/>
    <w:rsid w:val="00151A27"/>
    <w:rsid w:val="00151C1A"/>
    <w:rsid w:val="001525C1"/>
    <w:rsid w:val="00152D66"/>
    <w:rsid w:val="00152FFB"/>
    <w:rsid w:val="00153169"/>
    <w:rsid w:val="001531B2"/>
    <w:rsid w:val="001532B5"/>
    <w:rsid w:val="0015348E"/>
    <w:rsid w:val="00153497"/>
    <w:rsid w:val="00154063"/>
    <w:rsid w:val="001546C5"/>
    <w:rsid w:val="00154792"/>
    <w:rsid w:val="00154812"/>
    <w:rsid w:val="00154C2F"/>
    <w:rsid w:val="00154E92"/>
    <w:rsid w:val="00154F14"/>
    <w:rsid w:val="001551C4"/>
    <w:rsid w:val="001557FC"/>
    <w:rsid w:val="00155E78"/>
    <w:rsid w:val="00156516"/>
    <w:rsid w:val="0015677E"/>
    <w:rsid w:val="00156BFC"/>
    <w:rsid w:val="001570D6"/>
    <w:rsid w:val="00157426"/>
    <w:rsid w:val="00157A07"/>
    <w:rsid w:val="00157B6C"/>
    <w:rsid w:val="00157E88"/>
    <w:rsid w:val="001602EA"/>
    <w:rsid w:val="001604D3"/>
    <w:rsid w:val="00160701"/>
    <w:rsid w:val="00160704"/>
    <w:rsid w:val="00160B36"/>
    <w:rsid w:val="00160C7A"/>
    <w:rsid w:val="00160CD7"/>
    <w:rsid w:val="00160F77"/>
    <w:rsid w:val="0016123A"/>
    <w:rsid w:val="00161A66"/>
    <w:rsid w:val="00161B8E"/>
    <w:rsid w:val="001620D6"/>
    <w:rsid w:val="001624E4"/>
    <w:rsid w:val="00162876"/>
    <w:rsid w:val="00162B6D"/>
    <w:rsid w:val="00162CFB"/>
    <w:rsid w:val="00162DCF"/>
    <w:rsid w:val="00163081"/>
    <w:rsid w:val="001638ED"/>
    <w:rsid w:val="00163A98"/>
    <w:rsid w:val="00163CCA"/>
    <w:rsid w:val="0016452E"/>
    <w:rsid w:val="00165054"/>
    <w:rsid w:val="001651E9"/>
    <w:rsid w:val="0016541E"/>
    <w:rsid w:val="001654E6"/>
    <w:rsid w:val="001654FC"/>
    <w:rsid w:val="0016554E"/>
    <w:rsid w:val="00165980"/>
    <w:rsid w:val="00165A16"/>
    <w:rsid w:val="00165C92"/>
    <w:rsid w:val="00165D43"/>
    <w:rsid w:val="001660A6"/>
    <w:rsid w:val="00166115"/>
    <w:rsid w:val="00166499"/>
    <w:rsid w:val="001667E4"/>
    <w:rsid w:val="001669BC"/>
    <w:rsid w:val="00166F9B"/>
    <w:rsid w:val="0016746F"/>
    <w:rsid w:val="001676F4"/>
    <w:rsid w:val="00167780"/>
    <w:rsid w:val="00167C0D"/>
    <w:rsid w:val="00171379"/>
    <w:rsid w:val="0017176D"/>
    <w:rsid w:val="001719D0"/>
    <w:rsid w:val="00172597"/>
    <w:rsid w:val="00172887"/>
    <w:rsid w:val="001728C9"/>
    <w:rsid w:val="00172A78"/>
    <w:rsid w:val="00172E71"/>
    <w:rsid w:val="00173CED"/>
    <w:rsid w:val="00173D49"/>
    <w:rsid w:val="00173E6D"/>
    <w:rsid w:val="00173F02"/>
    <w:rsid w:val="00174908"/>
    <w:rsid w:val="00174BD2"/>
    <w:rsid w:val="001752E7"/>
    <w:rsid w:val="00175310"/>
    <w:rsid w:val="00175740"/>
    <w:rsid w:val="00175831"/>
    <w:rsid w:val="0017634C"/>
    <w:rsid w:val="001766D9"/>
    <w:rsid w:val="00176874"/>
    <w:rsid w:val="001769FE"/>
    <w:rsid w:val="00176BF9"/>
    <w:rsid w:val="00176C03"/>
    <w:rsid w:val="00176DA0"/>
    <w:rsid w:val="00176E99"/>
    <w:rsid w:val="00177362"/>
    <w:rsid w:val="0017756A"/>
    <w:rsid w:val="0017790C"/>
    <w:rsid w:val="00177B58"/>
    <w:rsid w:val="00180026"/>
    <w:rsid w:val="001801A8"/>
    <w:rsid w:val="00180CCC"/>
    <w:rsid w:val="00180CD2"/>
    <w:rsid w:val="00180D49"/>
    <w:rsid w:val="00180D91"/>
    <w:rsid w:val="00181D48"/>
    <w:rsid w:val="0018265E"/>
    <w:rsid w:val="00182764"/>
    <w:rsid w:val="00182BC2"/>
    <w:rsid w:val="00183631"/>
    <w:rsid w:val="00183B99"/>
    <w:rsid w:val="00183C96"/>
    <w:rsid w:val="00183DA8"/>
    <w:rsid w:val="001840AF"/>
    <w:rsid w:val="00184418"/>
    <w:rsid w:val="001844D1"/>
    <w:rsid w:val="001848BD"/>
    <w:rsid w:val="00185817"/>
    <w:rsid w:val="00185B00"/>
    <w:rsid w:val="00185E33"/>
    <w:rsid w:val="00185F17"/>
    <w:rsid w:val="0018603F"/>
    <w:rsid w:val="00186844"/>
    <w:rsid w:val="00186B7E"/>
    <w:rsid w:val="00187005"/>
    <w:rsid w:val="00187213"/>
    <w:rsid w:val="00187707"/>
    <w:rsid w:val="0018796D"/>
    <w:rsid w:val="00187DA4"/>
    <w:rsid w:val="00187F3B"/>
    <w:rsid w:val="00187FE1"/>
    <w:rsid w:val="0019005A"/>
    <w:rsid w:val="0019029C"/>
    <w:rsid w:val="00190624"/>
    <w:rsid w:val="001908EB"/>
    <w:rsid w:val="00190D69"/>
    <w:rsid w:val="0019146D"/>
    <w:rsid w:val="001918D6"/>
    <w:rsid w:val="00191F9B"/>
    <w:rsid w:val="001920CC"/>
    <w:rsid w:val="00192171"/>
    <w:rsid w:val="00192957"/>
    <w:rsid w:val="001929B4"/>
    <w:rsid w:val="00192F53"/>
    <w:rsid w:val="00193968"/>
    <w:rsid w:val="00193A18"/>
    <w:rsid w:val="00193B53"/>
    <w:rsid w:val="00193CFB"/>
    <w:rsid w:val="001943C5"/>
    <w:rsid w:val="00194750"/>
    <w:rsid w:val="00194773"/>
    <w:rsid w:val="0019499A"/>
    <w:rsid w:val="001949F7"/>
    <w:rsid w:val="00194B8F"/>
    <w:rsid w:val="00194F6D"/>
    <w:rsid w:val="0019584C"/>
    <w:rsid w:val="00195999"/>
    <w:rsid w:val="00195B34"/>
    <w:rsid w:val="001961EC"/>
    <w:rsid w:val="00196300"/>
    <w:rsid w:val="0019630A"/>
    <w:rsid w:val="001967DD"/>
    <w:rsid w:val="0019693E"/>
    <w:rsid w:val="00197448"/>
    <w:rsid w:val="001976F3"/>
    <w:rsid w:val="00197772"/>
    <w:rsid w:val="00197777"/>
    <w:rsid w:val="001A0F1B"/>
    <w:rsid w:val="001A1B8C"/>
    <w:rsid w:val="001A1E15"/>
    <w:rsid w:val="001A1F2F"/>
    <w:rsid w:val="001A210F"/>
    <w:rsid w:val="001A2317"/>
    <w:rsid w:val="001A2611"/>
    <w:rsid w:val="001A283B"/>
    <w:rsid w:val="001A291D"/>
    <w:rsid w:val="001A2AFE"/>
    <w:rsid w:val="001A2C8F"/>
    <w:rsid w:val="001A2F8E"/>
    <w:rsid w:val="001A32F8"/>
    <w:rsid w:val="001A3671"/>
    <w:rsid w:val="001A3CD7"/>
    <w:rsid w:val="001A3CFC"/>
    <w:rsid w:val="001A4336"/>
    <w:rsid w:val="001A44C8"/>
    <w:rsid w:val="001A485F"/>
    <w:rsid w:val="001A4E7A"/>
    <w:rsid w:val="001A5242"/>
    <w:rsid w:val="001A5656"/>
    <w:rsid w:val="001A5D8D"/>
    <w:rsid w:val="001A5DB2"/>
    <w:rsid w:val="001A6163"/>
    <w:rsid w:val="001A630A"/>
    <w:rsid w:val="001A6920"/>
    <w:rsid w:val="001A742A"/>
    <w:rsid w:val="001A78AF"/>
    <w:rsid w:val="001A7ECF"/>
    <w:rsid w:val="001B0245"/>
    <w:rsid w:val="001B0518"/>
    <w:rsid w:val="001B0718"/>
    <w:rsid w:val="001B096F"/>
    <w:rsid w:val="001B0FFF"/>
    <w:rsid w:val="001B113D"/>
    <w:rsid w:val="001B122C"/>
    <w:rsid w:val="001B1461"/>
    <w:rsid w:val="001B1508"/>
    <w:rsid w:val="001B15F2"/>
    <w:rsid w:val="001B1C2A"/>
    <w:rsid w:val="001B1F13"/>
    <w:rsid w:val="001B1F37"/>
    <w:rsid w:val="001B23E7"/>
    <w:rsid w:val="001B2743"/>
    <w:rsid w:val="001B2AA2"/>
    <w:rsid w:val="001B2D79"/>
    <w:rsid w:val="001B3089"/>
    <w:rsid w:val="001B32EA"/>
    <w:rsid w:val="001B3B80"/>
    <w:rsid w:val="001B3FAF"/>
    <w:rsid w:val="001B4176"/>
    <w:rsid w:val="001B431B"/>
    <w:rsid w:val="001B4519"/>
    <w:rsid w:val="001B4582"/>
    <w:rsid w:val="001B4C4F"/>
    <w:rsid w:val="001B4D71"/>
    <w:rsid w:val="001B503D"/>
    <w:rsid w:val="001B564D"/>
    <w:rsid w:val="001B57DD"/>
    <w:rsid w:val="001B5872"/>
    <w:rsid w:val="001B5C8B"/>
    <w:rsid w:val="001B602B"/>
    <w:rsid w:val="001B61C3"/>
    <w:rsid w:val="001B648D"/>
    <w:rsid w:val="001B7157"/>
    <w:rsid w:val="001B764D"/>
    <w:rsid w:val="001B7EEF"/>
    <w:rsid w:val="001B7F4E"/>
    <w:rsid w:val="001C05CD"/>
    <w:rsid w:val="001C0EB7"/>
    <w:rsid w:val="001C0F02"/>
    <w:rsid w:val="001C154A"/>
    <w:rsid w:val="001C192A"/>
    <w:rsid w:val="001C1CCC"/>
    <w:rsid w:val="001C214A"/>
    <w:rsid w:val="001C25AA"/>
    <w:rsid w:val="001C2868"/>
    <w:rsid w:val="001C2C7C"/>
    <w:rsid w:val="001C2F40"/>
    <w:rsid w:val="001C399C"/>
    <w:rsid w:val="001C4426"/>
    <w:rsid w:val="001C4462"/>
    <w:rsid w:val="001C4B32"/>
    <w:rsid w:val="001C4D92"/>
    <w:rsid w:val="001C50E8"/>
    <w:rsid w:val="001C532A"/>
    <w:rsid w:val="001C5373"/>
    <w:rsid w:val="001C5469"/>
    <w:rsid w:val="001C550E"/>
    <w:rsid w:val="001C5AA7"/>
    <w:rsid w:val="001C6451"/>
    <w:rsid w:val="001C66F5"/>
    <w:rsid w:val="001C68CB"/>
    <w:rsid w:val="001C6A3F"/>
    <w:rsid w:val="001C7E32"/>
    <w:rsid w:val="001D01E8"/>
    <w:rsid w:val="001D0241"/>
    <w:rsid w:val="001D0581"/>
    <w:rsid w:val="001D0A7F"/>
    <w:rsid w:val="001D0ADB"/>
    <w:rsid w:val="001D159C"/>
    <w:rsid w:val="001D1B83"/>
    <w:rsid w:val="001D1F02"/>
    <w:rsid w:val="001D250C"/>
    <w:rsid w:val="001D2602"/>
    <w:rsid w:val="001D32EB"/>
    <w:rsid w:val="001D3711"/>
    <w:rsid w:val="001D3A16"/>
    <w:rsid w:val="001D3CF6"/>
    <w:rsid w:val="001D3E41"/>
    <w:rsid w:val="001D4010"/>
    <w:rsid w:val="001D43ED"/>
    <w:rsid w:val="001D4654"/>
    <w:rsid w:val="001D4CB7"/>
    <w:rsid w:val="001D4D89"/>
    <w:rsid w:val="001D4EAB"/>
    <w:rsid w:val="001D50ED"/>
    <w:rsid w:val="001D5572"/>
    <w:rsid w:val="001D6123"/>
    <w:rsid w:val="001D61DC"/>
    <w:rsid w:val="001D64F0"/>
    <w:rsid w:val="001D65B4"/>
    <w:rsid w:val="001D6B21"/>
    <w:rsid w:val="001D6B8E"/>
    <w:rsid w:val="001D6F2C"/>
    <w:rsid w:val="001D763E"/>
    <w:rsid w:val="001D7AB0"/>
    <w:rsid w:val="001D7EED"/>
    <w:rsid w:val="001E0516"/>
    <w:rsid w:val="001E0524"/>
    <w:rsid w:val="001E058B"/>
    <w:rsid w:val="001E091F"/>
    <w:rsid w:val="001E0A38"/>
    <w:rsid w:val="001E10E0"/>
    <w:rsid w:val="001E1442"/>
    <w:rsid w:val="001E15B6"/>
    <w:rsid w:val="001E1959"/>
    <w:rsid w:val="001E1E8C"/>
    <w:rsid w:val="001E21C7"/>
    <w:rsid w:val="001E21FD"/>
    <w:rsid w:val="001E2241"/>
    <w:rsid w:val="001E249F"/>
    <w:rsid w:val="001E2DAA"/>
    <w:rsid w:val="001E2F61"/>
    <w:rsid w:val="001E32C7"/>
    <w:rsid w:val="001E355B"/>
    <w:rsid w:val="001E3732"/>
    <w:rsid w:val="001E3A88"/>
    <w:rsid w:val="001E3B89"/>
    <w:rsid w:val="001E3B90"/>
    <w:rsid w:val="001E3C83"/>
    <w:rsid w:val="001E3FA3"/>
    <w:rsid w:val="001E4924"/>
    <w:rsid w:val="001E4B52"/>
    <w:rsid w:val="001E4E84"/>
    <w:rsid w:val="001E5356"/>
    <w:rsid w:val="001E54DA"/>
    <w:rsid w:val="001E569A"/>
    <w:rsid w:val="001E61F2"/>
    <w:rsid w:val="001E65E0"/>
    <w:rsid w:val="001E71B8"/>
    <w:rsid w:val="001E729C"/>
    <w:rsid w:val="001E7465"/>
    <w:rsid w:val="001E7528"/>
    <w:rsid w:val="001E76DA"/>
    <w:rsid w:val="001E7A60"/>
    <w:rsid w:val="001E7B13"/>
    <w:rsid w:val="001E7FFA"/>
    <w:rsid w:val="001F01A1"/>
    <w:rsid w:val="001F0208"/>
    <w:rsid w:val="001F03D6"/>
    <w:rsid w:val="001F054F"/>
    <w:rsid w:val="001F0717"/>
    <w:rsid w:val="001F1CBE"/>
    <w:rsid w:val="001F2604"/>
    <w:rsid w:val="001F2D47"/>
    <w:rsid w:val="001F3730"/>
    <w:rsid w:val="001F3748"/>
    <w:rsid w:val="001F389D"/>
    <w:rsid w:val="001F3A11"/>
    <w:rsid w:val="001F3E02"/>
    <w:rsid w:val="001F436D"/>
    <w:rsid w:val="001F4A1D"/>
    <w:rsid w:val="001F534C"/>
    <w:rsid w:val="001F5568"/>
    <w:rsid w:val="001F5844"/>
    <w:rsid w:val="001F5D1C"/>
    <w:rsid w:val="001F5E37"/>
    <w:rsid w:val="001F5F90"/>
    <w:rsid w:val="001F6F06"/>
    <w:rsid w:val="001F6F86"/>
    <w:rsid w:val="001F7260"/>
    <w:rsid w:val="001F7491"/>
    <w:rsid w:val="001F7584"/>
    <w:rsid w:val="001F768C"/>
    <w:rsid w:val="001F778D"/>
    <w:rsid w:val="00200566"/>
    <w:rsid w:val="002005E7"/>
    <w:rsid w:val="002006FD"/>
    <w:rsid w:val="00200C5A"/>
    <w:rsid w:val="00200CC0"/>
    <w:rsid w:val="00200F8E"/>
    <w:rsid w:val="00200FC4"/>
    <w:rsid w:val="0020101D"/>
    <w:rsid w:val="002016D4"/>
    <w:rsid w:val="0020190A"/>
    <w:rsid w:val="002019CA"/>
    <w:rsid w:val="00202034"/>
    <w:rsid w:val="0020209B"/>
    <w:rsid w:val="002021ED"/>
    <w:rsid w:val="00202259"/>
    <w:rsid w:val="00202548"/>
    <w:rsid w:val="0020261A"/>
    <w:rsid w:val="00202811"/>
    <w:rsid w:val="002028A9"/>
    <w:rsid w:val="00202B5F"/>
    <w:rsid w:val="00203145"/>
    <w:rsid w:val="0020324C"/>
    <w:rsid w:val="00203766"/>
    <w:rsid w:val="00203B89"/>
    <w:rsid w:val="00203F3C"/>
    <w:rsid w:val="00203FA0"/>
    <w:rsid w:val="002044CC"/>
    <w:rsid w:val="00204BA2"/>
    <w:rsid w:val="00204D97"/>
    <w:rsid w:val="00205589"/>
    <w:rsid w:val="002056F8"/>
    <w:rsid w:val="002056FB"/>
    <w:rsid w:val="0020574F"/>
    <w:rsid w:val="00205AB1"/>
    <w:rsid w:val="00205B21"/>
    <w:rsid w:val="00206006"/>
    <w:rsid w:val="00206A1F"/>
    <w:rsid w:val="002071D2"/>
    <w:rsid w:val="00207393"/>
    <w:rsid w:val="0020793F"/>
    <w:rsid w:val="00207959"/>
    <w:rsid w:val="00207A7F"/>
    <w:rsid w:val="00207AFC"/>
    <w:rsid w:val="00207C5A"/>
    <w:rsid w:val="00207E97"/>
    <w:rsid w:val="00210707"/>
    <w:rsid w:val="00210F60"/>
    <w:rsid w:val="00211013"/>
    <w:rsid w:val="002112E0"/>
    <w:rsid w:val="0021136A"/>
    <w:rsid w:val="0021148E"/>
    <w:rsid w:val="0021166F"/>
    <w:rsid w:val="0021170E"/>
    <w:rsid w:val="00211935"/>
    <w:rsid w:val="00211BA5"/>
    <w:rsid w:val="00211BDE"/>
    <w:rsid w:val="00211D46"/>
    <w:rsid w:val="00212089"/>
    <w:rsid w:val="00212363"/>
    <w:rsid w:val="00212D32"/>
    <w:rsid w:val="00213113"/>
    <w:rsid w:val="002132EE"/>
    <w:rsid w:val="00213327"/>
    <w:rsid w:val="002134AF"/>
    <w:rsid w:val="00213B6D"/>
    <w:rsid w:val="00213DDE"/>
    <w:rsid w:val="00214519"/>
    <w:rsid w:val="002145BE"/>
    <w:rsid w:val="002149DC"/>
    <w:rsid w:val="00214D79"/>
    <w:rsid w:val="00214EB3"/>
    <w:rsid w:val="00214FF7"/>
    <w:rsid w:val="002152D9"/>
    <w:rsid w:val="00215595"/>
    <w:rsid w:val="00215852"/>
    <w:rsid w:val="00215FE2"/>
    <w:rsid w:val="00216869"/>
    <w:rsid w:val="00216FAC"/>
    <w:rsid w:val="00217012"/>
    <w:rsid w:val="0021704B"/>
    <w:rsid w:val="00217122"/>
    <w:rsid w:val="0021746B"/>
    <w:rsid w:val="002175DC"/>
    <w:rsid w:val="00217722"/>
    <w:rsid w:val="0021772A"/>
    <w:rsid w:val="002177D7"/>
    <w:rsid w:val="00217A34"/>
    <w:rsid w:val="00217B1D"/>
    <w:rsid w:val="00217C12"/>
    <w:rsid w:val="00217C30"/>
    <w:rsid w:val="0022006C"/>
    <w:rsid w:val="002202F1"/>
    <w:rsid w:val="00220B2C"/>
    <w:rsid w:val="00220BB5"/>
    <w:rsid w:val="002210EE"/>
    <w:rsid w:val="0022160A"/>
    <w:rsid w:val="00221867"/>
    <w:rsid w:val="002219F1"/>
    <w:rsid w:val="00221C9F"/>
    <w:rsid w:val="00221CF1"/>
    <w:rsid w:val="002220D2"/>
    <w:rsid w:val="002224FB"/>
    <w:rsid w:val="002227BF"/>
    <w:rsid w:val="00223447"/>
    <w:rsid w:val="00223604"/>
    <w:rsid w:val="00223642"/>
    <w:rsid w:val="00223B56"/>
    <w:rsid w:val="00223DCA"/>
    <w:rsid w:val="00224111"/>
    <w:rsid w:val="002247F4"/>
    <w:rsid w:val="00224CB4"/>
    <w:rsid w:val="00225094"/>
    <w:rsid w:val="00225B1A"/>
    <w:rsid w:val="00225DFB"/>
    <w:rsid w:val="00226849"/>
    <w:rsid w:val="002272E3"/>
    <w:rsid w:val="002274F6"/>
    <w:rsid w:val="002276D9"/>
    <w:rsid w:val="002276F0"/>
    <w:rsid w:val="00227834"/>
    <w:rsid w:val="002278B9"/>
    <w:rsid w:val="002279B6"/>
    <w:rsid w:val="002279FB"/>
    <w:rsid w:val="00227DDA"/>
    <w:rsid w:val="00230092"/>
    <w:rsid w:val="00230528"/>
    <w:rsid w:val="0023054C"/>
    <w:rsid w:val="00230BD8"/>
    <w:rsid w:val="002312EE"/>
    <w:rsid w:val="002316A2"/>
    <w:rsid w:val="00231CDF"/>
    <w:rsid w:val="00232152"/>
    <w:rsid w:val="002332D8"/>
    <w:rsid w:val="002333C7"/>
    <w:rsid w:val="002334B0"/>
    <w:rsid w:val="00233AA4"/>
    <w:rsid w:val="00233B67"/>
    <w:rsid w:val="00233BDE"/>
    <w:rsid w:val="00233F24"/>
    <w:rsid w:val="002343A8"/>
    <w:rsid w:val="002347FB"/>
    <w:rsid w:val="00234846"/>
    <w:rsid w:val="002349D7"/>
    <w:rsid w:val="00234ED1"/>
    <w:rsid w:val="002352B8"/>
    <w:rsid w:val="002354AF"/>
    <w:rsid w:val="00235781"/>
    <w:rsid w:val="00235A18"/>
    <w:rsid w:val="00235A70"/>
    <w:rsid w:val="002365DF"/>
    <w:rsid w:val="00236B72"/>
    <w:rsid w:val="00236C76"/>
    <w:rsid w:val="00236CB2"/>
    <w:rsid w:val="0023707A"/>
    <w:rsid w:val="00237866"/>
    <w:rsid w:val="002378D3"/>
    <w:rsid w:val="00237DD1"/>
    <w:rsid w:val="00237E58"/>
    <w:rsid w:val="00237F50"/>
    <w:rsid w:val="0024011F"/>
    <w:rsid w:val="00240345"/>
    <w:rsid w:val="0024069D"/>
    <w:rsid w:val="00241096"/>
    <w:rsid w:val="0024196B"/>
    <w:rsid w:val="0024290B"/>
    <w:rsid w:val="002430A8"/>
    <w:rsid w:val="0024361E"/>
    <w:rsid w:val="00243B6E"/>
    <w:rsid w:val="00243E02"/>
    <w:rsid w:val="00244474"/>
    <w:rsid w:val="0024485B"/>
    <w:rsid w:val="00244C51"/>
    <w:rsid w:val="00246D5D"/>
    <w:rsid w:val="00247EFD"/>
    <w:rsid w:val="00250BC4"/>
    <w:rsid w:val="00250BD5"/>
    <w:rsid w:val="00250EEB"/>
    <w:rsid w:val="00251047"/>
    <w:rsid w:val="0025148E"/>
    <w:rsid w:val="002516DE"/>
    <w:rsid w:val="002517AF"/>
    <w:rsid w:val="00251808"/>
    <w:rsid w:val="00251FB2"/>
    <w:rsid w:val="00252144"/>
    <w:rsid w:val="0025246D"/>
    <w:rsid w:val="00252B5E"/>
    <w:rsid w:val="00252EE9"/>
    <w:rsid w:val="00252FAD"/>
    <w:rsid w:val="0025325B"/>
    <w:rsid w:val="00253451"/>
    <w:rsid w:val="00253B45"/>
    <w:rsid w:val="00253C9D"/>
    <w:rsid w:val="00253CD4"/>
    <w:rsid w:val="00253E51"/>
    <w:rsid w:val="002540CF"/>
    <w:rsid w:val="00254237"/>
    <w:rsid w:val="002546F5"/>
    <w:rsid w:val="00254808"/>
    <w:rsid w:val="002548D1"/>
    <w:rsid w:val="0025505F"/>
    <w:rsid w:val="0025528F"/>
    <w:rsid w:val="0025577C"/>
    <w:rsid w:val="00255877"/>
    <w:rsid w:val="00255A21"/>
    <w:rsid w:val="00255AA9"/>
    <w:rsid w:val="002561F6"/>
    <w:rsid w:val="002562BF"/>
    <w:rsid w:val="00256885"/>
    <w:rsid w:val="002569D3"/>
    <w:rsid w:val="00256F4B"/>
    <w:rsid w:val="00257166"/>
    <w:rsid w:val="002571C5"/>
    <w:rsid w:val="00257BAC"/>
    <w:rsid w:val="00257E6F"/>
    <w:rsid w:val="002603C6"/>
    <w:rsid w:val="00260E44"/>
    <w:rsid w:val="00260FB5"/>
    <w:rsid w:val="00261149"/>
    <w:rsid w:val="002611C4"/>
    <w:rsid w:val="002612DF"/>
    <w:rsid w:val="00261642"/>
    <w:rsid w:val="00261698"/>
    <w:rsid w:val="00261901"/>
    <w:rsid w:val="00261CD9"/>
    <w:rsid w:val="00261FAF"/>
    <w:rsid w:val="002621EE"/>
    <w:rsid w:val="002623D0"/>
    <w:rsid w:val="00262475"/>
    <w:rsid w:val="00262813"/>
    <w:rsid w:val="00262A63"/>
    <w:rsid w:val="00262D12"/>
    <w:rsid w:val="00262F57"/>
    <w:rsid w:val="002632A7"/>
    <w:rsid w:val="0026340B"/>
    <w:rsid w:val="0026357F"/>
    <w:rsid w:val="002637BA"/>
    <w:rsid w:val="00263932"/>
    <w:rsid w:val="00263B20"/>
    <w:rsid w:val="00263C97"/>
    <w:rsid w:val="0026412E"/>
    <w:rsid w:val="002641E0"/>
    <w:rsid w:val="00264677"/>
    <w:rsid w:val="00264859"/>
    <w:rsid w:val="00265006"/>
    <w:rsid w:val="0026511C"/>
    <w:rsid w:val="002653A3"/>
    <w:rsid w:val="00265420"/>
    <w:rsid w:val="002657C7"/>
    <w:rsid w:val="00265A27"/>
    <w:rsid w:val="00265E77"/>
    <w:rsid w:val="00266075"/>
    <w:rsid w:val="002662FF"/>
    <w:rsid w:val="0026696C"/>
    <w:rsid w:val="00266B91"/>
    <w:rsid w:val="00266C87"/>
    <w:rsid w:val="00267136"/>
    <w:rsid w:val="00267241"/>
    <w:rsid w:val="0026733F"/>
    <w:rsid w:val="00267516"/>
    <w:rsid w:val="002677B3"/>
    <w:rsid w:val="002678E0"/>
    <w:rsid w:val="002679EF"/>
    <w:rsid w:val="00267D23"/>
    <w:rsid w:val="00270499"/>
    <w:rsid w:val="0027049B"/>
    <w:rsid w:val="00270584"/>
    <w:rsid w:val="00270839"/>
    <w:rsid w:val="002709AE"/>
    <w:rsid w:val="00271C04"/>
    <w:rsid w:val="00271C10"/>
    <w:rsid w:val="0027204E"/>
    <w:rsid w:val="00272148"/>
    <w:rsid w:val="0027230D"/>
    <w:rsid w:val="00272769"/>
    <w:rsid w:val="00272B7B"/>
    <w:rsid w:val="0027303A"/>
    <w:rsid w:val="002731A4"/>
    <w:rsid w:val="0027362B"/>
    <w:rsid w:val="00273862"/>
    <w:rsid w:val="002738A0"/>
    <w:rsid w:val="00273B54"/>
    <w:rsid w:val="00273D5C"/>
    <w:rsid w:val="0027414F"/>
    <w:rsid w:val="00274D64"/>
    <w:rsid w:val="00274DB4"/>
    <w:rsid w:val="00274E0F"/>
    <w:rsid w:val="00275473"/>
    <w:rsid w:val="00275785"/>
    <w:rsid w:val="0027582B"/>
    <w:rsid w:val="0027616B"/>
    <w:rsid w:val="00276B60"/>
    <w:rsid w:val="002772AB"/>
    <w:rsid w:val="00277705"/>
    <w:rsid w:val="00277BD3"/>
    <w:rsid w:val="00277E6E"/>
    <w:rsid w:val="0028001D"/>
    <w:rsid w:val="00280171"/>
    <w:rsid w:val="00280261"/>
    <w:rsid w:val="00280263"/>
    <w:rsid w:val="00280817"/>
    <w:rsid w:val="00280DDB"/>
    <w:rsid w:val="00280F3B"/>
    <w:rsid w:val="002814B4"/>
    <w:rsid w:val="002815E7"/>
    <w:rsid w:val="00281B12"/>
    <w:rsid w:val="00281E62"/>
    <w:rsid w:val="00281FB0"/>
    <w:rsid w:val="00282977"/>
    <w:rsid w:val="002829FA"/>
    <w:rsid w:val="00282C87"/>
    <w:rsid w:val="00282FA7"/>
    <w:rsid w:val="0028312B"/>
    <w:rsid w:val="00283167"/>
    <w:rsid w:val="0028388E"/>
    <w:rsid w:val="002839F7"/>
    <w:rsid w:val="00283BA7"/>
    <w:rsid w:val="00284044"/>
    <w:rsid w:val="0028434F"/>
    <w:rsid w:val="002847E1"/>
    <w:rsid w:val="00284AA4"/>
    <w:rsid w:val="00285039"/>
    <w:rsid w:val="00285529"/>
    <w:rsid w:val="00285732"/>
    <w:rsid w:val="002859F2"/>
    <w:rsid w:val="00285B30"/>
    <w:rsid w:val="00285B76"/>
    <w:rsid w:val="00285D3D"/>
    <w:rsid w:val="00285F75"/>
    <w:rsid w:val="0028638F"/>
    <w:rsid w:val="0028694B"/>
    <w:rsid w:val="00286BAC"/>
    <w:rsid w:val="00286C20"/>
    <w:rsid w:val="00286E3C"/>
    <w:rsid w:val="00286FD8"/>
    <w:rsid w:val="00286FDF"/>
    <w:rsid w:val="00287377"/>
    <w:rsid w:val="002874DD"/>
    <w:rsid w:val="002877F1"/>
    <w:rsid w:val="00287B52"/>
    <w:rsid w:val="00287B53"/>
    <w:rsid w:val="00287C70"/>
    <w:rsid w:val="00287F6D"/>
    <w:rsid w:val="0029001B"/>
    <w:rsid w:val="002901A6"/>
    <w:rsid w:val="0029058C"/>
    <w:rsid w:val="00290F5B"/>
    <w:rsid w:val="002918EE"/>
    <w:rsid w:val="00291929"/>
    <w:rsid w:val="00291C5C"/>
    <w:rsid w:val="002921B3"/>
    <w:rsid w:val="00292DA0"/>
    <w:rsid w:val="00292F88"/>
    <w:rsid w:val="00293092"/>
    <w:rsid w:val="002930E2"/>
    <w:rsid w:val="0029317D"/>
    <w:rsid w:val="0029379B"/>
    <w:rsid w:val="0029414A"/>
    <w:rsid w:val="00294311"/>
    <w:rsid w:val="002948E2"/>
    <w:rsid w:val="00294A99"/>
    <w:rsid w:val="00295263"/>
    <w:rsid w:val="00295295"/>
    <w:rsid w:val="00295963"/>
    <w:rsid w:val="00296006"/>
    <w:rsid w:val="002965D7"/>
    <w:rsid w:val="0029736D"/>
    <w:rsid w:val="00297445"/>
    <w:rsid w:val="00297711"/>
    <w:rsid w:val="00297747"/>
    <w:rsid w:val="002978DC"/>
    <w:rsid w:val="002A042A"/>
    <w:rsid w:val="002A0A00"/>
    <w:rsid w:val="002A0F23"/>
    <w:rsid w:val="002A1005"/>
    <w:rsid w:val="002A172B"/>
    <w:rsid w:val="002A1E52"/>
    <w:rsid w:val="002A2338"/>
    <w:rsid w:val="002A2420"/>
    <w:rsid w:val="002A2A19"/>
    <w:rsid w:val="002A2A75"/>
    <w:rsid w:val="002A3EFE"/>
    <w:rsid w:val="002A402A"/>
    <w:rsid w:val="002A437A"/>
    <w:rsid w:val="002A47FC"/>
    <w:rsid w:val="002A481E"/>
    <w:rsid w:val="002A51DB"/>
    <w:rsid w:val="002A5230"/>
    <w:rsid w:val="002A535F"/>
    <w:rsid w:val="002A5530"/>
    <w:rsid w:val="002A55E7"/>
    <w:rsid w:val="002A587F"/>
    <w:rsid w:val="002A591C"/>
    <w:rsid w:val="002A5BD5"/>
    <w:rsid w:val="002A5F33"/>
    <w:rsid w:val="002A6528"/>
    <w:rsid w:val="002A6887"/>
    <w:rsid w:val="002A6965"/>
    <w:rsid w:val="002A6A0F"/>
    <w:rsid w:val="002A6D5D"/>
    <w:rsid w:val="002A6F00"/>
    <w:rsid w:val="002A716A"/>
    <w:rsid w:val="002A7733"/>
    <w:rsid w:val="002B000D"/>
    <w:rsid w:val="002B035E"/>
    <w:rsid w:val="002B049A"/>
    <w:rsid w:val="002B07A6"/>
    <w:rsid w:val="002B07B8"/>
    <w:rsid w:val="002B0C3D"/>
    <w:rsid w:val="002B0F9E"/>
    <w:rsid w:val="002B1297"/>
    <w:rsid w:val="002B1659"/>
    <w:rsid w:val="002B16B2"/>
    <w:rsid w:val="002B19AF"/>
    <w:rsid w:val="002B1D30"/>
    <w:rsid w:val="002B1D8D"/>
    <w:rsid w:val="002B1FDA"/>
    <w:rsid w:val="002B24FA"/>
    <w:rsid w:val="002B2BBF"/>
    <w:rsid w:val="002B2BE4"/>
    <w:rsid w:val="002B3197"/>
    <w:rsid w:val="002B34AD"/>
    <w:rsid w:val="002B3603"/>
    <w:rsid w:val="002B3811"/>
    <w:rsid w:val="002B4413"/>
    <w:rsid w:val="002B4BC8"/>
    <w:rsid w:val="002B5141"/>
    <w:rsid w:val="002B5171"/>
    <w:rsid w:val="002B5172"/>
    <w:rsid w:val="002B58B9"/>
    <w:rsid w:val="002B5DD8"/>
    <w:rsid w:val="002B6879"/>
    <w:rsid w:val="002B6E51"/>
    <w:rsid w:val="002B6F67"/>
    <w:rsid w:val="002B74E2"/>
    <w:rsid w:val="002B75D5"/>
    <w:rsid w:val="002B79B4"/>
    <w:rsid w:val="002B7C8D"/>
    <w:rsid w:val="002B7FD2"/>
    <w:rsid w:val="002C0727"/>
    <w:rsid w:val="002C0A4D"/>
    <w:rsid w:val="002C0CB2"/>
    <w:rsid w:val="002C1082"/>
    <w:rsid w:val="002C1F54"/>
    <w:rsid w:val="002C1FFC"/>
    <w:rsid w:val="002C29DB"/>
    <w:rsid w:val="002C2EEA"/>
    <w:rsid w:val="002C3257"/>
    <w:rsid w:val="002C32C0"/>
    <w:rsid w:val="002C34A0"/>
    <w:rsid w:val="002C3765"/>
    <w:rsid w:val="002C3A42"/>
    <w:rsid w:val="002C4360"/>
    <w:rsid w:val="002C49BC"/>
    <w:rsid w:val="002C4A21"/>
    <w:rsid w:val="002C4B27"/>
    <w:rsid w:val="002C4F47"/>
    <w:rsid w:val="002C51B0"/>
    <w:rsid w:val="002C5366"/>
    <w:rsid w:val="002C5D8B"/>
    <w:rsid w:val="002C62D3"/>
    <w:rsid w:val="002C6C89"/>
    <w:rsid w:val="002C7228"/>
    <w:rsid w:val="002C7607"/>
    <w:rsid w:val="002C783B"/>
    <w:rsid w:val="002C7861"/>
    <w:rsid w:val="002D00DE"/>
    <w:rsid w:val="002D09B4"/>
    <w:rsid w:val="002D0B7D"/>
    <w:rsid w:val="002D0EFC"/>
    <w:rsid w:val="002D0FD0"/>
    <w:rsid w:val="002D1101"/>
    <w:rsid w:val="002D1121"/>
    <w:rsid w:val="002D1825"/>
    <w:rsid w:val="002D1859"/>
    <w:rsid w:val="002D1D6B"/>
    <w:rsid w:val="002D2016"/>
    <w:rsid w:val="002D26CB"/>
    <w:rsid w:val="002D2A0F"/>
    <w:rsid w:val="002D2D8B"/>
    <w:rsid w:val="002D2F28"/>
    <w:rsid w:val="002D2F43"/>
    <w:rsid w:val="002D2FFD"/>
    <w:rsid w:val="002D36E1"/>
    <w:rsid w:val="002D3F40"/>
    <w:rsid w:val="002D468E"/>
    <w:rsid w:val="002D4722"/>
    <w:rsid w:val="002D4B71"/>
    <w:rsid w:val="002D53F7"/>
    <w:rsid w:val="002D5981"/>
    <w:rsid w:val="002D661C"/>
    <w:rsid w:val="002D67C9"/>
    <w:rsid w:val="002D6ECA"/>
    <w:rsid w:val="002D749F"/>
    <w:rsid w:val="002E0137"/>
    <w:rsid w:val="002E0361"/>
    <w:rsid w:val="002E040C"/>
    <w:rsid w:val="002E0544"/>
    <w:rsid w:val="002E0642"/>
    <w:rsid w:val="002E066F"/>
    <w:rsid w:val="002E07CA"/>
    <w:rsid w:val="002E18ED"/>
    <w:rsid w:val="002E28B3"/>
    <w:rsid w:val="002E2AC7"/>
    <w:rsid w:val="002E2EBF"/>
    <w:rsid w:val="002E350C"/>
    <w:rsid w:val="002E376F"/>
    <w:rsid w:val="002E39E9"/>
    <w:rsid w:val="002E3C7A"/>
    <w:rsid w:val="002E3D53"/>
    <w:rsid w:val="002E471D"/>
    <w:rsid w:val="002E486F"/>
    <w:rsid w:val="002E4A95"/>
    <w:rsid w:val="002E4AA2"/>
    <w:rsid w:val="002E51E5"/>
    <w:rsid w:val="002E540A"/>
    <w:rsid w:val="002E544D"/>
    <w:rsid w:val="002E564E"/>
    <w:rsid w:val="002E5DEC"/>
    <w:rsid w:val="002E62F5"/>
    <w:rsid w:val="002E63E5"/>
    <w:rsid w:val="002E640E"/>
    <w:rsid w:val="002E6B59"/>
    <w:rsid w:val="002E6CD5"/>
    <w:rsid w:val="002E6E35"/>
    <w:rsid w:val="002E7A0D"/>
    <w:rsid w:val="002E7AB7"/>
    <w:rsid w:val="002E7EB3"/>
    <w:rsid w:val="002F00E3"/>
    <w:rsid w:val="002F035A"/>
    <w:rsid w:val="002F07D8"/>
    <w:rsid w:val="002F0911"/>
    <w:rsid w:val="002F093E"/>
    <w:rsid w:val="002F0F52"/>
    <w:rsid w:val="002F1740"/>
    <w:rsid w:val="002F1C02"/>
    <w:rsid w:val="002F1E6A"/>
    <w:rsid w:val="002F1E75"/>
    <w:rsid w:val="002F207F"/>
    <w:rsid w:val="002F20F8"/>
    <w:rsid w:val="002F21D1"/>
    <w:rsid w:val="002F241B"/>
    <w:rsid w:val="002F27FA"/>
    <w:rsid w:val="002F2983"/>
    <w:rsid w:val="002F2A0B"/>
    <w:rsid w:val="002F2CB5"/>
    <w:rsid w:val="002F2CD0"/>
    <w:rsid w:val="002F310C"/>
    <w:rsid w:val="002F33EF"/>
    <w:rsid w:val="002F3915"/>
    <w:rsid w:val="002F40EC"/>
    <w:rsid w:val="002F43FB"/>
    <w:rsid w:val="002F5874"/>
    <w:rsid w:val="002F5C86"/>
    <w:rsid w:val="002F608C"/>
    <w:rsid w:val="002F6239"/>
    <w:rsid w:val="002F649C"/>
    <w:rsid w:val="002F6866"/>
    <w:rsid w:val="002F6B49"/>
    <w:rsid w:val="002F7300"/>
    <w:rsid w:val="002F7488"/>
    <w:rsid w:val="002F76E8"/>
    <w:rsid w:val="002F79C1"/>
    <w:rsid w:val="002F7B8A"/>
    <w:rsid w:val="002F7F94"/>
    <w:rsid w:val="003002B8"/>
    <w:rsid w:val="003004BE"/>
    <w:rsid w:val="0030076A"/>
    <w:rsid w:val="003009C4"/>
    <w:rsid w:val="003011CE"/>
    <w:rsid w:val="003017C9"/>
    <w:rsid w:val="00301E08"/>
    <w:rsid w:val="0030240D"/>
    <w:rsid w:val="00302DA7"/>
    <w:rsid w:val="00302F52"/>
    <w:rsid w:val="00303771"/>
    <w:rsid w:val="00303C3B"/>
    <w:rsid w:val="00303C49"/>
    <w:rsid w:val="00304285"/>
    <w:rsid w:val="00304B11"/>
    <w:rsid w:val="00304B61"/>
    <w:rsid w:val="00304EB8"/>
    <w:rsid w:val="00305100"/>
    <w:rsid w:val="0030526B"/>
    <w:rsid w:val="003056EC"/>
    <w:rsid w:val="003056F7"/>
    <w:rsid w:val="0030580C"/>
    <w:rsid w:val="00305FD9"/>
    <w:rsid w:val="00305FF2"/>
    <w:rsid w:val="003060CE"/>
    <w:rsid w:val="00306154"/>
    <w:rsid w:val="00306876"/>
    <w:rsid w:val="00306C44"/>
    <w:rsid w:val="00306E25"/>
    <w:rsid w:val="003102D9"/>
    <w:rsid w:val="0031034E"/>
    <w:rsid w:val="00310479"/>
    <w:rsid w:val="0031061D"/>
    <w:rsid w:val="00310628"/>
    <w:rsid w:val="00310B79"/>
    <w:rsid w:val="00310D38"/>
    <w:rsid w:val="00310D86"/>
    <w:rsid w:val="00311025"/>
    <w:rsid w:val="003115C1"/>
    <w:rsid w:val="00312ACE"/>
    <w:rsid w:val="00313197"/>
    <w:rsid w:val="00313225"/>
    <w:rsid w:val="0031377E"/>
    <w:rsid w:val="00313911"/>
    <w:rsid w:val="00313990"/>
    <w:rsid w:val="00313B12"/>
    <w:rsid w:val="00314457"/>
    <w:rsid w:val="00314903"/>
    <w:rsid w:val="003151DE"/>
    <w:rsid w:val="00315531"/>
    <w:rsid w:val="00315C0B"/>
    <w:rsid w:val="00315D5D"/>
    <w:rsid w:val="00316090"/>
    <w:rsid w:val="003164C8"/>
    <w:rsid w:val="003164E8"/>
    <w:rsid w:val="003164F7"/>
    <w:rsid w:val="00316738"/>
    <w:rsid w:val="00317019"/>
    <w:rsid w:val="00317B64"/>
    <w:rsid w:val="00317C02"/>
    <w:rsid w:val="00320077"/>
    <w:rsid w:val="00320170"/>
    <w:rsid w:val="00320BFF"/>
    <w:rsid w:val="00320D62"/>
    <w:rsid w:val="00320DAD"/>
    <w:rsid w:val="00320EF5"/>
    <w:rsid w:val="003213FD"/>
    <w:rsid w:val="00321971"/>
    <w:rsid w:val="00321AE9"/>
    <w:rsid w:val="00321C7C"/>
    <w:rsid w:val="00321D84"/>
    <w:rsid w:val="00321F4A"/>
    <w:rsid w:val="00322222"/>
    <w:rsid w:val="00322B5F"/>
    <w:rsid w:val="00323299"/>
    <w:rsid w:val="0032334E"/>
    <w:rsid w:val="00323635"/>
    <w:rsid w:val="00323B60"/>
    <w:rsid w:val="00323BE4"/>
    <w:rsid w:val="00323C7D"/>
    <w:rsid w:val="00323F06"/>
    <w:rsid w:val="003243E1"/>
    <w:rsid w:val="0032457D"/>
    <w:rsid w:val="00324C14"/>
    <w:rsid w:val="00324FED"/>
    <w:rsid w:val="003254B0"/>
    <w:rsid w:val="003257C7"/>
    <w:rsid w:val="0032584E"/>
    <w:rsid w:val="00325888"/>
    <w:rsid w:val="0032595D"/>
    <w:rsid w:val="0032597A"/>
    <w:rsid w:val="00326250"/>
    <w:rsid w:val="003262AF"/>
    <w:rsid w:val="00326A8E"/>
    <w:rsid w:val="00326D22"/>
    <w:rsid w:val="0032712C"/>
    <w:rsid w:val="00327B85"/>
    <w:rsid w:val="0033052C"/>
    <w:rsid w:val="00330A64"/>
    <w:rsid w:val="00330B1E"/>
    <w:rsid w:val="003312A4"/>
    <w:rsid w:val="0033173E"/>
    <w:rsid w:val="003318A5"/>
    <w:rsid w:val="00331F9A"/>
    <w:rsid w:val="003320F3"/>
    <w:rsid w:val="003324BD"/>
    <w:rsid w:val="00332944"/>
    <w:rsid w:val="00332E58"/>
    <w:rsid w:val="00333551"/>
    <w:rsid w:val="00333F90"/>
    <w:rsid w:val="00334149"/>
    <w:rsid w:val="00334F9E"/>
    <w:rsid w:val="00335040"/>
    <w:rsid w:val="003350A6"/>
    <w:rsid w:val="0033680A"/>
    <w:rsid w:val="00336A01"/>
    <w:rsid w:val="00336CDC"/>
    <w:rsid w:val="00336CF8"/>
    <w:rsid w:val="0033721D"/>
    <w:rsid w:val="00337369"/>
    <w:rsid w:val="00337A52"/>
    <w:rsid w:val="00337E05"/>
    <w:rsid w:val="0034025B"/>
    <w:rsid w:val="003403C3"/>
    <w:rsid w:val="003404E4"/>
    <w:rsid w:val="003407C0"/>
    <w:rsid w:val="003409BD"/>
    <w:rsid w:val="00340D05"/>
    <w:rsid w:val="00342054"/>
    <w:rsid w:val="003427F4"/>
    <w:rsid w:val="00342FF8"/>
    <w:rsid w:val="00343A8E"/>
    <w:rsid w:val="00343B0A"/>
    <w:rsid w:val="00343CD0"/>
    <w:rsid w:val="00343F80"/>
    <w:rsid w:val="003440B4"/>
    <w:rsid w:val="00344482"/>
    <w:rsid w:val="003445A8"/>
    <w:rsid w:val="00344F52"/>
    <w:rsid w:val="00345316"/>
    <w:rsid w:val="003453E5"/>
    <w:rsid w:val="00345F4B"/>
    <w:rsid w:val="00346014"/>
    <w:rsid w:val="003467BD"/>
    <w:rsid w:val="00346822"/>
    <w:rsid w:val="00346A12"/>
    <w:rsid w:val="00346BF1"/>
    <w:rsid w:val="00347190"/>
    <w:rsid w:val="003472C9"/>
    <w:rsid w:val="0034774C"/>
    <w:rsid w:val="00347AE5"/>
    <w:rsid w:val="00347FF0"/>
    <w:rsid w:val="0035024A"/>
    <w:rsid w:val="0035086B"/>
    <w:rsid w:val="003512A5"/>
    <w:rsid w:val="003517A1"/>
    <w:rsid w:val="003518AB"/>
    <w:rsid w:val="0035209A"/>
    <w:rsid w:val="00352919"/>
    <w:rsid w:val="00352B5B"/>
    <w:rsid w:val="00353766"/>
    <w:rsid w:val="00353C5F"/>
    <w:rsid w:val="00353D6E"/>
    <w:rsid w:val="00355103"/>
    <w:rsid w:val="00355CDC"/>
    <w:rsid w:val="003560CC"/>
    <w:rsid w:val="0035693E"/>
    <w:rsid w:val="00357D2C"/>
    <w:rsid w:val="00357D4E"/>
    <w:rsid w:val="00357FB1"/>
    <w:rsid w:val="00360604"/>
    <w:rsid w:val="00360AA4"/>
    <w:rsid w:val="00360B7F"/>
    <w:rsid w:val="00361A88"/>
    <w:rsid w:val="003623FE"/>
    <w:rsid w:val="00362872"/>
    <w:rsid w:val="00362A1E"/>
    <w:rsid w:val="00362BBA"/>
    <w:rsid w:val="00362FDA"/>
    <w:rsid w:val="00363000"/>
    <w:rsid w:val="00363019"/>
    <w:rsid w:val="00363028"/>
    <w:rsid w:val="00363557"/>
    <w:rsid w:val="003637E9"/>
    <w:rsid w:val="003640EA"/>
    <w:rsid w:val="00364160"/>
    <w:rsid w:val="00364610"/>
    <w:rsid w:val="00364622"/>
    <w:rsid w:val="00365666"/>
    <w:rsid w:val="0036581B"/>
    <w:rsid w:val="00365B9C"/>
    <w:rsid w:val="00365D96"/>
    <w:rsid w:val="00365FEA"/>
    <w:rsid w:val="003665EA"/>
    <w:rsid w:val="00366819"/>
    <w:rsid w:val="00366BC3"/>
    <w:rsid w:val="00366CEF"/>
    <w:rsid w:val="00366D32"/>
    <w:rsid w:val="00366DA4"/>
    <w:rsid w:val="0036753B"/>
    <w:rsid w:val="00367B46"/>
    <w:rsid w:val="00370229"/>
    <w:rsid w:val="0037056C"/>
    <w:rsid w:val="0037073E"/>
    <w:rsid w:val="00370C0E"/>
    <w:rsid w:val="00370F37"/>
    <w:rsid w:val="00370F39"/>
    <w:rsid w:val="003711A9"/>
    <w:rsid w:val="00371823"/>
    <w:rsid w:val="00372679"/>
    <w:rsid w:val="00372BC9"/>
    <w:rsid w:val="003731F7"/>
    <w:rsid w:val="003731FD"/>
    <w:rsid w:val="00373356"/>
    <w:rsid w:val="003735A4"/>
    <w:rsid w:val="00373758"/>
    <w:rsid w:val="003741ED"/>
    <w:rsid w:val="00374366"/>
    <w:rsid w:val="00374730"/>
    <w:rsid w:val="003752D3"/>
    <w:rsid w:val="00375588"/>
    <w:rsid w:val="0037582F"/>
    <w:rsid w:val="003763A2"/>
    <w:rsid w:val="003768EA"/>
    <w:rsid w:val="00376F6A"/>
    <w:rsid w:val="003775BD"/>
    <w:rsid w:val="003777CC"/>
    <w:rsid w:val="00377803"/>
    <w:rsid w:val="00377A13"/>
    <w:rsid w:val="00377ABE"/>
    <w:rsid w:val="00377B98"/>
    <w:rsid w:val="00377D3D"/>
    <w:rsid w:val="00377DCA"/>
    <w:rsid w:val="00377F33"/>
    <w:rsid w:val="0038016A"/>
    <w:rsid w:val="003801F0"/>
    <w:rsid w:val="00380395"/>
    <w:rsid w:val="003804D0"/>
    <w:rsid w:val="0038053E"/>
    <w:rsid w:val="0038059C"/>
    <w:rsid w:val="003807D7"/>
    <w:rsid w:val="00380D21"/>
    <w:rsid w:val="00380FD5"/>
    <w:rsid w:val="0038125F"/>
    <w:rsid w:val="003813B3"/>
    <w:rsid w:val="003814E1"/>
    <w:rsid w:val="00381891"/>
    <w:rsid w:val="00381BA7"/>
    <w:rsid w:val="003821B3"/>
    <w:rsid w:val="00382314"/>
    <w:rsid w:val="00382B91"/>
    <w:rsid w:val="00382BF8"/>
    <w:rsid w:val="00382EE2"/>
    <w:rsid w:val="003831E8"/>
    <w:rsid w:val="00383423"/>
    <w:rsid w:val="00383958"/>
    <w:rsid w:val="00383BCB"/>
    <w:rsid w:val="00384212"/>
    <w:rsid w:val="0038450F"/>
    <w:rsid w:val="003845B5"/>
    <w:rsid w:val="003845D1"/>
    <w:rsid w:val="0038487C"/>
    <w:rsid w:val="00384CF5"/>
    <w:rsid w:val="00384F48"/>
    <w:rsid w:val="003851DD"/>
    <w:rsid w:val="003854F6"/>
    <w:rsid w:val="003856A6"/>
    <w:rsid w:val="00385816"/>
    <w:rsid w:val="003858CF"/>
    <w:rsid w:val="003859BA"/>
    <w:rsid w:val="00385FC1"/>
    <w:rsid w:val="003863F7"/>
    <w:rsid w:val="00386A30"/>
    <w:rsid w:val="00386C94"/>
    <w:rsid w:val="00386E96"/>
    <w:rsid w:val="00387327"/>
    <w:rsid w:val="003875E8"/>
    <w:rsid w:val="0038769C"/>
    <w:rsid w:val="00390979"/>
    <w:rsid w:val="00390FDA"/>
    <w:rsid w:val="00391130"/>
    <w:rsid w:val="003913B4"/>
    <w:rsid w:val="003921C5"/>
    <w:rsid w:val="003921D8"/>
    <w:rsid w:val="003922B6"/>
    <w:rsid w:val="00392529"/>
    <w:rsid w:val="00392598"/>
    <w:rsid w:val="00392F4E"/>
    <w:rsid w:val="00393745"/>
    <w:rsid w:val="00393B09"/>
    <w:rsid w:val="00393C9D"/>
    <w:rsid w:val="00394158"/>
    <w:rsid w:val="00394279"/>
    <w:rsid w:val="00394BDC"/>
    <w:rsid w:val="00394E45"/>
    <w:rsid w:val="003951B6"/>
    <w:rsid w:val="0039522D"/>
    <w:rsid w:val="003953DE"/>
    <w:rsid w:val="0039540A"/>
    <w:rsid w:val="003958A6"/>
    <w:rsid w:val="00396329"/>
    <w:rsid w:val="00396820"/>
    <w:rsid w:val="00396AEA"/>
    <w:rsid w:val="00396EAB"/>
    <w:rsid w:val="00397690"/>
    <w:rsid w:val="003976F5"/>
    <w:rsid w:val="003A0037"/>
    <w:rsid w:val="003A03BB"/>
    <w:rsid w:val="003A0413"/>
    <w:rsid w:val="003A0525"/>
    <w:rsid w:val="003A0A99"/>
    <w:rsid w:val="003A1409"/>
    <w:rsid w:val="003A1533"/>
    <w:rsid w:val="003A160D"/>
    <w:rsid w:val="003A162C"/>
    <w:rsid w:val="003A1ABA"/>
    <w:rsid w:val="003A1AD5"/>
    <w:rsid w:val="003A1F34"/>
    <w:rsid w:val="003A1FAF"/>
    <w:rsid w:val="003A2130"/>
    <w:rsid w:val="003A237E"/>
    <w:rsid w:val="003A2970"/>
    <w:rsid w:val="003A2BF4"/>
    <w:rsid w:val="003A3147"/>
    <w:rsid w:val="003A336F"/>
    <w:rsid w:val="003A3569"/>
    <w:rsid w:val="003A369F"/>
    <w:rsid w:val="003A36B6"/>
    <w:rsid w:val="003A38F0"/>
    <w:rsid w:val="003A41AD"/>
    <w:rsid w:val="003A4320"/>
    <w:rsid w:val="003A4B1F"/>
    <w:rsid w:val="003A4CE2"/>
    <w:rsid w:val="003A4F70"/>
    <w:rsid w:val="003A4FA6"/>
    <w:rsid w:val="003A5285"/>
    <w:rsid w:val="003A5425"/>
    <w:rsid w:val="003A569A"/>
    <w:rsid w:val="003A594C"/>
    <w:rsid w:val="003A5B85"/>
    <w:rsid w:val="003A6272"/>
    <w:rsid w:val="003A7097"/>
    <w:rsid w:val="003A767D"/>
    <w:rsid w:val="003A7686"/>
    <w:rsid w:val="003A76F2"/>
    <w:rsid w:val="003A7A3A"/>
    <w:rsid w:val="003A7AE9"/>
    <w:rsid w:val="003A7C84"/>
    <w:rsid w:val="003B02EF"/>
    <w:rsid w:val="003B03FA"/>
    <w:rsid w:val="003B0BBA"/>
    <w:rsid w:val="003B0F49"/>
    <w:rsid w:val="003B115B"/>
    <w:rsid w:val="003B137B"/>
    <w:rsid w:val="003B16B7"/>
    <w:rsid w:val="003B1A3B"/>
    <w:rsid w:val="003B1A5B"/>
    <w:rsid w:val="003B1B72"/>
    <w:rsid w:val="003B1B83"/>
    <w:rsid w:val="003B2130"/>
    <w:rsid w:val="003B2864"/>
    <w:rsid w:val="003B294D"/>
    <w:rsid w:val="003B2A32"/>
    <w:rsid w:val="003B40BE"/>
    <w:rsid w:val="003B40D3"/>
    <w:rsid w:val="003B40F8"/>
    <w:rsid w:val="003B472D"/>
    <w:rsid w:val="003B5748"/>
    <w:rsid w:val="003B57CE"/>
    <w:rsid w:val="003B6394"/>
    <w:rsid w:val="003B6B28"/>
    <w:rsid w:val="003B6C95"/>
    <w:rsid w:val="003B6E88"/>
    <w:rsid w:val="003B7064"/>
    <w:rsid w:val="003B76F7"/>
    <w:rsid w:val="003B76FE"/>
    <w:rsid w:val="003B786F"/>
    <w:rsid w:val="003B7A87"/>
    <w:rsid w:val="003B7E65"/>
    <w:rsid w:val="003C0259"/>
    <w:rsid w:val="003C051A"/>
    <w:rsid w:val="003C10F1"/>
    <w:rsid w:val="003C11D5"/>
    <w:rsid w:val="003C11E4"/>
    <w:rsid w:val="003C1370"/>
    <w:rsid w:val="003C16AE"/>
    <w:rsid w:val="003C1EBC"/>
    <w:rsid w:val="003C1F08"/>
    <w:rsid w:val="003C21BF"/>
    <w:rsid w:val="003C21E7"/>
    <w:rsid w:val="003C2528"/>
    <w:rsid w:val="003C27EF"/>
    <w:rsid w:val="003C2A46"/>
    <w:rsid w:val="003C2A87"/>
    <w:rsid w:val="003C3468"/>
    <w:rsid w:val="003C34B9"/>
    <w:rsid w:val="003C370C"/>
    <w:rsid w:val="003C4535"/>
    <w:rsid w:val="003C4B19"/>
    <w:rsid w:val="003C4E51"/>
    <w:rsid w:val="003C4F1E"/>
    <w:rsid w:val="003C4F6E"/>
    <w:rsid w:val="003C5632"/>
    <w:rsid w:val="003C5781"/>
    <w:rsid w:val="003C5A66"/>
    <w:rsid w:val="003C614A"/>
    <w:rsid w:val="003C63C7"/>
    <w:rsid w:val="003C65B2"/>
    <w:rsid w:val="003C6A8B"/>
    <w:rsid w:val="003C6BB9"/>
    <w:rsid w:val="003C7112"/>
    <w:rsid w:val="003C7BC9"/>
    <w:rsid w:val="003D0838"/>
    <w:rsid w:val="003D0D62"/>
    <w:rsid w:val="003D0FA8"/>
    <w:rsid w:val="003D11DA"/>
    <w:rsid w:val="003D12B5"/>
    <w:rsid w:val="003D1D2B"/>
    <w:rsid w:val="003D1EBC"/>
    <w:rsid w:val="003D2651"/>
    <w:rsid w:val="003D2AB9"/>
    <w:rsid w:val="003D3237"/>
    <w:rsid w:val="003D3A01"/>
    <w:rsid w:val="003D3DEC"/>
    <w:rsid w:val="003D4478"/>
    <w:rsid w:val="003D4A55"/>
    <w:rsid w:val="003D50F9"/>
    <w:rsid w:val="003D5864"/>
    <w:rsid w:val="003D59EA"/>
    <w:rsid w:val="003D60A0"/>
    <w:rsid w:val="003D62F8"/>
    <w:rsid w:val="003D694B"/>
    <w:rsid w:val="003D69D8"/>
    <w:rsid w:val="003D7111"/>
    <w:rsid w:val="003D7D52"/>
    <w:rsid w:val="003E0A1F"/>
    <w:rsid w:val="003E0D4F"/>
    <w:rsid w:val="003E0D9E"/>
    <w:rsid w:val="003E178A"/>
    <w:rsid w:val="003E17DC"/>
    <w:rsid w:val="003E1A19"/>
    <w:rsid w:val="003E1BE0"/>
    <w:rsid w:val="003E21B2"/>
    <w:rsid w:val="003E2257"/>
    <w:rsid w:val="003E2B93"/>
    <w:rsid w:val="003E2C6C"/>
    <w:rsid w:val="003E2CEA"/>
    <w:rsid w:val="003E311F"/>
    <w:rsid w:val="003E31E3"/>
    <w:rsid w:val="003E329E"/>
    <w:rsid w:val="003E38E0"/>
    <w:rsid w:val="003E3B61"/>
    <w:rsid w:val="003E4047"/>
    <w:rsid w:val="003E40B7"/>
    <w:rsid w:val="003E4135"/>
    <w:rsid w:val="003E4456"/>
    <w:rsid w:val="003E4645"/>
    <w:rsid w:val="003E4732"/>
    <w:rsid w:val="003E47C2"/>
    <w:rsid w:val="003E4CD0"/>
    <w:rsid w:val="003E5436"/>
    <w:rsid w:val="003E5F67"/>
    <w:rsid w:val="003E6563"/>
    <w:rsid w:val="003E695B"/>
    <w:rsid w:val="003E6B7D"/>
    <w:rsid w:val="003E6EE3"/>
    <w:rsid w:val="003E6F59"/>
    <w:rsid w:val="003E7371"/>
    <w:rsid w:val="003E76D6"/>
    <w:rsid w:val="003E7723"/>
    <w:rsid w:val="003E7CF1"/>
    <w:rsid w:val="003F0169"/>
    <w:rsid w:val="003F0775"/>
    <w:rsid w:val="003F0D40"/>
    <w:rsid w:val="003F0EE2"/>
    <w:rsid w:val="003F1390"/>
    <w:rsid w:val="003F1650"/>
    <w:rsid w:val="003F16D3"/>
    <w:rsid w:val="003F1A8A"/>
    <w:rsid w:val="003F1B79"/>
    <w:rsid w:val="003F1C07"/>
    <w:rsid w:val="003F2517"/>
    <w:rsid w:val="003F288E"/>
    <w:rsid w:val="003F2D9C"/>
    <w:rsid w:val="003F3026"/>
    <w:rsid w:val="003F33B1"/>
    <w:rsid w:val="003F33B3"/>
    <w:rsid w:val="003F34EB"/>
    <w:rsid w:val="003F3603"/>
    <w:rsid w:val="003F3DA8"/>
    <w:rsid w:val="003F3F03"/>
    <w:rsid w:val="003F4850"/>
    <w:rsid w:val="003F4B2E"/>
    <w:rsid w:val="003F4F92"/>
    <w:rsid w:val="003F5996"/>
    <w:rsid w:val="003F5BA7"/>
    <w:rsid w:val="003F5D24"/>
    <w:rsid w:val="003F5EAE"/>
    <w:rsid w:val="003F5EC7"/>
    <w:rsid w:val="003F6116"/>
    <w:rsid w:val="003F6492"/>
    <w:rsid w:val="003F6616"/>
    <w:rsid w:val="003F6866"/>
    <w:rsid w:val="003F6925"/>
    <w:rsid w:val="003F6A11"/>
    <w:rsid w:val="003F6BA3"/>
    <w:rsid w:val="003F6D49"/>
    <w:rsid w:val="003F72DE"/>
    <w:rsid w:val="003F7A64"/>
    <w:rsid w:val="0040000F"/>
    <w:rsid w:val="00400228"/>
    <w:rsid w:val="004004A5"/>
    <w:rsid w:val="0040065E"/>
    <w:rsid w:val="004008DF"/>
    <w:rsid w:val="00400B68"/>
    <w:rsid w:val="00400C08"/>
    <w:rsid w:val="00400FA7"/>
    <w:rsid w:val="00401224"/>
    <w:rsid w:val="0040123D"/>
    <w:rsid w:val="00401FD8"/>
    <w:rsid w:val="00402604"/>
    <w:rsid w:val="00402679"/>
    <w:rsid w:val="0040278F"/>
    <w:rsid w:val="00402B47"/>
    <w:rsid w:val="00403265"/>
    <w:rsid w:val="0040338E"/>
    <w:rsid w:val="004033EA"/>
    <w:rsid w:val="0040352A"/>
    <w:rsid w:val="00403662"/>
    <w:rsid w:val="004036C8"/>
    <w:rsid w:val="00403998"/>
    <w:rsid w:val="0040416A"/>
    <w:rsid w:val="004042AB"/>
    <w:rsid w:val="00404393"/>
    <w:rsid w:val="0040481A"/>
    <w:rsid w:val="00404F19"/>
    <w:rsid w:val="0040534F"/>
    <w:rsid w:val="004055E0"/>
    <w:rsid w:val="00405769"/>
    <w:rsid w:val="004059B5"/>
    <w:rsid w:val="00405CCF"/>
    <w:rsid w:val="0040606A"/>
    <w:rsid w:val="004060D7"/>
    <w:rsid w:val="00406507"/>
    <w:rsid w:val="00406921"/>
    <w:rsid w:val="00406CE2"/>
    <w:rsid w:val="0040717B"/>
    <w:rsid w:val="00407519"/>
    <w:rsid w:val="00407857"/>
    <w:rsid w:val="004078B5"/>
    <w:rsid w:val="004078F4"/>
    <w:rsid w:val="0040798C"/>
    <w:rsid w:val="004102B3"/>
    <w:rsid w:val="004103E3"/>
    <w:rsid w:val="00410CC3"/>
    <w:rsid w:val="0041122B"/>
    <w:rsid w:val="00411471"/>
    <w:rsid w:val="00411848"/>
    <w:rsid w:val="00411942"/>
    <w:rsid w:val="0041217A"/>
    <w:rsid w:val="0041254B"/>
    <w:rsid w:val="00412874"/>
    <w:rsid w:val="00412B4A"/>
    <w:rsid w:val="00412D03"/>
    <w:rsid w:val="00412D47"/>
    <w:rsid w:val="00413467"/>
    <w:rsid w:val="004137CD"/>
    <w:rsid w:val="00413A4F"/>
    <w:rsid w:val="00413D1B"/>
    <w:rsid w:val="00413E9D"/>
    <w:rsid w:val="00413F28"/>
    <w:rsid w:val="004140D0"/>
    <w:rsid w:val="004141E6"/>
    <w:rsid w:val="0041429E"/>
    <w:rsid w:val="004147E0"/>
    <w:rsid w:val="00414B44"/>
    <w:rsid w:val="00414C44"/>
    <w:rsid w:val="00414DA0"/>
    <w:rsid w:val="00415253"/>
    <w:rsid w:val="00415D41"/>
    <w:rsid w:val="00415DF5"/>
    <w:rsid w:val="00416513"/>
    <w:rsid w:val="004168B9"/>
    <w:rsid w:val="00416C31"/>
    <w:rsid w:val="004172CA"/>
    <w:rsid w:val="0041770B"/>
    <w:rsid w:val="00420003"/>
    <w:rsid w:val="00420138"/>
    <w:rsid w:val="004203F6"/>
    <w:rsid w:val="004207D1"/>
    <w:rsid w:val="00421236"/>
    <w:rsid w:val="00421248"/>
    <w:rsid w:val="00421561"/>
    <w:rsid w:val="004222C2"/>
    <w:rsid w:val="00422698"/>
    <w:rsid w:val="00422FC1"/>
    <w:rsid w:val="0042332D"/>
    <w:rsid w:val="0042345D"/>
    <w:rsid w:val="004235E4"/>
    <w:rsid w:val="004239F5"/>
    <w:rsid w:val="00423CE9"/>
    <w:rsid w:val="00423E92"/>
    <w:rsid w:val="00424536"/>
    <w:rsid w:val="00424DD3"/>
    <w:rsid w:val="00424F92"/>
    <w:rsid w:val="004252E3"/>
    <w:rsid w:val="00425551"/>
    <w:rsid w:val="004256D2"/>
    <w:rsid w:val="00425B93"/>
    <w:rsid w:val="00425DB8"/>
    <w:rsid w:val="00425DCB"/>
    <w:rsid w:val="00425DD9"/>
    <w:rsid w:val="0042622C"/>
    <w:rsid w:val="00426392"/>
    <w:rsid w:val="00426647"/>
    <w:rsid w:val="0042696C"/>
    <w:rsid w:val="00426FA7"/>
    <w:rsid w:val="00427800"/>
    <w:rsid w:val="00427A4A"/>
    <w:rsid w:val="00430380"/>
    <w:rsid w:val="004304EA"/>
    <w:rsid w:val="0043056C"/>
    <w:rsid w:val="0043087C"/>
    <w:rsid w:val="00430ADA"/>
    <w:rsid w:val="0043108B"/>
    <w:rsid w:val="0043117C"/>
    <w:rsid w:val="0043137B"/>
    <w:rsid w:val="00431837"/>
    <w:rsid w:val="0043187F"/>
    <w:rsid w:val="00431A24"/>
    <w:rsid w:val="00431AD5"/>
    <w:rsid w:val="00431ADF"/>
    <w:rsid w:val="00431D2A"/>
    <w:rsid w:val="00432088"/>
    <w:rsid w:val="004331FB"/>
    <w:rsid w:val="00433A2A"/>
    <w:rsid w:val="00433D96"/>
    <w:rsid w:val="00434163"/>
    <w:rsid w:val="0043434D"/>
    <w:rsid w:val="004344FB"/>
    <w:rsid w:val="0043465A"/>
    <w:rsid w:val="00434949"/>
    <w:rsid w:val="00434BA7"/>
    <w:rsid w:val="004356FA"/>
    <w:rsid w:val="004359DE"/>
    <w:rsid w:val="004359EF"/>
    <w:rsid w:val="00435BA5"/>
    <w:rsid w:val="00435BF5"/>
    <w:rsid w:val="00435C06"/>
    <w:rsid w:val="0043624D"/>
    <w:rsid w:val="00436366"/>
    <w:rsid w:val="004365FA"/>
    <w:rsid w:val="00436BC5"/>
    <w:rsid w:val="00436CF2"/>
    <w:rsid w:val="0043744D"/>
    <w:rsid w:val="004375DE"/>
    <w:rsid w:val="004375FB"/>
    <w:rsid w:val="0043768E"/>
    <w:rsid w:val="0044000B"/>
    <w:rsid w:val="0044029B"/>
    <w:rsid w:val="004403B2"/>
    <w:rsid w:val="00441071"/>
    <w:rsid w:val="00441538"/>
    <w:rsid w:val="00441556"/>
    <w:rsid w:val="004416C9"/>
    <w:rsid w:val="00441774"/>
    <w:rsid w:val="00441AB6"/>
    <w:rsid w:val="00441EAA"/>
    <w:rsid w:val="0044210D"/>
    <w:rsid w:val="004424CE"/>
    <w:rsid w:val="00442605"/>
    <w:rsid w:val="004428D6"/>
    <w:rsid w:val="00442F76"/>
    <w:rsid w:val="00443032"/>
    <w:rsid w:val="00443BCB"/>
    <w:rsid w:val="00444D57"/>
    <w:rsid w:val="00444DEA"/>
    <w:rsid w:val="004452FD"/>
    <w:rsid w:val="0044537D"/>
    <w:rsid w:val="00445561"/>
    <w:rsid w:val="00445A64"/>
    <w:rsid w:val="00445BB5"/>
    <w:rsid w:val="00445F0E"/>
    <w:rsid w:val="00446FBB"/>
    <w:rsid w:val="0044710C"/>
    <w:rsid w:val="004475EA"/>
    <w:rsid w:val="0044785B"/>
    <w:rsid w:val="00447980"/>
    <w:rsid w:val="00447F8B"/>
    <w:rsid w:val="0045028F"/>
    <w:rsid w:val="004502F2"/>
    <w:rsid w:val="004504C0"/>
    <w:rsid w:val="00450AE8"/>
    <w:rsid w:val="00450C3E"/>
    <w:rsid w:val="00450F2B"/>
    <w:rsid w:val="0045123B"/>
    <w:rsid w:val="004512DA"/>
    <w:rsid w:val="004516A0"/>
    <w:rsid w:val="004518E1"/>
    <w:rsid w:val="00451BDA"/>
    <w:rsid w:val="00451C29"/>
    <w:rsid w:val="00451E64"/>
    <w:rsid w:val="004520D4"/>
    <w:rsid w:val="00452533"/>
    <w:rsid w:val="004529D8"/>
    <w:rsid w:val="00452BEF"/>
    <w:rsid w:val="00452C47"/>
    <w:rsid w:val="004531A1"/>
    <w:rsid w:val="00453A1A"/>
    <w:rsid w:val="00454875"/>
    <w:rsid w:val="00454AA0"/>
    <w:rsid w:val="00454C01"/>
    <w:rsid w:val="00454D1E"/>
    <w:rsid w:val="00455A56"/>
    <w:rsid w:val="004561B1"/>
    <w:rsid w:val="00456261"/>
    <w:rsid w:val="00456433"/>
    <w:rsid w:val="0045690D"/>
    <w:rsid w:val="004570AF"/>
    <w:rsid w:val="00457749"/>
    <w:rsid w:val="004577A7"/>
    <w:rsid w:val="00457847"/>
    <w:rsid w:val="004578F9"/>
    <w:rsid w:val="00457B23"/>
    <w:rsid w:val="00457D7E"/>
    <w:rsid w:val="00457DE5"/>
    <w:rsid w:val="00457E76"/>
    <w:rsid w:val="00457F99"/>
    <w:rsid w:val="00460447"/>
    <w:rsid w:val="00460467"/>
    <w:rsid w:val="00460DB8"/>
    <w:rsid w:val="004612AC"/>
    <w:rsid w:val="00461C79"/>
    <w:rsid w:val="004621FC"/>
    <w:rsid w:val="00462261"/>
    <w:rsid w:val="004626CB"/>
    <w:rsid w:val="0046299C"/>
    <w:rsid w:val="00462A26"/>
    <w:rsid w:val="0046308F"/>
    <w:rsid w:val="004639D1"/>
    <w:rsid w:val="00463F67"/>
    <w:rsid w:val="00464040"/>
    <w:rsid w:val="004640FC"/>
    <w:rsid w:val="0046434C"/>
    <w:rsid w:val="0046456B"/>
    <w:rsid w:val="00464949"/>
    <w:rsid w:val="004649D4"/>
    <w:rsid w:val="004649E3"/>
    <w:rsid w:val="00464ADE"/>
    <w:rsid w:val="00464E59"/>
    <w:rsid w:val="00464EF1"/>
    <w:rsid w:val="00465593"/>
    <w:rsid w:val="00465890"/>
    <w:rsid w:val="00465912"/>
    <w:rsid w:val="0046599A"/>
    <w:rsid w:val="00466A1F"/>
    <w:rsid w:val="0046721F"/>
    <w:rsid w:val="00467296"/>
    <w:rsid w:val="00467345"/>
    <w:rsid w:val="004678CB"/>
    <w:rsid w:val="00467B7F"/>
    <w:rsid w:val="00467D9D"/>
    <w:rsid w:val="00470100"/>
    <w:rsid w:val="0047069C"/>
    <w:rsid w:val="00470907"/>
    <w:rsid w:val="00470B49"/>
    <w:rsid w:val="00470B57"/>
    <w:rsid w:val="00470B76"/>
    <w:rsid w:val="0047154B"/>
    <w:rsid w:val="0047182F"/>
    <w:rsid w:val="00471F1A"/>
    <w:rsid w:val="004720E8"/>
    <w:rsid w:val="0047233E"/>
    <w:rsid w:val="00472747"/>
    <w:rsid w:val="00472C83"/>
    <w:rsid w:val="00472F5C"/>
    <w:rsid w:val="0047340C"/>
    <w:rsid w:val="0047348D"/>
    <w:rsid w:val="00473565"/>
    <w:rsid w:val="00473627"/>
    <w:rsid w:val="00474624"/>
    <w:rsid w:val="00474900"/>
    <w:rsid w:val="00475093"/>
    <w:rsid w:val="004757BC"/>
    <w:rsid w:val="00475D6D"/>
    <w:rsid w:val="00475D9F"/>
    <w:rsid w:val="00475E93"/>
    <w:rsid w:val="004760F9"/>
    <w:rsid w:val="00476856"/>
    <w:rsid w:val="00476997"/>
    <w:rsid w:val="00476B34"/>
    <w:rsid w:val="00477C58"/>
    <w:rsid w:val="00477C6F"/>
    <w:rsid w:val="0048053F"/>
    <w:rsid w:val="00480659"/>
    <w:rsid w:val="00480BCC"/>
    <w:rsid w:val="00480CDF"/>
    <w:rsid w:val="00481589"/>
    <w:rsid w:val="004816F2"/>
    <w:rsid w:val="00481B57"/>
    <w:rsid w:val="00481D34"/>
    <w:rsid w:val="004822C3"/>
    <w:rsid w:val="0048296B"/>
    <w:rsid w:val="00482BC5"/>
    <w:rsid w:val="00482C94"/>
    <w:rsid w:val="00482E34"/>
    <w:rsid w:val="00482F5A"/>
    <w:rsid w:val="0048347D"/>
    <w:rsid w:val="004834EE"/>
    <w:rsid w:val="00483590"/>
    <w:rsid w:val="00483699"/>
    <w:rsid w:val="004842FD"/>
    <w:rsid w:val="00484883"/>
    <w:rsid w:val="00484899"/>
    <w:rsid w:val="004850C0"/>
    <w:rsid w:val="004854D9"/>
    <w:rsid w:val="00485DF5"/>
    <w:rsid w:val="00485E56"/>
    <w:rsid w:val="00486059"/>
    <w:rsid w:val="0048634A"/>
    <w:rsid w:val="004864C3"/>
    <w:rsid w:val="004864EE"/>
    <w:rsid w:val="004865A4"/>
    <w:rsid w:val="004865DA"/>
    <w:rsid w:val="0048671B"/>
    <w:rsid w:val="00486C60"/>
    <w:rsid w:val="00486CB0"/>
    <w:rsid w:val="00486DAA"/>
    <w:rsid w:val="004874D7"/>
    <w:rsid w:val="00487660"/>
    <w:rsid w:val="00487C9C"/>
    <w:rsid w:val="00487DD3"/>
    <w:rsid w:val="00487F2B"/>
    <w:rsid w:val="00490358"/>
    <w:rsid w:val="004903CF"/>
    <w:rsid w:val="0049044B"/>
    <w:rsid w:val="004904F3"/>
    <w:rsid w:val="004909AE"/>
    <w:rsid w:val="00490E1C"/>
    <w:rsid w:val="00491478"/>
    <w:rsid w:val="00491559"/>
    <w:rsid w:val="00491AA7"/>
    <w:rsid w:val="004926FF"/>
    <w:rsid w:val="00492DBD"/>
    <w:rsid w:val="00492EAE"/>
    <w:rsid w:val="00493390"/>
    <w:rsid w:val="004934B4"/>
    <w:rsid w:val="004935B8"/>
    <w:rsid w:val="00493FF0"/>
    <w:rsid w:val="00494343"/>
    <w:rsid w:val="00494427"/>
    <w:rsid w:val="004950F1"/>
    <w:rsid w:val="00495180"/>
    <w:rsid w:val="0049535B"/>
    <w:rsid w:val="0049586C"/>
    <w:rsid w:val="00495E18"/>
    <w:rsid w:val="00496581"/>
    <w:rsid w:val="0049683C"/>
    <w:rsid w:val="0049684F"/>
    <w:rsid w:val="0049687E"/>
    <w:rsid w:val="00496A9D"/>
    <w:rsid w:val="00496B3D"/>
    <w:rsid w:val="00496D24"/>
    <w:rsid w:val="00496EC1"/>
    <w:rsid w:val="004970E3"/>
    <w:rsid w:val="004970E4"/>
    <w:rsid w:val="00497758"/>
    <w:rsid w:val="004978A1"/>
    <w:rsid w:val="00497AAE"/>
    <w:rsid w:val="004A017D"/>
    <w:rsid w:val="004A08E6"/>
    <w:rsid w:val="004A0940"/>
    <w:rsid w:val="004A0C9A"/>
    <w:rsid w:val="004A0DDA"/>
    <w:rsid w:val="004A0EB7"/>
    <w:rsid w:val="004A0F0E"/>
    <w:rsid w:val="004A0FC6"/>
    <w:rsid w:val="004A1667"/>
    <w:rsid w:val="004A18D0"/>
    <w:rsid w:val="004A1C4C"/>
    <w:rsid w:val="004A20B6"/>
    <w:rsid w:val="004A2372"/>
    <w:rsid w:val="004A2890"/>
    <w:rsid w:val="004A289F"/>
    <w:rsid w:val="004A2B54"/>
    <w:rsid w:val="004A302D"/>
    <w:rsid w:val="004A33B0"/>
    <w:rsid w:val="004A3522"/>
    <w:rsid w:val="004A35AE"/>
    <w:rsid w:val="004A35B3"/>
    <w:rsid w:val="004A37CA"/>
    <w:rsid w:val="004A40E8"/>
    <w:rsid w:val="004A4C98"/>
    <w:rsid w:val="004A4FB4"/>
    <w:rsid w:val="004A526E"/>
    <w:rsid w:val="004A5611"/>
    <w:rsid w:val="004A5672"/>
    <w:rsid w:val="004A5938"/>
    <w:rsid w:val="004A5D91"/>
    <w:rsid w:val="004A5ED1"/>
    <w:rsid w:val="004A611B"/>
    <w:rsid w:val="004A629F"/>
    <w:rsid w:val="004A63A6"/>
    <w:rsid w:val="004A63AB"/>
    <w:rsid w:val="004A6903"/>
    <w:rsid w:val="004A692C"/>
    <w:rsid w:val="004A6A5C"/>
    <w:rsid w:val="004A6DFF"/>
    <w:rsid w:val="004A73D5"/>
    <w:rsid w:val="004A743B"/>
    <w:rsid w:val="004A77AF"/>
    <w:rsid w:val="004A7880"/>
    <w:rsid w:val="004A7AF0"/>
    <w:rsid w:val="004B0026"/>
    <w:rsid w:val="004B0663"/>
    <w:rsid w:val="004B0A5E"/>
    <w:rsid w:val="004B0AB3"/>
    <w:rsid w:val="004B0EBB"/>
    <w:rsid w:val="004B126E"/>
    <w:rsid w:val="004B13CB"/>
    <w:rsid w:val="004B14A6"/>
    <w:rsid w:val="004B19A4"/>
    <w:rsid w:val="004B1DFF"/>
    <w:rsid w:val="004B242B"/>
    <w:rsid w:val="004B269F"/>
    <w:rsid w:val="004B2849"/>
    <w:rsid w:val="004B2B09"/>
    <w:rsid w:val="004B2F1C"/>
    <w:rsid w:val="004B3071"/>
    <w:rsid w:val="004B337A"/>
    <w:rsid w:val="004B36D1"/>
    <w:rsid w:val="004B38F2"/>
    <w:rsid w:val="004B411A"/>
    <w:rsid w:val="004B4667"/>
    <w:rsid w:val="004B4A58"/>
    <w:rsid w:val="004B52D1"/>
    <w:rsid w:val="004B5593"/>
    <w:rsid w:val="004B5BC0"/>
    <w:rsid w:val="004B5C2C"/>
    <w:rsid w:val="004B5D66"/>
    <w:rsid w:val="004B5EF5"/>
    <w:rsid w:val="004B6275"/>
    <w:rsid w:val="004B6E7C"/>
    <w:rsid w:val="004B6F77"/>
    <w:rsid w:val="004B794B"/>
    <w:rsid w:val="004B7A4D"/>
    <w:rsid w:val="004B7B85"/>
    <w:rsid w:val="004C0341"/>
    <w:rsid w:val="004C08DE"/>
    <w:rsid w:val="004C0955"/>
    <w:rsid w:val="004C0A0D"/>
    <w:rsid w:val="004C0A75"/>
    <w:rsid w:val="004C0C84"/>
    <w:rsid w:val="004C0D96"/>
    <w:rsid w:val="004C109C"/>
    <w:rsid w:val="004C162A"/>
    <w:rsid w:val="004C1902"/>
    <w:rsid w:val="004C197B"/>
    <w:rsid w:val="004C1D03"/>
    <w:rsid w:val="004C22C9"/>
    <w:rsid w:val="004C2394"/>
    <w:rsid w:val="004C263A"/>
    <w:rsid w:val="004C2735"/>
    <w:rsid w:val="004C2AFD"/>
    <w:rsid w:val="004C2D7C"/>
    <w:rsid w:val="004C34F2"/>
    <w:rsid w:val="004C4070"/>
    <w:rsid w:val="004C4EDB"/>
    <w:rsid w:val="004C511C"/>
    <w:rsid w:val="004C5223"/>
    <w:rsid w:val="004C5F34"/>
    <w:rsid w:val="004C6113"/>
    <w:rsid w:val="004C66E4"/>
    <w:rsid w:val="004C68DF"/>
    <w:rsid w:val="004C6B30"/>
    <w:rsid w:val="004C7221"/>
    <w:rsid w:val="004C7402"/>
    <w:rsid w:val="004C74EB"/>
    <w:rsid w:val="004C7BB1"/>
    <w:rsid w:val="004C7D78"/>
    <w:rsid w:val="004C7E4B"/>
    <w:rsid w:val="004D0A2E"/>
    <w:rsid w:val="004D0E9F"/>
    <w:rsid w:val="004D16E5"/>
    <w:rsid w:val="004D185F"/>
    <w:rsid w:val="004D1AA7"/>
    <w:rsid w:val="004D1CED"/>
    <w:rsid w:val="004D1E70"/>
    <w:rsid w:val="004D2511"/>
    <w:rsid w:val="004D2522"/>
    <w:rsid w:val="004D2A9B"/>
    <w:rsid w:val="004D30B5"/>
    <w:rsid w:val="004D34DC"/>
    <w:rsid w:val="004D4616"/>
    <w:rsid w:val="004D4618"/>
    <w:rsid w:val="004D48AF"/>
    <w:rsid w:val="004D4AA5"/>
    <w:rsid w:val="004D5404"/>
    <w:rsid w:val="004D57E1"/>
    <w:rsid w:val="004D5917"/>
    <w:rsid w:val="004D5956"/>
    <w:rsid w:val="004D5DF1"/>
    <w:rsid w:val="004D5EEA"/>
    <w:rsid w:val="004D69E7"/>
    <w:rsid w:val="004D6F54"/>
    <w:rsid w:val="004D73C8"/>
    <w:rsid w:val="004D7C46"/>
    <w:rsid w:val="004D7F65"/>
    <w:rsid w:val="004E0025"/>
    <w:rsid w:val="004E005D"/>
    <w:rsid w:val="004E0363"/>
    <w:rsid w:val="004E05E9"/>
    <w:rsid w:val="004E0DCC"/>
    <w:rsid w:val="004E10BC"/>
    <w:rsid w:val="004E11F8"/>
    <w:rsid w:val="004E16C6"/>
    <w:rsid w:val="004E1A72"/>
    <w:rsid w:val="004E1C00"/>
    <w:rsid w:val="004E1E5B"/>
    <w:rsid w:val="004E1FEF"/>
    <w:rsid w:val="004E2304"/>
    <w:rsid w:val="004E25CB"/>
    <w:rsid w:val="004E2725"/>
    <w:rsid w:val="004E29AA"/>
    <w:rsid w:val="004E2BA8"/>
    <w:rsid w:val="004E2BDA"/>
    <w:rsid w:val="004E2D26"/>
    <w:rsid w:val="004E2D39"/>
    <w:rsid w:val="004E2F31"/>
    <w:rsid w:val="004E306C"/>
    <w:rsid w:val="004E3158"/>
    <w:rsid w:val="004E32DE"/>
    <w:rsid w:val="004E33E4"/>
    <w:rsid w:val="004E3544"/>
    <w:rsid w:val="004E36A7"/>
    <w:rsid w:val="004E36AD"/>
    <w:rsid w:val="004E3988"/>
    <w:rsid w:val="004E3AE1"/>
    <w:rsid w:val="004E3CF8"/>
    <w:rsid w:val="004E3D10"/>
    <w:rsid w:val="004E4001"/>
    <w:rsid w:val="004E4972"/>
    <w:rsid w:val="004E4A46"/>
    <w:rsid w:val="004E4C39"/>
    <w:rsid w:val="004E5599"/>
    <w:rsid w:val="004E55C9"/>
    <w:rsid w:val="004E582D"/>
    <w:rsid w:val="004E61A7"/>
    <w:rsid w:val="004E661B"/>
    <w:rsid w:val="004E6C41"/>
    <w:rsid w:val="004E6C58"/>
    <w:rsid w:val="004E6CAB"/>
    <w:rsid w:val="004E70BA"/>
    <w:rsid w:val="004E77C0"/>
    <w:rsid w:val="004E7CF6"/>
    <w:rsid w:val="004E7FB1"/>
    <w:rsid w:val="004F030E"/>
    <w:rsid w:val="004F034B"/>
    <w:rsid w:val="004F04FE"/>
    <w:rsid w:val="004F0630"/>
    <w:rsid w:val="004F071C"/>
    <w:rsid w:val="004F0740"/>
    <w:rsid w:val="004F0A3A"/>
    <w:rsid w:val="004F0AE8"/>
    <w:rsid w:val="004F0BD0"/>
    <w:rsid w:val="004F0FCE"/>
    <w:rsid w:val="004F16D6"/>
    <w:rsid w:val="004F16F3"/>
    <w:rsid w:val="004F2655"/>
    <w:rsid w:val="004F281D"/>
    <w:rsid w:val="004F2A9A"/>
    <w:rsid w:val="004F2BA0"/>
    <w:rsid w:val="004F2C0D"/>
    <w:rsid w:val="004F2C31"/>
    <w:rsid w:val="004F2D03"/>
    <w:rsid w:val="004F371C"/>
    <w:rsid w:val="004F3C4A"/>
    <w:rsid w:val="004F3D8D"/>
    <w:rsid w:val="004F43BD"/>
    <w:rsid w:val="004F46E8"/>
    <w:rsid w:val="004F48D2"/>
    <w:rsid w:val="004F4CF1"/>
    <w:rsid w:val="004F4E45"/>
    <w:rsid w:val="004F4EB0"/>
    <w:rsid w:val="004F501D"/>
    <w:rsid w:val="004F53F7"/>
    <w:rsid w:val="004F54C3"/>
    <w:rsid w:val="004F5C44"/>
    <w:rsid w:val="004F5FE3"/>
    <w:rsid w:val="004F6206"/>
    <w:rsid w:val="004F6380"/>
    <w:rsid w:val="004F63D4"/>
    <w:rsid w:val="004F64C1"/>
    <w:rsid w:val="004F6535"/>
    <w:rsid w:val="004F673B"/>
    <w:rsid w:val="004F715C"/>
    <w:rsid w:val="00500021"/>
    <w:rsid w:val="005005B0"/>
    <w:rsid w:val="0050083B"/>
    <w:rsid w:val="00500C8D"/>
    <w:rsid w:val="00501704"/>
    <w:rsid w:val="00502638"/>
    <w:rsid w:val="00502F18"/>
    <w:rsid w:val="00502F57"/>
    <w:rsid w:val="0050323B"/>
    <w:rsid w:val="00503691"/>
    <w:rsid w:val="00503D45"/>
    <w:rsid w:val="0050405F"/>
    <w:rsid w:val="005046FF"/>
    <w:rsid w:val="0050471F"/>
    <w:rsid w:val="0050475D"/>
    <w:rsid w:val="00504B7D"/>
    <w:rsid w:val="0050556B"/>
    <w:rsid w:val="00505588"/>
    <w:rsid w:val="00505B82"/>
    <w:rsid w:val="00505B94"/>
    <w:rsid w:val="00505EFA"/>
    <w:rsid w:val="00506C11"/>
    <w:rsid w:val="00506DCE"/>
    <w:rsid w:val="00507249"/>
    <w:rsid w:val="00507606"/>
    <w:rsid w:val="00507993"/>
    <w:rsid w:val="00507DBD"/>
    <w:rsid w:val="00507F74"/>
    <w:rsid w:val="005109B5"/>
    <w:rsid w:val="00510A5E"/>
    <w:rsid w:val="00510DB3"/>
    <w:rsid w:val="0051102E"/>
    <w:rsid w:val="005112EC"/>
    <w:rsid w:val="00511A6D"/>
    <w:rsid w:val="00512324"/>
    <w:rsid w:val="005125B9"/>
    <w:rsid w:val="00512F42"/>
    <w:rsid w:val="00512F60"/>
    <w:rsid w:val="005130FC"/>
    <w:rsid w:val="00513DA6"/>
    <w:rsid w:val="00514B10"/>
    <w:rsid w:val="00514BD2"/>
    <w:rsid w:val="00515208"/>
    <w:rsid w:val="00515597"/>
    <w:rsid w:val="00515F6C"/>
    <w:rsid w:val="005162DA"/>
    <w:rsid w:val="005166B6"/>
    <w:rsid w:val="00516883"/>
    <w:rsid w:val="005169A5"/>
    <w:rsid w:val="00517337"/>
    <w:rsid w:val="00517A88"/>
    <w:rsid w:val="00517E27"/>
    <w:rsid w:val="005207E7"/>
    <w:rsid w:val="00520A63"/>
    <w:rsid w:val="00520B54"/>
    <w:rsid w:val="00520DD5"/>
    <w:rsid w:val="005210F2"/>
    <w:rsid w:val="00521353"/>
    <w:rsid w:val="005213CB"/>
    <w:rsid w:val="0052198A"/>
    <w:rsid w:val="00521E49"/>
    <w:rsid w:val="005220D1"/>
    <w:rsid w:val="00522430"/>
    <w:rsid w:val="0052261F"/>
    <w:rsid w:val="005226AF"/>
    <w:rsid w:val="005235AC"/>
    <w:rsid w:val="00523D58"/>
    <w:rsid w:val="0052421E"/>
    <w:rsid w:val="0052428D"/>
    <w:rsid w:val="00524562"/>
    <w:rsid w:val="00525630"/>
    <w:rsid w:val="0052599F"/>
    <w:rsid w:val="00525E62"/>
    <w:rsid w:val="00526331"/>
    <w:rsid w:val="00526334"/>
    <w:rsid w:val="00526B01"/>
    <w:rsid w:val="00526D72"/>
    <w:rsid w:val="005271DA"/>
    <w:rsid w:val="005275EE"/>
    <w:rsid w:val="0052762F"/>
    <w:rsid w:val="00527B5F"/>
    <w:rsid w:val="0053014A"/>
    <w:rsid w:val="005303FC"/>
    <w:rsid w:val="005306A2"/>
    <w:rsid w:val="005312B9"/>
    <w:rsid w:val="00531AC3"/>
    <w:rsid w:val="00531C3E"/>
    <w:rsid w:val="00532054"/>
    <w:rsid w:val="005323AA"/>
    <w:rsid w:val="005323D8"/>
    <w:rsid w:val="00532835"/>
    <w:rsid w:val="0053313F"/>
    <w:rsid w:val="005333B9"/>
    <w:rsid w:val="0053369B"/>
    <w:rsid w:val="0053393A"/>
    <w:rsid w:val="00534246"/>
    <w:rsid w:val="00534857"/>
    <w:rsid w:val="00534883"/>
    <w:rsid w:val="00534B08"/>
    <w:rsid w:val="00535201"/>
    <w:rsid w:val="005356E8"/>
    <w:rsid w:val="005357ED"/>
    <w:rsid w:val="00535CD0"/>
    <w:rsid w:val="00536313"/>
    <w:rsid w:val="005363D2"/>
    <w:rsid w:val="00536C37"/>
    <w:rsid w:val="00536D5A"/>
    <w:rsid w:val="005372E1"/>
    <w:rsid w:val="0053777A"/>
    <w:rsid w:val="00537B8C"/>
    <w:rsid w:val="0054083A"/>
    <w:rsid w:val="00541915"/>
    <w:rsid w:val="005419B4"/>
    <w:rsid w:val="00541C08"/>
    <w:rsid w:val="00542022"/>
    <w:rsid w:val="00542089"/>
    <w:rsid w:val="005427F2"/>
    <w:rsid w:val="00543109"/>
    <w:rsid w:val="005434E5"/>
    <w:rsid w:val="00543603"/>
    <w:rsid w:val="0054365C"/>
    <w:rsid w:val="005438DB"/>
    <w:rsid w:val="00543926"/>
    <w:rsid w:val="00543AC0"/>
    <w:rsid w:val="00543C20"/>
    <w:rsid w:val="005444D1"/>
    <w:rsid w:val="005445E2"/>
    <w:rsid w:val="00544664"/>
    <w:rsid w:val="00544AA9"/>
    <w:rsid w:val="00544BB2"/>
    <w:rsid w:val="00544E64"/>
    <w:rsid w:val="00544F78"/>
    <w:rsid w:val="0054556C"/>
    <w:rsid w:val="005455E0"/>
    <w:rsid w:val="00545881"/>
    <w:rsid w:val="005458CB"/>
    <w:rsid w:val="00545972"/>
    <w:rsid w:val="00545CFF"/>
    <w:rsid w:val="005462CE"/>
    <w:rsid w:val="00546640"/>
    <w:rsid w:val="005469CB"/>
    <w:rsid w:val="00546C17"/>
    <w:rsid w:val="00546CDF"/>
    <w:rsid w:val="00547564"/>
    <w:rsid w:val="005477FD"/>
    <w:rsid w:val="005479E5"/>
    <w:rsid w:val="0055033F"/>
    <w:rsid w:val="005507A1"/>
    <w:rsid w:val="00550C6F"/>
    <w:rsid w:val="00550D94"/>
    <w:rsid w:val="00551508"/>
    <w:rsid w:val="0055174F"/>
    <w:rsid w:val="00552494"/>
    <w:rsid w:val="00552873"/>
    <w:rsid w:val="00552887"/>
    <w:rsid w:val="005528F1"/>
    <w:rsid w:val="00553325"/>
    <w:rsid w:val="005545C0"/>
    <w:rsid w:val="005546F0"/>
    <w:rsid w:val="00554EBF"/>
    <w:rsid w:val="00554F1E"/>
    <w:rsid w:val="005550BC"/>
    <w:rsid w:val="00555243"/>
    <w:rsid w:val="005554B3"/>
    <w:rsid w:val="00555593"/>
    <w:rsid w:val="00555803"/>
    <w:rsid w:val="00556250"/>
    <w:rsid w:val="005562A2"/>
    <w:rsid w:val="0055638A"/>
    <w:rsid w:val="005563B1"/>
    <w:rsid w:val="00556A07"/>
    <w:rsid w:val="00556D6D"/>
    <w:rsid w:val="00557080"/>
    <w:rsid w:val="00557304"/>
    <w:rsid w:val="005575ED"/>
    <w:rsid w:val="00557641"/>
    <w:rsid w:val="005576A7"/>
    <w:rsid w:val="00557718"/>
    <w:rsid w:val="00557839"/>
    <w:rsid w:val="00557A28"/>
    <w:rsid w:val="00557B18"/>
    <w:rsid w:val="0056032C"/>
    <w:rsid w:val="0056064F"/>
    <w:rsid w:val="00560708"/>
    <w:rsid w:val="0056070F"/>
    <w:rsid w:val="00560832"/>
    <w:rsid w:val="00560938"/>
    <w:rsid w:val="00560E1D"/>
    <w:rsid w:val="00560E4A"/>
    <w:rsid w:val="00560F05"/>
    <w:rsid w:val="00561727"/>
    <w:rsid w:val="00561730"/>
    <w:rsid w:val="0056184F"/>
    <w:rsid w:val="00561A24"/>
    <w:rsid w:val="00561BA6"/>
    <w:rsid w:val="00561C50"/>
    <w:rsid w:val="005622E1"/>
    <w:rsid w:val="00562397"/>
    <w:rsid w:val="005629FA"/>
    <w:rsid w:val="00562ADE"/>
    <w:rsid w:val="00562BBF"/>
    <w:rsid w:val="00562F0F"/>
    <w:rsid w:val="0056308A"/>
    <w:rsid w:val="005632CE"/>
    <w:rsid w:val="005639C7"/>
    <w:rsid w:val="00563AC1"/>
    <w:rsid w:val="00563B8F"/>
    <w:rsid w:val="0056400D"/>
    <w:rsid w:val="0056415C"/>
    <w:rsid w:val="00564305"/>
    <w:rsid w:val="005647BF"/>
    <w:rsid w:val="00565233"/>
    <w:rsid w:val="005653C0"/>
    <w:rsid w:val="00565490"/>
    <w:rsid w:val="00565568"/>
    <w:rsid w:val="0056572F"/>
    <w:rsid w:val="00566075"/>
    <w:rsid w:val="00566172"/>
    <w:rsid w:val="005668A9"/>
    <w:rsid w:val="00566E11"/>
    <w:rsid w:val="00566EFD"/>
    <w:rsid w:val="0056706E"/>
    <w:rsid w:val="0056750A"/>
    <w:rsid w:val="00567EC0"/>
    <w:rsid w:val="00567F5B"/>
    <w:rsid w:val="00570815"/>
    <w:rsid w:val="00570AF6"/>
    <w:rsid w:val="00570C2D"/>
    <w:rsid w:val="00570C98"/>
    <w:rsid w:val="00570D2C"/>
    <w:rsid w:val="00571627"/>
    <w:rsid w:val="005716F3"/>
    <w:rsid w:val="00572278"/>
    <w:rsid w:val="00572BBF"/>
    <w:rsid w:val="00573320"/>
    <w:rsid w:val="005733D8"/>
    <w:rsid w:val="005736B6"/>
    <w:rsid w:val="00573A8B"/>
    <w:rsid w:val="00573C20"/>
    <w:rsid w:val="00573C24"/>
    <w:rsid w:val="00573D58"/>
    <w:rsid w:val="00573DF0"/>
    <w:rsid w:val="0057433B"/>
    <w:rsid w:val="005750C5"/>
    <w:rsid w:val="00575243"/>
    <w:rsid w:val="00577057"/>
    <w:rsid w:val="005777E0"/>
    <w:rsid w:val="00580894"/>
    <w:rsid w:val="005808FF"/>
    <w:rsid w:val="005809BC"/>
    <w:rsid w:val="00581016"/>
    <w:rsid w:val="005815CE"/>
    <w:rsid w:val="00581791"/>
    <w:rsid w:val="0058223E"/>
    <w:rsid w:val="00582401"/>
    <w:rsid w:val="005826DE"/>
    <w:rsid w:val="0058286C"/>
    <w:rsid w:val="00582A7F"/>
    <w:rsid w:val="00583459"/>
    <w:rsid w:val="005834A2"/>
    <w:rsid w:val="00583737"/>
    <w:rsid w:val="00583ACA"/>
    <w:rsid w:val="00583F62"/>
    <w:rsid w:val="005840FE"/>
    <w:rsid w:val="00584846"/>
    <w:rsid w:val="005848DB"/>
    <w:rsid w:val="00584BC9"/>
    <w:rsid w:val="00584DF6"/>
    <w:rsid w:val="00584E5F"/>
    <w:rsid w:val="0058504D"/>
    <w:rsid w:val="00585397"/>
    <w:rsid w:val="00585515"/>
    <w:rsid w:val="00585939"/>
    <w:rsid w:val="00585B66"/>
    <w:rsid w:val="00585C6D"/>
    <w:rsid w:val="00585E94"/>
    <w:rsid w:val="005861BE"/>
    <w:rsid w:val="005864C2"/>
    <w:rsid w:val="005866BA"/>
    <w:rsid w:val="00586B35"/>
    <w:rsid w:val="00586B70"/>
    <w:rsid w:val="00586D3E"/>
    <w:rsid w:val="00587F14"/>
    <w:rsid w:val="0059037F"/>
    <w:rsid w:val="005904FF"/>
    <w:rsid w:val="005907F6"/>
    <w:rsid w:val="00590A19"/>
    <w:rsid w:val="00590A23"/>
    <w:rsid w:val="00590CA1"/>
    <w:rsid w:val="00590D51"/>
    <w:rsid w:val="00590DC5"/>
    <w:rsid w:val="00590E77"/>
    <w:rsid w:val="00590F69"/>
    <w:rsid w:val="005910C4"/>
    <w:rsid w:val="0059174C"/>
    <w:rsid w:val="00591E0B"/>
    <w:rsid w:val="005920CC"/>
    <w:rsid w:val="005925E7"/>
    <w:rsid w:val="005927B8"/>
    <w:rsid w:val="00592A43"/>
    <w:rsid w:val="00592C25"/>
    <w:rsid w:val="005930EB"/>
    <w:rsid w:val="0059394C"/>
    <w:rsid w:val="00593B9D"/>
    <w:rsid w:val="00593D9F"/>
    <w:rsid w:val="00593F65"/>
    <w:rsid w:val="00593F92"/>
    <w:rsid w:val="005941EC"/>
    <w:rsid w:val="0059423D"/>
    <w:rsid w:val="005942B3"/>
    <w:rsid w:val="0059449C"/>
    <w:rsid w:val="00594612"/>
    <w:rsid w:val="005946AB"/>
    <w:rsid w:val="005949E9"/>
    <w:rsid w:val="00594E1C"/>
    <w:rsid w:val="00594E20"/>
    <w:rsid w:val="00594E9E"/>
    <w:rsid w:val="00595265"/>
    <w:rsid w:val="00595579"/>
    <w:rsid w:val="005955BB"/>
    <w:rsid w:val="005958AB"/>
    <w:rsid w:val="00595AEE"/>
    <w:rsid w:val="00595B5A"/>
    <w:rsid w:val="005968DE"/>
    <w:rsid w:val="005969F6"/>
    <w:rsid w:val="00596A91"/>
    <w:rsid w:val="00596B3D"/>
    <w:rsid w:val="00596B97"/>
    <w:rsid w:val="00597474"/>
    <w:rsid w:val="00597636"/>
    <w:rsid w:val="0059770C"/>
    <w:rsid w:val="00597733"/>
    <w:rsid w:val="005978E7"/>
    <w:rsid w:val="005A0186"/>
    <w:rsid w:val="005A01D7"/>
    <w:rsid w:val="005A0264"/>
    <w:rsid w:val="005A03CB"/>
    <w:rsid w:val="005A0460"/>
    <w:rsid w:val="005A0DB5"/>
    <w:rsid w:val="005A1683"/>
    <w:rsid w:val="005A1BD9"/>
    <w:rsid w:val="005A1C9E"/>
    <w:rsid w:val="005A1EBF"/>
    <w:rsid w:val="005A2938"/>
    <w:rsid w:val="005A2A7D"/>
    <w:rsid w:val="005A2FF1"/>
    <w:rsid w:val="005A356B"/>
    <w:rsid w:val="005A37DF"/>
    <w:rsid w:val="005A395D"/>
    <w:rsid w:val="005A3A27"/>
    <w:rsid w:val="005A4BBF"/>
    <w:rsid w:val="005A4D79"/>
    <w:rsid w:val="005A4F56"/>
    <w:rsid w:val="005A5582"/>
    <w:rsid w:val="005A6128"/>
    <w:rsid w:val="005A68A8"/>
    <w:rsid w:val="005A6A43"/>
    <w:rsid w:val="005A6AF1"/>
    <w:rsid w:val="005A6B4C"/>
    <w:rsid w:val="005A6CCE"/>
    <w:rsid w:val="005A6DCA"/>
    <w:rsid w:val="005A6E56"/>
    <w:rsid w:val="005A6E63"/>
    <w:rsid w:val="005A74E2"/>
    <w:rsid w:val="005A7AF4"/>
    <w:rsid w:val="005B00B1"/>
    <w:rsid w:val="005B0969"/>
    <w:rsid w:val="005B157C"/>
    <w:rsid w:val="005B1965"/>
    <w:rsid w:val="005B1D80"/>
    <w:rsid w:val="005B203F"/>
    <w:rsid w:val="005B212D"/>
    <w:rsid w:val="005B2DA3"/>
    <w:rsid w:val="005B2E68"/>
    <w:rsid w:val="005B2FAF"/>
    <w:rsid w:val="005B311A"/>
    <w:rsid w:val="005B31CD"/>
    <w:rsid w:val="005B35AF"/>
    <w:rsid w:val="005B3861"/>
    <w:rsid w:val="005B3CEA"/>
    <w:rsid w:val="005B4293"/>
    <w:rsid w:val="005B46DE"/>
    <w:rsid w:val="005B4EFB"/>
    <w:rsid w:val="005B50B2"/>
    <w:rsid w:val="005B5113"/>
    <w:rsid w:val="005B5838"/>
    <w:rsid w:val="005B5E0A"/>
    <w:rsid w:val="005B6563"/>
    <w:rsid w:val="005B6C27"/>
    <w:rsid w:val="005B6DC6"/>
    <w:rsid w:val="005B710A"/>
    <w:rsid w:val="005B75D8"/>
    <w:rsid w:val="005B76BA"/>
    <w:rsid w:val="005B77BE"/>
    <w:rsid w:val="005B78E6"/>
    <w:rsid w:val="005B7BBE"/>
    <w:rsid w:val="005B7F4D"/>
    <w:rsid w:val="005C02AB"/>
    <w:rsid w:val="005C0864"/>
    <w:rsid w:val="005C1245"/>
    <w:rsid w:val="005C158D"/>
    <w:rsid w:val="005C19C8"/>
    <w:rsid w:val="005C1A1A"/>
    <w:rsid w:val="005C1B69"/>
    <w:rsid w:val="005C1B89"/>
    <w:rsid w:val="005C1B9D"/>
    <w:rsid w:val="005C1C9F"/>
    <w:rsid w:val="005C1D6C"/>
    <w:rsid w:val="005C22BC"/>
    <w:rsid w:val="005C2708"/>
    <w:rsid w:val="005C2D95"/>
    <w:rsid w:val="005C2F16"/>
    <w:rsid w:val="005C2F50"/>
    <w:rsid w:val="005C2F75"/>
    <w:rsid w:val="005C3062"/>
    <w:rsid w:val="005C339E"/>
    <w:rsid w:val="005C3753"/>
    <w:rsid w:val="005C3F79"/>
    <w:rsid w:val="005C40DC"/>
    <w:rsid w:val="005C41A4"/>
    <w:rsid w:val="005C4CBE"/>
    <w:rsid w:val="005C51AC"/>
    <w:rsid w:val="005C53D9"/>
    <w:rsid w:val="005C54F2"/>
    <w:rsid w:val="005C59D4"/>
    <w:rsid w:val="005C5A17"/>
    <w:rsid w:val="005C5BCE"/>
    <w:rsid w:val="005C5F4E"/>
    <w:rsid w:val="005C6305"/>
    <w:rsid w:val="005C637E"/>
    <w:rsid w:val="005C63C3"/>
    <w:rsid w:val="005C6983"/>
    <w:rsid w:val="005C6D39"/>
    <w:rsid w:val="005C6DC2"/>
    <w:rsid w:val="005C6F36"/>
    <w:rsid w:val="005C6F51"/>
    <w:rsid w:val="005C6FE9"/>
    <w:rsid w:val="005C727F"/>
    <w:rsid w:val="005C76F3"/>
    <w:rsid w:val="005C7729"/>
    <w:rsid w:val="005C7BD4"/>
    <w:rsid w:val="005C7F92"/>
    <w:rsid w:val="005C7FCD"/>
    <w:rsid w:val="005D00D2"/>
    <w:rsid w:val="005D085D"/>
    <w:rsid w:val="005D09D4"/>
    <w:rsid w:val="005D0A20"/>
    <w:rsid w:val="005D0D2C"/>
    <w:rsid w:val="005D0EF1"/>
    <w:rsid w:val="005D1252"/>
    <w:rsid w:val="005D135D"/>
    <w:rsid w:val="005D1485"/>
    <w:rsid w:val="005D246B"/>
    <w:rsid w:val="005D257D"/>
    <w:rsid w:val="005D2A77"/>
    <w:rsid w:val="005D2A8C"/>
    <w:rsid w:val="005D2C25"/>
    <w:rsid w:val="005D2DC7"/>
    <w:rsid w:val="005D2DD3"/>
    <w:rsid w:val="005D371D"/>
    <w:rsid w:val="005D3A66"/>
    <w:rsid w:val="005D3C8D"/>
    <w:rsid w:val="005D414D"/>
    <w:rsid w:val="005D46BE"/>
    <w:rsid w:val="005D49E5"/>
    <w:rsid w:val="005D4B21"/>
    <w:rsid w:val="005D4B25"/>
    <w:rsid w:val="005D5195"/>
    <w:rsid w:val="005D5270"/>
    <w:rsid w:val="005D5477"/>
    <w:rsid w:val="005D5BDB"/>
    <w:rsid w:val="005D5CD5"/>
    <w:rsid w:val="005D5E87"/>
    <w:rsid w:val="005D60E5"/>
    <w:rsid w:val="005D6BD5"/>
    <w:rsid w:val="005D6C7C"/>
    <w:rsid w:val="005D6E8D"/>
    <w:rsid w:val="005D6EBD"/>
    <w:rsid w:val="005D73BB"/>
    <w:rsid w:val="005D787D"/>
    <w:rsid w:val="005D7D39"/>
    <w:rsid w:val="005E0493"/>
    <w:rsid w:val="005E0978"/>
    <w:rsid w:val="005E0EE8"/>
    <w:rsid w:val="005E122A"/>
    <w:rsid w:val="005E1272"/>
    <w:rsid w:val="005E18B2"/>
    <w:rsid w:val="005E19FA"/>
    <w:rsid w:val="005E1CBB"/>
    <w:rsid w:val="005E1CDA"/>
    <w:rsid w:val="005E21EC"/>
    <w:rsid w:val="005E266E"/>
    <w:rsid w:val="005E26F7"/>
    <w:rsid w:val="005E2A56"/>
    <w:rsid w:val="005E2CAE"/>
    <w:rsid w:val="005E2F82"/>
    <w:rsid w:val="005E3443"/>
    <w:rsid w:val="005E35B6"/>
    <w:rsid w:val="005E3697"/>
    <w:rsid w:val="005E410B"/>
    <w:rsid w:val="005E4858"/>
    <w:rsid w:val="005E528F"/>
    <w:rsid w:val="005E5422"/>
    <w:rsid w:val="005E5744"/>
    <w:rsid w:val="005E5798"/>
    <w:rsid w:val="005E5B35"/>
    <w:rsid w:val="005E5BAF"/>
    <w:rsid w:val="005E5E78"/>
    <w:rsid w:val="005E6099"/>
    <w:rsid w:val="005E6907"/>
    <w:rsid w:val="005E6E84"/>
    <w:rsid w:val="005E7065"/>
    <w:rsid w:val="005E7353"/>
    <w:rsid w:val="005E73E7"/>
    <w:rsid w:val="005E7BC2"/>
    <w:rsid w:val="005E7E6C"/>
    <w:rsid w:val="005E7F7D"/>
    <w:rsid w:val="005F0350"/>
    <w:rsid w:val="005F1170"/>
    <w:rsid w:val="005F181B"/>
    <w:rsid w:val="005F208F"/>
    <w:rsid w:val="005F2BF0"/>
    <w:rsid w:val="005F2C64"/>
    <w:rsid w:val="005F3E34"/>
    <w:rsid w:val="005F4335"/>
    <w:rsid w:val="005F4431"/>
    <w:rsid w:val="005F4D16"/>
    <w:rsid w:val="005F4EC8"/>
    <w:rsid w:val="005F4EE2"/>
    <w:rsid w:val="005F50E8"/>
    <w:rsid w:val="005F5183"/>
    <w:rsid w:val="005F5A60"/>
    <w:rsid w:val="005F5AD6"/>
    <w:rsid w:val="005F5DD6"/>
    <w:rsid w:val="005F65E9"/>
    <w:rsid w:val="005F6ADC"/>
    <w:rsid w:val="005F6DEB"/>
    <w:rsid w:val="005F7414"/>
    <w:rsid w:val="005F7492"/>
    <w:rsid w:val="005F7745"/>
    <w:rsid w:val="005F79C0"/>
    <w:rsid w:val="005F7D72"/>
    <w:rsid w:val="005F7E46"/>
    <w:rsid w:val="006002A2"/>
    <w:rsid w:val="00601292"/>
    <w:rsid w:val="00601337"/>
    <w:rsid w:val="006019C2"/>
    <w:rsid w:val="00601E99"/>
    <w:rsid w:val="00601EBE"/>
    <w:rsid w:val="006025DB"/>
    <w:rsid w:val="00602AA4"/>
    <w:rsid w:val="00602BC2"/>
    <w:rsid w:val="00602DF5"/>
    <w:rsid w:val="00603642"/>
    <w:rsid w:val="006036A9"/>
    <w:rsid w:val="00603A5F"/>
    <w:rsid w:val="00603E67"/>
    <w:rsid w:val="00603EF0"/>
    <w:rsid w:val="00604164"/>
    <w:rsid w:val="00604441"/>
    <w:rsid w:val="0060445B"/>
    <w:rsid w:val="00604539"/>
    <w:rsid w:val="0060524D"/>
    <w:rsid w:val="006056E8"/>
    <w:rsid w:val="0060587B"/>
    <w:rsid w:val="006061C2"/>
    <w:rsid w:val="0060656E"/>
    <w:rsid w:val="0060687A"/>
    <w:rsid w:val="00606F1B"/>
    <w:rsid w:val="006072F9"/>
    <w:rsid w:val="006077FC"/>
    <w:rsid w:val="00607A83"/>
    <w:rsid w:val="00607FCB"/>
    <w:rsid w:val="006117BB"/>
    <w:rsid w:val="00611EE2"/>
    <w:rsid w:val="00612122"/>
    <w:rsid w:val="00612814"/>
    <w:rsid w:val="00612B03"/>
    <w:rsid w:val="00613287"/>
    <w:rsid w:val="006133B7"/>
    <w:rsid w:val="006135F9"/>
    <w:rsid w:val="00613FD6"/>
    <w:rsid w:val="0061493F"/>
    <w:rsid w:val="00614A48"/>
    <w:rsid w:val="00614C3F"/>
    <w:rsid w:val="00614F77"/>
    <w:rsid w:val="006155E0"/>
    <w:rsid w:val="00616063"/>
    <w:rsid w:val="006169A7"/>
    <w:rsid w:val="00616ABE"/>
    <w:rsid w:val="00616E5B"/>
    <w:rsid w:val="00617197"/>
    <w:rsid w:val="006171F9"/>
    <w:rsid w:val="00617418"/>
    <w:rsid w:val="0061742E"/>
    <w:rsid w:val="00617C56"/>
    <w:rsid w:val="00617DF3"/>
    <w:rsid w:val="00620282"/>
    <w:rsid w:val="00620347"/>
    <w:rsid w:val="006203E5"/>
    <w:rsid w:val="00620A16"/>
    <w:rsid w:val="00621144"/>
    <w:rsid w:val="0062176F"/>
    <w:rsid w:val="006219F3"/>
    <w:rsid w:val="00622D13"/>
    <w:rsid w:val="00622DB1"/>
    <w:rsid w:val="0062311C"/>
    <w:rsid w:val="00623258"/>
    <w:rsid w:val="0062329F"/>
    <w:rsid w:val="0062343C"/>
    <w:rsid w:val="0062368E"/>
    <w:rsid w:val="00623726"/>
    <w:rsid w:val="00623958"/>
    <w:rsid w:val="00623C26"/>
    <w:rsid w:val="00623CA5"/>
    <w:rsid w:val="00623F1B"/>
    <w:rsid w:val="006247F9"/>
    <w:rsid w:val="00625198"/>
    <w:rsid w:val="0062549C"/>
    <w:rsid w:val="006259CC"/>
    <w:rsid w:val="00625A2D"/>
    <w:rsid w:val="00625CD3"/>
    <w:rsid w:val="0062662E"/>
    <w:rsid w:val="006267F1"/>
    <w:rsid w:val="00627661"/>
    <w:rsid w:val="00627DE1"/>
    <w:rsid w:val="00627F6E"/>
    <w:rsid w:val="0063076D"/>
    <w:rsid w:val="0063089E"/>
    <w:rsid w:val="00630B7E"/>
    <w:rsid w:val="00631B04"/>
    <w:rsid w:val="006322A6"/>
    <w:rsid w:val="00632337"/>
    <w:rsid w:val="00632910"/>
    <w:rsid w:val="00632A9D"/>
    <w:rsid w:val="00632C87"/>
    <w:rsid w:val="00632F9F"/>
    <w:rsid w:val="006330B6"/>
    <w:rsid w:val="006332E2"/>
    <w:rsid w:val="0063349E"/>
    <w:rsid w:val="006338C9"/>
    <w:rsid w:val="00633A0B"/>
    <w:rsid w:val="00633C2F"/>
    <w:rsid w:val="00633E17"/>
    <w:rsid w:val="0063467F"/>
    <w:rsid w:val="00634691"/>
    <w:rsid w:val="00634955"/>
    <w:rsid w:val="00634CF6"/>
    <w:rsid w:val="006352AD"/>
    <w:rsid w:val="00635658"/>
    <w:rsid w:val="00635784"/>
    <w:rsid w:val="006357D7"/>
    <w:rsid w:val="00635C83"/>
    <w:rsid w:val="00635FA3"/>
    <w:rsid w:val="00636291"/>
    <w:rsid w:val="006365CF"/>
    <w:rsid w:val="006374AD"/>
    <w:rsid w:val="00637611"/>
    <w:rsid w:val="0064002B"/>
    <w:rsid w:val="00640036"/>
    <w:rsid w:val="00640372"/>
    <w:rsid w:val="00640381"/>
    <w:rsid w:val="0064081F"/>
    <w:rsid w:val="00641159"/>
    <w:rsid w:val="006415EB"/>
    <w:rsid w:val="0064191F"/>
    <w:rsid w:val="0064198C"/>
    <w:rsid w:val="00641D48"/>
    <w:rsid w:val="00641E67"/>
    <w:rsid w:val="006427E2"/>
    <w:rsid w:val="00642DA1"/>
    <w:rsid w:val="006434FF"/>
    <w:rsid w:val="006435DC"/>
    <w:rsid w:val="00644028"/>
    <w:rsid w:val="00644394"/>
    <w:rsid w:val="00644809"/>
    <w:rsid w:val="00644811"/>
    <w:rsid w:val="00645026"/>
    <w:rsid w:val="006456B8"/>
    <w:rsid w:val="00645888"/>
    <w:rsid w:val="00645B8A"/>
    <w:rsid w:val="00645CC0"/>
    <w:rsid w:val="006460E4"/>
    <w:rsid w:val="00646149"/>
    <w:rsid w:val="00646164"/>
    <w:rsid w:val="006461BB"/>
    <w:rsid w:val="006462C7"/>
    <w:rsid w:val="006462DB"/>
    <w:rsid w:val="00646B89"/>
    <w:rsid w:val="00646C3F"/>
    <w:rsid w:val="00646D4F"/>
    <w:rsid w:val="006470E9"/>
    <w:rsid w:val="006472D6"/>
    <w:rsid w:val="006474F1"/>
    <w:rsid w:val="006475EC"/>
    <w:rsid w:val="00647C72"/>
    <w:rsid w:val="00647FB7"/>
    <w:rsid w:val="00650095"/>
    <w:rsid w:val="006509E0"/>
    <w:rsid w:val="00650AFC"/>
    <w:rsid w:val="00650CEB"/>
    <w:rsid w:val="00650D82"/>
    <w:rsid w:val="006517D3"/>
    <w:rsid w:val="006521B3"/>
    <w:rsid w:val="006522AA"/>
    <w:rsid w:val="00652825"/>
    <w:rsid w:val="00652BAD"/>
    <w:rsid w:val="006535D1"/>
    <w:rsid w:val="006536F8"/>
    <w:rsid w:val="00653731"/>
    <w:rsid w:val="00653877"/>
    <w:rsid w:val="006539F7"/>
    <w:rsid w:val="00653FBB"/>
    <w:rsid w:val="006540F6"/>
    <w:rsid w:val="00654523"/>
    <w:rsid w:val="00654601"/>
    <w:rsid w:val="00654609"/>
    <w:rsid w:val="00654612"/>
    <w:rsid w:val="0065534E"/>
    <w:rsid w:val="006555D7"/>
    <w:rsid w:val="006556A4"/>
    <w:rsid w:val="00656AF6"/>
    <w:rsid w:val="00656F82"/>
    <w:rsid w:val="00656F83"/>
    <w:rsid w:val="00657098"/>
    <w:rsid w:val="00657658"/>
    <w:rsid w:val="0065772C"/>
    <w:rsid w:val="00657758"/>
    <w:rsid w:val="006578DA"/>
    <w:rsid w:val="00657E29"/>
    <w:rsid w:val="006600AA"/>
    <w:rsid w:val="00660A95"/>
    <w:rsid w:val="00661B78"/>
    <w:rsid w:val="00661F6F"/>
    <w:rsid w:val="00663087"/>
    <w:rsid w:val="006631AE"/>
    <w:rsid w:val="0066381A"/>
    <w:rsid w:val="006639AD"/>
    <w:rsid w:val="00663D77"/>
    <w:rsid w:val="00664499"/>
    <w:rsid w:val="0066454E"/>
    <w:rsid w:val="00664754"/>
    <w:rsid w:val="00664870"/>
    <w:rsid w:val="0066503B"/>
    <w:rsid w:val="006652EF"/>
    <w:rsid w:val="006653EB"/>
    <w:rsid w:val="0066555D"/>
    <w:rsid w:val="006656B1"/>
    <w:rsid w:val="006660CA"/>
    <w:rsid w:val="00666573"/>
    <w:rsid w:val="00666B1E"/>
    <w:rsid w:val="00666C02"/>
    <w:rsid w:val="0066725E"/>
    <w:rsid w:val="006679CD"/>
    <w:rsid w:val="0067056C"/>
    <w:rsid w:val="006706F8"/>
    <w:rsid w:val="00670BC4"/>
    <w:rsid w:val="00670C00"/>
    <w:rsid w:val="006711E6"/>
    <w:rsid w:val="00671E0D"/>
    <w:rsid w:val="00671EB8"/>
    <w:rsid w:val="0067217D"/>
    <w:rsid w:val="006721B1"/>
    <w:rsid w:val="00672A67"/>
    <w:rsid w:val="00673A8D"/>
    <w:rsid w:val="006741F6"/>
    <w:rsid w:val="0067491D"/>
    <w:rsid w:val="00674EC4"/>
    <w:rsid w:val="00675343"/>
    <w:rsid w:val="006755D0"/>
    <w:rsid w:val="006755DF"/>
    <w:rsid w:val="0067594A"/>
    <w:rsid w:val="00675960"/>
    <w:rsid w:val="006759EA"/>
    <w:rsid w:val="00675C46"/>
    <w:rsid w:val="00675D52"/>
    <w:rsid w:val="00676409"/>
    <w:rsid w:val="006764F0"/>
    <w:rsid w:val="006772A8"/>
    <w:rsid w:val="006773D7"/>
    <w:rsid w:val="006774F4"/>
    <w:rsid w:val="006779B9"/>
    <w:rsid w:val="00677AA9"/>
    <w:rsid w:val="00677B73"/>
    <w:rsid w:val="006803FE"/>
    <w:rsid w:val="00680E36"/>
    <w:rsid w:val="0068124E"/>
    <w:rsid w:val="006815D7"/>
    <w:rsid w:val="006815DC"/>
    <w:rsid w:val="00681D31"/>
    <w:rsid w:val="00681D4C"/>
    <w:rsid w:val="00681ED6"/>
    <w:rsid w:val="006823EF"/>
    <w:rsid w:val="0068263C"/>
    <w:rsid w:val="0068277B"/>
    <w:rsid w:val="00682A3B"/>
    <w:rsid w:val="00682C2F"/>
    <w:rsid w:val="00682FAE"/>
    <w:rsid w:val="00683198"/>
    <w:rsid w:val="00683325"/>
    <w:rsid w:val="0068347B"/>
    <w:rsid w:val="00683802"/>
    <w:rsid w:val="0068389D"/>
    <w:rsid w:val="00683AAE"/>
    <w:rsid w:val="00683E1F"/>
    <w:rsid w:val="0068425E"/>
    <w:rsid w:val="006844B1"/>
    <w:rsid w:val="0068456A"/>
    <w:rsid w:val="00684B20"/>
    <w:rsid w:val="00684B9F"/>
    <w:rsid w:val="00684E0F"/>
    <w:rsid w:val="0068500C"/>
    <w:rsid w:val="006856C0"/>
    <w:rsid w:val="006860F7"/>
    <w:rsid w:val="006862B6"/>
    <w:rsid w:val="006867D8"/>
    <w:rsid w:val="0068700E"/>
    <w:rsid w:val="00687219"/>
    <w:rsid w:val="006873EE"/>
    <w:rsid w:val="0068760C"/>
    <w:rsid w:val="00687612"/>
    <w:rsid w:val="00687852"/>
    <w:rsid w:val="00687AB8"/>
    <w:rsid w:val="0069000A"/>
    <w:rsid w:val="006903DA"/>
    <w:rsid w:val="00690617"/>
    <w:rsid w:val="00690BFC"/>
    <w:rsid w:val="00690E1D"/>
    <w:rsid w:val="00690FD7"/>
    <w:rsid w:val="00691108"/>
    <w:rsid w:val="006914CB"/>
    <w:rsid w:val="00691529"/>
    <w:rsid w:val="00691F54"/>
    <w:rsid w:val="006924EF"/>
    <w:rsid w:val="0069252E"/>
    <w:rsid w:val="00692667"/>
    <w:rsid w:val="00692B6B"/>
    <w:rsid w:val="00692D2A"/>
    <w:rsid w:val="00692ED2"/>
    <w:rsid w:val="00692FD7"/>
    <w:rsid w:val="006931FD"/>
    <w:rsid w:val="0069328E"/>
    <w:rsid w:val="00693CDF"/>
    <w:rsid w:val="00693D2D"/>
    <w:rsid w:val="00693DBB"/>
    <w:rsid w:val="00693EB4"/>
    <w:rsid w:val="00694498"/>
    <w:rsid w:val="00694D6F"/>
    <w:rsid w:val="00695390"/>
    <w:rsid w:val="006957F6"/>
    <w:rsid w:val="006958E5"/>
    <w:rsid w:val="00696169"/>
    <w:rsid w:val="0069757A"/>
    <w:rsid w:val="00697AB7"/>
    <w:rsid w:val="00697B56"/>
    <w:rsid w:val="006A0433"/>
    <w:rsid w:val="006A09DD"/>
    <w:rsid w:val="006A0A5C"/>
    <w:rsid w:val="006A0ED5"/>
    <w:rsid w:val="006A10CF"/>
    <w:rsid w:val="006A1120"/>
    <w:rsid w:val="006A112A"/>
    <w:rsid w:val="006A1286"/>
    <w:rsid w:val="006A20FD"/>
    <w:rsid w:val="006A2564"/>
    <w:rsid w:val="006A283B"/>
    <w:rsid w:val="006A2898"/>
    <w:rsid w:val="006A2A3E"/>
    <w:rsid w:val="006A2FFC"/>
    <w:rsid w:val="006A3553"/>
    <w:rsid w:val="006A35B3"/>
    <w:rsid w:val="006A3F0A"/>
    <w:rsid w:val="006A423C"/>
    <w:rsid w:val="006A4318"/>
    <w:rsid w:val="006A4446"/>
    <w:rsid w:val="006A48DB"/>
    <w:rsid w:val="006A4DB9"/>
    <w:rsid w:val="006A5121"/>
    <w:rsid w:val="006A5319"/>
    <w:rsid w:val="006A55C0"/>
    <w:rsid w:val="006A567C"/>
    <w:rsid w:val="006A572B"/>
    <w:rsid w:val="006A5796"/>
    <w:rsid w:val="006A58DA"/>
    <w:rsid w:val="006A5992"/>
    <w:rsid w:val="006A59FB"/>
    <w:rsid w:val="006A5EAD"/>
    <w:rsid w:val="006A6260"/>
    <w:rsid w:val="006A68D4"/>
    <w:rsid w:val="006A76D3"/>
    <w:rsid w:val="006A77D3"/>
    <w:rsid w:val="006A7BE0"/>
    <w:rsid w:val="006A7F31"/>
    <w:rsid w:val="006B038F"/>
    <w:rsid w:val="006B04AD"/>
    <w:rsid w:val="006B0564"/>
    <w:rsid w:val="006B0993"/>
    <w:rsid w:val="006B11EB"/>
    <w:rsid w:val="006B11FA"/>
    <w:rsid w:val="006B13D7"/>
    <w:rsid w:val="006B1E79"/>
    <w:rsid w:val="006B1F82"/>
    <w:rsid w:val="006B29B8"/>
    <w:rsid w:val="006B2D76"/>
    <w:rsid w:val="006B2EEF"/>
    <w:rsid w:val="006B31E7"/>
    <w:rsid w:val="006B3638"/>
    <w:rsid w:val="006B39B5"/>
    <w:rsid w:val="006B3DEC"/>
    <w:rsid w:val="006B4147"/>
    <w:rsid w:val="006B4219"/>
    <w:rsid w:val="006B4496"/>
    <w:rsid w:val="006B45B8"/>
    <w:rsid w:val="006B46D5"/>
    <w:rsid w:val="006B51E5"/>
    <w:rsid w:val="006B5428"/>
    <w:rsid w:val="006B5654"/>
    <w:rsid w:val="006B59B3"/>
    <w:rsid w:val="006B5B94"/>
    <w:rsid w:val="006B6141"/>
    <w:rsid w:val="006B616D"/>
    <w:rsid w:val="006B61C5"/>
    <w:rsid w:val="006B6C35"/>
    <w:rsid w:val="006B740D"/>
    <w:rsid w:val="006B7A05"/>
    <w:rsid w:val="006B7C1B"/>
    <w:rsid w:val="006C0F94"/>
    <w:rsid w:val="006C105D"/>
    <w:rsid w:val="006C13AD"/>
    <w:rsid w:val="006C1662"/>
    <w:rsid w:val="006C1934"/>
    <w:rsid w:val="006C1968"/>
    <w:rsid w:val="006C202C"/>
    <w:rsid w:val="006C2C5F"/>
    <w:rsid w:val="006C2E8A"/>
    <w:rsid w:val="006C325C"/>
    <w:rsid w:val="006C327A"/>
    <w:rsid w:val="006C36DA"/>
    <w:rsid w:val="006C3954"/>
    <w:rsid w:val="006C3A3A"/>
    <w:rsid w:val="006C3C3E"/>
    <w:rsid w:val="006C3D0A"/>
    <w:rsid w:val="006C41C2"/>
    <w:rsid w:val="006C43B8"/>
    <w:rsid w:val="006C4432"/>
    <w:rsid w:val="006C4B7B"/>
    <w:rsid w:val="006C4D9C"/>
    <w:rsid w:val="006C4E65"/>
    <w:rsid w:val="006C4F71"/>
    <w:rsid w:val="006C56D7"/>
    <w:rsid w:val="006C5826"/>
    <w:rsid w:val="006C5C2E"/>
    <w:rsid w:val="006C6104"/>
    <w:rsid w:val="006C690A"/>
    <w:rsid w:val="006C71E2"/>
    <w:rsid w:val="006C7587"/>
    <w:rsid w:val="006C76C8"/>
    <w:rsid w:val="006C7FD3"/>
    <w:rsid w:val="006D0522"/>
    <w:rsid w:val="006D07FB"/>
    <w:rsid w:val="006D0E9E"/>
    <w:rsid w:val="006D100A"/>
    <w:rsid w:val="006D101C"/>
    <w:rsid w:val="006D12DD"/>
    <w:rsid w:val="006D1527"/>
    <w:rsid w:val="006D1697"/>
    <w:rsid w:val="006D17F0"/>
    <w:rsid w:val="006D1B5A"/>
    <w:rsid w:val="006D1F0B"/>
    <w:rsid w:val="006D2046"/>
    <w:rsid w:val="006D2164"/>
    <w:rsid w:val="006D24A9"/>
    <w:rsid w:val="006D2E7D"/>
    <w:rsid w:val="006D2E9B"/>
    <w:rsid w:val="006D332A"/>
    <w:rsid w:val="006D3887"/>
    <w:rsid w:val="006D396B"/>
    <w:rsid w:val="006D40C5"/>
    <w:rsid w:val="006D4A6D"/>
    <w:rsid w:val="006D4CAC"/>
    <w:rsid w:val="006D61A6"/>
    <w:rsid w:val="006D65F2"/>
    <w:rsid w:val="006D666C"/>
    <w:rsid w:val="006D67AB"/>
    <w:rsid w:val="006D686A"/>
    <w:rsid w:val="006D69A3"/>
    <w:rsid w:val="006D6A4C"/>
    <w:rsid w:val="006D6ECB"/>
    <w:rsid w:val="006D72FD"/>
    <w:rsid w:val="006D7454"/>
    <w:rsid w:val="006D78AF"/>
    <w:rsid w:val="006D7C9D"/>
    <w:rsid w:val="006E019D"/>
    <w:rsid w:val="006E0687"/>
    <w:rsid w:val="006E08DB"/>
    <w:rsid w:val="006E0B72"/>
    <w:rsid w:val="006E0D19"/>
    <w:rsid w:val="006E0E45"/>
    <w:rsid w:val="006E0FDC"/>
    <w:rsid w:val="006E131A"/>
    <w:rsid w:val="006E1DAB"/>
    <w:rsid w:val="006E2086"/>
    <w:rsid w:val="006E2217"/>
    <w:rsid w:val="006E2376"/>
    <w:rsid w:val="006E23C2"/>
    <w:rsid w:val="006E27C1"/>
    <w:rsid w:val="006E2B77"/>
    <w:rsid w:val="006E2ECD"/>
    <w:rsid w:val="006E2F06"/>
    <w:rsid w:val="006E2F36"/>
    <w:rsid w:val="006E2FB3"/>
    <w:rsid w:val="006E33C8"/>
    <w:rsid w:val="006E348C"/>
    <w:rsid w:val="006E3619"/>
    <w:rsid w:val="006E3814"/>
    <w:rsid w:val="006E3B1E"/>
    <w:rsid w:val="006E3B5C"/>
    <w:rsid w:val="006E45B4"/>
    <w:rsid w:val="006E4790"/>
    <w:rsid w:val="006E47EE"/>
    <w:rsid w:val="006E4815"/>
    <w:rsid w:val="006E4865"/>
    <w:rsid w:val="006E4CA5"/>
    <w:rsid w:val="006E6C09"/>
    <w:rsid w:val="006E6CF9"/>
    <w:rsid w:val="006E6DB5"/>
    <w:rsid w:val="006E76C0"/>
    <w:rsid w:val="006E79CF"/>
    <w:rsid w:val="006E7A14"/>
    <w:rsid w:val="006E7C01"/>
    <w:rsid w:val="006E7CCA"/>
    <w:rsid w:val="006F0462"/>
    <w:rsid w:val="006F0841"/>
    <w:rsid w:val="006F0ADD"/>
    <w:rsid w:val="006F12C3"/>
    <w:rsid w:val="006F1C5B"/>
    <w:rsid w:val="006F1E49"/>
    <w:rsid w:val="006F1FC1"/>
    <w:rsid w:val="006F25B5"/>
    <w:rsid w:val="006F2EC7"/>
    <w:rsid w:val="006F319B"/>
    <w:rsid w:val="006F32EF"/>
    <w:rsid w:val="006F38D9"/>
    <w:rsid w:val="006F3921"/>
    <w:rsid w:val="006F3930"/>
    <w:rsid w:val="006F3DB4"/>
    <w:rsid w:val="006F412F"/>
    <w:rsid w:val="006F45C3"/>
    <w:rsid w:val="006F4A98"/>
    <w:rsid w:val="006F4C41"/>
    <w:rsid w:val="006F4ED5"/>
    <w:rsid w:val="006F510F"/>
    <w:rsid w:val="006F5337"/>
    <w:rsid w:val="006F53A2"/>
    <w:rsid w:val="006F5B54"/>
    <w:rsid w:val="006F5E68"/>
    <w:rsid w:val="006F6531"/>
    <w:rsid w:val="006F6736"/>
    <w:rsid w:val="006F67CF"/>
    <w:rsid w:val="006F6C9F"/>
    <w:rsid w:val="006F6D33"/>
    <w:rsid w:val="006F6F8F"/>
    <w:rsid w:val="006F7101"/>
    <w:rsid w:val="006F7472"/>
    <w:rsid w:val="006F7A92"/>
    <w:rsid w:val="006F7B6F"/>
    <w:rsid w:val="006F7EBE"/>
    <w:rsid w:val="00700C15"/>
    <w:rsid w:val="00700FB2"/>
    <w:rsid w:val="00701650"/>
    <w:rsid w:val="007017C2"/>
    <w:rsid w:val="00701B65"/>
    <w:rsid w:val="00701E51"/>
    <w:rsid w:val="00702019"/>
    <w:rsid w:val="0070266D"/>
    <w:rsid w:val="00702A04"/>
    <w:rsid w:val="00702F45"/>
    <w:rsid w:val="007033D7"/>
    <w:rsid w:val="0070347F"/>
    <w:rsid w:val="007037D6"/>
    <w:rsid w:val="007038B4"/>
    <w:rsid w:val="00703EE2"/>
    <w:rsid w:val="0070426F"/>
    <w:rsid w:val="0070443E"/>
    <w:rsid w:val="007044B0"/>
    <w:rsid w:val="007047BC"/>
    <w:rsid w:val="007050FE"/>
    <w:rsid w:val="00705203"/>
    <w:rsid w:val="00705338"/>
    <w:rsid w:val="0070552E"/>
    <w:rsid w:val="00705A3A"/>
    <w:rsid w:val="00705B09"/>
    <w:rsid w:val="007066AB"/>
    <w:rsid w:val="007069AD"/>
    <w:rsid w:val="00706BA7"/>
    <w:rsid w:val="007073AD"/>
    <w:rsid w:val="00707768"/>
    <w:rsid w:val="007077C3"/>
    <w:rsid w:val="00707816"/>
    <w:rsid w:val="00707D71"/>
    <w:rsid w:val="00710263"/>
    <w:rsid w:val="00710664"/>
    <w:rsid w:val="00710718"/>
    <w:rsid w:val="007109DD"/>
    <w:rsid w:val="00711231"/>
    <w:rsid w:val="00711468"/>
    <w:rsid w:val="007114D3"/>
    <w:rsid w:val="007116B9"/>
    <w:rsid w:val="007119EF"/>
    <w:rsid w:val="00711BDE"/>
    <w:rsid w:val="00711EE0"/>
    <w:rsid w:val="0071223D"/>
    <w:rsid w:val="007126F3"/>
    <w:rsid w:val="0071287A"/>
    <w:rsid w:val="00712E6C"/>
    <w:rsid w:val="007139B0"/>
    <w:rsid w:val="00713D44"/>
    <w:rsid w:val="007140F4"/>
    <w:rsid w:val="00714329"/>
    <w:rsid w:val="007143B9"/>
    <w:rsid w:val="00714614"/>
    <w:rsid w:val="00714779"/>
    <w:rsid w:val="0071480D"/>
    <w:rsid w:val="00714F5D"/>
    <w:rsid w:val="0071501D"/>
    <w:rsid w:val="00715043"/>
    <w:rsid w:val="00715109"/>
    <w:rsid w:val="00715260"/>
    <w:rsid w:val="007153DA"/>
    <w:rsid w:val="00715B48"/>
    <w:rsid w:val="00715FE4"/>
    <w:rsid w:val="00715FED"/>
    <w:rsid w:val="00716410"/>
    <w:rsid w:val="00716447"/>
    <w:rsid w:val="00716B85"/>
    <w:rsid w:val="00716E1B"/>
    <w:rsid w:val="0071717F"/>
    <w:rsid w:val="00717408"/>
    <w:rsid w:val="00717BCD"/>
    <w:rsid w:val="00717C2D"/>
    <w:rsid w:val="00717C86"/>
    <w:rsid w:val="00717C8E"/>
    <w:rsid w:val="00720190"/>
    <w:rsid w:val="00720634"/>
    <w:rsid w:val="00720927"/>
    <w:rsid w:val="007209A2"/>
    <w:rsid w:val="007211EB"/>
    <w:rsid w:val="00721977"/>
    <w:rsid w:val="00721B69"/>
    <w:rsid w:val="00721EC7"/>
    <w:rsid w:val="00721F3E"/>
    <w:rsid w:val="0072242B"/>
    <w:rsid w:val="00722579"/>
    <w:rsid w:val="0072285F"/>
    <w:rsid w:val="007228CC"/>
    <w:rsid w:val="00722ABF"/>
    <w:rsid w:val="00722CD2"/>
    <w:rsid w:val="00722E22"/>
    <w:rsid w:val="00722F4F"/>
    <w:rsid w:val="00722F74"/>
    <w:rsid w:val="007230A5"/>
    <w:rsid w:val="00723A58"/>
    <w:rsid w:val="00723E26"/>
    <w:rsid w:val="00724022"/>
    <w:rsid w:val="00724C58"/>
    <w:rsid w:val="00725635"/>
    <w:rsid w:val="007258D5"/>
    <w:rsid w:val="00725EC6"/>
    <w:rsid w:val="00726080"/>
    <w:rsid w:val="00726129"/>
    <w:rsid w:val="007264A9"/>
    <w:rsid w:val="007269B1"/>
    <w:rsid w:val="00726DF3"/>
    <w:rsid w:val="007275EE"/>
    <w:rsid w:val="007277AA"/>
    <w:rsid w:val="007278D8"/>
    <w:rsid w:val="00727CF0"/>
    <w:rsid w:val="00727E12"/>
    <w:rsid w:val="0073025E"/>
    <w:rsid w:val="00730AE0"/>
    <w:rsid w:val="00730AE2"/>
    <w:rsid w:val="00730C2E"/>
    <w:rsid w:val="00731194"/>
    <w:rsid w:val="007312CF"/>
    <w:rsid w:val="0073131B"/>
    <w:rsid w:val="00731500"/>
    <w:rsid w:val="00731BCF"/>
    <w:rsid w:val="00731EB4"/>
    <w:rsid w:val="00732313"/>
    <w:rsid w:val="007327BA"/>
    <w:rsid w:val="007327BD"/>
    <w:rsid w:val="00732E9D"/>
    <w:rsid w:val="00732F7D"/>
    <w:rsid w:val="00732F85"/>
    <w:rsid w:val="0073364B"/>
    <w:rsid w:val="0073380A"/>
    <w:rsid w:val="00733C87"/>
    <w:rsid w:val="007340D7"/>
    <w:rsid w:val="0073471A"/>
    <w:rsid w:val="0073472D"/>
    <w:rsid w:val="007348A3"/>
    <w:rsid w:val="00734AB6"/>
    <w:rsid w:val="00734F93"/>
    <w:rsid w:val="0073566E"/>
    <w:rsid w:val="00735F4C"/>
    <w:rsid w:val="0073625C"/>
    <w:rsid w:val="0073630B"/>
    <w:rsid w:val="0073662D"/>
    <w:rsid w:val="00736A03"/>
    <w:rsid w:val="00736A95"/>
    <w:rsid w:val="00736DCF"/>
    <w:rsid w:val="0073733B"/>
    <w:rsid w:val="0073746C"/>
    <w:rsid w:val="00737579"/>
    <w:rsid w:val="00737765"/>
    <w:rsid w:val="00737F75"/>
    <w:rsid w:val="007401A2"/>
    <w:rsid w:val="0074041A"/>
    <w:rsid w:val="00740642"/>
    <w:rsid w:val="0074106B"/>
    <w:rsid w:val="0074169C"/>
    <w:rsid w:val="0074174E"/>
    <w:rsid w:val="00741B8A"/>
    <w:rsid w:val="00741DD5"/>
    <w:rsid w:val="00741E40"/>
    <w:rsid w:val="00741F19"/>
    <w:rsid w:val="00741FD7"/>
    <w:rsid w:val="00742411"/>
    <w:rsid w:val="0074292A"/>
    <w:rsid w:val="00742B0E"/>
    <w:rsid w:val="007431C1"/>
    <w:rsid w:val="00743C25"/>
    <w:rsid w:val="00744687"/>
    <w:rsid w:val="00744828"/>
    <w:rsid w:val="00744B8B"/>
    <w:rsid w:val="00744E84"/>
    <w:rsid w:val="00744FE3"/>
    <w:rsid w:val="00745316"/>
    <w:rsid w:val="007454C7"/>
    <w:rsid w:val="00745501"/>
    <w:rsid w:val="007458CF"/>
    <w:rsid w:val="00745ABC"/>
    <w:rsid w:val="00745E5D"/>
    <w:rsid w:val="00746176"/>
    <w:rsid w:val="00746564"/>
    <w:rsid w:val="00746615"/>
    <w:rsid w:val="007469BF"/>
    <w:rsid w:val="00746B6A"/>
    <w:rsid w:val="00746B85"/>
    <w:rsid w:val="00746C3A"/>
    <w:rsid w:val="00746DCE"/>
    <w:rsid w:val="007474CA"/>
    <w:rsid w:val="007479CF"/>
    <w:rsid w:val="00747AD9"/>
    <w:rsid w:val="00747AE8"/>
    <w:rsid w:val="00747DA0"/>
    <w:rsid w:val="0075005E"/>
    <w:rsid w:val="00750188"/>
    <w:rsid w:val="0075020F"/>
    <w:rsid w:val="0075058C"/>
    <w:rsid w:val="00750723"/>
    <w:rsid w:val="00750A97"/>
    <w:rsid w:val="00750F95"/>
    <w:rsid w:val="007512DB"/>
    <w:rsid w:val="00751387"/>
    <w:rsid w:val="0075164E"/>
    <w:rsid w:val="0075195F"/>
    <w:rsid w:val="007519C8"/>
    <w:rsid w:val="00751F05"/>
    <w:rsid w:val="00752118"/>
    <w:rsid w:val="007523FF"/>
    <w:rsid w:val="00752558"/>
    <w:rsid w:val="007525E4"/>
    <w:rsid w:val="0075261F"/>
    <w:rsid w:val="0075275F"/>
    <w:rsid w:val="00752763"/>
    <w:rsid w:val="00752A95"/>
    <w:rsid w:val="00752D21"/>
    <w:rsid w:val="00752DDA"/>
    <w:rsid w:val="00752E71"/>
    <w:rsid w:val="007530F7"/>
    <w:rsid w:val="0075349B"/>
    <w:rsid w:val="007536EA"/>
    <w:rsid w:val="007539A2"/>
    <w:rsid w:val="00753BB5"/>
    <w:rsid w:val="00753E2D"/>
    <w:rsid w:val="00753F7C"/>
    <w:rsid w:val="00754781"/>
    <w:rsid w:val="00754874"/>
    <w:rsid w:val="007548EB"/>
    <w:rsid w:val="00754980"/>
    <w:rsid w:val="00754ACE"/>
    <w:rsid w:val="00754B03"/>
    <w:rsid w:val="00754C13"/>
    <w:rsid w:val="00754DAC"/>
    <w:rsid w:val="00754F1E"/>
    <w:rsid w:val="00754F34"/>
    <w:rsid w:val="00754FB3"/>
    <w:rsid w:val="00755329"/>
    <w:rsid w:val="0075546E"/>
    <w:rsid w:val="007554BB"/>
    <w:rsid w:val="00755AF6"/>
    <w:rsid w:val="00755B93"/>
    <w:rsid w:val="00755D85"/>
    <w:rsid w:val="0075641A"/>
    <w:rsid w:val="00756907"/>
    <w:rsid w:val="007579F5"/>
    <w:rsid w:val="00757D2B"/>
    <w:rsid w:val="00757D38"/>
    <w:rsid w:val="0076018F"/>
    <w:rsid w:val="007603E8"/>
    <w:rsid w:val="007606A4"/>
    <w:rsid w:val="00760E17"/>
    <w:rsid w:val="00761410"/>
    <w:rsid w:val="00761532"/>
    <w:rsid w:val="00761D71"/>
    <w:rsid w:val="00762051"/>
    <w:rsid w:val="0076262F"/>
    <w:rsid w:val="00763166"/>
    <w:rsid w:val="0076316A"/>
    <w:rsid w:val="007635FE"/>
    <w:rsid w:val="007636F2"/>
    <w:rsid w:val="00763E7F"/>
    <w:rsid w:val="00764270"/>
    <w:rsid w:val="007644C5"/>
    <w:rsid w:val="00764B0B"/>
    <w:rsid w:val="00764E56"/>
    <w:rsid w:val="00765368"/>
    <w:rsid w:val="00765C1E"/>
    <w:rsid w:val="007666CE"/>
    <w:rsid w:val="00766AAC"/>
    <w:rsid w:val="00766C35"/>
    <w:rsid w:val="00766C4D"/>
    <w:rsid w:val="00767374"/>
    <w:rsid w:val="00767396"/>
    <w:rsid w:val="007673F0"/>
    <w:rsid w:val="007679B5"/>
    <w:rsid w:val="00767A02"/>
    <w:rsid w:val="0077055C"/>
    <w:rsid w:val="0077093A"/>
    <w:rsid w:val="00770AD2"/>
    <w:rsid w:val="00770B79"/>
    <w:rsid w:val="00770CC6"/>
    <w:rsid w:val="00771042"/>
    <w:rsid w:val="007711CE"/>
    <w:rsid w:val="0077144F"/>
    <w:rsid w:val="0077148E"/>
    <w:rsid w:val="00771C87"/>
    <w:rsid w:val="00771F3E"/>
    <w:rsid w:val="007721B7"/>
    <w:rsid w:val="0077234B"/>
    <w:rsid w:val="007725CA"/>
    <w:rsid w:val="0077285F"/>
    <w:rsid w:val="00772ADA"/>
    <w:rsid w:val="00772AE8"/>
    <w:rsid w:val="00773420"/>
    <w:rsid w:val="00773578"/>
    <w:rsid w:val="00773CB6"/>
    <w:rsid w:val="00773F76"/>
    <w:rsid w:val="00773FDE"/>
    <w:rsid w:val="00774130"/>
    <w:rsid w:val="007745C6"/>
    <w:rsid w:val="00774B8D"/>
    <w:rsid w:val="00774FA9"/>
    <w:rsid w:val="00775DE9"/>
    <w:rsid w:val="00776160"/>
    <w:rsid w:val="00776374"/>
    <w:rsid w:val="007766EB"/>
    <w:rsid w:val="00776DD2"/>
    <w:rsid w:val="00777470"/>
    <w:rsid w:val="0077753B"/>
    <w:rsid w:val="0077785F"/>
    <w:rsid w:val="00777CDD"/>
    <w:rsid w:val="00777EAB"/>
    <w:rsid w:val="00777FC9"/>
    <w:rsid w:val="007800FA"/>
    <w:rsid w:val="00780137"/>
    <w:rsid w:val="007801A1"/>
    <w:rsid w:val="00780497"/>
    <w:rsid w:val="00780C08"/>
    <w:rsid w:val="00780CDA"/>
    <w:rsid w:val="00781438"/>
    <w:rsid w:val="00781BD0"/>
    <w:rsid w:val="0078272B"/>
    <w:rsid w:val="007828C2"/>
    <w:rsid w:val="00782995"/>
    <w:rsid w:val="00783323"/>
    <w:rsid w:val="007835E4"/>
    <w:rsid w:val="00784346"/>
    <w:rsid w:val="00784582"/>
    <w:rsid w:val="00784992"/>
    <w:rsid w:val="00784F12"/>
    <w:rsid w:val="00784F2B"/>
    <w:rsid w:val="007853C8"/>
    <w:rsid w:val="0078561B"/>
    <w:rsid w:val="00785689"/>
    <w:rsid w:val="00785D3E"/>
    <w:rsid w:val="007863A5"/>
    <w:rsid w:val="0078696A"/>
    <w:rsid w:val="00786991"/>
    <w:rsid w:val="00786BF3"/>
    <w:rsid w:val="00786D3D"/>
    <w:rsid w:val="00786ED7"/>
    <w:rsid w:val="00787245"/>
    <w:rsid w:val="0078733A"/>
    <w:rsid w:val="007873BB"/>
    <w:rsid w:val="00787A0D"/>
    <w:rsid w:val="00787B8F"/>
    <w:rsid w:val="00787DEF"/>
    <w:rsid w:val="0079017D"/>
    <w:rsid w:val="007902B6"/>
    <w:rsid w:val="00790313"/>
    <w:rsid w:val="007903C1"/>
    <w:rsid w:val="0079063A"/>
    <w:rsid w:val="00790682"/>
    <w:rsid w:val="00790771"/>
    <w:rsid w:val="007908BB"/>
    <w:rsid w:val="007908DF"/>
    <w:rsid w:val="00790D5A"/>
    <w:rsid w:val="00791054"/>
    <w:rsid w:val="0079141E"/>
    <w:rsid w:val="007915C4"/>
    <w:rsid w:val="007915F5"/>
    <w:rsid w:val="007916BF"/>
    <w:rsid w:val="00791A89"/>
    <w:rsid w:val="00791B70"/>
    <w:rsid w:val="00792312"/>
    <w:rsid w:val="00792387"/>
    <w:rsid w:val="0079249E"/>
    <w:rsid w:val="007924C2"/>
    <w:rsid w:val="007927BD"/>
    <w:rsid w:val="00792F84"/>
    <w:rsid w:val="00793186"/>
    <w:rsid w:val="00793398"/>
    <w:rsid w:val="00793685"/>
    <w:rsid w:val="00793771"/>
    <w:rsid w:val="00793CED"/>
    <w:rsid w:val="00794345"/>
    <w:rsid w:val="00794C40"/>
    <w:rsid w:val="00794DCA"/>
    <w:rsid w:val="00795029"/>
    <w:rsid w:val="00795100"/>
    <w:rsid w:val="00795A79"/>
    <w:rsid w:val="00795DAA"/>
    <w:rsid w:val="00795E7F"/>
    <w:rsid w:val="00795EA2"/>
    <w:rsid w:val="00795F30"/>
    <w:rsid w:val="00795F64"/>
    <w:rsid w:val="00795FD4"/>
    <w:rsid w:val="00796231"/>
    <w:rsid w:val="007965E9"/>
    <w:rsid w:val="00796888"/>
    <w:rsid w:val="00796A0C"/>
    <w:rsid w:val="00796BBE"/>
    <w:rsid w:val="00796ED3"/>
    <w:rsid w:val="00797608"/>
    <w:rsid w:val="007978DB"/>
    <w:rsid w:val="00797A1C"/>
    <w:rsid w:val="00797D0D"/>
    <w:rsid w:val="007A00B5"/>
    <w:rsid w:val="007A00D7"/>
    <w:rsid w:val="007A072E"/>
    <w:rsid w:val="007A1339"/>
    <w:rsid w:val="007A15CC"/>
    <w:rsid w:val="007A235D"/>
    <w:rsid w:val="007A264E"/>
    <w:rsid w:val="007A2819"/>
    <w:rsid w:val="007A3566"/>
    <w:rsid w:val="007A4BE9"/>
    <w:rsid w:val="007A4CAD"/>
    <w:rsid w:val="007A4D70"/>
    <w:rsid w:val="007A51D7"/>
    <w:rsid w:val="007A5927"/>
    <w:rsid w:val="007A5CA7"/>
    <w:rsid w:val="007A5E14"/>
    <w:rsid w:val="007A62CE"/>
    <w:rsid w:val="007A6417"/>
    <w:rsid w:val="007A6510"/>
    <w:rsid w:val="007A681B"/>
    <w:rsid w:val="007A757E"/>
    <w:rsid w:val="007A78D1"/>
    <w:rsid w:val="007A7FE1"/>
    <w:rsid w:val="007B00DE"/>
    <w:rsid w:val="007B0337"/>
    <w:rsid w:val="007B0374"/>
    <w:rsid w:val="007B06A0"/>
    <w:rsid w:val="007B0C05"/>
    <w:rsid w:val="007B1239"/>
    <w:rsid w:val="007B160D"/>
    <w:rsid w:val="007B163D"/>
    <w:rsid w:val="007B1843"/>
    <w:rsid w:val="007B1CD1"/>
    <w:rsid w:val="007B2057"/>
    <w:rsid w:val="007B230A"/>
    <w:rsid w:val="007B2853"/>
    <w:rsid w:val="007B3022"/>
    <w:rsid w:val="007B3636"/>
    <w:rsid w:val="007B37EE"/>
    <w:rsid w:val="007B3B7B"/>
    <w:rsid w:val="007B49F8"/>
    <w:rsid w:val="007B4DCF"/>
    <w:rsid w:val="007B577C"/>
    <w:rsid w:val="007B62E4"/>
    <w:rsid w:val="007B66B2"/>
    <w:rsid w:val="007B66CA"/>
    <w:rsid w:val="007B6811"/>
    <w:rsid w:val="007B68BA"/>
    <w:rsid w:val="007B79CD"/>
    <w:rsid w:val="007B79FB"/>
    <w:rsid w:val="007B7C56"/>
    <w:rsid w:val="007B7D01"/>
    <w:rsid w:val="007C010D"/>
    <w:rsid w:val="007C0150"/>
    <w:rsid w:val="007C028A"/>
    <w:rsid w:val="007C0538"/>
    <w:rsid w:val="007C0A24"/>
    <w:rsid w:val="007C0AC3"/>
    <w:rsid w:val="007C11AB"/>
    <w:rsid w:val="007C244A"/>
    <w:rsid w:val="007C28B6"/>
    <w:rsid w:val="007C2FEE"/>
    <w:rsid w:val="007C35A0"/>
    <w:rsid w:val="007C38B2"/>
    <w:rsid w:val="007C3B81"/>
    <w:rsid w:val="007C3E62"/>
    <w:rsid w:val="007C481C"/>
    <w:rsid w:val="007C485A"/>
    <w:rsid w:val="007C4AC5"/>
    <w:rsid w:val="007C4D91"/>
    <w:rsid w:val="007C531A"/>
    <w:rsid w:val="007C62A1"/>
    <w:rsid w:val="007C6B04"/>
    <w:rsid w:val="007C6DA9"/>
    <w:rsid w:val="007C6E35"/>
    <w:rsid w:val="007C7038"/>
    <w:rsid w:val="007C7142"/>
    <w:rsid w:val="007C7590"/>
    <w:rsid w:val="007C789E"/>
    <w:rsid w:val="007C7CF0"/>
    <w:rsid w:val="007C7EF1"/>
    <w:rsid w:val="007D0060"/>
    <w:rsid w:val="007D052A"/>
    <w:rsid w:val="007D06BD"/>
    <w:rsid w:val="007D0A5E"/>
    <w:rsid w:val="007D10A1"/>
    <w:rsid w:val="007D1739"/>
    <w:rsid w:val="007D1D67"/>
    <w:rsid w:val="007D1EE7"/>
    <w:rsid w:val="007D2AE8"/>
    <w:rsid w:val="007D357C"/>
    <w:rsid w:val="007D4238"/>
    <w:rsid w:val="007D42F3"/>
    <w:rsid w:val="007D45F7"/>
    <w:rsid w:val="007D4CED"/>
    <w:rsid w:val="007D5403"/>
    <w:rsid w:val="007D55F9"/>
    <w:rsid w:val="007D5F81"/>
    <w:rsid w:val="007D6549"/>
    <w:rsid w:val="007D6E8E"/>
    <w:rsid w:val="007D6EB2"/>
    <w:rsid w:val="007D6FBB"/>
    <w:rsid w:val="007D7028"/>
    <w:rsid w:val="007D71EA"/>
    <w:rsid w:val="007D7739"/>
    <w:rsid w:val="007D7777"/>
    <w:rsid w:val="007D7EE0"/>
    <w:rsid w:val="007E03AE"/>
    <w:rsid w:val="007E0655"/>
    <w:rsid w:val="007E0765"/>
    <w:rsid w:val="007E0D60"/>
    <w:rsid w:val="007E0F1A"/>
    <w:rsid w:val="007E1319"/>
    <w:rsid w:val="007E1514"/>
    <w:rsid w:val="007E16F9"/>
    <w:rsid w:val="007E1F3F"/>
    <w:rsid w:val="007E288D"/>
    <w:rsid w:val="007E2C31"/>
    <w:rsid w:val="007E3013"/>
    <w:rsid w:val="007E34FF"/>
    <w:rsid w:val="007E36E0"/>
    <w:rsid w:val="007E3807"/>
    <w:rsid w:val="007E4508"/>
    <w:rsid w:val="007E4602"/>
    <w:rsid w:val="007E47B9"/>
    <w:rsid w:val="007E495A"/>
    <w:rsid w:val="007E4C73"/>
    <w:rsid w:val="007E4D61"/>
    <w:rsid w:val="007E4EB5"/>
    <w:rsid w:val="007E5349"/>
    <w:rsid w:val="007E55BB"/>
    <w:rsid w:val="007E58F1"/>
    <w:rsid w:val="007E5D8E"/>
    <w:rsid w:val="007E6013"/>
    <w:rsid w:val="007E62CD"/>
    <w:rsid w:val="007E6407"/>
    <w:rsid w:val="007E6466"/>
    <w:rsid w:val="007E68C4"/>
    <w:rsid w:val="007E6B47"/>
    <w:rsid w:val="007E6B8F"/>
    <w:rsid w:val="007E762A"/>
    <w:rsid w:val="007E7C0E"/>
    <w:rsid w:val="007E7CF4"/>
    <w:rsid w:val="007E7D82"/>
    <w:rsid w:val="007F07F1"/>
    <w:rsid w:val="007F090A"/>
    <w:rsid w:val="007F0BA0"/>
    <w:rsid w:val="007F1446"/>
    <w:rsid w:val="007F197A"/>
    <w:rsid w:val="007F19E5"/>
    <w:rsid w:val="007F1BC6"/>
    <w:rsid w:val="007F1E03"/>
    <w:rsid w:val="007F1EF1"/>
    <w:rsid w:val="007F2304"/>
    <w:rsid w:val="007F23D1"/>
    <w:rsid w:val="007F2CFB"/>
    <w:rsid w:val="007F31B4"/>
    <w:rsid w:val="007F362A"/>
    <w:rsid w:val="007F3C71"/>
    <w:rsid w:val="007F40F7"/>
    <w:rsid w:val="007F498E"/>
    <w:rsid w:val="007F4A2B"/>
    <w:rsid w:val="007F55BC"/>
    <w:rsid w:val="007F57F8"/>
    <w:rsid w:val="007F5800"/>
    <w:rsid w:val="007F59D1"/>
    <w:rsid w:val="007F5A30"/>
    <w:rsid w:val="007F5C56"/>
    <w:rsid w:val="007F5D17"/>
    <w:rsid w:val="007F5D95"/>
    <w:rsid w:val="007F5FD5"/>
    <w:rsid w:val="007F615A"/>
    <w:rsid w:val="007F616C"/>
    <w:rsid w:val="007F6572"/>
    <w:rsid w:val="007F67F5"/>
    <w:rsid w:val="007F6B7A"/>
    <w:rsid w:val="007F7216"/>
    <w:rsid w:val="007F7312"/>
    <w:rsid w:val="007F7AE0"/>
    <w:rsid w:val="007F7B22"/>
    <w:rsid w:val="007F7D25"/>
    <w:rsid w:val="007F7F12"/>
    <w:rsid w:val="00800D2A"/>
    <w:rsid w:val="0080181F"/>
    <w:rsid w:val="00801CBE"/>
    <w:rsid w:val="00801CC3"/>
    <w:rsid w:val="00801D29"/>
    <w:rsid w:val="00802714"/>
    <w:rsid w:val="008028B9"/>
    <w:rsid w:val="00802AD7"/>
    <w:rsid w:val="008030E6"/>
    <w:rsid w:val="008031D8"/>
    <w:rsid w:val="0080351A"/>
    <w:rsid w:val="00804169"/>
    <w:rsid w:val="00804554"/>
    <w:rsid w:val="00804822"/>
    <w:rsid w:val="008049B4"/>
    <w:rsid w:val="00804BD2"/>
    <w:rsid w:val="00804F6D"/>
    <w:rsid w:val="0080513A"/>
    <w:rsid w:val="008056A6"/>
    <w:rsid w:val="00805860"/>
    <w:rsid w:val="008058B0"/>
    <w:rsid w:val="00805A09"/>
    <w:rsid w:val="00805A85"/>
    <w:rsid w:val="00805D32"/>
    <w:rsid w:val="008060A7"/>
    <w:rsid w:val="0080616C"/>
    <w:rsid w:val="008061C3"/>
    <w:rsid w:val="008064C8"/>
    <w:rsid w:val="008066D1"/>
    <w:rsid w:val="00806914"/>
    <w:rsid w:val="00806A9E"/>
    <w:rsid w:val="00806DD1"/>
    <w:rsid w:val="00806F9D"/>
    <w:rsid w:val="0080710D"/>
    <w:rsid w:val="008075AB"/>
    <w:rsid w:val="00807DBF"/>
    <w:rsid w:val="00807F1B"/>
    <w:rsid w:val="008107B5"/>
    <w:rsid w:val="008113D5"/>
    <w:rsid w:val="00811665"/>
    <w:rsid w:val="00812055"/>
    <w:rsid w:val="00812757"/>
    <w:rsid w:val="0081275C"/>
    <w:rsid w:val="00812BE0"/>
    <w:rsid w:val="0081316A"/>
    <w:rsid w:val="00813194"/>
    <w:rsid w:val="00813366"/>
    <w:rsid w:val="008135B7"/>
    <w:rsid w:val="008136FA"/>
    <w:rsid w:val="00813BAA"/>
    <w:rsid w:val="0081420F"/>
    <w:rsid w:val="008142EF"/>
    <w:rsid w:val="0081556D"/>
    <w:rsid w:val="00815904"/>
    <w:rsid w:val="00815C88"/>
    <w:rsid w:val="00815D41"/>
    <w:rsid w:val="008160AE"/>
    <w:rsid w:val="00816274"/>
    <w:rsid w:val="0081679D"/>
    <w:rsid w:val="00816AC2"/>
    <w:rsid w:val="00817036"/>
    <w:rsid w:val="008203E9"/>
    <w:rsid w:val="00820CC3"/>
    <w:rsid w:val="00820E17"/>
    <w:rsid w:val="00821043"/>
    <w:rsid w:val="008215B0"/>
    <w:rsid w:val="00821764"/>
    <w:rsid w:val="00821A43"/>
    <w:rsid w:val="00821EEC"/>
    <w:rsid w:val="00821F22"/>
    <w:rsid w:val="00822052"/>
    <w:rsid w:val="00822A06"/>
    <w:rsid w:val="00822C0C"/>
    <w:rsid w:val="00822EB2"/>
    <w:rsid w:val="00823056"/>
    <w:rsid w:val="008231EF"/>
    <w:rsid w:val="00823281"/>
    <w:rsid w:val="008238EA"/>
    <w:rsid w:val="0082454A"/>
    <w:rsid w:val="0082469C"/>
    <w:rsid w:val="008246B4"/>
    <w:rsid w:val="008246DE"/>
    <w:rsid w:val="00824909"/>
    <w:rsid w:val="008249AF"/>
    <w:rsid w:val="00824DF7"/>
    <w:rsid w:val="00824EED"/>
    <w:rsid w:val="00825F57"/>
    <w:rsid w:val="0082634C"/>
    <w:rsid w:val="00826588"/>
    <w:rsid w:val="00826591"/>
    <w:rsid w:val="008265DC"/>
    <w:rsid w:val="0082673F"/>
    <w:rsid w:val="0082692D"/>
    <w:rsid w:val="00826BA0"/>
    <w:rsid w:val="00826CCC"/>
    <w:rsid w:val="00826FC5"/>
    <w:rsid w:val="008273FD"/>
    <w:rsid w:val="00827694"/>
    <w:rsid w:val="008277E8"/>
    <w:rsid w:val="00827E4F"/>
    <w:rsid w:val="0083030D"/>
    <w:rsid w:val="0083094A"/>
    <w:rsid w:val="00830B30"/>
    <w:rsid w:val="00830BFA"/>
    <w:rsid w:val="00830C11"/>
    <w:rsid w:val="00830F42"/>
    <w:rsid w:val="008319C6"/>
    <w:rsid w:val="00831AFB"/>
    <w:rsid w:val="00831DC6"/>
    <w:rsid w:val="00832065"/>
    <w:rsid w:val="008322A5"/>
    <w:rsid w:val="008324D6"/>
    <w:rsid w:val="0083266D"/>
    <w:rsid w:val="00832726"/>
    <w:rsid w:val="00832818"/>
    <w:rsid w:val="00832A8C"/>
    <w:rsid w:val="008330CB"/>
    <w:rsid w:val="00833C00"/>
    <w:rsid w:val="00834542"/>
    <w:rsid w:val="00834B5E"/>
    <w:rsid w:val="00835035"/>
    <w:rsid w:val="008356E6"/>
    <w:rsid w:val="00835D3A"/>
    <w:rsid w:val="008364B3"/>
    <w:rsid w:val="0083654E"/>
    <w:rsid w:val="00836A3F"/>
    <w:rsid w:val="008373A2"/>
    <w:rsid w:val="00837D8F"/>
    <w:rsid w:val="008404A0"/>
    <w:rsid w:val="008404CC"/>
    <w:rsid w:val="00841184"/>
    <w:rsid w:val="00841E51"/>
    <w:rsid w:val="00841E6A"/>
    <w:rsid w:val="00842044"/>
    <w:rsid w:val="00842086"/>
    <w:rsid w:val="00842396"/>
    <w:rsid w:val="00842F4C"/>
    <w:rsid w:val="008431B1"/>
    <w:rsid w:val="0084349D"/>
    <w:rsid w:val="00843E47"/>
    <w:rsid w:val="00844176"/>
    <w:rsid w:val="0084468B"/>
    <w:rsid w:val="00844BDE"/>
    <w:rsid w:val="00844DD2"/>
    <w:rsid w:val="00845320"/>
    <w:rsid w:val="00845517"/>
    <w:rsid w:val="008457E3"/>
    <w:rsid w:val="00845AF8"/>
    <w:rsid w:val="00845C51"/>
    <w:rsid w:val="00845DD7"/>
    <w:rsid w:val="00845E96"/>
    <w:rsid w:val="0084616B"/>
    <w:rsid w:val="00846797"/>
    <w:rsid w:val="00846F2D"/>
    <w:rsid w:val="008470FF"/>
    <w:rsid w:val="00847135"/>
    <w:rsid w:val="00847255"/>
    <w:rsid w:val="00847320"/>
    <w:rsid w:val="00847889"/>
    <w:rsid w:val="00847BBB"/>
    <w:rsid w:val="00847BDA"/>
    <w:rsid w:val="00847FC4"/>
    <w:rsid w:val="0085000C"/>
    <w:rsid w:val="00850404"/>
    <w:rsid w:val="0085074B"/>
    <w:rsid w:val="00850787"/>
    <w:rsid w:val="00850850"/>
    <w:rsid w:val="008509B2"/>
    <w:rsid w:val="00851085"/>
    <w:rsid w:val="00851344"/>
    <w:rsid w:val="00851AC2"/>
    <w:rsid w:val="00851F9E"/>
    <w:rsid w:val="0085213F"/>
    <w:rsid w:val="008521B8"/>
    <w:rsid w:val="00852B7A"/>
    <w:rsid w:val="00852B9F"/>
    <w:rsid w:val="00852DBC"/>
    <w:rsid w:val="00852EC2"/>
    <w:rsid w:val="008531A8"/>
    <w:rsid w:val="00853224"/>
    <w:rsid w:val="0085387A"/>
    <w:rsid w:val="00853FFA"/>
    <w:rsid w:val="00854111"/>
    <w:rsid w:val="0085529C"/>
    <w:rsid w:val="00855479"/>
    <w:rsid w:val="008556E1"/>
    <w:rsid w:val="00855D4C"/>
    <w:rsid w:val="00855D8B"/>
    <w:rsid w:val="00855DA5"/>
    <w:rsid w:val="008560E3"/>
    <w:rsid w:val="00856308"/>
    <w:rsid w:val="008565FA"/>
    <w:rsid w:val="008566E2"/>
    <w:rsid w:val="008566EC"/>
    <w:rsid w:val="00856C10"/>
    <w:rsid w:val="00856DDE"/>
    <w:rsid w:val="00856E9E"/>
    <w:rsid w:val="00856EF0"/>
    <w:rsid w:val="008573C9"/>
    <w:rsid w:val="00857845"/>
    <w:rsid w:val="00857EEC"/>
    <w:rsid w:val="008601CF"/>
    <w:rsid w:val="008602FB"/>
    <w:rsid w:val="00860415"/>
    <w:rsid w:val="00860822"/>
    <w:rsid w:val="00860B0B"/>
    <w:rsid w:val="00860B17"/>
    <w:rsid w:val="008615CC"/>
    <w:rsid w:val="008615E8"/>
    <w:rsid w:val="0086171E"/>
    <w:rsid w:val="00861B10"/>
    <w:rsid w:val="00861C7F"/>
    <w:rsid w:val="00862072"/>
    <w:rsid w:val="008624A0"/>
    <w:rsid w:val="0086275A"/>
    <w:rsid w:val="008629C8"/>
    <w:rsid w:val="00862C09"/>
    <w:rsid w:val="00862D47"/>
    <w:rsid w:val="00863328"/>
    <w:rsid w:val="00863E75"/>
    <w:rsid w:val="0086409A"/>
    <w:rsid w:val="008640B3"/>
    <w:rsid w:val="00864519"/>
    <w:rsid w:val="00864F65"/>
    <w:rsid w:val="0086510B"/>
    <w:rsid w:val="008653B8"/>
    <w:rsid w:val="0086561E"/>
    <w:rsid w:val="00865948"/>
    <w:rsid w:val="00865C0B"/>
    <w:rsid w:val="00865EE1"/>
    <w:rsid w:val="008661B9"/>
    <w:rsid w:val="0086630E"/>
    <w:rsid w:val="00866320"/>
    <w:rsid w:val="0086646B"/>
    <w:rsid w:val="00866495"/>
    <w:rsid w:val="0086665B"/>
    <w:rsid w:val="00866A3A"/>
    <w:rsid w:val="00866E69"/>
    <w:rsid w:val="00866F64"/>
    <w:rsid w:val="008670FD"/>
    <w:rsid w:val="0086735A"/>
    <w:rsid w:val="00867D4D"/>
    <w:rsid w:val="00867DFA"/>
    <w:rsid w:val="00867EA2"/>
    <w:rsid w:val="00870140"/>
    <w:rsid w:val="00870896"/>
    <w:rsid w:val="00870A2D"/>
    <w:rsid w:val="00870DAE"/>
    <w:rsid w:val="008715EC"/>
    <w:rsid w:val="00871A6D"/>
    <w:rsid w:val="00871CC6"/>
    <w:rsid w:val="008724AA"/>
    <w:rsid w:val="008729E3"/>
    <w:rsid w:val="00872DAB"/>
    <w:rsid w:val="008733B9"/>
    <w:rsid w:val="008733F3"/>
    <w:rsid w:val="00873C7F"/>
    <w:rsid w:val="00874175"/>
    <w:rsid w:val="00874370"/>
    <w:rsid w:val="008743B3"/>
    <w:rsid w:val="00874A50"/>
    <w:rsid w:val="00874DF3"/>
    <w:rsid w:val="008753A9"/>
    <w:rsid w:val="00875664"/>
    <w:rsid w:val="00875E72"/>
    <w:rsid w:val="00875EF5"/>
    <w:rsid w:val="008761D9"/>
    <w:rsid w:val="00876308"/>
    <w:rsid w:val="008764AA"/>
    <w:rsid w:val="00876784"/>
    <w:rsid w:val="00876A04"/>
    <w:rsid w:val="00876B72"/>
    <w:rsid w:val="00876CC4"/>
    <w:rsid w:val="00876D76"/>
    <w:rsid w:val="008772DF"/>
    <w:rsid w:val="00877517"/>
    <w:rsid w:val="008777C6"/>
    <w:rsid w:val="00880355"/>
    <w:rsid w:val="008803A0"/>
    <w:rsid w:val="008803B4"/>
    <w:rsid w:val="008807ED"/>
    <w:rsid w:val="0088098C"/>
    <w:rsid w:val="0088137F"/>
    <w:rsid w:val="008813BF"/>
    <w:rsid w:val="00881611"/>
    <w:rsid w:val="00881E4C"/>
    <w:rsid w:val="00881E54"/>
    <w:rsid w:val="00882442"/>
    <w:rsid w:val="00882BB8"/>
    <w:rsid w:val="00883082"/>
    <w:rsid w:val="00883297"/>
    <w:rsid w:val="00884041"/>
    <w:rsid w:val="008840A6"/>
    <w:rsid w:val="008844D3"/>
    <w:rsid w:val="00884668"/>
    <w:rsid w:val="00884730"/>
    <w:rsid w:val="008852F6"/>
    <w:rsid w:val="0088548C"/>
    <w:rsid w:val="00885A9D"/>
    <w:rsid w:val="00885C1F"/>
    <w:rsid w:val="00885D79"/>
    <w:rsid w:val="00886609"/>
    <w:rsid w:val="00886BF6"/>
    <w:rsid w:val="00886C1D"/>
    <w:rsid w:val="00886E5B"/>
    <w:rsid w:val="00886EA0"/>
    <w:rsid w:val="00886EEC"/>
    <w:rsid w:val="0088734D"/>
    <w:rsid w:val="0088746C"/>
    <w:rsid w:val="008901E9"/>
    <w:rsid w:val="00890256"/>
    <w:rsid w:val="00890559"/>
    <w:rsid w:val="00890775"/>
    <w:rsid w:val="0089099E"/>
    <w:rsid w:val="00890D9C"/>
    <w:rsid w:val="00890F71"/>
    <w:rsid w:val="008912B1"/>
    <w:rsid w:val="008912CB"/>
    <w:rsid w:val="008916CB"/>
    <w:rsid w:val="008917D5"/>
    <w:rsid w:val="008918B9"/>
    <w:rsid w:val="00891AA8"/>
    <w:rsid w:val="00891E85"/>
    <w:rsid w:val="00892985"/>
    <w:rsid w:val="00892C17"/>
    <w:rsid w:val="008935B6"/>
    <w:rsid w:val="008936CF"/>
    <w:rsid w:val="00893D79"/>
    <w:rsid w:val="008941D5"/>
    <w:rsid w:val="0089438C"/>
    <w:rsid w:val="00894524"/>
    <w:rsid w:val="008945B0"/>
    <w:rsid w:val="00894A89"/>
    <w:rsid w:val="0089527B"/>
    <w:rsid w:val="00895376"/>
    <w:rsid w:val="00895C3B"/>
    <w:rsid w:val="00895CEE"/>
    <w:rsid w:val="00895D22"/>
    <w:rsid w:val="00895EB7"/>
    <w:rsid w:val="008961A6"/>
    <w:rsid w:val="00896756"/>
    <w:rsid w:val="00896BEF"/>
    <w:rsid w:val="00897226"/>
    <w:rsid w:val="00897304"/>
    <w:rsid w:val="008974C6"/>
    <w:rsid w:val="0089752A"/>
    <w:rsid w:val="0089769B"/>
    <w:rsid w:val="00897824"/>
    <w:rsid w:val="00897DB9"/>
    <w:rsid w:val="008A01FB"/>
    <w:rsid w:val="008A030A"/>
    <w:rsid w:val="008A0387"/>
    <w:rsid w:val="008A053F"/>
    <w:rsid w:val="008A065B"/>
    <w:rsid w:val="008A06BC"/>
    <w:rsid w:val="008A06FD"/>
    <w:rsid w:val="008A0BF4"/>
    <w:rsid w:val="008A105D"/>
    <w:rsid w:val="008A11A0"/>
    <w:rsid w:val="008A1592"/>
    <w:rsid w:val="008A1859"/>
    <w:rsid w:val="008A1927"/>
    <w:rsid w:val="008A1C21"/>
    <w:rsid w:val="008A1D12"/>
    <w:rsid w:val="008A261E"/>
    <w:rsid w:val="008A2A02"/>
    <w:rsid w:val="008A2EC6"/>
    <w:rsid w:val="008A37B2"/>
    <w:rsid w:val="008A3818"/>
    <w:rsid w:val="008A3FC7"/>
    <w:rsid w:val="008A4230"/>
    <w:rsid w:val="008A42D0"/>
    <w:rsid w:val="008A4654"/>
    <w:rsid w:val="008A4981"/>
    <w:rsid w:val="008A4985"/>
    <w:rsid w:val="008A4F49"/>
    <w:rsid w:val="008A521E"/>
    <w:rsid w:val="008A5351"/>
    <w:rsid w:val="008A55D5"/>
    <w:rsid w:val="008A56FB"/>
    <w:rsid w:val="008A5A67"/>
    <w:rsid w:val="008A606C"/>
    <w:rsid w:val="008A632C"/>
    <w:rsid w:val="008A63B6"/>
    <w:rsid w:val="008A647A"/>
    <w:rsid w:val="008A649C"/>
    <w:rsid w:val="008A6C20"/>
    <w:rsid w:val="008A6E42"/>
    <w:rsid w:val="008A71AA"/>
    <w:rsid w:val="008A7971"/>
    <w:rsid w:val="008A7977"/>
    <w:rsid w:val="008A7D1D"/>
    <w:rsid w:val="008A7F97"/>
    <w:rsid w:val="008B00AE"/>
    <w:rsid w:val="008B0300"/>
    <w:rsid w:val="008B033F"/>
    <w:rsid w:val="008B07A5"/>
    <w:rsid w:val="008B07C8"/>
    <w:rsid w:val="008B0A9B"/>
    <w:rsid w:val="008B1246"/>
    <w:rsid w:val="008B13D5"/>
    <w:rsid w:val="008B1430"/>
    <w:rsid w:val="008B1488"/>
    <w:rsid w:val="008B1779"/>
    <w:rsid w:val="008B1BFB"/>
    <w:rsid w:val="008B1E7E"/>
    <w:rsid w:val="008B250F"/>
    <w:rsid w:val="008B2D8C"/>
    <w:rsid w:val="008B2FFF"/>
    <w:rsid w:val="008B330F"/>
    <w:rsid w:val="008B3895"/>
    <w:rsid w:val="008B3A5E"/>
    <w:rsid w:val="008B3E6B"/>
    <w:rsid w:val="008B3FA3"/>
    <w:rsid w:val="008B3FA9"/>
    <w:rsid w:val="008B439C"/>
    <w:rsid w:val="008B44CE"/>
    <w:rsid w:val="008B44EC"/>
    <w:rsid w:val="008B4593"/>
    <w:rsid w:val="008B4625"/>
    <w:rsid w:val="008B46C8"/>
    <w:rsid w:val="008B49FF"/>
    <w:rsid w:val="008B4B83"/>
    <w:rsid w:val="008B4F6C"/>
    <w:rsid w:val="008B504B"/>
    <w:rsid w:val="008B507B"/>
    <w:rsid w:val="008B511F"/>
    <w:rsid w:val="008B514A"/>
    <w:rsid w:val="008B5519"/>
    <w:rsid w:val="008B5602"/>
    <w:rsid w:val="008B5B4F"/>
    <w:rsid w:val="008B5DAC"/>
    <w:rsid w:val="008B622D"/>
    <w:rsid w:val="008B638A"/>
    <w:rsid w:val="008B64F5"/>
    <w:rsid w:val="008B6B9B"/>
    <w:rsid w:val="008B7768"/>
    <w:rsid w:val="008B7A95"/>
    <w:rsid w:val="008B7F73"/>
    <w:rsid w:val="008C0516"/>
    <w:rsid w:val="008C0A1D"/>
    <w:rsid w:val="008C0ECC"/>
    <w:rsid w:val="008C10C7"/>
    <w:rsid w:val="008C11F9"/>
    <w:rsid w:val="008C1A12"/>
    <w:rsid w:val="008C1E98"/>
    <w:rsid w:val="008C1FDE"/>
    <w:rsid w:val="008C1FEA"/>
    <w:rsid w:val="008C21ED"/>
    <w:rsid w:val="008C2237"/>
    <w:rsid w:val="008C230A"/>
    <w:rsid w:val="008C2539"/>
    <w:rsid w:val="008C2737"/>
    <w:rsid w:val="008C2899"/>
    <w:rsid w:val="008C2F2F"/>
    <w:rsid w:val="008C3395"/>
    <w:rsid w:val="008C379F"/>
    <w:rsid w:val="008C3F1D"/>
    <w:rsid w:val="008C4150"/>
    <w:rsid w:val="008C4155"/>
    <w:rsid w:val="008C4753"/>
    <w:rsid w:val="008C4C1E"/>
    <w:rsid w:val="008C5BDB"/>
    <w:rsid w:val="008C5DFE"/>
    <w:rsid w:val="008C66BA"/>
    <w:rsid w:val="008C66BE"/>
    <w:rsid w:val="008C674D"/>
    <w:rsid w:val="008C688D"/>
    <w:rsid w:val="008C6B8E"/>
    <w:rsid w:val="008C72F2"/>
    <w:rsid w:val="008C73F3"/>
    <w:rsid w:val="008C7800"/>
    <w:rsid w:val="008D0090"/>
    <w:rsid w:val="008D0245"/>
    <w:rsid w:val="008D0272"/>
    <w:rsid w:val="008D0760"/>
    <w:rsid w:val="008D0763"/>
    <w:rsid w:val="008D0D9D"/>
    <w:rsid w:val="008D0E58"/>
    <w:rsid w:val="008D0F09"/>
    <w:rsid w:val="008D12DA"/>
    <w:rsid w:val="008D17D3"/>
    <w:rsid w:val="008D195C"/>
    <w:rsid w:val="008D1998"/>
    <w:rsid w:val="008D1B6C"/>
    <w:rsid w:val="008D1B7E"/>
    <w:rsid w:val="008D1C59"/>
    <w:rsid w:val="008D1D2D"/>
    <w:rsid w:val="008D2A8F"/>
    <w:rsid w:val="008D2BC9"/>
    <w:rsid w:val="008D31E9"/>
    <w:rsid w:val="008D3BEE"/>
    <w:rsid w:val="008D49EB"/>
    <w:rsid w:val="008D5125"/>
    <w:rsid w:val="008D5246"/>
    <w:rsid w:val="008D5330"/>
    <w:rsid w:val="008D5562"/>
    <w:rsid w:val="008D570D"/>
    <w:rsid w:val="008D5A5A"/>
    <w:rsid w:val="008D5AE4"/>
    <w:rsid w:val="008D5AF1"/>
    <w:rsid w:val="008D5B35"/>
    <w:rsid w:val="008D6B3F"/>
    <w:rsid w:val="008D6B71"/>
    <w:rsid w:val="008D6F25"/>
    <w:rsid w:val="008D705C"/>
    <w:rsid w:val="008D71E0"/>
    <w:rsid w:val="008D743C"/>
    <w:rsid w:val="008D7A23"/>
    <w:rsid w:val="008D7D5A"/>
    <w:rsid w:val="008E007E"/>
    <w:rsid w:val="008E00C6"/>
    <w:rsid w:val="008E0A10"/>
    <w:rsid w:val="008E0D6F"/>
    <w:rsid w:val="008E1315"/>
    <w:rsid w:val="008E1513"/>
    <w:rsid w:val="008E1645"/>
    <w:rsid w:val="008E215E"/>
    <w:rsid w:val="008E2315"/>
    <w:rsid w:val="008E23AF"/>
    <w:rsid w:val="008E297C"/>
    <w:rsid w:val="008E3565"/>
    <w:rsid w:val="008E444C"/>
    <w:rsid w:val="008E45C8"/>
    <w:rsid w:val="008E47A3"/>
    <w:rsid w:val="008E5546"/>
    <w:rsid w:val="008E57FD"/>
    <w:rsid w:val="008E5C9A"/>
    <w:rsid w:val="008E5DE6"/>
    <w:rsid w:val="008E5DFC"/>
    <w:rsid w:val="008E5F1E"/>
    <w:rsid w:val="008E66AB"/>
    <w:rsid w:val="008E66BC"/>
    <w:rsid w:val="008E6763"/>
    <w:rsid w:val="008E6775"/>
    <w:rsid w:val="008E6952"/>
    <w:rsid w:val="008E701B"/>
    <w:rsid w:val="008E717A"/>
    <w:rsid w:val="008E731E"/>
    <w:rsid w:val="008E7694"/>
    <w:rsid w:val="008E790A"/>
    <w:rsid w:val="008E7F46"/>
    <w:rsid w:val="008F071B"/>
    <w:rsid w:val="008F07D6"/>
    <w:rsid w:val="008F09FA"/>
    <w:rsid w:val="008F0A90"/>
    <w:rsid w:val="008F0D34"/>
    <w:rsid w:val="008F1026"/>
    <w:rsid w:val="008F1211"/>
    <w:rsid w:val="008F1232"/>
    <w:rsid w:val="008F1341"/>
    <w:rsid w:val="008F2776"/>
    <w:rsid w:val="008F277D"/>
    <w:rsid w:val="008F309A"/>
    <w:rsid w:val="008F33B0"/>
    <w:rsid w:val="008F389E"/>
    <w:rsid w:val="008F3C4C"/>
    <w:rsid w:val="008F3CB0"/>
    <w:rsid w:val="008F4074"/>
    <w:rsid w:val="008F4CEC"/>
    <w:rsid w:val="008F5583"/>
    <w:rsid w:val="008F5ED0"/>
    <w:rsid w:val="008F5F47"/>
    <w:rsid w:val="008F6104"/>
    <w:rsid w:val="008F61BF"/>
    <w:rsid w:val="008F61D5"/>
    <w:rsid w:val="008F644E"/>
    <w:rsid w:val="008F677C"/>
    <w:rsid w:val="008F68C2"/>
    <w:rsid w:val="008F69AE"/>
    <w:rsid w:val="008F7315"/>
    <w:rsid w:val="008F7378"/>
    <w:rsid w:val="008F738D"/>
    <w:rsid w:val="008F761B"/>
    <w:rsid w:val="008F7673"/>
    <w:rsid w:val="008F76E2"/>
    <w:rsid w:val="008F77F1"/>
    <w:rsid w:val="008F7815"/>
    <w:rsid w:val="008F78C3"/>
    <w:rsid w:val="008F7B91"/>
    <w:rsid w:val="008F7BB6"/>
    <w:rsid w:val="008F7DFE"/>
    <w:rsid w:val="0090000F"/>
    <w:rsid w:val="009002D8"/>
    <w:rsid w:val="00900383"/>
    <w:rsid w:val="009004EA"/>
    <w:rsid w:val="00901200"/>
    <w:rsid w:val="00901428"/>
    <w:rsid w:val="00901F52"/>
    <w:rsid w:val="009020B8"/>
    <w:rsid w:val="00902183"/>
    <w:rsid w:val="00902308"/>
    <w:rsid w:val="0090256C"/>
    <w:rsid w:val="00902A2F"/>
    <w:rsid w:val="009035BC"/>
    <w:rsid w:val="00903D7F"/>
    <w:rsid w:val="00904811"/>
    <w:rsid w:val="00904879"/>
    <w:rsid w:val="00904D53"/>
    <w:rsid w:val="00905275"/>
    <w:rsid w:val="00905DA6"/>
    <w:rsid w:val="00905F85"/>
    <w:rsid w:val="00905FB5"/>
    <w:rsid w:val="0090656A"/>
    <w:rsid w:val="00906809"/>
    <w:rsid w:val="0090683B"/>
    <w:rsid w:val="00906875"/>
    <w:rsid w:val="00906AF4"/>
    <w:rsid w:val="00906DDB"/>
    <w:rsid w:val="009072F4"/>
    <w:rsid w:val="0090746A"/>
    <w:rsid w:val="0090797F"/>
    <w:rsid w:val="00907AF0"/>
    <w:rsid w:val="00907C28"/>
    <w:rsid w:val="00907CEE"/>
    <w:rsid w:val="00910357"/>
    <w:rsid w:val="00910560"/>
    <w:rsid w:val="009106F9"/>
    <w:rsid w:val="00910742"/>
    <w:rsid w:val="0091093A"/>
    <w:rsid w:val="009111CB"/>
    <w:rsid w:val="00911231"/>
    <w:rsid w:val="00911393"/>
    <w:rsid w:val="0091200D"/>
    <w:rsid w:val="0091206A"/>
    <w:rsid w:val="009126FD"/>
    <w:rsid w:val="00912FD2"/>
    <w:rsid w:val="00913231"/>
    <w:rsid w:val="00913529"/>
    <w:rsid w:val="009135A6"/>
    <w:rsid w:val="009135C8"/>
    <w:rsid w:val="00913764"/>
    <w:rsid w:val="00913C88"/>
    <w:rsid w:val="00914295"/>
    <w:rsid w:val="009143DE"/>
    <w:rsid w:val="0091452F"/>
    <w:rsid w:val="00914E4A"/>
    <w:rsid w:val="00915566"/>
    <w:rsid w:val="009155A1"/>
    <w:rsid w:val="00915B33"/>
    <w:rsid w:val="00916304"/>
    <w:rsid w:val="009167BD"/>
    <w:rsid w:val="009174C5"/>
    <w:rsid w:val="00917581"/>
    <w:rsid w:val="0092053F"/>
    <w:rsid w:val="009209EF"/>
    <w:rsid w:val="00920EB2"/>
    <w:rsid w:val="00920EC6"/>
    <w:rsid w:val="009213F9"/>
    <w:rsid w:val="00921A57"/>
    <w:rsid w:val="009227D9"/>
    <w:rsid w:val="009227EF"/>
    <w:rsid w:val="009227FF"/>
    <w:rsid w:val="0092288F"/>
    <w:rsid w:val="00922F94"/>
    <w:rsid w:val="009233C1"/>
    <w:rsid w:val="00923605"/>
    <w:rsid w:val="00923C60"/>
    <w:rsid w:val="00924060"/>
    <w:rsid w:val="00924612"/>
    <w:rsid w:val="009246E7"/>
    <w:rsid w:val="009248CB"/>
    <w:rsid w:val="00924C50"/>
    <w:rsid w:val="00925B05"/>
    <w:rsid w:val="00925F9D"/>
    <w:rsid w:val="009261C2"/>
    <w:rsid w:val="00926669"/>
    <w:rsid w:val="009268FE"/>
    <w:rsid w:val="00926AA5"/>
    <w:rsid w:val="00926B14"/>
    <w:rsid w:val="00927381"/>
    <w:rsid w:val="00927845"/>
    <w:rsid w:val="00927DD8"/>
    <w:rsid w:val="00927DF6"/>
    <w:rsid w:val="009309A4"/>
    <w:rsid w:val="00930EDD"/>
    <w:rsid w:val="0093167F"/>
    <w:rsid w:val="00931887"/>
    <w:rsid w:val="009318A0"/>
    <w:rsid w:val="0093198B"/>
    <w:rsid w:val="00931C0F"/>
    <w:rsid w:val="00932257"/>
    <w:rsid w:val="00932472"/>
    <w:rsid w:val="0093339B"/>
    <w:rsid w:val="00933552"/>
    <w:rsid w:val="00933591"/>
    <w:rsid w:val="00933B59"/>
    <w:rsid w:val="009341FF"/>
    <w:rsid w:val="00934D6D"/>
    <w:rsid w:val="00934E26"/>
    <w:rsid w:val="00934F74"/>
    <w:rsid w:val="009350AE"/>
    <w:rsid w:val="00935399"/>
    <w:rsid w:val="00935A4A"/>
    <w:rsid w:val="00935A7C"/>
    <w:rsid w:val="00935ECB"/>
    <w:rsid w:val="009360AC"/>
    <w:rsid w:val="00936777"/>
    <w:rsid w:val="0093690F"/>
    <w:rsid w:val="00936F5F"/>
    <w:rsid w:val="00936F9D"/>
    <w:rsid w:val="009370C1"/>
    <w:rsid w:val="009373CF"/>
    <w:rsid w:val="00937498"/>
    <w:rsid w:val="00937CBC"/>
    <w:rsid w:val="00940142"/>
    <w:rsid w:val="00941748"/>
    <w:rsid w:val="00941EE0"/>
    <w:rsid w:val="0094217A"/>
    <w:rsid w:val="009426D9"/>
    <w:rsid w:val="00942A75"/>
    <w:rsid w:val="00942B1B"/>
    <w:rsid w:val="0094339C"/>
    <w:rsid w:val="00943808"/>
    <w:rsid w:val="009444C9"/>
    <w:rsid w:val="00944701"/>
    <w:rsid w:val="00944837"/>
    <w:rsid w:val="00944998"/>
    <w:rsid w:val="00944AA4"/>
    <w:rsid w:val="00944FD3"/>
    <w:rsid w:val="009450B6"/>
    <w:rsid w:val="00945861"/>
    <w:rsid w:val="00946411"/>
    <w:rsid w:val="00946889"/>
    <w:rsid w:val="009469F2"/>
    <w:rsid w:val="00946F33"/>
    <w:rsid w:val="0094739A"/>
    <w:rsid w:val="00947430"/>
    <w:rsid w:val="00947763"/>
    <w:rsid w:val="009479D6"/>
    <w:rsid w:val="00947D5A"/>
    <w:rsid w:val="00950011"/>
    <w:rsid w:val="00950810"/>
    <w:rsid w:val="00950AAD"/>
    <w:rsid w:val="00950F53"/>
    <w:rsid w:val="009512FB"/>
    <w:rsid w:val="009513F5"/>
    <w:rsid w:val="00951EFB"/>
    <w:rsid w:val="009520A0"/>
    <w:rsid w:val="0095216F"/>
    <w:rsid w:val="009521E8"/>
    <w:rsid w:val="0095238F"/>
    <w:rsid w:val="0095272C"/>
    <w:rsid w:val="00952A8D"/>
    <w:rsid w:val="00952AFB"/>
    <w:rsid w:val="00952D70"/>
    <w:rsid w:val="0095301C"/>
    <w:rsid w:val="00953110"/>
    <w:rsid w:val="009537BB"/>
    <w:rsid w:val="00953E54"/>
    <w:rsid w:val="00953F6E"/>
    <w:rsid w:val="00954183"/>
    <w:rsid w:val="009541B6"/>
    <w:rsid w:val="00954533"/>
    <w:rsid w:val="00954A5D"/>
    <w:rsid w:val="00954AC8"/>
    <w:rsid w:val="00954FB4"/>
    <w:rsid w:val="00955221"/>
    <w:rsid w:val="00955517"/>
    <w:rsid w:val="009557EE"/>
    <w:rsid w:val="00955FAE"/>
    <w:rsid w:val="00956080"/>
    <w:rsid w:val="00956A5C"/>
    <w:rsid w:val="0095709C"/>
    <w:rsid w:val="00957114"/>
    <w:rsid w:val="009574E6"/>
    <w:rsid w:val="00957841"/>
    <w:rsid w:val="00957871"/>
    <w:rsid w:val="00957D2C"/>
    <w:rsid w:val="009603A3"/>
    <w:rsid w:val="00960CF6"/>
    <w:rsid w:val="00960DA6"/>
    <w:rsid w:val="00961343"/>
    <w:rsid w:val="0096150C"/>
    <w:rsid w:val="00961B9B"/>
    <w:rsid w:val="00961C71"/>
    <w:rsid w:val="00962811"/>
    <w:rsid w:val="00962DCA"/>
    <w:rsid w:val="00962DDB"/>
    <w:rsid w:val="00962FE6"/>
    <w:rsid w:val="0096352E"/>
    <w:rsid w:val="00963DA8"/>
    <w:rsid w:val="00963F02"/>
    <w:rsid w:val="00963F5E"/>
    <w:rsid w:val="00964377"/>
    <w:rsid w:val="00964B39"/>
    <w:rsid w:val="00965471"/>
    <w:rsid w:val="009659F1"/>
    <w:rsid w:val="00965FD9"/>
    <w:rsid w:val="00966148"/>
    <w:rsid w:val="00966508"/>
    <w:rsid w:val="00966627"/>
    <w:rsid w:val="009667F4"/>
    <w:rsid w:val="00966BC9"/>
    <w:rsid w:val="009672D7"/>
    <w:rsid w:val="0096749E"/>
    <w:rsid w:val="0096757D"/>
    <w:rsid w:val="009675DF"/>
    <w:rsid w:val="009678B6"/>
    <w:rsid w:val="00967C45"/>
    <w:rsid w:val="009708D6"/>
    <w:rsid w:val="00970A26"/>
    <w:rsid w:val="00970BE4"/>
    <w:rsid w:val="00971336"/>
    <w:rsid w:val="009713DA"/>
    <w:rsid w:val="009714AB"/>
    <w:rsid w:val="0097167A"/>
    <w:rsid w:val="009719BF"/>
    <w:rsid w:val="009719F6"/>
    <w:rsid w:val="00971DCD"/>
    <w:rsid w:val="00972BEE"/>
    <w:rsid w:val="00972EBC"/>
    <w:rsid w:val="00972F01"/>
    <w:rsid w:val="00972F8E"/>
    <w:rsid w:val="009736ED"/>
    <w:rsid w:val="0097413F"/>
    <w:rsid w:val="00974293"/>
    <w:rsid w:val="00974525"/>
    <w:rsid w:val="00974FED"/>
    <w:rsid w:val="009750AB"/>
    <w:rsid w:val="00975490"/>
    <w:rsid w:val="00975954"/>
    <w:rsid w:val="00975E49"/>
    <w:rsid w:val="00975EAD"/>
    <w:rsid w:val="00976272"/>
    <w:rsid w:val="0097654A"/>
    <w:rsid w:val="00976951"/>
    <w:rsid w:val="00976B99"/>
    <w:rsid w:val="00976E13"/>
    <w:rsid w:val="009775DD"/>
    <w:rsid w:val="00977688"/>
    <w:rsid w:val="00977EEB"/>
    <w:rsid w:val="00980A47"/>
    <w:rsid w:val="00981CF1"/>
    <w:rsid w:val="00981F0E"/>
    <w:rsid w:val="00982312"/>
    <w:rsid w:val="00982714"/>
    <w:rsid w:val="00982AA0"/>
    <w:rsid w:val="00982BD1"/>
    <w:rsid w:val="00982E45"/>
    <w:rsid w:val="009830F2"/>
    <w:rsid w:val="009831E9"/>
    <w:rsid w:val="009838C2"/>
    <w:rsid w:val="00983A70"/>
    <w:rsid w:val="00984197"/>
    <w:rsid w:val="009844DD"/>
    <w:rsid w:val="0098454F"/>
    <w:rsid w:val="00984A4A"/>
    <w:rsid w:val="00985657"/>
    <w:rsid w:val="00985850"/>
    <w:rsid w:val="00985D6F"/>
    <w:rsid w:val="00985F2A"/>
    <w:rsid w:val="00985FEE"/>
    <w:rsid w:val="00986371"/>
    <w:rsid w:val="00986574"/>
    <w:rsid w:val="00986634"/>
    <w:rsid w:val="00986F12"/>
    <w:rsid w:val="00986FA7"/>
    <w:rsid w:val="00987280"/>
    <w:rsid w:val="009875E5"/>
    <w:rsid w:val="009878B7"/>
    <w:rsid w:val="009879E6"/>
    <w:rsid w:val="00987C25"/>
    <w:rsid w:val="00990625"/>
    <w:rsid w:val="00990BFF"/>
    <w:rsid w:val="00990C44"/>
    <w:rsid w:val="00990E49"/>
    <w:rsid w:val="009911ED"/>
    <w:rsid w:val="00991290"/>
    <w:rsid w:val="009912D2"/>
    <w:rsid w:val="009913E2"/>
    <w:rsid w:val="009914ED"/>
    <w:rsid w:val="0099180A"/>
    <w:rsid w:val="00992140"/>
    <w:rsid w:val="00992228"/>
    <w:rsid w:val="0099261C"/>
    <w:rsid w:val="00992649"/>
    <w:rsid w:val="00992856"/>
    <w:rsid w:val="0099292D"/>
    <w:rsid w:val="00992AE8"/>
    <w:rsid w:val="00992E42"/>
    <w:rsid w:val="00993024"/>
    <w:rsid w:val="0099438D"/>
    <w:rsid w:val="00994703"/>
    <w:rsid w:val="00994860"/>
    <w:rsid w:val="009948F1"/>
    <w:rsid w:val="0099492A"/>
    <w:rsid w:val="00995647"/>
    <w:rsid w:val="0099592E"/>
    <w:rsid w:val="0099625C"/>
    <w:rsid w:val="00996540"/>
    <w:rsid w:val="00996688"/>
    <w:rsid w:val="00996774"/>
    <w:rsid w:val="00996A0C"/>
    <w:rsid w:val="00996FD4"/>
    <w:rsid w:val="009970AB"/>
    <w:rsid w:val="00997351"/>
    <w:rsid w:val="009976E5"/>
    <w:rsid w:val="00997759"/>
    <w:rsid w:val="00997770"/>
    <w:rsid w:val="00997B89"/>
    <w:rsid w:val="009A085A"/>
    <w:rsid w:val="009A0A8F"/>
    <w:rsid w:val="009A1DA9"/>
    <w:rsid w:val="009A1F48"/>
    <w:rsid w:val="009A2590"/>
    <w:rsid w:val="009A2737"/>
    <w:rsid w:val="009A2A21"/>
    <w:rsid w:val="009A2D83"/>
    <w:rsid w:val="009A326D"/>
    <w:rsid w:val="009A359E"/>
    <w:rsid w:val="009A36AF"/>
    <w:rsid w:val="009A4242"/>
    <w:rsid w:val="009A48D2"/>
    <w:rsid w:val="009A4DCA"/>
    <w:rsid w:val="009A4E90"/>
    <w:rsid w:val="009A5881"/>
    <w:rsid w:val="009A5B0E"/>
    <w:rsid w:val="009A5C9D"/>
    <w:rsid w:val="009A5CFB"/>
    <w:rsid w:val="009A5D1D"/>
    <w:rsid w:val="009A5E56"/>
    <w:rsid w:val="009A5E5B"/>
    <w:rsid w:val="009A5EF2"/>
    <w:rsid w:val="009A6A5C"/>
    <w:rsid w:val="009A711B"/>
    <w:rsid w:val="009A71CA"/>
    <w:rsid w:val="009A7267"/>
    <w:rsid w:val="009A75DC"/>
    <w:rsid w:val="009A77E1"/>
    <w:rsid w:val="009B0195"/>
    <w:rsid w:val="009B01B4"/>
    <w:rsid w:val="009B0357"/>
    <w:rsid w:val="009B062D"/>
    <w:rsid w:val="009B0643"/>
    <w:rsid w:val="009B0650"/>
    <w:rsid w:val="009B06BA"/>
    <w:rsid w:val="009B08E6"/>
    <w:rsid w:val="009B0B6A"/>
    <w:rsid w:val="009B0CEA"/>
    <w:rsid w:val="009B1220"/>
    <w:rsid w:val="009B12ED"/>
    <w:rsid w:val="009B1504"/>
    <w:rsid w:val="009B21E0"/>
    <w:rsid w:val="009B26B6"/>
    <w:rsid w:val="009B2799"/>
    <w:rsid w:val="009B2BD1"/>
    <w:rsid w:val="009B2C05"/>
    <w:rsid w:val="009B2F29"/>
    <w:rsid w:val="009B3197"/>
    <w:rsid w:val="009B3595"/>
    <w:rsid w:val="009B3741"/>
    <w:rsid w:val="009B3768"/>
    <w:rsid w:val="009B37CF"/>
    <w:rsid w:val="009B3A6B"/>
    <w:rsid w:val="009B4135"/>
    <w:rsid w:val="009B464C"/>
    <w:rsid w:val="009B46E1"/>
    <w:rsid w:val="009B47BC"/>
    <w:rsid w:val="009B4E30"/>
    <w:rsid w:val="009B500A"/>
    <w:rsid w:val="009B5446"/>
    <w:rsid w:val="009B5E30"/>
    <w:rsid w:val="009B5EB1"/>
    <w:rsid w:val="009B5F99"/>
    <w:rsid w:val="009B60CF"/>
    <w:rsid w:val="009B647D"/>
    <w:rsid w:val="009B64FE"/>
    <w:rsid w:val="009B6520"/>
    <w:rsid w:val="009B65C4"/>
    <w:rsid w:val="009B6C19"/>
    <w:rsid w:val="009B6C3D"/>
    <w:rsid w:val="009B6F67"/>
    <w:rsid w:val="009B729F"/>
    <w:rsid w:val="009B78A2"/>
    <w:rsid w:val="009B79F6"/>
    <w:rsid w:val="009B7A22"/>
    <w:rsid w:val="009B7C8B"/>
    <w:rsid w:val="009B7C9F"/>
    <w:rsid w:val="009B7D08"/>
    <w:rsid w:val="009B7E4C"/>
    <w:rsid w:val="009C0A4D"/>
    <w:rsid w:val="009C0D78"/>
    <w:rsid w:val="009C1107"/>
    <w:rsid w:val="009C1330"/>
    <w:rsid w:val="009C18A2"/>
    <w:rsid w:val="009C19E7"/>
    <w:rsid w:val="009C1E0F"/>
    <w:rsid w:val="009C21B7"/>
    <w:rsid w:val="009C2237"/>
    <w:rsid w:val="009C26FE"/>
    <w:rsid w:val="009C27E5"/>
    <w:rsid w:val="009C284C"/>
    <w:rsid w:val="009C2BD9"/>
    <w:rsid w:val="009C2E09"/>
    <w:rsid w:val="009C3128"/>
    <w:rsid w:val="009C358E"/>
    <w:rsid w:val="009C38EF"/>
    <w:rsid w:val="009C3C47"/>
    <w:rsid w:val="009C3D2A"/>
    <w:rsid w:val="009C3F5F"/>
    <w:rsid w:val="009C3F8B"/>
    <w:rsid w:val="009C41F1"/>
    <w:rsid w:val="009C428B"/>
    <w:rsid w:val="009C4443"/>
    <w:rsid w:val="009C4F5E"/>
    <w:rsid w:val="009C5731"/>
    <w:rsid w:val="009C57FE"/>
    <w:rsid w:val="009C589C"/>
    <w:rsid w:val="009C5FC9"/>
    <w:rsid w:val="009C61FD"/>
    <w:rsid w:val="009C63C8"/>
    <w:rsid w:val="009C6740"/>
    <w:rsid w:val="009C6EBC"/>
    <w:rsid w:val="009C742B"/>
    <w:rsid w:val="009C7801"/>
    <w:rsid w:val="009C7C0C"/>
    <w:rsid w:val="009C7F2D"/>
    <w:rsid w:val="009D0766"/>
    <w:rsid w:val="009D077D"/>
    <w:rsid w:val="009D09CA"/>
    <w:rsid w:val="009D0D80"/>
    <w:rsid w:val="009D16FF"/>
    <w:rsid w:val="009D18AB"/>
    <w:rsid w:val="009D18EB"/>
    <w:rsid w:val="009D1BD5"/>
    <w:rsid w:val="009D1E28"/>
    <w:rsid w:val="009D2147"/>
    <w:rsid w:val="009D279C"/>
    <w:rsid w:val="009D27E0"/>
    <w:rsid w:val="009D2A3F"/>
    <w:rsid w:val="009D3303"/>
    <w:rsid w:val="009D3389"/>
    <w:rsid w:val="009D33BF"/>
    <w:rsid w:val="009D4206"/>
    <w:rsid w:val="009D43C0"/>
    <w:rsid w:val="009D45C2"/>
    <w:rsid w:val="009D4ADD"/>
    <w:rsid w:val="009D54BC"/>
    <w:rsid w:val="009D57E7"/>
    <w:rsid w:val="009D5A62"/>
    <w:rsid w:val="009D65E3"/>
    <w:rsid w:val="009D6867"/>
    <w:rsid w:val="009D6BCE"/>
    <w:rsid w:val="009D709D"/>
    <w:rsid w:val="009D7649"/>
    <w:rsid w:val="009D7694"/>
    <w:rsid w:val="009D76CE"/>
    <w:rsid w:val="009D7904"/>
    <w:rsid w:val="009D7956"/>
    <w:rsid w:val="009D7A03"/>
    <w:rsid w:val="009D7EBE"/>
    <w:rsid w:val="009E03EB"/>
    <w:rsid w:val="009E04A2"/>
    <w:rsid w:val="009E07FB"/>
    <w:rsid w:val="009E093C"/>
    <w:rsid w:val="009E10C1"/>
    <w:rsid w:val="009E1512"/>
    <w:rsid w:val="009E165B"/>
    <w:rsid w:val="009E195E"/>
    <w:rsid w:val="009E19F6"/>
    <w:rsid w:val="009E1A56"/>
    <w:rsid w:val="009E1C16"/>
    <w:rsid w:val="009E1C71"/>
    <w:rsid w:val="009E1E49"/>
    <w:rsid w:val="009E1EF9"/>
    <w:rsid w:val="009E1F22"/>
    <w:rsid w:val="009E218D"/>
    <w:rsid w:val="009E24A4"/>
    <w:rsid w:val="009E28D7"/>
    <w:rsid w:val="009E3170"/>
    <w:rsid w:val="009E326E"/>
    <w:rsid w:val="009E328A"/>
    <w:rsid w:val="009E3631"/>
    <w:rsid w:val="009E3AA9"/>
    <w:rsid w:val="009E3DA7"/>
    <w:rsid w:val="009E3DBD"/>
    <w:rsid w:val="009E462B"/>
    <w:rsid w:val="009E50BF"/>
    <w:rsid w:val="009E5115"/>
    <w:rsid w:val="009E51C4"/>
    <w:rsid w:val="009E564E"/>
    <w:rsid w:val="009E574D"/>
    <w:rsid w:val="009E5945"/>
    <w:rsid w:val="009E5B20"/>
    <w:rsid w:val="009E6041"/>
    <w:rsid w:val="009E669B"/>
    <w:rsid w:val="009E69C4"/>
    <w:rsid w:val="009E6B79"/>
    <w:rsid w:val="009E6E15"/>
    <w:rsid w:val="009E73BE"/>
    <w:rsid w:val="009E7A9E"/>
    <w:rsid w:val="009E7C3D"/>
    <w:rsid w:val="009F0292"/>
    <w:rsid w:val="009F02B0"/>
    <w:rsid w:val="009F02FB"/>
    <w:rsid w:val="009F0381"/>
    <w:rsid w:val="009F038D"/>
    <w:rsid w:val="009F0D32"/>
    <w:rsid w:val="009F0D33"/>
    <w:rsid w:val="009F11A7"/>
    <w:rsid w:val="009F1534"/>
    <w:rsid w:val="009F1978"/>
    <w:rsid w:val="009F29B3"/>
    <w:rsid w:val="009F2AB1"/>
    <w:rsid w:val="009F2DB7"/>
    <w:rsid w:val="009F2E7E"/>
    <w:rsid w:val="009F2FBA"/>
    <w:rsid w:val="009F358C"/>
    <w:rsid w:val="009F369C"/>
    <w:rsid w:val="009F3A1B"/>
    <w:rsid w:val="009F3BB0"/>
    <w:rsid w:val="009F3EFE"/>
    <w:rsid w:val="009F44CD"/>
    <w:rsid w:val="009F459B"/>
    <w:rsid w:val="009F4A54"/>
    <w:rsid w:val="009F4EF1"/>
    <w:rsid w:val="009F5154"/>
    <w:rsid w:val="009F5194"/>
    <w:rsid w:val="009F573D"/>
    <w:rsid w:val="009F586F"/>
    <w:rsid w:val="009F5A16"/>
    <w:rsid w:val="009F5BF8"/>
    <w:rsid w:val="009F5C63"/>
    <w:rsid w:val="009F5CFD"/>
    <w:rsid w:val="009F5F1C"/>
    <w:rsid w:val="009F623C"/>
    <w:rsid w:val="009F66ED"/>
    <w:rsid w:val="009F68D8"/>
    <w:rsid w:val="009F6D91"/>
    <w:rsid w:val="009F6FA8"/>
    <w:rsid w:val="009F71EC"/>
    <w:rsid w:val="009F74D1"/>
    <w:rsid w:val="009F7777"/>
    <w:rsid w:val="00A00005"/>
    <w:rsid w:val="00A00186"/>
    <w:rsid w:val="00A00D81"/>
    <w:rsid w:val="00A00E6E"/>
    <w:rsid w:val="00A01254"/>
    <w:rsid w:val="00A0149A"/>
    <w:rsid w:val="00A01ADE"/>
    <w:rsid w:val="00A01D63"/>
    <w:rsid w:val="00A0240A"/>
    <w:rsid w:val="00A024A7"/>
    <w:rsid w:val="00A0275E"/>
    <w:rsid w:val="00A02817"/>
    <w:rsid w:val="00A02B11"/>
    <w:rsid w:val="00A02B54"/>
    <w:rsid w:val="00A0327C"/>
    <w:rsid w:val="00A03373"/>
    <w:rsid w:val="00A03BAD"/>
    <w:rsid w:val="00A04316"/>
    <w:rsid w:val="00A04FB7"/>
    <w:rsid w:val="00A050B3"/>
    <w:rsid w:val="00A05112"/>
    <w:rsid w:val="00A05599"/>
    <w:rsid w:val="00A0574C"/>
    <w:rsid w:val="00A057BA"/>
    <w:rsid w:val="00A058BA"/>
    <w:rsid w:val="00A059CE"/>
    <w:rsid w:val="00A05E21"/>
    <w:rsid w:val="00A05E2A"/>
    <w:rsid w:val="00A0641C"/>
    <w:rsid w:val="00A064F7"/>
    <w:rsid w:val="00A068ED"/>
    <w:rsid w:val="00A06903"/>
    <w:rsid w:val="00A06D13"/>
    <w:rsid w:val="00A07334"/>
    <w:rsid w:val="00A074BB"/>
    <w:rsid w:val="00A079DB"/>
    <w:rsid w:val="00A07E01"/>
    <w:rsid w:val="00A10978"/>
    <w:rsid w:val="00A10B67"/>
    <w:rsid w:val="00A10CE5"/>
    <w:rsid w:val="00A10EE6"/>
    <w:rsid w:val="00A110DD"/>
    <w:rsid w:val="00A114ED"/>
    <w:rsid w:val="00A116C7"/>
    <w:rsid w:val="00A119CD"/>
    <w:rsid w:val="00A11AC4"/>
    <w:rsid w:val="00A11CD4"/>
    <w:rsid w:val="00A11D18"/>
    <w:rsid w:val="00A12D20"/>
    <w:rsid w:val="00A12FA2"/>
    <w:rsid w:val="00A13E65"/>
    <w:rsid w:val="00A14587"/>
    <w:rsid w:val="00A1469D"/>
    <w:rsid w:val="00A14797"/>
    <w:rsid w:val="00A148A5"/>
    <w:rsid w:val="00A15298"/>
    <w:rsid w:val="00A15759"/>
    <w:rsid w:val="00A159DE"/>
    <w:rsid w:val="00A15A25"/>
    <w:rsid w:val="00A15B3C"/>
    <w:rsid w:val="00A1641F"/>
    <w:rsid w:val="00A1664B"/>
    <w:rsid w:val="00A16AB3"/>
    <w:rsid w:val="00A16ECD"/>
    <w:rsid w:val="00A171A0"/>
    <w:rsid w:val="00A172CE"/>
    <w:rsid w:val="00A17DAF"/>
    <w:rsid w:val="00A203CC"/>
    <w:rsid w:val="00A20587"/>
    <w:rsid w:val="00A206AC"/>
    <w:rsid w:val="00A20996"/>
    <w:rsid w:val="00A20AA1"/>
    <w:rsid w:val="00A20B7B"/>
    <w:rsid w:val="00A20CD9"/>
    <w:rsid w:val="00A20F12"/>
    <w:rsid w:val="00A214FD"/>
    <w:rsid w:val="00A22042"/>
    <w:rsid w:val="00A220A7"/>
    <w:rsid w:val="00A22721"/>
    <w:rsid w:val="00A227E4"/>
    <w:rsid w:val="00A22855"/>
    <w:rsid w:val="00A22903"/>
    <w:rsid w:val="00A22B45"/>
    <w:rsid w:val="00A22CB6"/>
    <w:rsid w:val="00A23204"/>
    <w:rsid w:val="00A239AA"/>
    <w:rsid w:val="00A23B68"/>
    <w:rsid w:val="00A23CB2"/>
    <w:rsid w:val="00A240E8"/>
    <w:rsid w:val="00A24251"/>
    <w:rsid w:val="00A2477F"/>
    <w:rsid w:val="00A24A1B"/>
    <w:rsid w:val="00A24E25"/>
    <w:rsid w:val="00A25168"/>
    <w:rsid w:val="00A25239"/>
    <w:rsid w:val="00A252C6"/>
    <w:rsid w:val="00A256E9"/>
    <w:rsid w:val="00A25823"/>
    <w:rsid w:val="00A25A1B"/>
    <w:rsid w:val="00A26387"/>
    <w:rsid w:val="00A26949"/>
    <w:rsid w:val="00A26B77"/>
    <w:rsid w:val="00A26C5B"/>
    <w:rsid w:val="00A26CC0"/>
    <w:rsid w:val="00A26FAE"/>
    <w:rsid w:val="00A271DF"/>
    <w:rsid w:val="00A27282"/>
    <w:rsid w:val="00A3134F"/>
    <w:rsid w:val="00A313A0"/>
    <w:rsid w:val="00A3157A"/>
    <w:rsid w:val="00A3185C"/>
    <w:rsid w:val="00A31923"/>
    <w:rsid w:val="00A31F72"/>
    <w:rsid w:val="00A32698"/>
    <w:rsid w:val="00A32D1F"/>
    <w:rsid w:val="00A3319C"/>
    <w:rsid w:val="00A3340F"/>
    <w:rsid w:val="00A33F7D"/>
    <w:rsid w:val="00A34664"/>
    <w:rsid w:val="00A34BAD"/>
    <w:rsid w:val="00A34BDB"/>
    <w:rsid w:val="00A353F9"/>
    <w:rsid w:val="00A3620E"/>
    <w:rsid w:val="00A362E7"/>
    <w:rsid w:val="00A363DC"/>
    <w:rsid w:val="00A36E28"/>
    <w:rsid w:val="00A36FDD"/>
    <w:rsid w:val="00A37138"/>
    <w:rsid w:val="00A3724F"/>
    <w:rsid w:val="00A372EF"/>
    <w:rsid w:val="00A374AF"/>
    <w:rsid w:val="00A3775F"/>
    <w:rsid w:val="00A37803"/>
    <w:rsid w:val="00A37870"/>
    <w:rsid w:val="00A378F0"/>
    <w:rsid w:val="00A406BA"/>
    <w:rsid w:val="00A40735"/>
    <w:rsid w:val="00A415E4"/>
    <w:rsid w:val="00A41B73"/>
    <w:rsid w:val="00A42082"/>
    <w:rsid w:val="00A42835"/>
    <w:rsid w:val="00A42D28"/>
    <w:rsid w:val="00A42EC1"/>
    <w:rsid w:val="00A43341"/>
    <w:rsid w:val="00A43398"/>
    <w:rsid w:val="00A434AC"/>
    <w:rsid w:val="00A434FF"/>
    <w:rsid w:val="00A438E0"/>
    <w:rsid w:val="00A449E2"/>
    <w:rsid w:val="00A45400"/>
    <w:rsid w:val="00A455F6"/>
    <w:rsid w:val="00A45680"/>
    <w:rsid w:val="00A456DD"/>
    <w:rsid w:val="00A458D1"/>
    <w:rsid w:val="00A4658C"/>
    <w:rsid w:val="00A46D20"/>
    <w:rsid w:val="00A470B7"/>
    <w:rsid w:val="00A470E9"/>
    <w:rsid w:val="00A4710D"/>
    <w:rsid w:val="00A4725F"/>
    <w:rsid w:val="00A475E0"/>
    <w:rsid w:val="00A47C88"/>
    <w:rsid w:val="00A47DCD"/>
    <w:rsid w:val="00A47DE5"/>
    <w:rsid w:val="00A47EF6"/>
    <w:rsid w:val="00A50364"/>
    <w:rsid w:val="00A5065D"/>
    <w:rsid w:val="00A5079A"/>
    <w:rsid w:val="00A50A25"/>
    <w:rsid w:val="00A50D53"/>
    <w:rsid w:val="00A51363"/>
    <w:rsid w:val="00A519D2"/>
    <w:rsid w:val="00A51D49"/>
    <w:rsid w:val="00A52002"/>
    <w:rsid w:val="00A52157"/>
    <w:rsid w:val="00A521EF"/>
    <w:rsid w:val="00A52288"/>
    <w:rsid w:val="00A5286A"/>
    <w:rsid w:val="00A52F14"/>
    <w:rsid w:val="00A52FF9"/>
    <w:rsid w:val="00A5302F"/>
    <w:rsid w:val="00A538B1"/>
    <w:rsid w:val="00A53B33"/>
    <w:rsid w:val="00A53EF9"/>
    <w:rsid w:val="00A542B2"/>
    <w:rsid w:val="00A551EB"/>
    <w:rsid w:val="00A554A4"/>
    <w:rsid w:val="00A55B02"/>
    <w:rsid w:val="00A55C52"/>
    <w:rsid w:val="00A55CF8"/>
    <w:rsid w:val="00A56E83"/>
    <w:rsid w:val="00A56E87"/>
    <w:rsid w:val="00A57252"/>
    <w:rsid w:val="00A57526"/>
    <w:rsid w:val="00A5754D"/>
    <w:rsid w:val="00A57D8E"/>
    <w:rsid w:val="00A60861"/>
    <w:rsid w:val="00A60DAF"/>
    <w:rsid w:val="00A61173"/>
    <w:rsid w:val="00A6127C"/>
    <w:rsid w:val="00A61370"/>
    <w:rsid w:val="00A6140E"/>
    <w:rsid w:val="00A61595"/>
    <w:rsid w:val="00A6189C"/>
    <w:rsid w:val="00A61BD5"/>
    <w:rsid w:val="00A621F8"/>
    <w:rsid w:val="00A62284"/>
    <w:rsid w:val="00A626EE"/>
    <w:rsid w:val="00A62AFA"/>
    <w:rsid w:val="00A638DA"/>
    <w:rsid w:val="00A63BCE"/>
    <w:rsid w:val="00A63C2D"/>
    <w:rsid w:val="00A63F30"/>
    <w:rsid w:val="00A645F4"/>
    <w:rsid w:val="00A647AC"/>
    <w:rsid w:val="00A64862"/>
    <w:rsid w:val="00A648B5"/>
    <w:rsid w:val="00A64B31"/>
    <w:rsid w:val="00A64C87"/>
    <w:rsid w:val="00A65110"/>
    <w:rsid w:val="00A6559F"/>
    <w:rsid w:val="00A656D9"/>
    <w:rsid w:val="00A659D4"/>
    <w:rsid w:val="00A65C15"/>
    <w:rsid w:val="00A65E91"/>
    <w:rsid w:val="00A661AC"/>
    <w:rsid w:val="00A6638B"/>
    <w:rsid w:val="00A665DC"/>
    <w:rsid w:val="00A66989"/>
    <w:rsid w:val="00A66D0B"/>
    <w:rsid w:val="00A67061"/>
    <w:rsid w:val="00A67188"/>
    <w:rsid w:val="00A675B3"/>
    <w:rsid w:val="00A6771B"/>
    <w:rsid w:val="00A67AB3"/>
    <w:rsid w:val="00A67B16"/>
    <w:rsid w:val="00A67B66"/>
    <w:rsid w:val="00A67D21"/>
    <w:rsid w:val="00A70258"/>
    <w:rsid w:val="00A70325"/>
    <w:rsid w:val="00A703E0"/>
    <w:rsid w:val="00A70AF5"/>
    <w:rsid w:val="00A71148"/>
    <w:rsid w:val="00A713FE"/>
    <w:rsid w:val="00A715AF"/>
    <w:rsid w:val="00A7163F"/>
    <w:rsid w:val="00A71874"/>
    <w:rsid w:val="00A71B34"/>
    <w:rsid w:val="00A7200D"/>
    <w:rsid w:val="00A72532"/>
    <w:rsid w:val="00A725F0"/>
    <w:rsid w:val="00A72BC0"/>
    <w:rsid w:val="00A7389D"/>
    <w:rsid w:val="00A73D48"/>
    <w:rsid w:val="00A74026"/>
    <w:rsid w:val="00A7441B"/>
    <w:rsid w:val="00A74579"/>
    <w:rsid w:val="00A7469E"/>
    <w:rsid w:val="00A7490E"/>
    <w:rsid w:val="00A74C7A"/>
    <w:rsid w:val="00A74FC3"/>
    <w:rsid w:val="00A75B1E"/>
    <w:rsid w:val="00A760BD"/>
    <w:rsid w:val="00A764E5"/>
    <w:rsid w:val="00A769B3"/>
    <w:rsid w:val="00A76A98"/>
    <w:rsid w:val="00A76B71"/>
    <w:rsid w:val="00A76F13"/>
    <w:rsid w:val="00A7714D"/>
    <w:rsid w:val="00A77299"/>
    <w:rsid w:val="00A7745F"/>
    <w:rsid w:val="00A776C6"/>
    <w:rsid w:val="00A77CEF"/>
    <w:rsid w:val="00A801FE"/>
    <w:rsid w:val="00A804D0"/>
    <w:rsid w:val="00A8087C"/>
    <w:rsid w:val="00A80976"/>
    <w:rsid w:val="00A809D9"/>
    <w:rsid w:val="00A80F2F"/>
    <w:rsid w:val="00A81258"/>
    <w:rsid w:val="00A813B7"/>
    <w:rsid w:val="00A8146E"/>
    <w:rsid w:val="00A81786"/>
    <w:rsid w:val="00A8193B"/>
    <w:rsid w:val="00A819AC"/>
    <w:rsid w:val="00A81B24"/>
    <w:rsid w:val="00A81D23"/>
    <w:rsid w:val="00A8271E"/>
    <w:rsid w:val="00A82DF8"/>
    <w:rsid w:val="00A82F8C"/>
    <w:rsid w:val="00A83067"/>
    <w:rsid w:val="00A83216"/>
    <w:rsid w:val="00A833E0"/>
    <w:rsid w:val="00A839B2"/>
    <w:rsid w:val="00A84309"/>
    <w:rsid w:val="00A847E2"/>
    <w:rsid w:val="00A84DAB"/>
    <w:rsid w:val="00A851B0"/>
    <w:rsid w:val="00A855A6"/>
    <w:rsid w:val="00A85669"/>
    <w:rsid w:val="00A857AB"/>
    <w:rsid w:val="00A85C40"/>
    <w:rsid w:val="00A85E1E"/>
    <w:rsid w:val="00A8600E"/>
    <w:rsid w:val="00A868F0"/>
    <w:rsid w:val="00A86B5B"/>
    <w:rsid w:val="00A86DF2"/>
    <w:rsid w:val="00A86ECA"/>
    <w:rsid w:val="00A871D4"/>
    <w:rsid w:val="00A87348"/>
    <w:rsid w:val="00A873A1"/>
    <w:rsid w:val="00A873E3"/>
    <w:rsid w:val="00A87643"/>
    <w:rsid w:val="00A87BEB"/>
    <w:rsid w:val="00A87FF0"/>
    <w:rsid w:val="00A9023C"/>
    <w:rsid w:val="00A907BC"/>
    <w:rsid w:val="00A90AFD"/>
    <w:rsid w:val="00A90EAA"/>
    <w:rsid w:val="00A9223D"/>
    <w:rsid w:val="00A92406"/>
    <w:rsid w:val="00A92AAA"/>
    <w:rsid w:val="00A9301D"/>
    <w:rsid w:val="00A931B4"/>
    <w:rsid w:val="00A933A9"/>
    <w:rsid w:val="00A9376F"/>
    <w:rsid w:val="00A93AFC"/>
    <w:rsid w:val="00A93C24"/>
    <w:rsid w:val="00A947A0"/>
    <w:rsid w:val="00A94B62"/>
    <w:rsid w:val="00A94CD3"/>
    <w:rsid w:val="00A950E1"/>
    <w:rsid w:val="00A9578D"/>
    <w:rsid w:val="00A95CFC"/>
    <w:rsid w:val="00A95D1D"/>
    <w:rsid w:val="00A960FE"/>
    <w:rsid w:val="00A9629B"/>
    <w:rsid w:val="00A9656A"/>
    <w:rsid w:val="00A96747"/>
    <w:rsid w:val="00A96AB2"/>
    <w:rsid w:val="00A96D37"/>
    <w:rsid w:val="00A96FE7"/>
    <w:rsid w:val="00A97222"/>
    <w:rsid w:val="00A978A4"/>
    <w:rsid w:val="00A97BAC"/>
    <w:rsid w:val="00A97D0D"/>
    <w:rsid w:val="00A97DE6"/>
    <w:rsid w:val="00A97F01"/>
    <w:rsid w:val="00AA05B1"/>
    <w:rsid w:val="00AA0A91"/>
    <w:rsid w:val="00AA0C33"/>
    <w:rsid w:val="00AA1587"/>
    <w:rsid w:val="00AA1730"/>
    <w:rsid w:val="00AA1749"/>
    <w:rsid w:val="00AA1B81"/>
    <w:rsid w:val="00AA1D52"/>
    <w:rsid w:val="00AA1D58"/>
    <w:rsid w:val="00AA2092"/>
    <w:rsid w:val="00AA2394"/>
    <w:rsid w:val="00AA26C6"/>
    <w:rsid w:val="00AA26E3"/>
    <w:rsid w:val="00AA3358"/>
    <w:rsid w:val="00AA3707"/>
    <w:rsid w:val="00AA3853"/>
    <w:rsid w:val="00AA3B84"/>
    <w:rsid w:val="00AA3BBD"/>
    <w:rsid w:val="00AA3D0B"/>
    <w:rsid w:val="00AA403F"/>
    <w:rsid w:val="00AA49CF"/>
    <w:rsid w:val="00AA4C57"/>
    <w:rsid w:val="00AA4E58"/>
    <w:rsid w:val="00AA4F8E"/>
    <w:rsid w:val="00AA54CE"/>
    <w:rsid w:val="00AA580A"/>
    <w:rsid w:val="00AA5949"/>
    <w:rsid w:val="00AA5BD7"/>
    <w:rsid w:val="00AA5D61"/>
    <w:rsid w:val="00AA5DEE"/>
    <w:rsid w:val="00AA62F0"/>
    <w:rsid w:val="00AA65D3"/>
    <w:rsid w:val="00AA7329"/>
    <w:rsid w:val="00AA73B7"/>
    <w:rsid w:val="00AB00BA"/>
    <w:rsid w:val="00AB060E"/>
    <w:rsid w:val="00AB0F37"/>
    <w:rsid w:val="00AB10C9"/>
    <w:rsid w:val="00AB1881"/>
    <w:rsid w:val="00AB1C1F"/>
    <w:rsid w:val="00AB1D26"/>
    <w:rsid w:val="00AB21D1"/>
    <w:rsid w:val="00AB21D7"/>
    <w:rsid w:val="00AB232B"/>
    <w:rsid w:val="00AB23D1"/>
    <w:rsid w:val="00AB2A85"/>
    <w:rsid w:val="00AB2CAD"/>
    <w:rsid w:val="00AB3987"/>
    <w:rsid w:val="00AB3AE3"/>
    <w:rsid w:val="00AB43A4"/>
    <w:rsid w:val="00AB4B96"/>
    <w:rsid w:val="00AB4F8A"/>
    <w:rsid w:val="00AB5099"/>
    <w:rsid w:val="00AB5651"/>
    <w:rsid w:val="00AB5D5A"/>
    <w:rsid w:val="00AB5E59"/>
    <w:rsid w:val="00AB6AF2"/>
    <w:rsid w:val="00AB7406"/>
    <w:rsid w:val="00AB7E07"/>
    <w:rsid w:val="00AC0029"/>
    <w:rsid w:val="00AC00F5"/>
    <w:rsid w:val="00AC0EBA"/>
    <w:rsid w:val="00AC11B6"/>
    <w:rsid w:val="00AC12DE"/>
    <w:rsid w:val="00AC143B"/>
    <w:rsid w:val="00AC14DD"/>
    <w:rsid w:val="00AC14E8"/>
    <w:rsid w:val="00AC1B39"/>
    <w:rsid w:val="00AC226D"/>
    <w:rsid w:val="00AC2376"/>
    <w:rsid w:val="00AC25D9"/>
    <w:rsid w:val="00AC2832"/>
    <w:rsid w:val="00AC2949"/>
    <w:rsid w:val="00AC2CB2"/>
    <w:rsid w:val="00AC2FFB"/>
    <w:rsid w:val="00AC3115"/>
    <w:rsid w:val="00AC3244"/>
    <w:rsid w:val="00AC3440"/>
    <w:rsid w:val="00AC361B"/>
    <w:rsid w:val="00AC3773"/>
    <w:rsid w:val="00AC3902"/>
    <w:rsid w:val="00AC3A30"/>
    <w:rsid w:val="00AC3A69"/>
    <w:rsid w:val="00AC3D84"/>
    <w:rsid w:val="00AC3DA5"/>
    <w:rsid w:val="00AC3E5F"/>
    <w:rsid w:val="00AC3E6C"/>
    <w:rsid w:val="00AC400F"/>
    <w:rsid w:val="00AC464E"/>
    <w:rsid w:val="00AC46A7"/>
    <w:rsid w:val="00AC533A"/>
    <w:rsid w:val="00AC534F"/>
    <w:rsid w:val="00AC5AE2"/>
    <w:rsid w:val="00AC5E90"/>
    <w:rsid w:val="00AC5F82"/>
    <w:rsid w:val="00AC644F"/>
    <w:rsid w:val="00AC666D"/>
    <w:rsid w:val="00AC66BC"/>
    <w:rsid w:val="00AC6CB7"/>
    <w:rsid w:val="00AC6E48"/>
    <w:rsid w:val="00AC7064"/>
    <w:rsid w:val="00AC7299"/>
    <w:rsid w:val="00AC76A6"/>
    <w:rsid w:val="00AC7C80"/>
    <w:rsid w:val="00AC7C84"/>
    <w:rsid w:val="00AD075B"/>
    <w:rsid w:val="00AD0825"/>
    <w:rsid w:val="00AD0841"/>
    <w:rsid w:val="00AD085C"/>
    <w:rsid w:val="00AD0877"/>
    <w:rsid w:val="00AD087D"/>
    <w:rsid w:val="00AD105C"/>
    <w:rsid w:val="00AD10C4"/>
    <w:rsid w:val="00AD1240"/>
    <w:rsid w:val="00AD14E1"/>
    <w:rsid w:val="00AD1556"/>
    <w:rsid w:val="00AD1694"/>
    <w:rsid w:val="00AD1AD4"/>
    <w:rsid w:val="00AD1BCC"/>
    <w:rsid w:val="00AD1C9D"/>
    <w:rsid w:val="00AD1CE1"/>
    <w:rsid w:val="00AD1EAA"/>
    <w:rsid w:val="00AD2124"/>
    <w:rsid w:val="00AD21C5"/>
    <w:rsid w:val="00AD2B9A"/>
    <w:rsid w:val="00AD2C95"/>
    <w:rsid w:val="00AD2D25"/>
    <w:rsid w:val="00AD3440"/>
    <w:rsid w:val="00AD35CC"/>
    <w:rsid w:val="00AD3902"/>
    <w:rsid w:val="00AD3A12"/>
    <w:rsid w:val="00AD4125"/>
    <w:rsid w:val="00AD4844"/>
    <w:rsid w:val="00AD49E0"/>
    <w:rsid w:val="00AD4CF6"/>
    <w:rsid w:val="00AD4D27"/>
    <w:rsid w:val="00AD4D5E"/>
    <w:rsid w:val="00AD4DD7"/>
    <w:rsid w:val="00AD5A98"/>
    <w:rsid w:val="00AD5D2B"/>
    <w:rsid w:val="00AD5F5D"/>
    <w:rsid w:val="00AD68F4"/>
    <w:rsid w:val="00AD6BFE"/>
    <w:rsid w:val="00AD6C62"/>
    <w:rsid w:val="00AD701C"/>
    <w:rsid w:val="00AD7678"/>
    <w:rsid w:val="00AD77A3"/>
    <w:rsid w:val="00AD7BF0"/>
    <w:rsid w:val="00AE01EF"/>
    <w:rsid w:val="00AE06C2"/>
    <w:rsid w:val="00AE07A8"/>
    <w:rsid w:val="00AE0A99"/>
    <w:rsid w:val="00AE0B01"/>
    <w:rsid w:val="00AE0BF3"/>
    <w:rsid w:val="00AE0DB4"/>
    <w:rsid w:val="00AE1387"/>
    <w:rsid w:val="00AE1CA5"/>
    <w:rsid w:val="00AE25D4"/>
    <w:rsid w:val="00AE2670"/>
    <w:rsid w:val="00AE2A69"/>
    <w:rsid w:val="00AE2B55"/>
    <w:rsid w:val="00AE31D0"/>
    <w:rsid w:val="00AE3237"/>
    <w:rsid w:val="00AE3685"/>
    <w:rsid w:val="00AE3C97"/>
    <w:rsid w:val="00AE3DF7"/>
    <w:rsid w:val="00AE3FC4"/>
    <w:rsid w:val="00AE49B5"/>
    <w:rsid w:val="00AE4AC3"/>
    <w:rsid w:val="00AE4B04"/>
    <w:rsid w:val="00AE521B"/>
    <w:rsid w:val="00AE53B6"/>
    <w:rsid w:val="00AE53F9"/>
    <w:rsid w:val="00AE54C2"/>
    <w:rsid w:val="00AE55A8"/>
    <w:rsid w:val="00AE5D80"/>
    <w:rsid w:val="00AE5E07"/>
    <w:rsid w:val="00AE6430"/>
    <w:rsid w:val="00AE679B"/>
    <w:rsid w:val="00AE6EB4"/>
    <w:rsid w:val="00AE782B"/>
    <w:rsid w:val="00AE7BA8"/>
    <w:rsid w:val="00AE7CAE"/>
    <w:rsid w:val="00AE7D43"/>
    <w:rsid w:val="00AF000C"/>
    <w:rsid w:val="00AF029C"/>
    <w:rsid w:val="00AF06DE"/>
    <w:rsid w:val="00AF0849"/>
    <w:rsid w:val="00AF1688"/>
    <w:rsid w:val="00AF1951"/>
    <w:rsid w:val="00AF1BC4"/>
    <w:rsid w:val="00AF1D63"/>
    <w:rsid w:val="00AF1DFE"/>
    <w:rsid w:val="00AF2126"/>
    <w:rsid w:val="00AF21B3"/>
    <w:rsid w:val="00AF2227"/>
    <w:rsid w:val="00AF26BF"/>
    <w:rsid w:val="00AF2714"/>
    <w:rsid w:val="00AF2ECC"/>
    <w:rsid w:val="00AF3AA2"/>
    <w:rsid w:val="00AF401D"/>
    <w:rsid w:val="00AF48C3"/>
    <w:rsid w:val="00AF4FA6"/>
    <w:rsid w:val="00AF54FE"/>
    <w:rsid w:val="00AF55DD"/>
    <w:rsid w:val="00AF5749"/>
    <w:rsid w:val="00AF5914"/>
    <w:rsid w:val="00AF5F2F"/>
    <w:rsid w:val="00AF60ED"/>
    <w:rsid w:val="00AF620F"/>
    <w:rsid w:val="00AF623C"/>
    <w:rsid w:val="00AF64A8"/>
    <w:rsid w:val="00AF6599"/>
    <w:rsid w:val="00AF6B93"/>
    <w:rsid w:val="00AF6FFF"/>
    <w:rsid w:val="00AF7474"/>
    <w:rsid w:val="00AF79F4"/>
    <w:rsid w:val="00B00235"/>
    <w:rsid w:val="00B004A0"/>
    <w:rsid w:val="00B00F18"/>
    <w:rsid w:val="00B012B7"/>
    <w:rsid w:val="00B0157C"/>
    <w:rsid w:val="00B01593"/>
    <w:rsid w:val="00B01D00"/>
    <w:rsid w:val="00B0296A"/>
    <w:rsid w:val="00B02A64"/>
    <w:rsid w:val="00B0379B"/>
    <w:rsid w:val="00B0387A"/>
    <w:rsid w:val="00B03F05"/>
    <w:rsid w:val="00B041BC"/>
    <w:rsid w:val="00B0473B"/>
    <w:rsid w:val="00B04996"/>
    <w:rsid w:val="00B04E27"/>
    <w:rsid w:val="00B0534C"/>
    <w:rsid w:val="00B05647"/>
    <w:rsid w:val="00B05998"/>
    <w:rsid w:val="00B06114"/>
    <w:rsid w:val="00B0613B"/>
    <w:rsid w:val="00B064D7"/>
    <w:rsid w:val="00B06B6B"/>
    <w:rsid w:val="00B07445"/>
    <w:rsid w:val="00B07726"/>
    <w:rsid w:val="00B077F4"/>
    <w:rsid w:val="00B10348"/>
    <w:rsid w:val="00B106C2"/>
    <w:rsid w:val="00B10B58"/>
    <w:rsid w:val="00B10D33"/>
    <w:rsid w:val="00B11812"/>
    <w:rsid w:val="00B11DA1"/>
    <w:rsid w:val="00B12102"/>
    <w:rsid w:val="00B12A28"/>
    <w:rsid w:val="00B12C37"/>
    <w:rsid w:val="00B13636"/>
    <w:rsid w:val="00B13F16"/>
    <w:rsid w:val="00B14078"/>
    <w:rsid w:val="00B14288"/>
    <w:rsid w:val="00B149CC"/>
    <w:rsid w:val="00B14B17"/>
    <w:rsid w:val="00B14BF1"/>
    <w:rsid w:val="00B14D26"/>
    <w:rsid w:val="00B14D31"/>
    <w:rsid w:val="00B14F46"/>
    <w:rsid w:val="00B15137"/>
    <w:rsid w:val="00B152BB"/>
    <w:rsid w:val="00B163D9"/>
    <w:rsid w:val="00B168B4"/>
    <w:rsid w:val="00B1697E"/>
    <w:rsid w:val="00B16BE9"/>
    <w:rsid w:val="00B16D4B"/>
    <w:rsid w:val="00B16D7D"/>
    <w:rsid w:val="00B16F23"/>
    <w:rsid w:val="00B1701A"/>
    <w:rsid w:val="00B172CC"/>
    <w:rsid w:val="00B17900"/>
    <w:rsid w:val="00B17A81"/>
    <w:rsid w:val="00B17B01"/>
    <w:rsid w:val="00B2005D"/>
    <w:rsid w:val="00B209E6"/>
    <w:rsid w:val="00B210A7"/>
    <w:rsid w:val="00B21391"/>
    <w:rsid w:val="00B2246B"/>
    <w:rsid w:val="00B22553"/>
    <w:rsid w:val="00B22A5A"/>
    <w:rsid w:val="00B22CCA"/>
    <w:rsid w:val="00B23949"/>
    <w:rsid w:val="00B23A92"/>
    <w:rsid w:val="00B2435C"/>
    <w:rsid w:val="00B2451F"/>
    <w:rsid w:val="00B24640"/>
    <w:rsid w:val="00B247BE"/>
    <w:rsid w:val="00B24842"/>
    <w:rsid w:val="00B24AD4"/>
    <w:rsid w:val="00B24B71"/>
    <w:rsid w:val="00B24C02"/>
    <w:rsid w:val="00B24F86"/>
    <w:rsid w:val="00B255C6"/>
    <w:rsid w:val="00B2577D"/>
    <w:rsid w:val="00B257E7"/>
    <w:rsid w:val="00B257EA"/>
    <w:rsid w:val="00B25873"/>
    <w:rsid w:val="00B258FC"/>
    <w:rsid w:val="00B25B4D"/>
    <w:rsid w:val="00B261A9"/>
    <w:rsid w:val="00B26271"/>
    <w:rsid w:val="00B2643C"/>
    <w:rsid w:val="00B268E6"/>
    <w:rsid w:val="00B26A68"/>
    <w:rsid w:val="00B26B95"/>
    <w:rsid w:val="00B27431"/>
    <w:rsid w:val="00B27CC8"/>
    <w:rsid w:val="00B27DB6"/>
    <w:rsid w:val="00B30149"/>
    <w:rsid w:val="00B3018B"/>
    <w:rsid w:val="00B302D7"/>
    <w:rsid w:val="00B3090D"/>
    <w:rsid w:val="00B315FE"/>
    <w:rsid w:val="00B3191B"/>
    <w:rsid w:val="00B3197E"/>
    <w:rsid w:val="00B31A6E"/>
    <w:rsid w:val="00B31B1D"/>
    <w:rsid w:val="00B31DCE"/>
    <w:rsid w:val="00B3238E"/>
    <w:rsid w:val="00B32937"/>
    <w:rsid w:val="00B32A29"/>
    <w:rsid w:val="00B32B62"/>
    <w:rsid w:val="00B3352C"/>
    <w:rsid w:val="00B338FF"/>
    <w:rsid w:val="00B33D01"/>
    <w:rsid w:val="00B33FD1"/>
    <w:rsid w:val="00B34192"/>
    <w:rsid w:val="00B342C5"/>
    <w:rsid w:val="00B3446C"/>
    <w:rsid w:val="00B345B1"/>
    <w:rsid w:val="00B3480C"/>
    <w:rsid w:val="00B348A1"/>
    <w:rsid w:val="00B34D62"/>
    <w:rsid w:val="00B35153"/>
    <w:rsid w:val="00B35491"/>
    <w:rsid w:val="00B354D0"/>
    <w:rsid w:val="00B35FB6"/>
    <w:rsid w:val="00B3642F"/>
    <w:rsid w:val="00B3674E"/>
    <w:rsid w:val="00B36962"/>
    <w:rsid w:val="00B3698C"/>
    <w:rsid w:val="00B36BFB"/>
    <w:rsid w:val="00B36E25"/>
    <w:rsid w:val="00B371AE"/>
    <w:rsid w:val="00B37242"/>
    <w:rsid w:val="00B37432"/>
    <w:rsid w:val="00B3753C"/>
    <w:rsid w:val="00B37627"/>
    <w:rsid w:val="00B3773F"/>
    <w:rsid w:val="00B37C51"/>
    <w:rsid w:val="00B37DF3"/>
    <w:rsid w:val="00B40169"/>
    <w:rsid w:val="00B40ED1"/>
    <w:rsid w:val="00B4150D"/>
    <w:rsid w:val="00B415FF"/>
    <w:rsid w:val="00B41910"/>
    <w:rsid w:val="00B41A0B"/>
    <w:rsid w:val="00B41A47"/>
    <w:rsid w:val="00B4277C"/>
    <w:rsid w:val="00B42E16"/>
    <w:rsid w:val="00B42F45"/>
    <w:rsid w:val="00B436B8"/>
    <w:rsid w:val="00B4414A"/>
    <w:rsid w:val="00B44419"/>
    <w:rsid w:val="00B44C30"/>
    <w:rsid w:val="00B44F6C"/>
    <w:rsid w:val="00B45153"/>
    <w:rsid w:val="00B4570E"/>
    <w:rsid w:val="00B45CBC"/>
    <w:rsid w:val="00B463E8"/>
    <w:rsid w:val="00B4658F"/>
    <w:rsid w:val="00B46B37"/>
    <w:rsid w:val="00B46B7B"/>
    <w:rsid w:val="00B46C7C"/>
    <w:rsid w:val="00B4728F"/>
    <w:rsid w:val="00B474DD"/>
    <w:rsid w:val="00B4778B"/>
    <w:rsid w:val="00B47BF5"/>
    <w:rsid w:val="00B5020F"/>
    <w:rsid w:val="00B5052D"/>
    <w:rsid w:val="00B50553"/>
    <w:rsid w:val="00B505D1"/>
    <w:rsid w:val="00B5085C"/>
    <w:rsid w:val="00B50E2B"/>
    <w:rsid w:val="00B51221"/>
    <w:rsid w:val="00B524B9"/>
    <w:rsid w:val="00B5276B"/>
    <w:rsid w:val="00B52A2F"/>
    <w:rsid w:val="00B52E3D"/>
    <w:rsid w:val="00B52EB1"/>
    <w:rsid w:val="00B53351"/>
    <w:rsid w:val="00B5342C"/>
    <w:rsid w:val="00B5384A"/>
    <w:rsid w:val="00B538A2"/>
    <w:rsid w:val="00B53DFA"/>
    <w:rsid w:val="00B541C0"/>
    <w:rsid w:val="00B54428"/>
    <w:rsid w:val="00B544B1"/>
    <w:rsid w:val="00B548C7"/>
    <w:rsid w:val="00B54CEA"/>
    <w:rsid w:val="00B55055"/>
    <w:rsid w:val="00B55116"/>
    <w:rsid w:val="00B5524B"/>
    <w:rsid w:val="00B553F7"/>
    <w:rsid w:val="00B55559"/>
    <w:rsid w:val="00B55810"/>
    <w:rsid w:val="00B55B97"/>
    <w:rsid w:val="00B55C08"/>
    <w:rsid w:val="00B56236"/>
    <w:rsid w:val="00B5630F"/>
    <w:rsid w:val="00B565CE"/>
    <w:rsid w:val="00B56732"/>
    <w:rsid w:val="00B56D3B"/>
    <w:rsid w:val="00B57150"/>
    <w:rsid w:val="00B573A5"/>
    <w:rsid w:val="00B578D0"/>
    <w:rsid w:val="00B579D4"/>
    <w:rsid w:val="00B57B63"/>
    <w:rsid w:val="00B57C04"/>
    <w:rsid w:val="00B57C6A"/>
    <w:rsid w:val="00B6019B"/>
    <w:rsid w:val="00B60238"/>
    <w:rsid w:val="00B6069F"/>
    <w:rsid w:val="00B6096C"/>
    <w:rsid w:val="00B60E1F"/>
    <w:rsid w:val="00B60E4B"/>
    <w:rsid w:val="00B60FFE"/>
    <w:rsid w:val="00B61295"/>
    <w:rsid w:val="00B615C2"/>
    <w:rsid w:val="00B61720"/>
    <w:rsid w:val="00B6189F"/>
    <w:rsid w:val="00B61C82"/>
    <w:rsid w:val="00B61F5C"/>
    <w:rsid w:val="00B6233D"/>
    <w:rsid w:val="00B632E1"/>
    <w:rsid w:val="00B63EFC"/>
    <w:rsid w:val="00B64377"/>
    <w:rsid w:val="00B645B8"/>
    <w:rsid w:val="00B64C1E"/>
    <w:rsid w:val="00B64E45"/>
    <w:rsid w:val="00B64F29"/>
    <w:rsid w:val="00B64FDD"/>
    <w:rsid w:val="00B6520C"/>
    <w:rsid w:val="00B652FA"/>
    <w:rsid w:val="00B6547A"/>
    <w:rsid w:val="00B657E8"/>
    <w:rsid w:val="00B657ED"/>
    <w:rsid w:val="00B65C43"/>
    <w:rsid w:val="00B65D50"/>
    <w:rsid w:val="00B6601D"/>
    <w:rsid w:val="00B663C6"/>
    <w:rsid w:val="00B664C7"/>
    <w:rsid w:val="00B66732"/>
    <w:rsid w:val="00B668C0"/>
    <w:rsid w:val="00B66FC1"/>
    <w:rsid w:val="00B676E9"/>
    <w:rsid w:val="00B679C9"/>
    <w:rsid w:val="00B704EF"/>
    <w:rsid w:val="00B71143"/>
    <w:rsid w:val="00B71451"/>
    <w:rsid w:val="00B7211B"/>
    <w:rsid w:val="00B7275A"/>
    <w:rsid w:val="00B7287C"/>
    <w:rsid w:val="00B728DE"/>
    <w:rsid w:val="00B72A84"/>
    <w:rsid w:val="00B73816"/>
    <w:rsid w:val="00B73ED6"/>
    <w:rsid w:val="00B741E6"/>
    <w:rsid w:val="00B74244"/>
    <w:rsid w:val="00B74FE4"/>
    <w:rsid w:val="00B752E3"/>
    <w:rsid w:val="00B752F4"/>
    <w:rsid w:val="00B75809"/>
    <w:rsid w:val="00B75AF8"/>
    <w:rsid w:val="00B75B65"/>
    <w:rsid w:val="00B75B71"/>
    <w:rsid w:val="00B760AC"/>
    <w:rsid w:val="00B762BB"/>
    <w:rsid w:val="00B7647A"/>
    <w:rsid w:val="00B77572"/>
    <w:rsid w:val="00B779EB"/>
    <w:rsid w:val="00B77FB5"/>
    <w:rsid w:val="00B80311"/>
    <w:rsid w:val="00B80386"/>
    <w:rsid w:val="00B804D1"/>
    <w:rsid w:val="00B8075E"/>
    <w:rsid w:val="00B813F7"/>
    <w:rsid w:val="00B8194E"/>
    <w:rsid w:val="00B81B24"/>
    <w:rsid w:val="00B8214A"/>
    <w:rsid w:val="00B82310"/>
    <w:rsid w:val="00B82361"/>
    <w:rsid w:val="00B8253C"/>
    <w:rsid w:val="00B827F0"/>
    <w:rsid w:val="00B832AD"/>
    <w:rsid w:val="00B83D31"/>
    <w:rsid w:val="00B83FFD"/>
    <w:rsid w:val="00B840CD"/>
    <w:rsid w:val="00B841C6"/>
    <w:rsid w:val="00B8420C"/>
    <w:rsid w:val="00B84538"/>
    <w:rsid w:val="00B84B3B"/>
    <w:rsid w:val="00B84BAA"/>
    <w:rsid w:val="00B84FD5"/>
    <w:rsid w:val="00B85034"/>
    <w:rsid w:val="00B8505C"/>
    <w:rsid w:val="00B850B2"/>
    <w:rsid w:val="00B850FD"/>
    <w:rsid w:val="00B8591F"/>
    <w:rsid w:val="00B85B98"/>
    <w:rsid w:val="00B865EE"/>
    <w:rsid w:val="00B8667C"/>
    <w:rsid w:val="00B87175"/>
    <w:rsid w:val="00B87371"/>
    <w:rsid w:val="00B8749E"/>
    <w:rsid w:val="00B875DE"/>
    <w:rsid w:val="00B87AD0"/>
    <w:rsid w:val="00B901F6"/>
    <w:rsid w:val="00B903E7"/>
    <w:rsid w:val="00B907FC"/>
    <w:rsid w:val="00B908B1"/>
    <w:rsid w:val="00B90B81"/>
    <w:rsid w:val="00B90D21"/>
    <w:rsid w:val="00B914C6"/>
    <w:rsid w:val="00B91C13"/>
    <w:rsid w:val="00B91F1B"/>
    <w:rsid w:val="00B92033"/>
    <w:rsid w:val="00B93802"/>
    <w:rsid w:val="00B93BB1"/>
    <w:rsid w:val="00B93E82"/>
    <w:rsid w:val="00B944B5"/>
    <w:rsid w:val="00B9484A"/>
    <w:rsid w:val="00B94AC7"/>
    <w:rsid w:val="00B95094"/>
    <w:rsid w:val="00B954CB"/>
    <w:rsid w:val="00B95BF6"/>
    <w:rsid w:val="00B963FD"/>
    <w:rsid w:val="00B96474"/>
    <w:rsid w:val="00B965B2"/>
    <w:rsid w:val="00B96B98"/>
    <w:rsid w:val="00B96BC2"/>
    <w:rsid w:val="00B96C3D"/>
    <w:rsid w:val="00B96E67"/>
    <w:rsid w:val="00B97471"/>
    <w:rsid w:val="00B9771B"/>
    <w:rsid w:val="00B97B9E"/>
    <w:rsid w:val="00B97BCD"/>
    <w:rsid w:val="00B97C4E"/>
    <w:rsid w:val="00B97F9B"/>
    <w:rsid w:val="00BA03BB"/>
    <w:rsid w:val="00BA03CC"/>
    <w:rsid w:val="00BA085E"/>
    <w:rsid w:val="00BA09AD"/>
    <w:rsid w:val="00BA0AC0"/>
    <w:rsid w:val="00BA0D75"/>
    <w:rsid w:val="00BA13B8"/>
    <w:rsid w:val="00BA15F4"/>
    <w:rsid w:val="00BA161B"/>
    <w:rsid w:val="00BA26AC"/>
    <w:rsid w:val="00BA28D1"/>
    <w:rsid w:val="00BA2BF2"/>
    <w:rsid w:val="00BA2CDA"/>
    <w:rsid w:val="00BA2DAA"/>
    <w:rsid w:val="00BA2E13"/>
    <w:rsid w:val="00BA3156"/>
    <w:rsid w:val="00BA35D2"/>
    <w:rsid w:val="00BA3689"/>
    <w:rsid w:val="00BA39C4"/>
    <w:rsid w:val="00BA3ACD"/>
    <w:rsid w:val="00BA3AF0"/>
    <w:rsid w:val="00BA45A6"/>
    <w:rsid w:val="00BA4B00"/>
    <w:rsid w:val="00BA4B7D"/>
    <w:rsid w:val="00BA4D02"/>
    <w:rsid w:val="00BA4D64"/>
    <w:rsid w:val="00BA4F96"/>
    <w:rsid w:val="00BA50C1"/>
    <w:rsid w:val="00BA557D"/>
    <w:rsid w:val="00BA5938"/>
    <w:rsid w:val="00BA65AC"/>
    <w:rsid w:val="00BA69C0"/>
    <w:rsid w:val="00BA708B"/>
    <w:rsid w:val="00BA792E"/>
    <w:rsid w:val="00BA7FC4"/>
    <w:rsid w:val="00BB040C"/>
    <w:rsid w:val="00BB051E"/>
    <w:rsid w:val="00BB066E"/>
    <w:rsid w:val="00BB0F55"/>
    <w:rsid w:val="00BB1011"/>
    <w:rsid w:val="00BB17C9"/>
    <w:rsid w:val="00BB18B3"/>
    <w:rsid w:val="00BB18EB"/>
    <w:rsid w:val="00BB1F51"/>
    <w:rsid w:val="00BB1FD3"/>
    <w:rsid w:val="00BB237A"/>
    <w:rsid w:val="00BB23A0"/>
    <w:rsid w:val="00BB23F8"/>
    <w:rsid w:val="00BB316F"/>
    <w:rsid w:val="00BB32FA"/>
    <w:rsid w:val="00BB372D"/>
    <w:rsid w:val="00BB3A50"/>
    <w:rsid w:val="00BB415D"/>
    <w:rsid w:val="00BB4E89"/>
    <w:rsid w:val="00BB4EBC"/>
    <w:rsid w:val="00BB50E0"/>
    <w:rsid w:val="00BB5534"/>
    <w:rsid w:val="00BB5C3E"/>
    <w:rsid w:val="00BB6221"/>
    <w:rsid w:val="00BB6DF9"/>
    <w:rsid w:val="00BB72B4"/>
    <w:rsid w:val="00BB72D0"/>
    <w:rsid w:val="00BB79AD"/>
    <w:rsid w:val="00BB7DBC"/>
    <w:rsid w:val="00BC01D3"/>
    <w:rsid w:val="00BC0204"/>
    <w:rsid w:val="00BC027B"/>
    <w:rsid w:val="00BC03BA"/>
    <w:rsid w:val="00BC046F"/>
    <w:rsid w:val="00BC076B"/>
    <w:rsid w:val="00BC0C18"/>
    <w:rsid w:val="00BC112A"/>
    <w:rsid w:val="00BC1452"/>
    <w:rsid w:val="00BC1673"/>
    <w:rsid w:val="00BC1A58"/>
    <w:rsid w:val="00BC1D22"/>
    <w:rsid w:val="00BC1D8A"/>
    <w:rsid w:val="00BC1EB8"/>
    <w:rsid w:val="00BC25E2"/>
    <w:rsid w:val="00BC2758"/>
    <w:rsid w:val="00BC284E"/>
    <w:rsid w:val="00BC29F0"/>
    <w:rsid w:val="00BC31B8"/>
    <w:rsid w:val="00BC32D8"/>
    <w:rsid w:val="00BC34F0"/>
    <w:rsid w:val="00BC34FE"/>
    <w:rsid w:val="00BC380F"/>
    <w:rsid w:val="00BC3D5E"/>
    <w:rsid w:val="00BC3FC4"/>
    <w:rsid w:val="00BC4A45"/>
    <w:rsid w:val="00BC4CBC"/>
    <w:rsid w:val="00BC52CB"/>
    <w:rsid w:val="00BC5647"/>
    <w:rsid w:val="00BC56D6"/>
    <w:rsid w:val="00BC5C7E"/>
    <w:rsid w:val="00BC5DD0"/>
    <w:rsid w:val="00BC5E1C"/>
    <w:rsid w:val="00BC5F1B"/>
    <w:rsid w:val="00BC5F58"/>
    <w:rsid w:val="00BC6282"/>
    <w:rsid w:val="00BC659E"/>
    <w:rsid w:val="00BC6731"/>
    <w:rsid w:val="00BC74CD"/>
    <w:rsid w:val="00BC755C"/>
    <w:rsid w:val="00BC7ECE"/>
    <w:rsid w:val="00BD01BA"/>
    <w:rsid w:val="00BD062D"/>
    <w:rsid w:val="00BD0775"/>
    <w:rsid w:val="00BD090E"/>
    <w:rsid w:val="00BD0B3C"/>
    <w:rsid w:val="00BD12EC"/>
    <w:rsid w:val="00BD1707"/>
    <w:rsid w:val="00BD1999"/>
    <w:rsid w:val="00BD19F3"/>
    <w:rsid w:val="00BD261D"/>
    <w:rsid w:val="00BD2769"/>
    <w:rsid w:val="00BD3064"/>
    <w:rsid w:val="00BD3311"/>
    <w:rsid w:val="00BD3684"/>
    <w:rsid w:val="00BD3C62"/>
    <w:rsid w:val="00BD3DAE"/>
    <w:rsid w:val="00BD429B"/>
    <w:rsid w:val="00BD45C0"/>
    <w:rsid w:val="00BD45D0"/>
    <w:rsid w:val="00BD512A"/>
    <w:rsid w:val="00BD5CBA"/>
    <w:rsid w:val="00BD5DFD"/>
    <w:rsid w:val="00BD62E0"/>
    <w:rsid w:val="00BD6583"/>
    <w:rsid w:val="00BD6C92"/>
    <w:rsid w:val="00BD6CAF"/>
    <w:rsid w:val="00BD6D02"/>
    <w:rsid w:val="00BD6D94"/>
    <w:rsid w:val="00BD7AE3"/>
    <w:rsid w:val="00BD7BB4"/>
    <w:rsid w:val="00BD7BFA"/>
    <w:rsid w:val="00BD7D5A"/>
    <w:rsid w:val="00BD7FFE"/>
    <w:rsid w:val="00BE021A"/>
    <w:rsid w:val="00BE02AA"/>
    <w:rsid w:val="00BE03A7"/>
    <w:rsid w:val="00BE07FB"/>
    <w:rsid w:val="00BE09F4"/>
    <w:rsid w:val="00BE0B94"/>
    <w:rsid w:val="00BE0BA8"/>
    <w:rsid w:val="00BE1020"/>
    <w:rsid w:val="00BE145B"/>
    <w:rsid w:val="00BE18F8"/>
    <w:rsid w:val="00BE19A7"/>
    <w:rsid w:val="00BE1A6D"/>
    <w:rsid w:val="00BE1B28"/>
    <w:rsid w:val="00BE1D34"/>
    <w:rsid w:val="00BE24A5"/>
    <w:rsid w:val="00BE2528"/>
    <w:rsid w:val="00BE2568"/>
    <w:rsid w:val="00BE2AD0"/>
    <w:rsid w:val="00BE32D9"/>
    <w:rsid w:val="00BE34A1"/>
    <w:rsid w:val="00BE34E5"/>
    <w:rsid w:val="00BE35C1"/>
    <w:rsid w:val="00BE3657"/>
    <w:rsid w:val="00BE4155"/>
    <w:rsid w:val="00BE4533"/>
    <w:rsid w:val="00BE45BC"/>
    <w:rsid w:val="00BE4C2D"/>
    <w:rsid w:val="00BE4D3E"/>
    <w:rsid w:val="00BE4FF8"/>
    <w:rsid w:val="00BE5A4D"/>
    <w:rsid w:val="00BE5B19"/>
    <w:rsid w:val="00BE5DC1"/>
    <w:rsid w:val="00BE5E33"/>
    <w:rsid w:val="00BE6024"/>
    <w:rsid w:val="00BE656E"/>
    <w:rsid w:val="00BE7193"/>
    <w:rsid w:val="00BE73EA"/>
    <w:rsid w:val="00BE7FEA"/>
    <w:rsid w:val="00BF117A"/>
    <w:rsid w:val="00BF1C33"/>
    <w:rsid w:val="00BF1DF6"/>
    <w:rsid w:val="00BF2A8C"/>
    <w:rsid w:val="00BF2AEE"/>
    <w:rsid w:val="00BF2EE5"/>
    <w:rsid w:val="00BF334F"/>
    <w:rsid w:val="00BF3375"/>
    <w:rsid w:val="00BF337F"/>
    <w:rsid w:val="00BF3402"/>
    <w:rsid w:val="00BF427C"/>
    <w:rsid w:val="00BF492E"/>
    <w:rsid w:val="00BF49E8"/>
    <w:rsid w:val="00BF4E23"/>
    <w:rsid w:val="00BF4E8A"/>
    <w:rsid w:val="00BF4FCC"/>
    <w:rsid w:val="00BF54FF"/>
    <w:rsid w:val="00BF558C"/>
    <w:rsid w:val="00BF5639"/>
    <w:rsid w:val="00BF598A"/>
    <w:rsid w:val="00BF6965"/>
    <w:rsid w:val="00BF6E11"/>
    <w:rsid w:val="00BF75DE"/>
    <w:rsid w:val="00BF7BCB"/>
    <w:rsid w:val="00BF7CBF"/>
    <w:rsid w:val="00C0040D"/>
    <w:rsid w:val="00C00F63"/>
    <w:rsid w:val="00C011B8"/>
    <w:rsid w:val="00C019ED"/>
    <w:rsid w:val="00C01C99"/>
    <w:rsid w:val="00C0228E"/>
    <w:rsid w:val="00C02593"/>
    <w:rsid w:val="00C0288D"/>
    <w:rsid w:val="00C02A99"/>
    <w:rsid w:val="00C02C39"/>
    <w:rsid w:val="00C02D47"/>
    <w:rsid w:val="00C0357C"/>
    <w:rsid w:val="00C0399B"/>
    <w:rsid w:val="00C03E83"/>
    <w:rsid w:val="00C03F43"/>
    <w:rsid w:val="00C04355"/>
    <w:rsid w:val="00C04398"/>
    <w:rsid w:val="00C052B3"/>
    <w:rsid w:val="00C053D1"/>
    <w:rsid w:val="00C05841"/>
    <w:rsid w:val="00C0586E"/>
    <w:rsid w:val="00C05E70"/>
    <w:rsid w:val="00C05FFC"/>
    <w:rsid w:val="00C0665F"/>
    <w:rsid w:val="00C066FA"/>
    <w:rsid w:val="00C06772"/>
    <w:rsid w:val="00C06CCB"/>
    <w:rsid w:val="00C06E51"/>
    <w:rsid w:val="00C07EE5"/>
    <w:rsid w:val="00C07F15"/>
    <w:rsid w:val="00C11586"/>
    <w:rsid w:val="00C11C4F"/>
    <w:rsid w:val="00C11E6E"/>
    <w:rsid w:val="00C11F15"/>
    <w:rsid w:val="00C12360"/>
    <w:rsid w:val="00C1277A"/>
    <w:rsid w:val="00C12B69"/>
    <w:rsid w:val="00C12EB7"/>
    <w:rsid w:val="00C12F25"/>
    <w:rsid w:val="00C13A35"/>
    <w:rsid w:val="00C13D4D"/>
    <w:rsid w:val="00C14218"/>
    <w:rsid w:val="00C142EF"/>
    <w:rsid w:val="00C145F7"/>
    <w:rsid w:val="00C14705"/>
    <w:rsid w:val="00C148F5"/>
    <w:rsid w:val="00C14BAF"/>
    <w:rsid w:val="00C14E83"/>
    <w:rsid w:val="00C1559D"/>
    <w:rsid w:val="00C1560D"/>
    <w:rsid w:val="00C1574F"/>
    <w:rsid w:val="00C159E4"/>
    <w:rsid w:val="00C15C8E"/>
    <w:rsid w:val="00C15DDA"/>
    <w:rsid w:val="00C16184"/>
    <w:rsid w:val="00C161AD"/>
    <w:rsid w:val="00C1630D"/>
    <w:rsid w:val="00C16CFA"/>
    <w:rsid w:val="00C17062"/>
    <w:rsid w:val="00C171AC"/>
    <w:rsid w:val="00C17960"/>
    <w:rsid w:val="00C17EAD"/>
    <w:rsid w:val="00C202D3"/>
    <w:rsid w:val="00C20768"/>
    <w:rsid w:val="00C20ED1"/>
    <w:rsid w:val="00C2113B"/>
    <w:rsid w:val="00C21369"/>
    <w:rsid w:val="00C21D7C"/>
    <w:rsid w:val="00C21FC9"/>
    <w:rsid w:val="00C2218E"/>
    <w:rsid w:val="00C221BB"/>
    <w:rsid w:val="00C223C9"/>
    <w:rsid w:val="00C224E7"/>
    <w:rsid w:val="00C22C1B"/>
    <w:rsid w:val="00C22D93"/>
    <w:rsid w:val="00C23098"/>
    <w:rsid w:val="00C2319F"/>
    <w:rsid w:val="00C231D8"/>
    <w:rsid w:val="00C234B3"/>
    <w:rsid w:val="00C23576"/>
    <w:rsid w:val="00C23BB3"/>
    <w:rsid w:val="00C23D6F"/>
    <w:rsid w:val="00C23E5B"/>
    <w:rsid w:val="00C24089"/>
    <w:rsid w:val="00C241A6"/>
    <w:rsid w:val="00C246DC"/>
    <w:rsid w:val="00C24929"/>
    <w:rsid w:val="00C24DEB"/>
    <w:rsid w:val="00C24E94"/>
    <w:rsid w:val="00C2551D"/>
    <w:rsid w:val="00C25BCA"/>
    <w:rsid w:val="00C25C0B"/>
    <w:rsid w:val="00C25EDE"/>
    <w:rsid w:val="00C262F8"/>
    <w:rsid w:val="00C26B74"/>
    <w:rsid w:val="00C26BF5"/>
    <w:rsid w:val="00C26F8E"/>
    <w:rsid w:val="00C271FC"/>
    <w:rsid w:val="00C273BB"/>
    <w:rsid w:val="00C27441"/>
    <w:rsid w:val="00C27561"/>
    <w:rsid w:val="00C278C0"/>
    <w:rsid w:val="00C27C49"/>
    <w:rsid w:val="00C27CED"/>
    <w:rsid w:val="00C27EA7"/>
    <w:rsid w:val="00C27F78"/>
    <w:rsid w:val="00C300BC"/>
    <w:rsid w:val="00C3014A"/>
    <w:rsid w:val="00C303EA"/>
    <w:rsid w:val="00C30564"/>
    <w:rsid w:val="00C30613"/>
    <w:rsid w:val="00C309C1"/>
    <w:rsid w:val="00C30F8D"/>
    <w:rsid w:val="00C311D7"/>
    <w:rsid w:val="00C314B3"/>
    <w:rsid w:val="00C31728"/>
    <w:rsid w:val="00C317F2"/>
    <w:rsid w:val="00C31C25"/>
    <w:rsid w:val="00C320FE"/>
    <w:rsid w:val="00C32375"/>
    <w:rsid w:val="00C326FD"/>
    <w:rsid w:val="00C32ADC"/>
    <w:rsid w:val="00C32D50"/>
    <w:rsid w:val="00C33884"/>
    <w:rsid w:val="00C338B9"/>
    <w:rsid w:val="00C3391B"/>
    <w:rsid w:val="00C33951"/>
    <w:rsid w:val="00C34140"/>
    <w:rsid w:val="00C34866"/>
    <w:rsid w:val="00C34BE7"/>
    <w:rsid w:val="00C34E9E"/>
    <w:rsid w:val="00C3519D"/>
    <w:rsid w:val="00C35AA2"/>
    <w:rsid w:val="00C35AB8"/>
    <w:rsid w:val="00C35ADB"/>
    <w:rsid w:val="00C35BA0"/>
    <w:rsid w:val="00C364E4"/>
    <w:rsid w:val="00C367B6"/>
    <w:rsid w:val="00C367D5"/>
    <w:rsid w:val="00C367EE"/>
    <w:rsid w:val="00C36B55"/>
    <w:rsid w:val="00C377A0"/>
    <w:rsid w:val="00C37867"/>
    <w:rsid w:val="00C37CDF"/>
    <w:rsid w:val="00C37FD1"/>
    <w:rsid w:val="00C400DA"/>
    <w:rsid w:val="00C40767"/>
    <w:rsid w:val="00C40F6E"/>
    <w:rsid w:val="00C418A5"/>
    <w:rsid w:val="00C41AD2"/>
    <w:rsid w:val="00C41E57"/>
    <w:rsid w:val="00C41FE5"/>
    <w:rsid w:val="00C423B7"/>
    <w:rsid w:val="00C4254A"/>
    <w:rsid w:val="00C4260C"/>
    <w:rsid w:val="00C42852"/>
    <w:rsid w:val="00C43119"/>
    <w:rsid w:val="00C432D6"/>
    <w:rsid w:val="00C43F46"/>
    <w:rsid w:val="00C44040"/>
    <w:rsid w:val="00C44449"/>
    <w:rsid w:val="00C444E4"/>
    <w:rsid w:val="00C44575"/>
    <w:rsid w:val="00C445BB"/>
    <w:rsid w:val="00C44E31"/>
    <w:rsid w:val="00C44FEB"/>
    <w:rsid w:val="00C45109"/>
    <w:rsid w:val="00C45362"/>
    <w:rsid w:val="00C4550E"/>
    <w:rsid w:val="00C45767"/>
    <w:rsid w:val="00C45AE1"/>
    <w:rsid w:val="00C45C4D"/>
    <w:rsid w:val="00C45CAA"/>
    <w:rsid w:val="00C4650D"/>
    <w:rsid w:val="00C466B9"/>
    <w:rsid w:val="00C466BA"/>
    <w:rsid w:val="00C4677F"/>
    <w:rsid w:val="00C4691F"/>
    <w:rsid w:val="00C46A18"/>
    <w:rsid w:val="00C46D7B"/>
    <w:rsid w:val="00C46E87"/>
    <w:rsid w:val="00C47549"/>
    <w:rsid w:val="00C47623"/>
    <w:rsid w:val="00C50B86"/>
    <w:rsid w:val="00C50DC6"/>
    <w:rsid w:val="00C510CB"/>
    <w:rsid w:val="00C51379"/>
    <w:rsid w:val="00C5139F"/>
    <w:rsid w:val="00C51C29"/>
    <w:rsid w:val="00C51E06"/>
    <w:rsid w:val="00C52005"/>
    <w:rsid w:val="00C52078"/>
    <w:rsid w:val="00C52629"/>
    <w:rsid w:val="00C52719"/>
    <w:rsid w:val="00C52732"/>
    <w:rsid w:val="00C52860"/>
    <w:rsid w:val="00C52C72"/>
    <w:rsid w:val="00C532D9"/>
    <w:rsid w:val="00C53333"/>
    <w:rsid w:val="00C53613"/>
    <w:rsid w:val="00C5398D"/>
    <w:rsid w:val="00C53AB7"/>
    <w:rsid w:val="00C53D40"/>
    <w:rsid w:val="00C540C5"/>
    <w:rsid w:val="00C542FD"/>
    <w:rsid w:val="00C54ABD"/>
    <w:rsid w:val="00C55096"/>
    <w:rsid w:val="00C5511E"/>
    <w:rsid w:val="00C55874"/>
    <w:rsid w:val="00C55B01"/>
    <w:rsid w:val="00C55C0C"/>
    <w:rsid w:val="00C55C3C"/>
    <w:rsid w:val="00C55FDC"/>
    <w:rsid w:val="00C57018"/>
    <w:rsid w:val="00C57C29"/>
    <w:rsid w:val="00C60061"/>
    <w:rsid w:val="00C60132"/>
    <w:rsid w:val="00C6022C"/>
    <w:rsid w:val="00C602D7"/>
    <w:rsid w:val="00C607A2"/>
    <w:rsid w:val="00C60979"/>
    <w:rsid w:val="00C60AD4"/>
    <w:rsid w:val="00C60D4C"/>
    <w:rsid w:val="00C61697"/>
    <w:rsid w:val="00C61A03"/>
    <w:rsid w:val="00C621BE"/>
    <w:rsid w:val="00C62635"/>
    <w:rsid w:val="00C6296C"/>
    <w:rsid w:val="00C62CB5"/>
    <w:rsid w:val="00C62E2D"/>
    <w:rsid w:val="00C637E5"/>
    <w:rsid w:val="00C63A7F"/>
    <w:rsid w:val="00C63B4A"/>
    <w:rsid w:val="00C6445F"/>
    <w:rsid w:val="00C64800"/>
    <w:rsid w:val="00C64973"/>
    <w:rsid w:val="00C65141"/>
    <w:rsid w:val="00C65213"/>
    <w:rsid w:val="00C65219"/>
    <w:rsid w:val="00C65669"/>
    <w:rsid w:val="00C6581E"/>
    <w:rsid w:val="00C65903"/>
    <w:rsid w:val="00C659A5"/>
    <w:rsid w:val="00C65D60"/>
    <w:rsid w:val="00C65E20"/>
    <w:rsid w:val="00C65EC5"/>
    <w:rsid w:val="00C65F1A"/>
    <w:rsid w:val="00C66191"/>
    <w:rsid w:val="00C663A4"/>
    <w:rsid w:val="00C664C1"/>
    <w:rsid w:val="00C6666E"/>
    <w:rsid w:val="00C66BA1"/>
    <w:rsid w:val="00C66EC9"/>
    <w:rsid w:val="00C6702A"/>
    <w:rsid w:val="00C6757D"/>
    <w:rsid w:val="00C67856"/>
    <w:rsid w:val="00C67F93"/>
    <w:rsid w:val="00C70722"/>
    <w:rsid w:val="00C70B19"/>
    <w:rsid w:val="00C70C34"/>
    <w:rsid w:val="00C70CD8"/>
    <w:rsid w:val="00C70E80"/>
    <w:rsid w:val="00C710A6"/>
    <w:rsid w:val="00C716B4"/>
    <w:rsid w:val="00C716DD"/>
    <w:rsid w:val="00C71CA7"/>
    <w:rsid w:val="00C71CC6"/>
    <w:rsid w:val="00C720EF"/>
    <w:rsid w:val="00C72341"/>
    <w:rsid w:val="00C7295B"/>
    <w:rsid w:val="00C72B4E"/>
    <w:rsid w:val="00C73112"/>
    <w:rsid w:val="00C734B6"/>
    <w:rsid w:val="00C74101"/>
    <w:rsid w:val="00C74475"/>
    <w:rsid w:val="00C74BCD"/>
    <w:rsid w:val="00C74C74"/>
    <w:rsid w:val="00C75040"/>
    <w:rsid w:val="00C750C0"/>
    <w:rsid w:val="00C75A63"/>
    <w:rsid w:val="00C75BF8"/>
    <w:rsid w:val="00C75CAF"/>
    <w:rsid w:val="00C75F81"/>
    <w:rsid w:val="00C76002"/>
    <w:rsid w:val="00C763B8"/>
    <w:rsid w:val="00C76555"/>
    <w:rsid w:val="00C76D50"/>
    <w:rsid w:val="00C80545"/>
    <w:rsid w:val="00C809FB"/>
    <w:rsid w:val="00C80F2B"/>
    <w:rsid w:val="00C8112B"/>
    <w:rsid w:val="00C812DF"/>
    <w:rsid w:val="00C816CA"/>
    <w:rsid w:val="00C819FF"/>
    <w:rsid w:val="00C81A0D"/>
    <w:rsid w:val="00C81BC8"/>
    <w:rsid w:val="00C82CE0"/>
    <w:rsid w:val="00C832D3"/>
    <w:rsid w:val="00C83BF5"/>
    <w:rsid w:val="00C83DA0"/>
    <w:rsid w:val="00C8436A"/>
    <w:rsid w:val="00C84C07"/>
    <w:rsid w:val="00C85401"/>
    <w:rsid w:val="00C855AA"/>
    <w:rsid w:val="00C859F5"/>
    <w:rsid w:val="00C85DEC"/>
    <w:rsid w:val="00C867DA"/>
    <w:rsid w:val="00C871B5"/>
    <w:rsid w:val="00C877A4"/>
    <w:rsid w:val="00C87AAA"/>
    <w:rsid w:val="00C90347"/>
    <w:rsid w:val="00C904BF"/>
    <w:rsid w:val="00C90CE0"/>
    <w:rsid w:val="00C90FD7"/>
    <w:rsid w:val="00C91085"/>
    <w:rsid w:val="00C913CE"/>
    <w:rsid w:val="00C915D6"/>
    <w:rsid w:val="00C91650"/>
    <w:rsid w:val="00C917FE"/>
    <w:rsid w:val="00C91B2F"/>
    <w:rsid w:val="00C91E3B"/>
    <w:rsid w:val="00C92A76"/>
    <w:rsid w:val="00C92CB3"/>
    <w:rsid w:val="00C92D60"/>
    <w:rsid w:val="00C92DFE"/>
    <w:rsid w:val="00C93A68"/>
    <w:rsid w:val="00C93B25"/>
    <w:rsid w:val="00C947EE"/>
    <w:rsid w:val="00C9485F"/>
    <w:rsid w:val="00C94BBF"/>
    <w:rsid w:val="00C95067"/>
    <w:rsid w:val="00C954DC"/>
    <w:rsid w:val="00C955C9"/>
    <w:rsid w:val="00C961C1"/>
    <w:rsid w:val="00C96512"/>
    <w:rsid w:val="00C965EC"/>
    <w:rsid w:val="00C96616"/>
    <w:rsid w:val="00C9663E"/>
    <w:rsid w:val="00C9682F"/>
    <w:rsid w:val="00C96A32"/>
    <w:rsid w:val="00C96AF7"/>
    <w:rsid w:val="00C96CE4"/>
    <w:rsid w:val="00C9700E"/>
    <w:rsid w:val="00C972CD"/>
    <w:rsid w:val="00C976B7"/>
    <w:rsid w:val="00C9788D"/>
    <w:rsid w:val="00C97BE4"/>
    <w:rsid w:val="00C97C44"/>
    <w:rsid w:val="00C97D89"/>
    <w:rsid w:val="00C97DBD"/>
    <w:rsid w:val="00CA00C0"/>
    <w:rsid w:val="00CA054F"/>
    <w:rsid w:val="00CA07CD"/>
    <w:rsid w:val="00CA0896"/>
    <w:rsid w:val="00CA0976"/>
    <w:rsid w:val="00CA0BAF"/>
    <w:rsid w:val="00CA1129"/>
    <w:rsid w:val="00CA120B"/>
    <w:rsid w:val="00CA19C1"/>
    <w:rsid w:val="00CA1E2A"/>
    <w:rsid w:val="00CA2144"/>
    <w:rsid w:val="00CA2859"/>
    <w:rsid w:val="00CA2989"/>
    <w:rsid w:val="00CA3189"/>
    <w:rsid w:val="00CA424E"/>
    <w:rsid w:val="00CA4D3D"/>
    <w:rsid w:val="00CA53AF"/>
    <w:rsid w:val="00CA55ED"/>
    <w:rsid w:val="00CA5E6B"/>
    <w:rsid w:val="00CA6008"/>
    <w:rsid w:val="00CA6B9A"/>
    <w:rsid w:val="00CA6FAD"/>
    <w:rsid w:val="00CA70F6"/>
    <w:rsid w:val="00CA7572"/>
    <w:rsid w:val="00CA7D0D"/>
    <w:rsid w:val="00CA7EE6"/>
    <w:rsid w:val="00CB02F7"/>
    <w:rsid w:val="00CB0446"/>
    <w:rsid w:val="00CB0C6F"/>
    <w:rsid w:val="00CB12B5"/>
    <w:rsid w:val="00CB1983"/>
    <w:rsid w:val="00CB1A78"/>
    <w:rsid w:val="00CB1C37"/>
    <w:rsid w:val="00CB2511"/>
    <w:rsid w:val="00CB2701"/>
    <w:rsid w:val="00CB28FF"/>
    <w:rsid w:val="00CB29B4"/>
    <w:rsid w:val="00CB2E2D"/>
    <w:rsid w:val="00CB3928"/>
    <w:rsid w:val="00CB3B6B"/>
    <w:rsid w:val="00CB42F8"/>
    <w:rsid w:val="00CB4385"/>
    <w:rsid w:val="00CB49C5"/>
    <w:rsid w:val="00CB49CF"/>
    <w:rsid w:val="00CB575C"/>
    <w:rsid w:val="00CB57CE"/>
    <w:rsid w:val="00CB5C22"/>
    <w:rsid w:val="00CB5DB8"/>
    <w:rsid w:val="00CB6025"/>
    <w:rsid w:val="00CB638B"/>
    <w:rsid w:val="00CB6824"/>
    <w:rsid w:val="00CB6997"/>
    <w:rsid w:val="00CB6F57"/>
    <w:rsid w:val="00CB73E0"/>
    <w:rsid w:val="00CB751B"/>
    <w:rsid w:val="00CB758D"/>
    <w:rsid w:val="00CB792E"/>
    <w:rsid w:val="00CB79D8"/>
    <w:rsid w:val="00CB7B32"/>
    <w:rsid w:val="00CC00E7"/>
    <w:rsid w:val="00CC07AE"/>
    <w:rsid w:val="00CC0C71"/>
    <w:rsid w:val="00CC1788"/>
    <w:rsid w:val="00CC1887"/>
    <w:rsid w:val="00CC1991"/>
    <w:rsid w:val="00CC1C6F"/>
    <w:rsid w:val="00CC2396"/>
    <w:rsid w:val="00CC2486"/>
    <w:rsid w:val="00CC27FB"/>
    <w:rsid w:val="00CC2CA2"/>
    <w:rsid w:val="00CC2F20"/>
    <w:rsid w:val="00CC2F85"/>
    <w:rsid w:val="00CC3906"/>
    <w:rsid w:val="00CC3B49"/>
    <w:rsid w:val="00CC3B4F"/>
    <w:rsid w:val="00CC3E12"/>
    <w:rsid w:val="00CC3F11"/>
    <w:rsid w:val="00CC4705"/>
    <w:rsid w:val="00CC4731"/>
    <w:rsid w:val="00CC4737"/>
    <w:rsid w:val="00CC48D8"/>
    <w:rsid w:val="00CC490C"/>
    <w:rsid w:val="00CC4BDE"/>
    <w:rsid w:val="00CC5312"/>
    <w:rsid w:val="00CC57AA"/>
    <w:rsid w:val="00CC5E86"/>
    <w:rsid w:val="00CC6554"/>
    <w:rsid w:val="00CC6960"/>
    <w:rsid w:val="00CC6BCE"/>
    <w:rsid w:val="00CC7216"/>
    <w:rsid w:val="00CC7723"/>
    <w:rsid w:val="00CC78A0"/>
    <w:rsid w:val="00CC7D06"/>
    <w:rsid w:val="00CD04DA"/>
    <w:rsid w:val="00CD0A8E"/>
    <w:rsid w:val="00CD0D74"/>
    <w:rsid w:val="00CD1105"/>
    <w:rsid w:val="00CD18C5"/>
    <w:rsid w:val="00CD1900"/>
    <w:rsid w:val="00CD19B8"/>
    <w:rsid w:val="00CD1BD1"/>
    <w:rsid w:val="00CD2AC9"/>
    <w:rsid w:val="00CD302F"/>
    <w:rsid w:val="00CD370E"/>
    <w:rsid w:val="00CD37FE"/>
    <w:rsid w:val="00CD436F"/>
    <w:rsid w:val="00CD4A83"/>
    <w:rsid w:val="00CD4BA3"/>
    <w:rsid w:val="00CD55CB"/>
    <w:rsid w:val="00CD57E6"/>
    <w:rsid w:val="00CD5B0E"/>
    <w:rsid w:val="00CD66CB"/>
    <w:rsid w:val="00CD6A1B"/>
    <w:rsid w:val="00CD6B52"/>
    <w:rsid w:val="00CD6BA1"/>
    <w:rsid w:val="00CD6FEF"/>
    <w:rsid w:val="00CD747A"/>
    <w:rsid w:val="00CD7A43"/>
    <w:rsid w:val="00CD7C96"/>
    <w:rsid w:val="00CE011C"/>
    <w:rsid w:val="00CE0530"/>
    <w:rsid w:val="00CE0598"/>
    <w:rsid w:val="00CE06CC"/>
    <w:rsid w:val="00CE089B"/>
    <w:rsid w:val="00CE08D3"/>
    <w:rsid w:val="00CE0945"/>
    <w:rsid w:val="00CE0A41"/>
    <w:rsid w:val="00CE1688"/>
    <w:rsid w:val="00CE1839"/>
    <w:rsid w:val="00CE1BD0"/>
    <w:rsid w:val="00CE1DF3"/>
    <w:rsid w:val="00CE1F35"/>
    <w:rsid w:val="00CE2583"/>
    <w:rsid w:val="00CE2714"/>
    <w:rsid w:val="00CE28E6"/>
    <w:rsid w:val="00CE298F"/>
    <w:rsid w:val="00CE2BAC"/>
    <w:rsid w:val="00CE2C4E"/>
    <w:rsid w:val="00CE3BD4"/>
    <w:rsid w:val="00CE401F"/>
    <w:rsid w:val="00CE450F"/>
    <w:rsid w:val="00CE47F8"/>
    <w:rsid w:val="00CE4FB8"/>
    <w:rsid w:val="00CE50DA"/>
    <w:rsid w:val="00CE52EF"/>
    <w:rsid w:val="00CE5638"/>
    <w:rsid w:val="00CE591F"/>
    <w:rsid w:val="00CE5CBB"/>
    <w:rsid w:val="00CE5FB5"/>
    <w:rsid w:val="00CE61A7"/>
    <w:rsid w:val="00CE6249"/>
    <w:rsid w:val="00CE6CAB"/>
    <w:rsid w:val="00CE71F5"/>
    <w:rsid w:val="00CE72F7"/>
    <w:rsid w:val="00CE7A70"/>
    <w:rsid w:val="00CF0323"/>
    <w:rsid w:val="00CF0674"/>
    <w:rsid w:val="00CF090B"/>
    <w:rsid w:val="00CF0F10"/>
    <w:rsid w:val="00CF13AC"/>
    <w:rsid w:val="00CF13EE"/>
    <w:rsid w:val="00CF144E"/>
    <w:rsid w:val="00CF17DB"/>
    <w:rsid w:val="00CF1E30"/>
    <w:rsid w:val="00CF1F46"/>
    <w:rsid w:val="00CF2029"/>
    <w:rsid w:val="00CF20A2"/>
    <w:rsid w:val="00CF213D"/>
    <w:rsid w:val="00CF24D9"/>
    <w:rsid w:val="00CF2699"/>
    <w:rsid w:val="00CF28A3"/>
    <w:rsid w:val="00CF2A03"/>
    <w:rsid w:val="00CF332A"/>
    <w:rsid w:val="00CF3341"/>
    <w:rsid w:val="00CF46D4"/>
    <w:rsid w:val="00CF4E6A"/>
    <w:rsid w:val="00CF5403"/>
    <w:rsid w:val="00CF5759"/>
    <w:rsid w:val="00CF58D4"/>
    <w:rsid w:val="00CF5972"/>
    <w:rsid w:val="00CF5C21"/>
    <w:rsid w:val="00CF625D"/>
    <w:rsid w:val="00CF6CAC"/>
    <w:rsid w:val="00CF6DE3"/>
    <w:rsid w:val="00CF702B"/>
    <w:rsid w:val="00CF7564"/>
    <w:rsid w:val="00CF762B"/>
    <w:rsid w:val="00CF7766"/>
    <w:rsid w:val="00CF78A6"/>
    <w:rsid w:val="00D00094"/>
    <w:rsid w:val="00D0075A"/>
    <w:rsid w:val="00D009BD"/>
    <w:rsid w:val="00D00BDF"/>
    <w:rsid w:val="00D00FEF"/>
    <w:rsid w:val="00D01231"/>
    <w:rsid w:val="00D016F5"/>
    <w:rsid w:val="00D01780"/>
    <w:rsid w:val="00D0193C"/>
    <w:rsid w:val="00D0198D"/>
    <w:rsid w:val="00D01C0A"/>
    <w:rsid w:val="00D01CEC"/>
    <w:rsid w:val="00D020D6"/>
    <w:rsid w:val="00D02250"/>
    <w:rsid w:val="00D022A9"/>
    <w:rsid w:val="00D02324"/>
    <w:rsid w:val="00D02597"/>
    <w:rsid w:val="00D02B61"/>
    <w:rsid w:val="00D02D6A"/>
    <w:rsid w:val="00D03861"/>
    <w:rsid w:val="00D04047"/>
    <w:rsid w:val="00D04075"/>
    <w:rsid w:val="00D04119"/>
    <w:rsid w:val="00D04133"/>
    <w:rsid w:val="00D043BF"/>
    <w:rsid w:val="00D04776"/>
    <w:rsid w:val="00D049D1"/>
    <w:rsid w:val="00D04F1F"/>
    <w:rsid w:val="00D0504B"/>
    <w:rsid w:val="00D052C1"/>
    <w:rsid w:val="00D05E25"/>
    <w:rsid w:val="00D05E8A"/>
    <w:rsid w:val="00D05FF5"/>
    <w:rsid w:val="00D06474"/>
    <w:rsid w:val="00D064B7"/>
    <w:rsid w:val="00D06633"/>
    <w:rsid w:val="00D06757"/>
    <w:rsid w:val="00D06A18"/>
    <w:rsid w:val="00D06BB6"/>
    <w:rsid w:val="00D06E37"/>
    <w:rsid w:val="00D06F08"/>
    <w:rsid w:val="00D07188"/>
    <w:rsid w:val="00D077E0"/>
    <w:rsid w:val="00D07A95"/>
    <w:rsid w:val="00D102A5"/>
    <w:rsid w:val="00D10578"/>
    <w:rsid w:val="00D106F3"/>
    <w:rsid w:val="00D107D5"/>
    <w:rsid w:val="00D10A9D"/>
    <w:rsid w:val="00D10BFC"/>
    <w:rsid w:val="00D1128D"/>
    <w:rsid w:val="00D1156B"/>
    <w:rsid w:val="00D11921"/>
    <w:rsid w:val="00D1242B"/>
    <w:rsid w:val="00D126F2"/>
    <w:rsid w:val="00D1307C"/>
    <w:rsid w:val="00D1308B"/>
    <w:rsid w:val="00D135F8"/>
    <w:rsid w:val="00D13654"/>
    <w:rsid w:val="00D1458D"/>
    <w:rsid w:val="00D149B7"/>
    <w:rsid w:val="00D14B23"/>
    <w:rsid w:val="00D14BD6"/>
    <w:rsid w:val="00D14CB4"/>
    <w:rsid w:val="00D14F11"/>
    <w:rsid w:val="00D14F4C"/>
    <w:rsid w:val="00D14FBC"/>
    <w:rsid w:val="00D14FF4"/>
    <w:rsid w:val="00D16078"/>
    <w:rsid w:val="00D16693"/>
    <w:rsid w:val="00D16BE2"/>
    <w:rsid w:val="00D16DA9"/>
    <w:rsid w:val="00D16F6B"/>
    <w:rsid w:val="00D17D88"/>
    <w:rsid w:val="00D20537"/>
    <w:rsid w:val="00D207CC"/>
    <w:rsid w:val="00D20893"/>
    <w:rsid w:val="00D20D2F"/>
    <w:rsid w:val="00D20D8E"/>
    <w:rsid w:val="00D210F4"/>
    <w:rsid w:val="00D216A5"/>
    <w:rsid w:val="00D21FCD"/>
    <w:rsid w:val="00D2207B"/>
    <w:rsid w:val="00D222A1"/>
    <w:rsid w:val="00D22344"/>
    <w:rsid w:val="00D22376"/>
    <w:rsid w:val="00D2282E"/>
    <w:rsid w:val="00D22AA2"/>
    <w:rsid w:val="00D22B57"/>
    <w:rsid w:val="00D22F2B"/>
    <w:rsid w:val="00D22FB0"/>
    <w:rsid w:val="00D231B0"/>
    <w:rsid w:val="00D233DB"/>
    <w:rsid w:val="00D23860"/>
    <w:rsid w:val="00D23896"/>
    <w:rsid w:val="00D23932"/>
    <w:rsid w:val="00D23A28"/>
    <w:rsid w:val="00D23F53"/>
    <w:rsid w:val="00D23F80"/>
    <w:rsid w:val="00D245E8"/>
    <w:rsid w:val="00D24A84"/>
    <w:rsid w:val="00D24B82"/>
    <w:rsid w:val="00D24CB2"/>
    <w:rsid w:val="00D24ECF"/>
    <w:rsid w:val="00D24F2C"/>
    <w:rsid w:val="00D25101"/>
    <w:rsid w:val="00D251FF"/>
    <w:rsid w:val="00D252A9"/>
    <w:rsid w:val="00D252FF"/>
    <w:rsid w:val="00D25730"/>
    <w:rsid w:val="00D25779"/>
    <w:rsid w:val="00D25823"/>
    <w:rsid w:val="00D2592A"/>
    <w:rsid w:val="00D25B8A"/>
    <w:rsid w:val="00D26246"/>
    <w:rsid w:val="00D266C9"/>
    <w:rsid w:val="00D26B0A"/>
    <w:rsid w:val="00D27684"/>
    <w:rsid w:val="00D276FC"/>
    <w:rsid w:val="00D2794B"/>
    <w:rsid w:val="00D27B1E"/>
    <w:rsid w:val="00D27B5A"/>
    <w:rsid w:val="00D30055"/>
    <w:rsid w:val="00D30412"/>
    <w:rsid w:val="00D30A23"/>
    <w:rsid w:val="00D30ABE"/>
    <w:rsid w:val="00D30E06"/>
    <w:rsid w:val="00D31257"/>
    <w:rsid w:val="00D31469"/>
    <w:rsid w:val="00D31E4D"/>
    <w:rsid w:val="00D31ED1"/>
    <w:rsid w:val="00D3250A"/>
    <w:rsid w:val="00D32A73"/>
    <w:rsid w:val="00D32CD4"/>
    <w:rsid w:val="00D33C80"/>
    <w:rsid w:val="00D33EDC"/>
    <w:rsid w:val="00D349E8"/>
    <w:rsid w:val="00D34D9C"/>
    <w:rsid w:val="00D351DE"/>
    <w:rsid w:val="00D35211"/>
    <w:rsid w:val="00D354C9"/>
    <w:rsid w:val="00D35E0B"/>
    <w:rsid w:val="00D36454"/>
    <w:rsid w:val="00D3697B"/>
    <w:rsid w:val="00D372BD"/>
    <w:rsid w:val="00D373D0"/>
    <w:rsid w:val="00D378BD"/>
    <w:rsid w:val="00D40184"/>
    <w:rsid w:val="00D40652"/>
    <w:rsid w:val="00D4071B"/>
    <w:rsid w:val="00D4118E"/>
    <w:rsid w:val="00D41F1F"/>
    <w:rsid w:val="00D41FAA"/>
    <w:rsid w:val="00D420EA"/>
    <w:rsid w:val="00D424B8"/>
    <w:rsid w:val="00D4251B"/>
    <w:rsid w:val="00D4255E"/>
    <w:rsid w:val="00D42825"/>
    <w:rsid w:val="00D42D9D"/>
    <w:rsid w:val="00D42F52"/>
    <w:rsid w:val="00D43B09"/>
    <w:rsid w:val="00D43BC6"/>
    <w:rsid w:val="00D43EDD"/>
    <w:rsid w:val="00D4447F"/>
    <w:rsid w:val="00D4469F"/>
    <w:rsid w:val="00D44AA5"/>
    <w:rsid w:val="00D44CB1"/>
    <w:rsid w:val="00D44EB7"/>
    <w:rsid w:val="00D450E1"/>
    <w:rsid w:val="00D45698"/>
    <w:rsid w:val="00D456EE"/>
    <w:rsid w:val="00D4616D"/>
    <w:rsid w:val="00D466C8"/>
    <w:rsid w:val="00D46B4F"/>
    <w:rsid w:val="00D46B9D"/>
    <w:rsid w:val="00D46E88"/>
    <w:rsid w:val="00D47226"/>
    <w:rsid w:val="00D4730D"/>
    <w:rsid w:val="00D479A1"/>
    <w:rsid w:val="00D505B7"/>
    <w:rsid w:val="00D50696"/>
    <w:rsid w:val="00D506D6"/>
    <w:rsid w:val="00D50CFF"/>
    <w:rsid w:val="00D50EC3"/>
    <w:rsid w:val="00D50EED"/>
    <w:rsid w:val="00D51660"/>
    <w:rsid w:val="00D51F8B"/>
    <w:rsid w:val="00D530A9"/>
    <w:rsid w:val="00D53542"/>
    <w:rsid w:val="00D537FC"/>
    <w:rsid w:val="00D54C7F"/>
    <w:rsid w:val="00D55018"/>
    <w:rsid w:val="00D55614"/>
    <w:rsid w:val="00D5564D"/>
    <w:rsid w:val="00D5571E"/>
    <w:rsid w:val="00D55765"/>
    <w:rsid w:val="00D55D86"/>
    <w:rsid w:val="00D564FD"/>
    <w:rsid w:val="00D569C7"/>
    <w:rsid w:val="00D56A6D"/>
    <w:rsid w:val="00D56F9B"/>
    <w:rsid w:val="00D572A9"/>
    <w:rsid w:val="00D57381"/>
    <w:rsid w:val="00D573A1"/>
    <w:rsid w:val="00D576EF"/>
    <w:rsid w:val="00D57D1C"/>
    <w:rsid w:val="00D6004C"/>
    <w:rsid w:val="00D600F4"/>
    <w:rsid w:val="00D60330"/>
    <w:rsid w:val="00D60433"/>
    <w:rsid w:val="00D60665"/>
    <w:rsid w:val="00D60F2B"/>
    <w:rsid w:val="00D6164B"/>
    <w:rsid w:val="00D61714"/>
    <w:rsid w:val="00D6186E"/>
    <w:rsid w:val="00D62042"/>
    <w:rsid w:val="00D620BC"/>
    <w:rsid w:val="00D6242B"/>
    <w:rsid w:val="00D62541"/>
    <w:rsid w:val="00D625B8"/>
    <w:rsid w:val="00D62639"/>
    <w:rsid w:val="00D62CC8"/>
    <w:rsid w:val="00D62E73"/>
    <w:rsid w:val="00D6399C"/>
    <w:rsid w:val="00D642BC"/>
    <w:rsid w:val="00D644C2"/>
    <w:rsid w:val="00D64682"/>
    <w:rsid w:val="00D65189"/>
    <w:rsid w:val="00D65335"/>
    <w:rsid w:val="00D65709"/>
    <w:rsid w:val="00D65729"/>
    <w:rsid w:val="00D658D3"/>
    <w:rsid w:val="00D659B5"/>
    <w:rsid w:val="00D659E6"/>
    <w:rsid w:val="00D65A39"/>
    <w:rsid w:val="00D65BCF"/>
    <w:rsid w:val="00D65C08"/>
    <w:rsid w:val="00D65D18"/>
    <w:rsid w:val="00D6642B"/>
    <w:rsid w:val="00D67D04"/>
    <w:rsid w:val="00D67DF5"/>
    <w:rsid w:val="00D67E5E"/>
    <w:rsid w:val="00D700A7"/>
    <w:rsid w:val="00D70751"/>
    <w:rsid w:val="00D7083F"/>
    <w:rsid w:val="00D70909"/>
    <w:rsid w:val="00D70C12"/>
    <w:rsid w:val="00D70CFA"/>
    <w:rsid w:val="00D717C1"/>
    <w:rsid w:val="00D71AC4"/>
    <w:rsid w:val="00D71FD5"/>
    <w:rsid w:val="00D7204B"/>
    <w:rsid w:val="00D72679"/>
    <w:rsid w:val="00D72880"/>
    <w:rsid w:val="00D72D80"/>
    <w:rsid w:val="00D72DD9"/>
    <w:rsid w:val="00D73916"/>
    <w:rsid w:val="00D73CA5"/>
    <w:rsid w:val="00D741F6"/>
    <w:rsid w:val="00D743BF"/>
    <w:rsid w:val="00D748FD"/>
    <w:rsid w:val="00D74A64"/>
    <w:rsid w:val="00D74AC0"/>
    <w:rsid w:val="00D74B8E"/>
    <w:rsid w:val="00D74C4E"/>
    <w:rsid w:val="00D74DAE"/>
    <w:rsid w:val="00D75026"/>
    <w:rsid w:val="00D75809"/>
    <w:rsid w:val="00D75897"/>
    <w:rsid w:val="00D759B6"/>
    <w:rsid w:val="00D75B06"/>
    <w:rsid w:val="00D760B2"/>
    <w:rsid w:val="00D76766"/>
    <w:rsid w:val="00D767BD"/>
    <w:rsid w:val="00D76E8A"/>
    <w:rsid w:val="00D77391"/>
    <w:rsid w:val="00D778F0"/>
    <w:rsid w:val="00D779D1"/>
    <w:rsid w:val="00D77FE2"/>
    <w:rsid w:val="00D8032C"/>
    <w:rsid w:val="00D808E9"/>
    <w:rsid w:val="00D80FC4"/>
    <w:rsid w:val="00D811C7"/>
    <w:rsid w:val="00D816F6"/>
    <w:rsid w:val="00D823E0"/>
    <w:rsid w:val="00D828C4"/>
    <w:rsid w:val="00D82B8D"/>
    <w:rsid w:val="00D82DF9"/>
    <w:rsid w:val="00D830FA"/>
    <w:rsid w:val="00D83B15"/>
    <w:rsid w:val="00D83BAD"/>
    <w:rsid w:val="00D83C9B"/>
    <w:rsid w:val="00D84038"/>
    <w:rsid w:val="00D84307"/>
    <w:rsid w:val="00D84370"/>
    <w:rsid w:val="00D84BC7"/>
    <w:rsid w:val="00D84F0B"/>
    <w:rsid w:val="00D856E4"/>
    <w:rsid w:val="00D85783"/>
    <w:rsid w:val="00D85976"/>
    <w:rsid w:val="00D85CC5"/>
    <w:rsid w:val="00D85F67"/>
    <w:rsid w:val="00D85FCD"/>
    <w:rsid w:val="00D85FE1"/>
    <w:rsid w:val="00D86023"/>
    <w:rsid w:val="00D86285"/>
    <w:rsid w:val="00D8678C"/>
    <w:rsid w:val="00D869AC"/>
    <w:rsid w:val="00D87F4C"/>
    <w:rsid w:val="00D9036C"/>
    <w:rsid w:val="00D90FE0"/>
    <w:rsid w:val="00D910A0"/>
    <w:rsid w:val="00D910AA"/>
    <w:rsid w:val="00D911BB"/>
    <w:rsid w:val="00D91C37"/>
    <w:rsid w:val="00D91E16"/>
    <w:rsid w:val="00D92123"/>
    <w:rsid w:val="00D92239"/>
    <w:rsid w:val="00D922E0"/>
    <w:rsid w:val="00D92540"/>
    <w:rsid w:val="00D92D74"/>
    <w:rsid w:val="00D92F0D"/>
    <w:rsid w:val="00D932B2"/>
    <w:rsid w:val="00D937B0"/>
    <w:rsid w:val="00D93C8E"/>
    <w:rsid w:val="00D93FAB"/>
    <w:rsid w:val="00D94273"/>
    <w:rsid w:val="00D94398"/>
    <w:rsid w:val="00D944AB"/>
    <w:rsid w:val="00D94556"/>
    <w:rsid w:val="00D94799"/>
    <w:rsid w:val="00D947CD"/>
    <w:rsid w:val="00D9490C"/>
    <w:rsid w:val="00D94B91"/>
    <w:rsid w:val="00D94C95"/>
    <w:rsid w:val="00D94E72"/>
    <w:rsid w:val="00D953FC"/>
    <w:rsid w:val="00D9572F"/>
    <w:rsid w:val="00D959A3"/>
    <w:rsid w:val="00D961A3"/>
    <w:rsid w:val="00D961A5"/>
    <w:rsid w:val="00D96A8B"/>
    <w:rsid w:val="00D976F9"/>
    <w:rsid w:val="00D977C8"/>
    <w:rsid w:val="00D9788C"/>
    <w:rsid w:val="00D978FF"/>
    <w:rsid w:val="00D97944"/>
    <w:rsid w:val="00D979B3"/>
    <w:rsid w:val="00D97A8A"/>
    <w:rsid w:val="00D97E86"/>
    <w:rsid w:val="00DA031E"/>
    <w:rsid w:val="00DA0359"/>
    <w:rsid w:val="00DA05F1"/>
    <w:rsid w:val="00DA072F"/>
    <w:rsid w:val="00DA0FE9"/>
    <w:rsid w:val="00DA10C1"/>
    <w:rsid w:val="00DA1181"/>
    <w:rsid w:val="00DA11D7"/>
    <w:rsid w:val="00DA169D"/>
    <w:rsid w:val="00DA19AD"/>
    <w:rsid w:val="00DA1E38"/>
    <w:rsid w:val="00DA1E61"/>
    <w:rsid w:val="00DA2770"/>
    <w:rsid w:val="00DA2782"/>
    <w:rsid w:val="00DA2BCE"/>
    <w:rsid w:val="00DA32C8"/>
    <w:rsid w:val="00DA3401"/>
    <w:rsid w:val="00DA35B2"/>
    <w:rsid w:val="00DA3BE7"/>
    <w:rsid w:val="00DA3E60"/>
    <w:rsid w:val="00DA48F3"/>
    <w:rsid w:val="00DA513B"/>
    <w:rsid w:val="00DA516A"/>
    <w:rsid w:val="00DA5798"/>
    <w:rsid w:val="00DA5877"/>
    <w:rsid w:val="00DA6478"/>
    <w:rsid w:val="00DA6BFD"/>
    <w:rsid w:val="00DA6D79"/>
    <w:rsid w:val="00DA6F80"/>
    <w:rsid w:val="00DA7E87"/>
    <w:rsid w:val="00DA7FE7"/>
    <w:rsid w:val="00DB0021"/>
    <w:rsid w:val="00DB00CB"/>
    <w:rsid w:val="00DB034F"/>
    <w:rsid w:val="00DB041C"/>
    <w:rsid w:val="00DB05F0"/>
    <w:rsid w:val="00DB060D"/>
    <w:rsid w:val="00DB0783"/>
    <w:rsid w:val="00DB0919"/>
    <w:rsid w:val="00DB0A31"/>
    <w:rsid w:val="00DB0EB5"/>
    <w:rsid w:val="00DB0EC3"/>
    <w:rsid w:val="00DB1B42"/>
    <w:rsid w:val="00DB1B5C"/>
    <w:rsid w:val="00DB1CBB"/>
    <w:rsid w:val="00DB2017"/>
    <w:rsid w:val="00DB225E"/>
    <w:rsid w:val="00DB3295"/>
    <w:rsid w:val="00DB34F1"/>
    <w:rsid w:val="00DB3714"/>
    <w:rsid w:val="00DB38BD"/>
    <w:rsid w:val="00DB3FC0"/>
    <w:rsid w:val="00DB402A"/>
    <w:rsid w:val="00DB4207"/>
    <w:rsid w:val="00DB4554"/>
    <w:rsid w:val="00DB486D"/>
    <w:rsid w:val="00DB4C87"/>
    <w:rsid w:val="00DB4DDB"/>
    <w:rsid w:val="00DB4EB3"/>
    <w:rsid w:val="00DB4FBF"/>
    <w:rsid w:val="00DB4FE2"/>
    <w:rsid w:val="00DB5391"/>
    <w:rsid w:val="00DB53C5"/>
    <w:rsid w:val="00DB55B0"/>
    <w:rsid w:val="00DB5696"/>
    <w:rsid w:val="00DB56ED"/>
    <w:rsid w:val="00DB59F3"/>
    <w:rsid w:val="00DB5B16"/>
    <w:rsid w:val="00DB5B2D"/>
    <w:rsid w:val="00DB5DD5"/>
    <w:rsid w:val="00DB6855"/>
    <w:rsid w:val="00DB695D"/>
    <w:rsid w:val="00DB719C"/>
    <w:rsid w:val="00DB7306"/>
    <w:rsid w:val="00DB7459"/>
    <w:rsid w:val="00DB752D"/>
    <w:rsid w:val="00DC15D8"/>
    <w:rsid w:val="00DC166D"/>
    <w:rsid w:val="00DC17B5"/>
    <w:rsid w:val="00DC1DC5"/>
    <w:rsid w:val="00DC1DCE"/>
    <w:rsid w:val="00DC2105"/>
    <w:rsid w:val="00DC2137"/>
    <w:rsid w:val="00DC2372"/>
    <w:rsid w:val="00DC248A"/>
    <w:rsid w:val="00DC2B31"/>
    <w:rsid w:val="00DC2C57"/>
    <w:rsid w:val="00DC32BF"/>
    <w:rsid w:val="00DC359B"/>
    <w:rsid w:val="00DC3988"/>
    <w:rsid w:val="00DC40CF"/>
    <w:rsid w:val="00DC4168"/>
    <w:rsid w:val="00DC4880"/>
    <w:rsid w:val="00DC4A80"/>
    <w:rsid w:val="00DC4DB7"/>
    <w:rsid w:val="00DC5905"/>
    <w:rsid w:val="00DC5C81"/>
    <w:rsid w:val="00DC5DB0"/>
    <w:rsid w:val="00DC5F30"/>
    <w:rsid w:val="00DC6174"/>
    <w:rsid w:val="00DC6974"/>
    <w:rsid w:val="00DC7136"/>
    <w:rsid w:val="00DC73A0"/>
    <w:rsid w:val="00DC7467"/>
    <w:rsid w:val="00DC750A"/>
    <w:rsid w:val="00DC76C0"/>
    <w:rsid w:val="00DC77D2"/>
    <w:rsid w:val="00DC78DE"/>
    <w:rsid w:val="00DC7B58"/>
    <w:rsid w:val="00DC7FBC"/>
    <w:rsid w:val="00DD01C7"/>
    <w:rsid w:val="00DD07D8"/>
    <w:rsid w:val="00DD0A0E"/>
    <w:rsid w:val="00DD1241"/>
    <w:rsid w:val="00DD1523"/>
    <w:rsid w:val="00DD1C9D"/>
    <w:rsid w:val="00DD227F"/>
    <w:rsid w:val="00DD2411"/>
    <w:rsid w:val="00DD24A0"/>
    <w:rsid w:val="00DD25FA"/>
    <w:rsid w:val="00DD2DC9"/>
    <w:rsid w:val="00DD2F7E"/>
    <w:rsid w:val="00DD319C"/>
    <w:rsid w:val="00DD32D2"/>
    <w:rsid w:val="00DD3473"/>
    <w:rsid w:val="00DD3924"/>
    <w:rsid w:val="00DD3974"/>
    <w:rsid w:val="00DD3981"/>
    <w:rsid w:val="00DD3ABE"/>
    <w:rsid w:val="00DD3FD2"/>
    <w:rsid w:val="00DD417F"/>
    <w:rsid w:val="00DD4A3D"/>
    <w:rsid w:val="00DD4B5A"/>
    <w:rsid w:val="00DD4B77"/>
    <w:rsid w:val="00DD4D6B"/>
    <w:rsid w:val="00DD4DA6"/>
    <w:rsid w:val="00DD4E7E"/>
    <w:rsid w:val="00DD4F9B"/>
    <w:rsid w:val="00DD513B"/>
    <w:rsid w:val="00DD5568"/>
    <w:rsid w:val="00DD55F8"/>
    <w:rsid w:val="00DD5970"/>
    <w:rsid w:val="00DD5BF9"/>
    <w:rsid w:val="00DD5E9D"/>
    <w:rsid w:val="00DD61B9"/>
    <w:rsid w:val="00DD6819"/>
    <w:rsid w:val="00DD691C"/>
    <w:rsid w:val="00DD6BF9"/>
    <w:rsid w:val="00DD6E66"/>
    <w:rsid w:val="00DD73CF"/>
    <w:rsid w:val="00DD797E"/>
    <w:rsid w:val="00DD7CCB"/>
    <w:rsid w:val="00DD7EBD"/>
    <w:rsid w:val="00DD7F1C"/>
    <w:rsid w:val="00DE0225"/>
    <w:rsid w:val="00DE101D"/>
    <w:rsid w:val="00DE12CD"/>
    <w:rsid w:val="00DE1B80"/>
    <w:rsid w:val="00DE2360"/>
    <w:rsid w:val="00DE241F"/>
    <w:rsid w:val="00DE27D1"/>
    <w:rsid w:val="00DE28FF"/>
    <w:rsid w:val="00DE2922"/>
    <w:rsid w:val="00DE29AE"/>
    <w:rsid w:val="00DE31A3"/>
    <w:rsid w:val="00DE3880"/>
    <w:rsid w:val="00DE3AF8"/>
    <w:rsid w:val="00DE3B87"/>
    <w:rsid w:val="00DE41FC"/>
    <w:rsid w:val="00DE498B"/>
    <w:rsid w:val="00DE4B6C"/>
    <w:rsid w:val="00DE4EB6"/>
    <w:rsid w:val="00DE5585"/>
    <w:rsid w:val="00DE5F00"/>
    <w:rsid w:val="00DE62E6"/>
    <w:rsid w:val="00DE64AD"/>
    <w:rsid w:val="00DE6996"/>
    <w:rsid w:val="00DE6A0B"/>
    <w:rsid w:val="00DE6A16"/>
    <w:rsid w:val="00DE6E4B"/>
    <w:rsid w:val="00DE6F98"/>
    <w:rsid w:val="00DE6FCD"/>
    <w:rsid w:val="00DE7D0F"/>
    <w:rsid w:val="00DF00BD"/>
    <w:rsid w:val="00DF0143"/>
    <w:rsid w:val="00DF0290"/>
    <w:rsid w:val="00DF0309"/>
    <w:rsid w:val="00DF0531"/>
    <w:rsid w:val="00DF0BFE"/>
    <w:rsid w:val="00DF136E"/>
    <w:rsid w:val="00DF1562"/>
    <w:rsid w:val="00DF1784"/>
    <w:rsid w:val="00DF1F9D"/>
    <w:rsid w:val="00DF23DF"/>
    <w:rsid w:val="00DF288C"/>
    <w:rsid w:val="00DF39D8"/>
    <w:rsid w:val="00DF3A70"/>
    <w:rsid w:val="00DF3E74"/>
    <w:rsid w:val="00DF430D"/>
    <w:rsid w:val="00DF48B2"/>
    <w:rsid w:val="00DF4E47"/>
    <w:rsid w:val="00DF4E98"/>
    <w:rsid w:val="00DF507D"/>
    <w:rsid w:val="00DF5EEB"/>
    <w:rsid w:val="00DF61CF"/>
    <w:rsid w:val="00DF6397"/>
    <w:rsid w:val="00DF644F"/>
    <w:rsid w:val="00DF6C63"/>
    <w:rsid w:val="00DF703B"/>
    <w:rsid w:val="00DF737A"/>
    <w:rsid w:val="00DF750F"/>
    <w:rsid w:val="00DF7F37"/>
    <w:rsid w:val="00E007C7"/>
    <w:rsid w:val="00E00BB7"/>
    <w:rsid w:val="00E00BD6"/>
    <w:rsid w:val="00E0122B"/>
    <w:rsid w:val="00E0126F"/>
    <w:rsid w:val="00E01520"/>
    <w:rsid w:val="00E01663"/>
    <w:rsid w:val="00E01867"/>
    <w:rsid w:val="00E01E65"/>
    <w:rsid w:val="00E02689"/>
    <w:rsid w:val="00E02F74"/>
    <w:rsid w:val="00E0366E"/>
    <w:rsid w:val="00E03AD6"/>
    <w:rsid w:val="00E03E2E"/>
    <w:rsid w:val="00E0510C"/>
    <w:rsid w:val="00E053D4"/>
    <w:rsid w:val="00E059B4"/>
    <w:rsid w:val="00E05D48"/>
    <w:rsid w:val="00E05E5A"/>
    <w:rsid w:val="00E06223"/>
    <w:rsid w:val="00E063DA"/>
    <w:rsid w:val="00E06B93"/>
    <w:rsid w:val="00E06CA1"/>
    <w:rsid w:val="00E06CCC"/>
    <w:rsid w:val="00E0705B"/>
    <w:rsid w:val="00E07341"/>
    <w:rsid w:val="00E077C3"/>
    <w:rsid w:val="00E07B81"/>
    <w:rsid w:val="00E07BE0"/>
    <w:rsid w:val="00E07D8A"/>
    <w:rsid w:val="00E07D92"/>
    <w:rsid w:val="00E10010"/>
    <w:rsid w:val="00E10902"/>
    <w:rsid w:val="00E109D3"/>
    <w:rsid w:val="00E10B57"/>
    <w:rsid w:val="00E11118"/>
    <w:rsid w:val="00E11180"/>
    <w:rsid w:val="00E115D2"/>
    <w:rsid w:val="00E116D6"/>
    <w:rsid w:val="00E11735"/>
    <w:rsid w:val="00E11A6C"/>
    <w:rsid w:val="00E11BDF"/>
    <w:rsid w:val="00E1201B"/>
    <w:rsid w:val="00E1202C"/>
    <w:rsid w:val="00E12B1E"/>
    <w:rsid w:val="00E12E4C"/>
    <w:rsid w:val="00E134A3"/>
    <w:rsid w:val="00E13569"/>
    <w:rsid w:val="00E13C99"/>
    <w:rsid w:val="00E1484B"/>
    <w:rsid w:val="00E14C6C"/>
    <w:rsid w:val="00E14E1A"/>
    <w:rsid w:val="00E1569C"/>
    <w:rsid w:val="00E15921"/>
    <w:rsid w:val="00E15A95"/>
    <w:rsid w:val="00E160C4"/>
    <w:rsid w:val="00E16EB7"/>
    <w:rsid w:val="00E17779"/>
    <w:rsid w:val="00E178F7"/>
    <w:rsid w:val="00E17E63"/>
    <w:rsid w:val="00E200E5"/>
    <w:rsid w:val="00E2013E"/>
    <w:rsid w:val="00E2039C"/>
    <w:rsid w:val="00E207DF"/>
    <w:rsid w:val="00E207FC"/>
    <w:rsid w:val="00E20A6B"/>
    <w:rsid w:val="00E20A96"/>
    <w:rsid w:val="00E21136"/>
    <w:rsid w:val="00E2123E"/>
    <w:rsid w:val="00E215E5"/>
    <w:rsid w:val="00E21756"/>
    <w:rsid w:val="00E218A0"/>
    <w:rsid w:val="00E21D71"/>
    <w:rsid w:val="00E229B4"/>
    <w:rsid w:val="00E22ACA"/>
    <w:rsid w:val="00E22EE8"/>
    <w:rsid w:val="00E231FE"/>
    <w:rsid w:val="00E2324D"/>
    <w:rsid w:val="00E23294"/>
    <w:rsid w:val="00E234C1"/>
    <w:rsid w:val="00E23761"/>
    <w:rsid w:val="00E23D8C"/>
    <w:rsid w:val="00E24309"/>
    <w:rsid w:val="00E24777"/>
    <w:rsid w:val="00E2493C"/>
    <w:rsid w:val="00E249EA"/>
    <w:rsid w:val="00E24B05"/>
    <w:rsid w:val="00E24C03"/>
    <w:rsid w:val="00E2527E"/>
    <w:rsid w:val="00E25593"/>
    <w:rsid w:val="00E25595"/>
    <w:rsid w:val="00E25D46"/>
    <w:rsid w:val="00E25F6F"/>
    <w:rsid w:val="00E26C9C"/>
    <w:rsid w:val="00E26D49"/>
    <w:rsid w:val="00E27077"/>
    <w:rsid w:val="00E2714C"/>
    <w:rsid w:val="00E27BC8"/>
    <w:rsid w:val="00E27E66"/>
    <w:rsid w:val="00E308F3"/>
    <w:rsid w:val="00E30F54"/>
    <w:rsid w:val="00E31024"/>
    <w:rsid w:val="00E3130A"/>
    <w:rsid w:val="00E3169B"/>
    <w:rsid w:val="00E31C42"/>
    <w:rsid w:val="00E31E04"/>
    <w:rsid w:val="00E31FC0"/>
    <w:rsid w:val="00E32651"/>
    <w:rsid w:val="00E32727"/>
    <w:rsid w:val="00E32FF8"/>
    <w:rsid w:val="00E33CAE"/>
    <w:rsid w:val="00E33E53"/>
    <w:rsid w:val="00E33ECE"/>
    <w:rsid w:val="00E33F89"/>
    <w:rsid w:val="00E3448D"/>
    <w:rsid w:val="00E34549"/>
    <w:rsid w:val="00E3464E"/>
    <w:rsid w:val="00E34CD0"/>
    <w:rsid w:val="00E34D19"/>
    <w:rsid w:val="00E35210"/>
    <w:rsid w:val="00E354E4"/>
    <w:rsid w:val="00E355AD"/>
    <w:rsid w:val="00E3592B"/>
    <w:rsid w:val="00E35B3A"/>
    <w:rsid w:val="00E35DD1"/>
    <w:rsid w:val="00E36065"/>
    <w:rsid w:val="00E36226"/>
    <w:rsid w:val="00E362B8"/>
    <w:rsid w:val="00E370E3"/>
    <w:rsid w:val="00E37836"/>
    <w:rsid w:val="00E378B6"/>
    <w:rsid w:val="00E37988"/>
    <w:rsid w:val="00E37A97"/>
    <w:rsid w:val="00E37CC1"/>
    <w:rsid w:val="00E37E09"/>
    <w:rsid w:val="00E40122"/>
    <w:rsid w:val="00E40391"/>
    <w:rsid w:val="00E40456"/>
    <w:rsid w:val="00E40C90"/>
    <w:rsid w:val="00E418F6"/>
    <w:rsid w:val="00E41AA6"/>
    <w:rsid w:val="00E41BD9"/>
    <w:rsid w:val="00E42209"/>
    <w:rsid w:val="00E42246"/>
    <w:rsid w:val="00E422A4"/>
    <w:rsid w:val="00E423C2"/>
    <w:rsid w:val="00E42533"/>
    <w:rsid w:val="00E42759"/>
    <w:rsid w:val="00E42904"/>
    <w:rsid w:val="00E42F91"/>
    <w:rsid w:val="00E43113"/>
    <w:rsid w:val="00E4317A"/>
    <w:rsid w:val="00E43410"/>
    <w:rsid w:val="00E43863"/>
    <w:rsid w:val="00E438CA"/>
    <w:rsid w:val="00E43C46"/>
    <w:rsid w:val="00E44213"/>
    <w:rsid w:val="00E44529"/>
    <w:rsid w:val="00E44C8A"/>
    <w:rsid w:val="00E453B1"/>
    <w:rsid w:val="00E4545D"/>
    <w:rsid w:val="00E4555D"/>
    <w:rsid w:val="00E4590E"/>
    <w:rsid w:val="00E45CBD"/>
    <w:rsid w:val="00E45EEE"/>
    <w:rsid w:val="00E46924"/>
    <w:rsid w:val="00E46BE7"/>
    <w:rsid w:val="00E473E1"/>
    <w:rsid w:val="00E47654"/>
    <w:rsid w:val="00E47797"/>
    <w:rsid w:val="00E47B83"/>
    <w:rsid w:val="00E47C18"/>
    <w:rsid w:val="00E5027A"/>
    <w:rsid w:val="00E50443"/>
    <w:rsid w:val="00E508A8"/>
    <w:rsid w:val="00E50934"/>
    <w:rsid w:val="00E50BA6"/>
    <w:rsid w:val="00E50DB2"/>
    <w:rsid w:val="00E50DF1"/>
    <w:rsid w:val="00E51234"/>
    <w:rsid w:val="00E520A6"/>
    <w:rsid w:val="00E520BE"/>
    <w:rsid w:val="00E522FE"/>
    <w:rsid w:val="00E52549"/>
    <w:rsid w:val="00E5266A"/>
    <w:rsid w:val="00E52940"/>
    <w:rsid w:val="00E53580"/>
    <w:rsid w:val="00E5378C"/>
    <w:rsid w:val="00E53CAF"/>
    <w:rsid w:val="00E5403B"/>
    <w:rsid w:val="00E5463C"/>
    <w:rsid w:val="00E55157"/>
    <w:rsid w:val="00E55848"/>
    <w:rsid w:val="00E5605A"/>
    <w:rsid w:val="00E561AE"/>
    <w:rsid w:val="00E562E6"/>
    <w:rsid w:val="00E56370"/>
    <w:rsid w:val="00E56897"/>
    <w:rsid w:val="00E56C09"/>
    <w:rsid w:val="00E56F82"/>
    <w:rsid w:val="00E57101"/>
    <w:rsid w:val="00E5720B"/>
    <w:rsid w:val="00E572D4"/>
    <w:rsid w:val="00E573B6"/>
    <w:rsid w:val="00E57523"/>
    <w:rsid w:val="00E6013C"/>
    <w:rsid w:val="00E60446"/>
    <w:rsid w:val="00E608E2"/>
    <w:rsid w:val="00E610EB"/>
    <w:rsid w:val="00E6126A"/>
    <w:rsid w:val="00E61446"/>
    <w:rsid w:val="00E61456"/>
    <w:rsid w:val="00E6145C"/>
    <w:rsid w:val="00E6154F"/>
    <w:rsid w:val="00E61C41"/>
    <w:rsid w:val="00E61C9D"/>
    <w:rsid w:val="00E624E9"/>
    <w:rsid w:val="00E62531"/>
    <w:rsid w:val="00E62822"/>
    <w:rsid w:val="00E63178"/>
    <w:rsid w:val="00E631B8"/>
    <w:rsid w:val="00E64223"/>
    <w:rsid w:val="00E64752"/>
    <w:rsid w:val="00E64AC5"/>
    <w:rsid w:val="00E65505"/>
    <w:rsid w:val="00E6566C"/>
    <w:rsid w:val="00E65855"/>
    <w:rsid w:val="00E65899"/>
    <w:rsid w:val="00E662E1"/>
    <w:rsid w:val="00E6630F"/>
    <w:rsid w:val="00E6644E"/>
    <w:rsid w:val="00E66747"/>
    <w:rsid w:val="00E668C1"/>
    <w:rsid w:val="00E66A33"/>
    <w:rsid w:val="00E66BF6"/>
    <w:rsid w:val="00E6728F"/>
    <w:rsid w:val="00E673BC"/>
    <w:rsid w:val="00E6744E"/>
    <w:rsid w:val="00E67A95"/>
    <w:rsid w:val="00E67EAD"/>
    <w:rsid w:val="00E70CA7"/>
    <w:rsid w:val="00E70D7B"/>
    <w:rsid w:val="00E712B1"/>
    <w:rsid w:val="00E7174F"/>
    <w:rsid w:val="00E71B05"/>
    <w:rsid w:val="00E71B39"/>
    <w:rsid w:val="00E72882"/>
    <w:rsid w:val="00E7334D"/>
    <w:rsid w:val="00E73616"/>
    <w:rsid w:val="00E73669"/>
    <w:rsid w:val="00E74283"/>
    <w:rsid w:val="00E742AD"/>
    <w:rsid w:val="00E742AF"/>
    <w:rsid w:val="00E74325"/>
    <w:rsid w:val="00E74A90"/>
    <w:rsid w:val="00E75038"/>
    <w:rsid w:val="00E7521B"/>
    <w:rsid w:val="00E75305"/>
    <w:rsid w:val="00E75862"/>
    <w:rsid w:val="00E75884"/>
    <w:rsid w:val="00E75888"/>
    <w:rsid w:val="00E7594D"/>
    <w:rsid w:val="00E759FE"/>
    <w:rsid w:val="00E761DE"/>
    <w:rsid w:val="00E76671"/>
    <w:rsid w:val="00E76F74"/>
    <w:rsid w:val="00E770FA"/>
    <w:rsid w:val="00E7751A"/>
    <w:rsid w:val="00E77556"/>
    <w:rsid w:val="00E77743"/>
    <w:rsid w:val="00E77B8A"/>
    <w:rsid w:val="00E77D86"/>
    <w:rsid w:val="00E77E35"/>
    <w:rsid w:val="00E77ECF"/>
    <w:rsid w:val="00E77F51"/>
    <w:rsid w:val="00E80665"/>
    <w:rsid w:val="00E8096E"/>
    <w:rsid w:val="00E80AF4"/>
    <w:rsid w:val="00E80CBF"/>
    <w:rsid w:val="00E80D7A"/>
    <w:rsid w:val="00E81562"/>
    <w:rsid w:val="00E819EF"/>
    <w:rsid w:val="00E81BFE"/>
    <w:rsid w:val="00E81F51"/>
    <w:rsid w:val="00E8217B"/>
    <w:rsid w:val="00E821E4"/>
    <w:rsid w:val="00E822FC"/>
    <w:rsid w:val="00E8247A"/>
    <w:rsid w:val="00E824AF"/>
    <w:rsid w:val="00E8287D"/>
    <w:rsid w:val="00E833D8"/>
    <w:rsid w:val="00E83E7B"/>
    <w:rsid w:val="00E84318"/>
    <w:rsid w:val="00E84784"/>
    <w:rsid w:val="00E848BC"/>
    <w:rsid w:val="00E849F4"/>
    <w:rsid w:val="00E84F4D"/>
    <w:rsid w:val="00E850EF"/>
    <w:rsid w:val="00E85936"/>
    <w:rsid w:val="00E86367"/>
    <w:rsid w:val="00E8658C"/>
    <w:rsid w:val="00E867DD"/>
    <w:rsid w:val="00E86952"/>
    <w:rsid w:val="00E86A18"/>
    <w:rsid w:val="00E86BAB"/>
    <w:rsid w:val="00E86E6E"/>
    <w:rsid w:val="00E87224"/>
    <w:rsid w:val="00E87394"/>
    <w:rsid w:val="00E87445"/>
    <w:rsid w:val="00E87616"/>
    <w:rsid w:val="00E87A3F"/>
    <w:rsid w:val="00E87DD3"/>
    <w:rsid w:val="00E90325"/>
    <w:rsid w:val="00E90334"/>
    <w:rsid w:val="00E9086A"/>
    <w:rsid w:val="00E91075"/>
    <w:rsid w:val="00E91141"/>
    <w:rsid w:val="00E9150A"/>
    <w:rsid w:val="00E915AD"/>
    <w:rsid w:val="00E91A11"/>
    <w:rsid w:val="00E91ADD"/>
    <w:rsid w:val="00E9206B"/>
    <w:rsid w:val="00E92908"/>
    <w:rsid w:val="00E93200"/>
    <w:rsid w:val="00E9330C"/>
    <w:rsid w:val="00E9423B"/>
    <w:rsid w:val="00E944BF"/>
    <w:rsid w:val="00E94BAC"/>
    <w:rsid w:val="00E94FB2"/>
    <w:rsid w:val="00E95043"/>
    <w:rsid w:val="00E95418"/>
    <w:rsid w:val="00E95766"/>
    <w:rsid w:val="00E95B00"/>
    <w:rsid w:val="00E96BE3"/>
    <w:rsid w:val="00E96EE3"/>
    <w:rsid w:val="00E96F54"/>
    <w:rsid w:val="00E97035"/>
    <w:rsid w:val="00E9715F"/>
    <w:rsid w:val="00E974ED"/>
    <w:rsid w:val="00E97CF6"/>
    <w:rsid w:val="00E97E5E"/>
    <w:rsid w:val="00EA0A3D"/>
    <w:rsid w:val="00EA1141"/>
    <w:rsid w:val="00EA12F4"/>
    <w:rsid w:val="00EA1403"/>
    <w:rsid w:val="00EA1574"/>
    <w:rsid w:val="00EA157C"/>
    <w:rsid w:val="00EA1855"/>
    <w:rsid w:val="00EA19E1"/>
    <w:rsid w:val="00EA1B24"/>
    <w:rsid w:val="00EA1C21"/>
    <w:rsid w:val="00EA1F1B"/>
    <w:rsid w:val="00EA1F91"/>
    <w:rsid w:val="00EA1FAB"/>
    <w:rsid w:val="00EA2360"/>
    <w:rsid w:val="00EA23EB"/>
    <w:rsid w:val="00EA2A33"/>
    <w:rsid w:val="00EA2DA9"/>
    <w:rsid w:val="00EA2EB0"/>
    <w:rsid w:val="00EA3394"/>
    <w:rsid w:val="00EA3556"/>
    <w:rsid w:val="00EA3A3F"/>
    <w:rsid w:val="00EA3A58"/>
    <w:rsid w:val="00EA435F"/>
    <w:rsid w:val="00EA443C"/>
    <w:rsid w:val="00EA4BF8"/>
    <w:rsid w:val="00EA506B"/>
    <w:rsid w:val="00EA55D5"/>
    <w:rsid w:val="00EA5737"/>
    <w:rsid w:val="00EA5DE3"/>
    <w:rsid w:val="00EA62F9"/>
    <w:rsid w:val="00EA6491"/>
    <w:rsid w:val="00EA680F"/>
    <w:rsid w:val="00EA6AB8"/>
    <w:rsid w:val="00EA6AD5"/>
    <w:rsid w:val="00EA6C7F"/>
    <w:rsid w:val="00EA6E76"/>
    <w:rsid w:val="00EA7671"/>
    <w:rsid w:val="00EB016D"/>
    <w:rsid w:val="00EB06C0"/>
    <w:rsid w:val="00EB0C45"/>
    <w:rsid w:val="00EB17BF"/>
    <w:rsid w:val="00EB1A5D"/>
    <w:rsid w:val="00EB2729"/>
    <w:rsid w:val="00EB2926"/>
    <w:rsid w:val="00EB2B29"/>
    <w:rsid w:val="00EB2CA0"/>
    <w:rsid w:val="00EB3060"/>
    <w:rsid w:val="00EB3832"/>
    <w:rsid w:val="00EB403C"/>
    <w:rsid w:val="00EB4550"/>
    <w:rsid w:val="00EB4A30"/>
    <w:rsid w:val="00EB4AB6"/>
    <w:rsid w:val="00EB4C2A"/>
    <w:rsid w:val="00EB4F94"/>
    <w:rsid w:val="00EB5437"/>
    <w:rsid w:val="00EB5554"/>
    <w:rsid w:val="00EB5563"/>
    <w:rsid w:val="00EB5BCB"/>
    <w:rsid w:val="00EB5F66"/>
    <w:rsid w:val="00EB6193"/>
    <w:rsid w:val="00EB6416"/>
    <w:rsid w:val="00EB64A4"/>
    <w:rsid w:val="00EB67E1"/>
    <w:rsid w:val="00EB6B6D"/>
    <w:rsid w:val="00EB6CB1"/>
    <w:rsid w:val="00EB7257"/>
    <w:rsid w:val="00EB725D"/>
    <w:rsid w:val="00EB7790"/>
    <w:rsid w:val="00EB7A91"/>
    <w:rsid w:val="00EC0192"/>
    <w:rsid w:val="00EC08DD"/>
    <w:rsid w:val="00EC0A42"/>
    <w:rsid w:val="00EC0D64"/>
    <w:rsid w:val="00EC0DCC"/>
    <w:rsid w:val="00EC1183"/>
    <w:rsid w:val="00EC190E"/>
    <w:rsid w:val="00EC1DDD"/>
    <w:rsid w:val="00EC23E4"/>
    <w:rsid w:val="00EC2CAF"/>
    <w:rsid w:val="00EC2D51"/>
    <w:rsid w:val="00EC2FE6"/>
    <w:rsid w:val="00EC3118"/>
    <w:rsid w:val="00EC3754"/>
    <w:rsid w:val="00EC3A17"/>
    <w:rsid w:val="00EC40B8"/>
    <w:rsid w:val="00EC44CC"/>
    <w:rsid w:val="00EC477B"/>
    <w:rsid w:val="00EC517E"/>
    <w:rsid w:val="00EC5869"/>
    <w:rsid w:val="00EC595A"/>
    <w:rsid w:val="00EC599C"/>
    <w:rsid w:val="00EC6667"/>
    <w:rsid w:val="00EC6D47"/>
    <w:rsid w:val="00EC7145"/>
    <w:rsid w:val="00EC745A"/>
    <w:rsid w:val="00EC7895"/>
    <w:rsid w:val="00EC799A"/>
    <w:rsid w:val="00EC7A72"/>
    <w:rsid w:val="00EC7C0F"/>
    <w:rsid w:val="00EC7FC5"/>
    <w:rsid w:val="00ED0252"/>
    <w:rsid w:val="00ED0588"/>
    <w:rsid w:val="00ED0789"/>
    <w:rsid w:val="00ED09C6"/>
    <w:rsid w:val="00ED0CF9"/>
    <w:rsid w:val="00ED0E98"/>
    <w:rsid w:val="00ED12FD"/>
    <w:rsid w:val="00ED1471"/>
    <w:rsid w:val="00ED1AE9"/>
    <w:rsid w:val="00ED2384"/>
    <w:rsid w:val="00ED2564"/>
    <w:rsid w:val="00ED267A"/>
    <w:rsid w:val="00ED2D99"/>
    <w:rsid w:val="00ED2F07"/>
    <w:rsid w:val="00ED30EC"/>
    <w:rsid w:val="00ED31FF"/>
    <w:rsid w:val="00ED34D7"/>
    <w:rsid w:val="00ED3A70"/>
    <w:rsid w:val="00ED3CA3"/>
    <w:rsid w:val="00ED3E52"/>
    <w:rsid w:val="00ED412C"/>
    <w:rsid w:val="00ED4295"/>
    <w:rsid w:val="00ED4317"/>
    <w:rsid w:val="00ED491A"/>
    <w:rsid w:val="00ED4B2A"/>
    <w:rsid w:val="00ED4DAA"/>
    <w:rsid w:val="00ED4DD1"/>
    <w:rsid w:val="00ED50F4"/>
    <w:rsid w:val="00ED5B1B"/>
    <w:rsid w:val="00ED5B1C"/>
    <w:rsid w:val="00ED6034"/>
    <w:rsid w:val="00ED61E8"/>
    <w:rsid w:val="00ED62E3"/>
    <w:rsid w:val="00ED65D4"/>
    <w:rsid w:val="00ED6716"/>
    <w:rsid w:val="00ED68BC"/>
    <w:rsid w:val="00ED6A24"/>
    <w:rsid w:val="00ED6C23"/>
    <w:rsid w:val="00ED75DF"/>
    <w:rsid w:val="00EE0092"/>
    <w:rsid w:val="00EE05E2"/>
    <w:rsid w:val="00EE07E6"/>
    <w:rsid w:val="00EE0B68"/>
    <w:rsid w:val="00EE1404"/>
    <w:rsid w:val="00EE16D9"/>
    <w:rsid w:val="00EE1F4F"/>
    <w:rsid w:val="00EE2772"/>
    <w:rsid w:val="00EE28C6"/>
    <w:rsid w:val="00EE292B"/>
    <w:rsid w:val="00EE2AA2"/>
    <w:rsid w:val="00EE30EF"/>
    <w:rsid w:val="00EE32C4"/>
    <w:rsid w:val="00EE342B"/>
    <w:rsid w:val="00EE3D54"/>
    <w:rsid w:val="00EE453C"/>
    <w:rsid w:val="00EE4682"/>
    <w:rsid w:val="00EE4B0F"/>
    <w:rsid w:val="00EE4B4D"/>
    <w:rsid w:val="00EE51F0"/>
    <w:rsid w:val="00EE544A"/>
    <w:rsid w:val="00EE5A2C"/>
    <w:rsid w:val="00EE5B19"/>
    <w:rsid w:val="00EE5F21"/>
    <w:rsid w:val="00EE5F70"/>
    <w:rsid w:val="00EE5FD1"/>
    <w:rsid w:val="00EE6299"/>
    <w:rsid w:val="00EE64F3"/>
    <w:rsid w:val="00EE65AF"/>
    <w:rsid w:val="00EE6C4D"/>
    <w:rsid w:val="00EE6DE8"/>
    <w:rsid w:val="00EE6F1E"/>
    <w:rsid w:val="00EE7027"/>
    <w:rsid w:val="00EE71BA"/>
    <w:rsid w:val="00EE7273"/>
    <w:rsid w:val="00EE730C"/>
    <w:rsid w:val="00EE775F"/>
    <w:rsid w:val="00EE7871"/>
    <w:rsid w:val="00EE7C45"/>
    <w:rsid w:val="00EE7FC2"/>
    <w:rsid w:val="00EF06D7"/>
    <w:rsid w:val="00EF06EE"/>
    <w:rsid w:val="00EF0971"/>
    <w:rsid w:val="00EF18ED"/>
    <w:rsid w:val="00EF253B"/>
    <w:rsid w:val="00EF2D81"/>
    <w:rsid w:val="00EF2DA6"/>
    <w:rsid w:val="00EF2DDF"/>
    <w:rsid w:val="00EF2FF2"/>
    <w:rsid w:val="00EF3D99"/>
    <w:rsid w:val="00EF40E3"/>
    <w:rsid w:val="00EF41BF"/>
    <w:rsid w:val="00EF4475"/>
    <w:rsid w:val="00EF5126"/>
    <w:rsid w:val="00EF5746"/>
    <w:rsid w:val="00EF591A"/>
    <w:rsid w:val="00EF5961"/>
    <w:rsid w:val="00EF5BB5"/>
    <w:rsid w:val="00EF5F5F"/>
    <w:rsid w:val="00EF61BE"/>
    <w:rsid w:val="00EF6716"/>
    <w:rsid w:val="00EF6720"/>
    <w:rsid w:val="00EF6764"/>
    <w:rsid w:val="00EF67D2"/>
    <w:rsid w:val="00EF6AB0"/>
    <w:rsid w:val="00EF6D70"/>
    <w:rsid w:val="00EF72F8"/>
    <w:rsid w:val="00EF74EE"/>
    <w:rsid w:val="00EF7593"/>
    <w:rsid w:val="00EF763D"/>
    <w:rsid w:val="00EF7686"/>
    <w:rsid w:val="00EF79E3"/>
    <w:rsid w:val="00EF7A56"/>
    <w:rsid w:val="00F006DF"/>
    <w:rsid w:val="00F0086D"/>
    <w:rsid w:val="00F00A41"/>
    <w:rsid w:val="00F00BFA"/>
    <w:rsid w:val="00F01221"/>
    <w:rsid w:val="00F01857"/>
    <w:rsid w:val="00F018FF"/>
    <w:rsid w:val="00F01B69"/>
    <w:rsid w:val="00F020E1"/>
    <w:rsid w:val="00F02AC9"/>
    <w:rsid w:val="00F03183"/>
    <w:rsid w:val="00F031E9"/>
    <w:rsid w:val="00F03B22"/>
    <w:rsid w:val="00F0409C"/>
    <w:rsid w:val="00F040EB"/>
    <w:rsid w:val="00F04333"/>
    <w:rsid w:val="00F04501"/>
    <w:rsid w:val="00F049EF"/>
    <w:rsid w:val="00F04AAE"/>
    <w:rsid w:val="00F04B30"/>
    <w:rsid w:val="00F04CF2"/>
    <w:rsid w:val="00F04F5C"/>
    <w:rsid w:val="00F05388"/>
    <w:rsid w:val="00F053E4"/>
    <w:rsid w:val="00F0549A"/>
    <w:rsid w:val="00F058F8"/>
    <w:rsid w:val="00F05ED5"/>
    <w:rsid w:val="00F06C76"/>
    <w:rsid w:val="00F07728"/>
    <w:rsid w:val="00F07B11"/>
    <w:rsid w:val="00F07BB2"/>
    <w:rsid w:val="00F07D1D"/>
    <w:rsid w:val="00F102C0"/>
    <w:rsid w:val="00F1034F"/>
    <w:rsid w:val="00F104C4"/>
    <w:rsid w:val="00F10598"/>
    <w:rsid w:val="00F10D03"/>
    <w:rsid w:val="00F10DCD"/>
    <w:rsid w:val="00F11064"/>
    <w:rsid w:val="00F114B1"/>
    <w:rsid w:val="00F115F6"/>
    <w:rsid w:val="00F11792"/>
    <w:rsid w:val="00F11B10"/>
    <w:rsid w:val="00F11D0C"/>
    <w:rsid w:val="00F12738"/>
    <w:rsid w:val="00F12791"/>
    <w:rsid w:val="00F12B5C"/>
    <w:rsid w:val="00F12CD9"/>
    <w:rsid w:val="00F12D5E"/>
    <w:rsid w:val="00F13463"/>
    <w:rsid w:val="00F135C4"/>
    <w:rsid w:val="00F13856"/>
    <w:rsid w:val="00F13872"/>
    <w:rsid w:val="00F13AD3"/>
    <w:rsid w:val="00F1444D"/>
    <w:rsid w:val="00F14A57"/>
    <w:rsid w:val="00F14ED2"/>
    <w:rsid w:val="00F15037"/>
    <w:rsid w:val="00F15268"/>
    <w:rsid w:val="00F1527F"/>
    <w:rsid w:val="00F15B24"/>
    <w:rsid w:val="00F15CD0"/>
    <w:rsid w:val="00F1618A"/>
    <w:rsid w:val="00F164EC"/>
    <w:rsid w:val="00F1680D"/>
    <w:rsid w:val="00F16AA3"/>
    <w:rsid w:val="00F16C1C"/>
    <w:rsid w:val="00F16D06"/>
    <w:rsid w:val="00F1745E"/>
    <w:rsid w:val="00F17B75"/>
    <w:rsid w:val="00F2013E"/>
    <w:rsid w:val="00F203E7"/>
    <w:rsid w:val="00F204F6"/>
    <w:rsid w:val="00F20733"/>
    <w:rsid w:val="00F208AD"/>
    <w:rsid w:val="00F209F3"/>
    <w:rsid w:val="00F20C3A"/>
    <w:rsid w:val="00F20D19"/>
    <w:rsid w:val="00F2131D"/>
    <w:rsid w:val="00F215FA"/>
    <w:rsid w:val="00F216CB"/>
    <w:rsid w:val="00F21892"/>
    <w:rsid w:val="00F21EEF"/>
    <w:rsid w:val="00F222B4"/>
    <w:rsid w:val="00F22BDB"/>
    <w:rsid w:val="00F2324B"/>
    <w:rsid w:val="00F23536"/>
    <w:rsid w:val="00F23B35"/>
    <w:rsid w:val="00F23EDD"/>
    <w:rsid w:val="00F241F7"/>
    <w:rsid w:val="00F24276"/>
    <w:rsid w:val="00F24372"/>
    <w:rsid w:val="00F24A5A"/>
    <w:rsid w:val="00F25013"/>
    <w:rsid w:val="00F251EA"/>
    <w:rsid w:val="00F25383"/>
    <w:rsid w:val="00F260B9"/>
    <w:rsid w:val="00F261EF"/>
    <w:rsid w:val="00F264D1"/>
    <w:rsid w:val="00F26929"/>
    <w:rsid w:val="00F269F0"/>
    <w:rsid w:val="00F26E9A"/>
    <w:rsid w:val="00F27A5F"/>
    <w:rsid w:val="00F30038"/>
    <w:rsid w:val="00F30CA7"/>
    <w:rsid w:val="00F30EB7"/>
    <w:rsid w:val="00F30F43"/>
    <w:rsid w:val="00F310A4"/>
    <w:rsid w:val="00F31819"/>
    <w:rsid w:val="00F318C3"/>
    <w:rsid w:val="00F31E6D"/>
    <w:rsid w:val="00F31EAB"/>
    <w:rsid w:val="00F320FD"/>
    <w:rsid w:val="00F329D5"/>
    <w:rsid w:val="00F32BC8"/>
    <w:rsid w:val="00F32D7E"/>
    <w:rsid w:val="00F32EC6"/>
    <w:rsid w:val="00F33008"/>
    <w:rsid w:val="00F33216"/>
    <w:rsid w:val="00F33230"/>
    <w:rsid w:val="00F3360F"/>
    <w:rsid w:val="00F33680"/>
    <w:rsid w:val="00F33877"/>
    <w:rsid w:val="00F338C4"/>
    <w:rsid w:val="00F341FC"/>
    <w:rsid w:val="00F34325"/>
    <w:rsid w:val="00F34562"/>
    <w:rsid w:val="00F34F62"/>
    <w:rsid w:val="00F362FE"/>
    <w:rsid w:val="00F366BA"/>
    <w:rsid w:val="00F3770C"/>
    <w:rsid w:val="00F37D28"/>
    <w:rsid w:val="00F406C0"/>
    <w:rsid w:val="00F40945"/>
    <w:rsid w:val="00F40FAB"/>
    <w:rsid w:val="00F419DB"/>
    <w:rsid w:val="00F41B7E"/>
    <w:rsid w:val="00F41D41"/>
    <w:rsid w:val="00F42147"/>
    <w:rsid w:val="00F4270D"/>
    <w:rsid w:val="00F42A46"/>
    <w:rsid w:val="00F42A9A"/>
    <w:rsid w:val="00F42C2A"/>
    <w:rsid w:val="00F42EE7"/>
    <w:rsid w:val="00F42FA1"/>
    <w:rsid w:val="00F430E6"/>
    <w:rsid w:val="00F43425"/>
    <w:rsid w:val="00F436E0"/>
    <w:rsid w:val="00F439E2"/>
    <w:rsid w:val="00F44229"/>
    <w:rsid w:val="00F4482F"/>
    <w:rsid w:val="00F44CAD"/>
    <w:rsid w:val="00F45183"/>
    <w:rsid w:val="00F452D6"/>
    <w:rsid w:val="00F457B9"/>
    <w:rsid w:val="00F45950"/>
    <w:rsid w:val="00F464EB"/>
    <w:rsid w:val="00F469DA"/>
    <w:rsid w:val="00F46DEF"/>
    <w:rsid w:val="00F46E7E"/>
    <w:rsid w:val="00F471EA"/>
    <w:rsid w:val="00F474AA"/>
    <w:rsid w:val="00F47AEA"/>
    <w:rsid w:val="00F47DAC"/>
    <w:rsid w:val="00F47ED4"/>
    <w:rsid w:val="00F47FCD"/>
    <w:rsid w:val="00F500C9"/>
    <w:rsid w:val="00F502B0"/>
    <w:rsid w:val="00F505B4"/>
    <w:rsid w:val="00F508DA"/>
    <w:rsid w:val="00F5092D"/>
    <w:rsid w:val="00F5093B"/>
    <w:rsid w:val="00F50BE7"/>
    <w:rsid w:val="00F50E37"/>
    <w:rsid w:val="00F50EAE"/>
    <w:rsid w:val="00F520C3"/>
    <w:rsid w:val="00F52289"/>
    <w:rsid w:val="00F5268B"/>
    <w:rsid w:val="00F52719"/>
    <w:rsid w:val="00F529AF"/>
    <w:rsid w:val="00F52C91"/>
    <w:rsid w:val="00F52C97"/>
    <w:rsid w:val="00F5316A"/>
    <w:rsid w:val="00F535A8"/>
    <w:rsid w:val="00F53668"/>
    <w:rsid w:val="00F53697"/>
    <w:rsid w:val="00F53E14"/>
    <w:rsid w:val="00F54071"/>
    <w:rsid w:val="00F54419"/>
    <w:rsid w:val="00F547C6"/>
    <w:rsid w:val="00F552AE"/>
    <w:rsid w:val="00F552B2"/>
    <w:rsid w:val="00F554C4"/>
    <w:rsid w:val="00F5570D"/>
    <w:rsid w:val="00F55736"/>
    <w:rsid w:val="00F55878"/>
    <w:rsid w:val="00F55ECC"/>
    <w:rsid w:val="00F55F53"/>
    <w:rsid w:val="00F56178"/>
    <w:rsid w:val="00F56419"/>
    <w:rsid w:val="00F5664B"/>
    <w:rsid w:val="00F56ADB"/>
    <w:rsid w:val="00F56D7C"/>
    <w:rsid w:val="00F56F78"/>
    <w:rsid w:val="00F56FAD"/>
    <w:rsid w:val="00F57007"/>
    <w:rsid w:val="00F570F8"/>
    <w:rsid w:val="00F571CD"/>
    <w:rsid w:val="00F572A4"/>
    <w:rsid w:val="00F5736C"/>
    <w:rsid w:val="00F57A3A"/>
    <w:rsid w:val="00F57C73"/>
    <w:rsid w:val="00F57CDA"/>
    <w:rsid w:val="00F603EF"/>
    <w:rsid w:val="00F609E2"/>
    <w:rsid w:val="00F60A35"/>
    <w:rsid w:val="00F60C7D"/>
    <w:rsid w:val="00F6150E"/>
    <w:rsid w:val="00F6151C"/>
    <w:rsid w:val="00F618CE"/>
    <w:rsid w:val="00F61B69"/>
    <w:rsid w:val="00F61E01"/>
    <w:rsid w:val="00F61E1F"/>
    <w:rsid w:val="00F622C7"/>
    <w:rsid w:val="00F6246A"/>
    <w:rsid w:val="00F62597"/>
    <w:rsid w:val="00F62832"/>
    <w:rsid w:val="00F62A7B"/>
    <w:rsid w:val="00F631A4"/>
    <w:rsid w:val="00F634BD"/>
    <w:rsid w:val="00F63BA7"/>
    <w:rsid w:val="00F647F5"/>
    <w:rsid w:val="00F64AB1"/>
    <w:rsid w:val="00F64ADB"/>
    <w:rsid w:val="00F64FFB"/>
    <w:rsid w:val="00F657A1"/>
    <w:rsid w:val="00F65837"/>
    <w:rsid w:val="00F65C33"/>
    <w:rsid w:val="00F66080"/>
    <w:rsid w:val="00F66111"/>
    <w:rsid w:val="00F6621D"/>
    <w:rsid w:val="00F666B5"/>
    <w:rsid w:val="00F66928"/>
    <w:rsid w:val="00F66AA4"/>
    <w:rsid w:val="00F66AC3"/>
    <w:rsid w:val="00F66CB9"/>
    <w:rsid w:val="00F67041"/>
    <w:rsid w:val="00F67068"/>
    <w:rsid w:val="00F67F84"/>
    <w:rsid w:val="00F70098"/>
    <w:rsid w:val="00F70CE1"/>
    <w:rsid w:val="00F70D96"/>
    <w:rsid w:val="00F70DBF"/>
    <w:rsid w:val="00F70EE2"/>
    <w:rsid w:val="00F71684"/>
    <w:rsid w:val="00F71BA8"/>
    <w:rsid w:val="00F71C1F"/>
    <w:rsid w:val="00F71E89"/>
    <w:rsid w:val="00F71F7E"/>
    <w:rsid w:val="00F72481"/>
    <w:rsid w:val="00F72753"/>
    <w:rsid w:val="00F72A13"/>
    <w:rsid w:val="00F72B8A"/>
    <w:rsid w:val="00F731C8"/>
    <w:rsid w:val="00F7329B"/>
    <w:rsid w:val="00F732DE"/>
    <w:rsid w:val="00F736A0"/>
    <w:rsid w:val="00F737AC"/>
    <w:rsid w:val="00F73D2B"/>
    <w:rsid w:val="00F73DF0"/>
    <w:rsid w:val="00F7441E"/>
    <w:rsid w:val="00F74D3D"/>
    <w:rsid w:val="00F7516A"/>
    <w:rsid w:val="00F75CFA"/>
    <w:rsid w:val="00F75DCF"/>
    <w:rsid w:val="00F75E23"/>
    <w:rsid w:val="00F75F9A"/>
    <w:rsid w:val="00F75FCE"/>
    <w:rsid w:val="00F763E5"/>
    <w:rsid w:val="00F76424"/>
    <w:rsid w:val="00F76681"/>
    <w:rsid w:val="00F769AF"/>
    <w:rsid w:val="00F76AC4"/>
    <w:rsid w:val="00F76BE8"/>
    <w:rsid w:val="00F7775E"/>
    <w:rsid w:val="00F7785C"/>
    <w:rsid w:val="00F77867"/>
    <w:rsid w:val="00F77942"/>
    <w:rsid w:val="00F77BFD"/>
    <w:rsid w:val="00F77FB9"/>
    <w:rsid w:val="00F8040A"/>
    <w:rsid w:val="00F80A3F"/>
    <w:rsid w:val="00F80A93"/>
    <w:rsid w:val="00F80E16"/>
    <w:rsid w:val="00F80E2D"/>
    <w:rsid w:val="00F81789"/>
    <w:rsid w:val="00F818B1"/>
    <w:rsid w:val="00F81BE9"/>
    <w:rsid w:val="00F82159"/>
    <w:rsid w:val="00F822D1"/>
    <w:rsid w:val="00F824E5"/>
    <w:rsid w:val="00F8282C"/>
    <w:rsid w:val="00F82D2F"/>
    <w:rsid w:val="00F82E4C"/>
    <w:rsid w:val="00F83581"/>
    <w:rsid w:val="00F83600"/>
    <w:rsid w:val="00F837F0"/>
    <w:rsid w:val="00F83B22"/>
    <w:rsid w:val="00F849C7"/>
    <w:rsid w:val="00F84F17"/>
    <w:rsid w:val="00F84FA8"/>
    <w:rsid w:val="00F85634"/>
    <w:rsid w:val="00F85979"/>
    <w:rsid w:val="00F85A00"/>
    <w:rsid w:val="00F864A0"/>
    <w:rsid w:val="00F865B9"/>
    <w:rsid w:val="00F867B3"/>
    <w:rsid w:val="00F86CBF"/>
    <w:rsid w:val="00F86E3B"/>
    <w:rsid w:val="00F86F28"/>
    <w:rsid w:val="00F872F8"/>
    <w:rsid w:val="00F8786A"/>
    <w:rsid w:val="00F8791E"/>
    <w:rsid w:val="00F87ABC"/>
    <w:rsid w:val="00F90237"/>
    <w:rsid w:val="00F904D6"/>
    <w:rsid w:val="00F90901"/>
    <w:rsid w:val="00F90C0A"/>
    <w:rsid w:val="00F91060"/>
    <w:rsid w:val="00F91196"/>
    <w:rsid w:val="00F912F8"/>
    <w:rsid w:val="00F913A2"/>
    <w:rsid w:val="00F91780"/>
    <w:rsid w:val="00F919AC"/>
    <w:rsid w:val="00F91A09"/>
    <w:rsid w:val="00F91C91"/>
    <w:rsid w:val="00F91D9A"/>
    <w:rsid w:val="00F91DDE"/>
    <w:rsid w:val="00F92192"/>
    <w:rsid w:val="00F923C0"/>
    <w:rsid w:val="00F92B3B"/>
    <w:rsid w:val="00F93064"/>
    <w:rsid w:val="00F93AEB"/>
    <w:rsid w:val="00F93C93"/>
    <w:rsid w:val="00F93D30"/>
    <w:rsid w:val="00F93F3E"/>
    <w:rsid w:val="00F93F72"/>
    <w:rsid w:val="00F94266"/>
    <w:rsid w:val="00F9450B"/>
    <w:rsid w:val="00F95093"/>
    <w:rsid w:val="00F951B7"/>
    <w:rsid w:val="00F9583C"/>
    <w:rsid w:val="00F95887"/>
    <w:rsid w:val="00F961AB"/>
    <w:rsid w:val="00F9623A"/>
    <w:rsid w:val="00F96BF1"/>
    <w:rsid w:val="00F96C36"/>
    <w:rsid w:val="00F96CC2"/>
    <w:rsid w:val="00F97613"/>
    <w:rsid w:val="00F97F79"/>
    <w:rsid w:val="00FA0383"/>
    <w:rsid w:val="00FA08B2"/>
    <w:rsid w:val="00FA093B"/>
    <w:rsid w:val="00FA0D33"/>
    <w:rsid w:val="00FA0D7A"/>
    <w:rsid w:val="00FA12D4"/>
    <w:rsid w:val="00FA1529"/>
    <w:rsid w:val="00FA1594"/>
    <w:rsid w:val="00FA1B9E"/>
    <w:rsid w:val="00FA1ED9"/>
    <w:rsid w:val="00FA216E"/>
    <w:rsid w:val="00FA2A0F"/>
    <w:rsid w:val="00FA2CA0"/>
    <w:rsid w:val="00FA3049"/>
    <w:rsid w:val="00FA3173"/>
    <w:rsid w:val="00FA31CD"/>
    <w:rsid w:val="00FA355F"/>
    <w:rsid w:val="00FA3654"/>
    <w:rsid w:val="00FA387E"/>
    <w:rsid w:val="00FA3F00"/>
    <w:rsid w:val="00FA3F10"/>
    <w:rsid w:val="00FA528E"/>
    <w:rsid w:val="00FA5323"/>
    <w:rsid w:val="00FA54E6"/>
    <w:rsid w:val="00FA5B26"/>
    <w:rsid w:val="00FA5CD7"/>
    <w:rsid w:val="00FA6B8A"/>
    <w:rsid w:val="00FA6DAE"/>
    <w:rsid w:val="00FA6E5B"/>
    <w:rsid w:val="00FA719A"/>
    <w:rsid w:val="00FA71ED"/>
    <w:rsid w:val="00FA7372"/>
    <w:rsid w:val="00FB0155"/>
    <w:rsid w:val="00FB01BE"/>
    <w:rsid w:val="00FB03EE"/>
    <w:rsid w:val="00FB0780"/>
    <w:rsid w:val="00FB0867"/>
    <w:rsid w:val="00FB08EC"/>
    <w:rsid w:val="00FB0A34"/>
    <w:rsid w:val="00FB0D4F"/>
    <w:rsid w:val="00FB10CB"/>
    <w:rsid w:val="00FB1523"/>
    <w:rsid w:val="00FB16EC"/>
    <w:rsid w:val="00FB1753"/>
    <w:rsid w:val="00FB1E85"/>
    <w:rsid w:val="00FB2A6C"/>
    <w:rsid w:val="00FB36EB"/>
    <w:rsid w:val="00FB3CDD"/>
    <w:rsid w:val="00FB3E81"/>
    <w:rsid w:val="00FB4F25"/>
    <w:rsid w:val="00FB4FD2"/>
    <w:rsid w:val="00FB5D04"/>
    <w:rsid w:val="00FB6A1E"/>
    <w:rsid w:val="00FB6BA6"/>
    <w:rsid w:val="00FB6D49"/>
    <w:rsid w:val="00FB70C7"/>
    <w:rsid w:val="00FB7949"/>
    <w:rsid w:val="00FB7EB0"/>
    <w:rsid w:val="00FC04A6"/>
    <w:rsid w:val="00FC0501"/>
    <w:rsid w:val="00FC0D08"/>
    <w:rsid w:val="00FC155D"/>
    <w:rsid w:val="00FC1BD8"/>
    <w:rsid w:val="00FC1FFC"/>
    <w:rsid w:val="00FC2004"/>
    <w:rsid w:val="00FC274B"/>
    <w:rsid w:val="00FC284B"/>
    <w:rsid w:val="00FC2F69"/>
    <w:rsid w:val="00FC325E"/>
    <w:rsid w:val="00FC34C5"/>
    <w:rsid w:val="00FC386D"/>
    <w:rsid w:val="00FC3BDC"/>
    <w:rsid w:val="00FC4359"/>
    <w:rsid w:val="00FC43CB"/>
    <w:rsid w:val="00FC4501"/>
    <w:rsid w:val="00FC4CA1"/>
    <w:rsid w:val="00FC5059"/>
    <w:rsid w:val="00FC50A4"/>
    <w:rsid w:val="00FC513B"/>
    <w:rsid w:val="00FC51E8"/>
    <w:rsid w:val="00FC58BE"/>
    <w:rsid w:val="00FC5B2A"/>
    <w:rsid w:val="00FC5C9A"/>
    <w:rsid w:val="00FC6007"/>
    <w:rsid w:val="00FC682A"/>
    <w:rsid w:val="00FC691C"/>
    <w:rsid w:val="00FC6AFB"/>
    <w:rsid w:val="00FC6F12"/>
    <w:rsid w:val="00FC6F28"/>
    <w:rsid w:val="00FC7384"/>
    <w:rsid w:val="00FC771D"/>
    <w:rsid w:val="00FC78B6"/>
    <w:rsid w:val="00FC7A9F"/>
    <w:rsid w:val="00FC7AE4"/>
    <w:rsid w:val="00FD079E"/>
    <w:rsid w:val="00FD09BF"/>
    <w:rsid w:val="00FD0C27"/>
    <w:rsid w:val="00FD0EA5"/>
    <w:rsid w:val="00FD1510"/>
    <w:rsid w:val="00FD1546"/>
    <w:rsid w:val="00FD154A"/>
    <w:rsid w:val="00FD18A6"/>
    <w:rsid w:val="00FD1CA1"/>
    <w:rsid w:val="00FD1CE9"/>
    <w:rsid w:val="00FD1DAA"/>
    <w:rsid w:val="00FD1F32"/>
    <w:rsid w:val="00FD1F3F"/>
    <w:rsid w:val="00FD2345"/>
    <w:rsid w:val="00FD23AA"/>
    <w:rsid w:val="00FD2801"/>
    <w:rsid w:val="00FD2A59"/>
    <w:rsid w:val="00FD2A86"/>
    <w:rsid w:val="00FD2B3A"/>
    <w:rsid w:val="00FD2BC1"/>
    <w:rsid w:val="00FD2C17"/>
    <w:rsid w:val="00FD2CC4"/>
    <w:rsid w:val="00FD309F"/>
    <w:rsid w:val="00FD3259"/>
    <w:rsid w:val="00FD341A"/>
    <w:rsid w:val="00FD3718"/>
    <w:rsid w:val="00FD3A4E"/>
    <w:rsid w:val="00FD3C84"/>
    <w:rsid w:val="00FD3F3E"/>
    <w:rsid w:val="00FD4B29"/>
    <w:rsid w:val="00FD4E73"/>
    <w:rsid w:val="00FD4F62"/>
    <w:rsid w:val="00FD4F69"/>
    <w:rsid w:val="00FD5724"/>
    <w:rsid w:val="00FD6241"/>
    <w:rsid w:val="00FD64A8"/>
    <w:rsid w:val="00FD6A78"/>
    <w:rsid w:val="00FD6B1D"/>
    <w:rsid w:val="00FD6FFE"/>
    <w:rsid w:val="00FD7932"/>
    <w:rsid w:val="00FD7AAF"/>
    <w:rsid w:val="00FD7CBD"/>
    <w:rsid w:val="00FE0157"/>
    <w:rsid w:val="00FE0694"/>
    <w:rsid w:val="00FE0949"/>
    <w:rsid w:val="00FE0BE4"/>
    <w:rsid w:val="00FE0BEC"/>
    <w:rsid w:val="00FE0C65"/>
    <w:rsid w:val="00FE0FEC"/>
    <w:rsid w:val="00FE124D"/>
    <w:rsid w:val="00FE155E"/>
    <w:rsid w:val="00FE1D00"/>
    <w:rsid w:val="00FE204E"/>
    <w:rsid w:val="00FE3297"/>
    <w:rsid w:val="00FE38B5"/>
    <w:rsid w:val="00FE493F"/>
    <w:rsid w:val="00FE505D"/>
    <w:rsid w:val="00FE506D"/>
    <w:rsid w:val="00FE52F4"/>
    <w:rsid w:val="00FE5A8B"/>
    <w:rsid w:val="00FE6196"/>
    <w:rsid w:val="00FE6283"/>
    <w:rsid w:val="00FE67E8"/>
    <w:rsid w:val="00FE6B9D"/>
    <w:rsid w:val="00FE70F9"/>
    <w:rsid w:val="00FE7476"/>
    <w:rsid w:val="00FE77EF"/>
    <w:rsid w:val="00FE780A"/>
    <w:rsid w:val="00FE7949"/>
    <w:rsid w:val="00FE7D63"/>
    <w:rsid w:val="00FE7F03"/>
    <w:rsid w:val="00FF0D12"/>
    <w:rsid w:val="00FF10D4"/>
    <w:rsid w:val="00FF182B"/>
    <w:rsid w:val="00FF202E"/>
    <w:rsid w:val="00FF2206"/>
    <w:rsid w:val="00FF220B"/>
    <w:rsid w:val="00FF2646"/>
    <w:rsid w:val="00FF2744"/>
    <w:rsid w:val="00FF277C"/>
    <w:rsid w:val="00FF27DA"/>
    <w:rsid w:val="00FF28BD"/>
    <w:rsid w:val="00FF2C37"/>
    <w:rsid w:val="00FF2D88"/>
    <w:rsid w:val="00FF2DED"/>
    <w:rsid w:val="00FF3068"/>
    <w:rsid w:val="00FF3C60"/>
    <w:rsid w:val="00FF462A"/>
    <w:rsid w:val="00FF4B9C"/>
    <w:rsid w:val="00FF4E6F"/>
    <w:rsid w:val="00FF5090"/>
    <w:rsid w:val="00FF5A2E"/>
    <w:rsid w:val="00FF5C92"/>
    <w:rsid w:val="00FF5D92"/>
    <w:rsid w:val="00FF61A6"/>
    <w:rsid w:val="00FF6608"/>
    <w:rsid w:val="00FF674B"/>
    <w:rsid w:val="00FF68D5"/>
    <w:rsid w:val="00FF6BDF"/>
    <w:rsid w:val="00FF6C29"/>
    <w:rsid w:val="00FF6C44"/>
    <w:rsid w:val="00FF6C47"/>
    <w:rsid w:val="00FF6E68"/>
    <w:rsid w:val="00FF6ED3"/>
    <w:rsid w:val="00FF716B"/>
    <w:rsid w:val="00FF72D4"/>
    <w:rsid w:val="00FF74FE"/>
    <w:rsid w:val="00FF75F4"/>
    <w:rsid w:val="00FF77BF"/>
    <w:rsid w:val="00FF77DA"/>
    <w:rsid w:val="00FF78EE"/>
    <w:rsid w:val="00FF7A06"/>
    <w:rsid w:val="00FF7B5E"/>
    <w:rsid w:val="018E9B27"/>
    <w:rsid w:val="02120DE5"/>
    <w:rsid w:val="022DF53F"/>
    <w:rsid w:val="03FC27B5"/>
    <w:rsid w:val="045AE1F8"/>
    <w:rsid w:val="050441E2"/>
    <w:rsid w:val="06CE1990"/>
    <w:rsid w:val="07A0D75F"/>
    <w:rsid w:val="0834F0A4"/>
    <w:rsid w:val="088541CF"/>
    <w:rsid w:val="098CA698"/>
    <w:rsid w:val="0A56D939"/>
    <w:rsid w:val="0B0E5028"/>
    <w:rsid w:val="0B2F65CD"/>
    <w:rsid w:val="0CC58976"/>
    <w:rsid w:val="0D32EE0F"/>
    <w:rsid w:val="0D743D6A"/>
    <w:rsid w:val="0DC0F1D7"/>
    <w:rsid w:val="0FBCB3C7"/>
    <w:rsid w:val="10904320"/>
    <w:rsid w:val="10CE9BFA"/>
    <w:rsid w:val="11719A36"/>
    <w:rsid w:val="1269C404"/>
    <w:rsid w:val="12F04ABB"/>
    <w:rsid w:val="133A5793"/>
    <w:rsid w:val="13653167"/>
    <w:rsid w:val="1675A251"/>
    <w:rsid w:val="16FFFB25"/>
    <w:rsid w:val="188BCB15"/>
    <w:rsid w:val="1907EB6C"/>
    <w:rsid w:val="19D1E6CD"/>
    <w:rsid w:val="1A37DE9F"/>
    <w:rsid w:val="1B97B2D0"/>
    <w:rsid w:val="1BC981A9"/>
    <w:rsid w:val="1BD8BE46"/>
    <w:rsid w:val="1CD39CE1"/>
    <w:rsid w:val="1E19D974"/>
    <w:rsid w:val="1E9CCE83"/>
    <w:rsid w:val="20A2807C"/>
    <w:rsid w:val="22EF45F0"/>
    <w:rsid w:val="245FDD68"/>
    <w:rsid w:val="2516CD8D"/>
    <w:rsid w:val="25776669"/>
    <w:rsid w:val="27FB9085"/>
    <w:rsid w:val="29EFBF15"/>
    <w:rsid w:val="2A43E0C5"/>
    <w:rsid w:val="2A6589CC"/>
    <w:rsid w:val="2B95C104"/>
    <w:rsid w:val="2D5ED18A"/>
    <w:rsid w:val="2DED0A24"/>
    <w:rsid w:val="2E128212"/>
    <w:rsid w:val="2E501FA8"/>
    <w:rsid w:val="2ED368EE"/>
    <w:rsid w:val="2EE6081A"/>
    <w:rsid w:val="2F5D31BF"/>
    <w:rsid w:val="2F691E7A"/>
    <w:rsid w:val="30F5E753"/>
    <w:rsid w:val="330432F6"/>
    <w:rsid w:val="3403A860"/>
    <w:rsid w:val="346F52C1"/>
    <w:rsid w:val="349E0635"/>
    <w:rsid w:val="34C52B97"/>
    <w:rsid w:val="36C726F0"/>
    <w:rsid w:val="374A6AF1"/>
    <w:rsid w:val="380722B9"/>
    <w:rsid w:val="38857A8D"/>
    <w:rsid w:val="39FB30D5"/>
    <w:rsid w:val="3A7B195A"/>
    <w:rsid w:val="3BB435D1"/>
    <w:rsid w:val="3CF765C4"/>
    <w:rsid w:val="3D3B520E"/>
    <w:rsid w:val="3D9DDB73"/>
    <w:rsid w:val="3DBF0018"/>
    <w:rsid w:val="3FC04C0E"/>
    <w:rsid w:val="424BD231"/>
    <w:rsid w:val="431A872C"/>
    <w:rsid w:val="438E92DE"/>
    <w:rsid w:val="43A0134E"/>
    <w:rsid w:val="442D7455"/>
    <w:rsid w:val="4624AE85"/>
    <w:rsid w:val="47665A0B"/>
    <w:rsid w:val="486CDFAA"/>
    <w:rsid w:val="48CC094A"/>
    <w:rsid w:val="49C5D654"/>
    <w:rsid w:val="4A9EAE04"/>
    <w:rsid w:val="4BEE2D61"/>
    <w:rsid w:val="4C004DFC"/>
    <w:rsid w:val="4CD64ABC"/>
    <w:rsid w:val="4D12DCD3"/>
    <w:rsid w:val="4DBE2A9B"/>
    <w:rsid w:val="4E968ADA"/>
    <w:rsid w:val="4EB71960"/>
    <w:rsid w:val="4F48A207"/>
    <w:rsid w:val="51E782AB"/>
    <w:rsid w:val="52C94D76"/>
    <w:rsid w:val="52EB9CD7"/>
    <w:rsid w:val="53EF2B8B"/>
    <w:rsid w:val="5481CEB2"/>
    <w:rsid w:val="5499C7D6"/>
    <w:rsid w:val="54F53DD6"/>
    <w:rsid w:val="5888D68A"/>
    <w:rsid w:val="5A28E8E5"/>
    <w:rsid w:val="5D3440BD"/>
    <w:rsid w:val="5DEA8DF5"/>
    <w:rsid w:val="5E0D610C"/>
    <w:rsid w:val="5E6CB47B"/>
    <w:rsid w:val="5F2C73BF"/>
    <w:rsid w:val="600D246D"/>
    <w:rsid w:val="610D3578"/>
    <w:rsid w:val="61B70AF7"/>
    <w:rsid w:val="620D9651"/>
    <w:rsid w:val="62E30D70"/>
    <w:rsid w:val="63F4B649"/>
    <w:rsid w:val="645A8C31"/>
    <w:rsid w:val="645FD7A1"/>
    <w:rsid w:val="652776FD"/>
    <w:rsid w:val="66480366"/>
    <w:rsid w:val="671543CD"/>
    <w:rsid w:val="6796EAB6"/>
    <w:rsid w:val="6797DDC5"/>
    <w:rsid w:val="67C560DE"/>
    <w:rsid w:val="684F434E"/>
    <w:rsid w:val="6B73CA3F"/>
    <w:rsid w:val="6BBD4CAB"/>
    <w:rsid w:val="6E0D1890"/>
    <w:rsid w:val="6E29FF2A"/>
    <w:rsid w:val="6EB6B121"/>
    <w:rsid w:val="6F6155D1"/>
    <w:rsid w:val="70A84211"/>
    <w:rsid w:val="7146ADB9"/>
    <w:rsid w:val="714D0086"/>
    <w:rsid w:val="719C6E07"/>
    <w:rsid w:val="73260D69"/>
    <w:rsid w:val="737C6BE8"/>
    <w:rsid w:val="7395920D"/>
    <w:rsid w:val="73B0F6FA"/>
    <w:rsid w:val="7409B81C"/>
    <w:rsid w:val="7558C226"/>
    <w:rsid w:val="75B31713"/>
    <w:rsid w:val="75F854A4"/>
    <w:rsid w:val="76856394"/>
    <w:rsid w:val="77084FD8"/>
    <w:rsid w:val="774E47C4"/>
    <w:rsid w:val="78F815CF"/>
    <w:rsid w:val="797A80CF"/>
    <w:rsid w:val="7A12C5A2"/>
    <w:rsid w:val="7B264E2C"/>
    <w:rsid w:val="7BF0DAB6"/>
    <w:rsid w:val="7CC140B0"/>
    <w:rsid w:val="7CD6AB71"/>
    <w:rsid w:val="7D1EFC77"/>
    <w:rsid w:val="7DE73E1E"/>
    <w:rsid w:val="7E040F6E"/>
    <w:rsid w:val="7E221514"/>
    <w:rsid w:val="7EAA840D"/>
    <w:rsid w:val="7F0E21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0FE9"/>
  <w15:chartTrackingRefBased/>
  <w15:docId w15:val="{2980E604-EC9D-45DF-BBA8-BB2B949D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FC"/>
  </w:style>
  <w:style w:type="paragraph" w:styleId="Heading1">
    <w:name w:val="heading 1"/>
    <w:basedOn w:val="Normal"/>
    <w:next w:val="Normal"/>
    <w:link w:val="Heading1Char"/>
    <w:uiPriority w:val="9"/>
    <w:qFormat/>
    <w:rsid w:val="001C19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1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7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7C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2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C19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92A"/>
    <w:rPr>
      <w:rFonts w:asciiTheme="majorHAnsi" w:eastAsiaTheme="majorEastAsia" w:hAnsiTheme="majorHAnsi" w:cstheme="majorBidi"/>
      <w:spacing w:val="-10"/>
      <w:kern w:val="28"/>
      <w:sz w:val="56"/>
      <w:szCs w:val="56"/>
    </w:rPr>
  </w:style>
  <w:style w:type="paragraph" w:styleId="ListParagraph">
    <w:name w:val="List Paragraph"/>
    <w:aliases w:val="Resume Title,heading 4,Citation List,Ha,DDM Gen Text,List Paragraph1,List Paragraph11,NFP GP Bulleted List,Recommendation"/>
    <w:basedOn w:val="Normal"/>
    <w:link w:val="ListParagraphChar"/>
    <w:uiPriority w:val="34"/>
    <w:qFormat/>
    <w:rsid w:val="001C192A"/>
    <w:pPr>
      <w:ind w:left="720"/>
      <w:contextualSpacing/>
    </w:pPr>
  </w:style>
  <w:style w:type="character" w:customStyle="1" w:styleId="Heading2Char">
    <w:name w:val="Heading 2 Char"/>
    <w:basedOn w:val="DefaultParagraphFont"/>
    <w:link w:val="Heading2"/>
    <w:uiPriority w:val="9"/>
    <w:rsid w:val="001C192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0279C8"/>
    <w:rPr>
      <w:sz w:val="16"/>
      <w:szCs w:val="16"/>
    </w:rPr>
  </w:style>
  <w:style w:type="paragraph" w:styleId="CommentText">
    <w:name w:val="annotation text"/>
    <w:basedOn w:val="Normal"/>
    <w:link w:val="CommentTextChar"/>
    <w:uiPriority w:val="99"/>
    <w:unhideWhenUsed/>
    <w:rsid w:val="000279C8"/>
    <w:pPr>
      <w:spacing w:line="240" w:lineRule="auto"/>
    </w:pPr>
    <w:rPr>
      <w:sz w:val="20"/>
      <w:szCs w:val="20"/>
    </w:rPr>
  </w:style>
  <w:style w:type="character" w:customStyle="1" w:styleId="CommentTextChar">
    <w:name w:val="Comment Text Char"/>
    <w:basedOn w:val="DefaultParagraphFont"/>
    <w:link w:val="CommentText"/>
    <w:uiPriority w:val="99"/>
    <w:rsid w:val="000279C8"/>
    <w:rPr>
      <w:sz w:val="20"/>
      <w:szCs w:val="20"/>
    </w:rPr>
  </w:style>
  <w:style w:type="paragraph" w:styleId="CommentSubject">
    <w:name w:val="annotation subject"/>
    <w:basedOn w:val="CommentText"/>
    <w:next w:val="CommentText"/>
    <w:link w:val="CommentSubjectChar"/>
    <w:uiPriority w:val="99"/>
    <w:semiHidden/>
    <w:unhideWhenUsed/>
    <w:rsid w:val="000279C8"/>
    <w:rPr>
      <w:b/>
      <w:bCs/>
    </w:rPr>
  </w:style>
  <w:style w:type="character" w:customStyle="1" w:styleId="CommentSubjectChar">
    <w:name w:val="Comment Subject Char"/>
    <w:basedOn w:val="CommentTextChar"/>
    <w:link w:val="CommentSubject"/>
    <w:uiPriority w:val="99"/>
    <w:semiHidden/>
    <w:rsid w:val="000279C8"/>
    <w:rPr>
      <w:b/>
      <w:bCs/>
      <w:sz w:val="20"/>
      <w:szCs w:val="20"/>
    </w:rPr>
  </w:style>
  <w:style w:type="table" w:styleId="TableGrid">
    <w:name w:val="Table Grid"/>
    <w:basedOn w:val="TableNormal"/>
    <w:uiPriority w:val="59"/>
    <w:rsid w:val="0033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0AF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0B076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3E4CD0"/>
    <w:pPr>
      <w:tabs>
        <w:tab w:val="right" w:leader="dot" w:pos="9016"/>
      </w:tabs>
      <w:spacing w:after="100"/>
    </w:pPr>
  </w:style>
  <w:style w:type="paragraph" w:styleId="TOC2">
    <w:name w:val="toc 2"/>
    <w:basedOn w:val="Normal"/>
    <w:next w:val="Normal"/>
    <w:autoRedefine/>
    <w:uiPriority w:val="39"/>
    <w:unhideWhenUsed/>
    <w:rsid w:val="00AB5651"/>
    <w:pPr>
      <w:spacing w:after="100"/>
      <w:ind w:left="220"/>
    </w:pPr>
  </w:style>
  <w:style w:type="paragraph" w:styleId="TOC3">
    <w:name w:val="toc 3"/>
    <w:basedOn w:val="Normal"/>
    <w:next w:val="Normal"/>
    <w:autoRedefine/>
    <w:uiPriority w:val="39"/>
    <w:unhideWhenUsed/>
    <w:rsid w:val="00FD1CE9"/>
    <w:pPr>
      <w:tabs>
        <w:tab w:val="right" w:leader="dot" w:pos="9016"/>
      </w:tabs>
      <w:spacing w:after="100"/>
      <w:ind w:left="440"/>
    </w:pPr>
  </w:style>
  <w:style w:type="character" w:styleId="Hyperlink">
    <w:name w:val="Hyperlink"/>
    <w:basedOn w:val="DefaultParagraphFont"/>
    <w:uiPriority w:val="99"/>
    <w:unhideWhenUsed/>
    <w:rsid w:val="00AB5651"/>
    <w:rPr>
      <w:color w:val="0563C1" w:themeColor="hyperlink"/>
      <w:u w:val="single"/>
    </w:rPr>
  </w:style>
  <w:style w:type="character" w:customStyle="1" w:styleId="Heading4Char">
    <w:name w:val="Heading 4 Char"/>
    <w:basedOn w:val="DefaultParagraphFont"/>
    <w:link w:val="Heading4"/>
    <w:uiPriority w:val="9"/>
    <w:rsid w:val="00987C25"/>
    <w:rPr>
      <w:rFonts w:asciiTheme="majorHAnsi" w:eastAsiaTheme="majorEastAsia" w:hAnsiTheme="majorHAnsi" w:cstheme="majorBidi"/>
      <w:i/>
      <w:iCs/>
      <w:color w:val="2F5496" w:themeColor="accent1" w:themeShade="BF"/>
    </w:rPr>
  </w:style>
  <w:style w:type="paragraph" w:customStyle="1" w:styleId="h5Section">
    <w:name w:val="h5_Section"/>
    <w:aliases w:val="s,ActHead 5"/>
    <w:basedOn w:val="Heading5"/>
    <w:next w:val="Normal"/>
    <w:qFormat/>
    <w:rsid w:val="006C7FD3"/>
    <w:pPr>
      <w:spacing w:before="360" w:after="60" w:line="240" w:lineRule="auto"/>
      <w:ind w:left="964" w:hanging="964"/>
    </w:pPr>
    <w:rPr>
      <w:rFonts w:ascii="Arial" w:eastAsia="Times New Roman" w:hAnsi="Arial" w:cs="Times New Roman"/>
      <w:b/>
      <w:bCs/>
      <w:iCs/>
      <w:color w:val="auto"/>
      <w:kern w:val="0"/>
      <w:sz w:val="24"/>
      <w:szCs w:val="26"/>
      <w:lang w:eastAsia="en-AU"/>
      <w14:ligatures w14:val="none"/>
    </w:rPr>
  </w:style>
  <w:style w:type="character" w:customStyle="1" w:styleId="Heading5Char">
    <w:name w:val="Heading 5 Char"/>
    <w:basedOn w:val="DefaultParagraphFont"/>
    <w:link w:val="Heading5"/>
    <w:uiPriority w:val="9"/>
    <w:semiHidden/>
    <w:rsid w:val="006C7FD3"/>
    <w:rPr>
      <w:rFonts w:asciiTheme="majorHAnsi" w:eastAsiaTheme="majorEastAsia" w:hAnsiTheme="majorHAnsi" w:cstheme="majorBidi"/>
      <w:color w:val="2F5496" w:themeColor="accent1" w:themeShade="BF"/>
    </w:rPr>
  </w:style>
  <w:style w:type="paragraph" w:styleId="TOC4">
    <w:name w:val="toc 4"/>
    <w:basedOn w:val="Normal"/>
    <w:next w:val="Normal"/>
    <w:autoRedefine/>
    <w:uiPriority w:val="39"/>
    <w:unhideWhenUsed/>
    <w:rsid w:val="003E7371"/>
    <w:pPr>
      <w:spacing w:after="100"/>
      <w:ind w:left="660"/>
    </w:pPr>
    <w:rPr>
      <w:rFonts w:eastAsiaTheme="minorEastAsia"/>
      <w:lang w:eastAsia="en-AU"/>
    </w:rPr>
  </w:style>
  <w:style w:type="paragraph" w:styleId="TOC5">
    <w:name w:val="toc 5"/>
    <w:basedOn w:val="Normal"/>
    <w:next w:val="Normal"/>
    <w:autoRedefine/>
    <w:uiPriority w:val="39"/>
    <w:unhideWhenUsed/>
    <w:rsid w:val="003E7371"/>
    <w:pPr>
      <w:spacing w:after="100"/>
      <w:ind w:left="880"/>
    </w:pPr>
    <w:rPr>
      <w:rFonts w:eastAsiaTheme="minorEastAsia"/>
      <w:lang w:eastAsia="en-AU"/>
    </w:rPr>
  </w:style>
  <w:style w:type="paragraph" w:styleId="TOC6">
    <w:name w:val="toc 6"/>
    <w:basedOn w:val="Normal"/>
    <w:next w:val="Normal"/>
    <w:autoRedefine/>
    <w:uiPriority w:val="39"/>
    <w:unhideWhenUsed/>
    <w:rsid w:val="003E7371"/>
    <w:pPr>
      <w:spacing w:after="100"/>
      <w:ind w:left="1100"/>
    </w:pPr>
    <w:rPr>
      <w:rFonts w:eastAsiaTheme="minorEastAsia"/>
      <w:lang w:eastAsia="en-AU"/>
    </w:rPr>
  </w:style>
  <w:style w:type="paragraph" w:styleId="TOC7">
    <w:name w:val="toc 7"/>
    <w:basedOn w:val="Normal"/>
    <w:next w:val="Normal"/>
    <w:autoRedefine/>
    <w:uiPriority w:val="39"/>
    <w:unhideWhenUsed/>
    <w:rsid w:val="003E7371"/>
    <w:pPr>
      <w:spacing w:after="100"/>
      <w:ind w:left="1320"/>
    </w:pPr>
    <w:rPr>
      <w:rFonts w:eastAsiaTheme="minorEastAsia"/>
      <w:lang w:eastAsia="en-AU"/>
    </w:rPr>
  </w:style>
  <w:style w:type="paragraph" w:styleId="TOC8">
    <w:name w:val="toc 8"/>
    <w:basedOn w:val="Normal"/>
    <w:next w:val="Normal"/>
    <w:autoRedefine/>
    <w:uiPriority w:val="39"/>
    <w:unhideWhenUsed/>
    <w:rsid w:val="003E7371"/>
    <w:pPr>
      <w:spacing w:after="100"/>
      <w:ind w:left="1540"/>
    </w:pPr>
    <w:rPr>
      <w:rFonts w:eastAsiaTheme="minorEastAsia"/>
      <w:lang w:eastAsia="en-AU"/>
    </w:rPr>
  </w:style>
  <w:style w:type="paragraph" w:styleId="TOC9">
    <w:name w:val="toc 9"/>
    <w:basedOn w:val="Normal"/>
    <w:next w:val="Normal"/>
    <w:autoRedefine/>
    <w:uiPriority w:val="39"/>
    <w:unhideWhenUsed/>
    <w:rsid w:val="003E7371"/>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3E7371"/>
    <w:rPr>
      <w:color w:val="605E5C"/>
      <w:shd w:val="clear" w:color="auto" w:fill="E1DFDD"/>
    </w:rPr>
  </w:style>
  <w:style w:type="paragraph" w:styleId="Revision">
    <w:name w:val="Revision"/>
    <w:hidden/>
    <w:uiPriority w:val="99"/>
    <w:semiHidden/>
    <w:rsid w:val="005949E9"/>
    <w:pPr>
      <w:spacing w:after="0" w:line="240" w:lineRule="auto"/>
    </w:pPr>
  </w:style>
  <w:style w:type="paragraph" w:customStyle="1" w:styleId="subsection">
    <w:name w:val="subsection"/>
    <w:aliases w:val="ss,t_Main,Subsection"/>
    <w:basedOn w:val="Normal"/>
    <w:link w:val="subsectionChar"/>
    <w:qFormat/>
    <w:rsid w:val="00FB4FD2"/>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FB4FD2"/>
    <w:rPr>
      <w:rFonts w:ascii="Times New Roman" w:eastAsia="Times New Roman" w:hAnsi="Times New Roman" w:cs="Times New Roman"/>
      <w:kern w:val="0"/>
      <w:szCs w:val="20"/>
      <w:lang w:eastAsia="en-AU"/>
      <w14:ligatures w14:val="none"/>
    </w:rPr>
  </w:style>
  <w:style w:type="paragraph" w:customStyle="1" w:styleId="ActHead3">
    <w:name w:val="ActHead 3"/>
    <w:aliases w:val="d,h3_Div"/>
    <w:basedOn w:val="Normal"/>
    <w:next w:val="Normal"/>
    <w:qFormat/>
    <w:rsid w:val="002C3A42"/>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14:ligatures w14:val="none"/>
    </w:rPr>
  </w:style>
  <w:style w:type="paragraph" w:customStyle="1" w:styleId="notetext">
    <w:name w:val="note(text)"/>
    <w:aliases w:val="n,n_Main"/>
    <w:basedOn w:val="Normal"/>
    <w:link w:val="notetextChar"/>
    <w:qFormat/>
    <w:rsid w:val="009C742B"/>
    <w:pPr>
      <w:spacing w:before="122" w:after="0" w:line="198" w:lineRule="exact"/>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rsid w:val="009C742B"/>
    <w:rPr>
      <w:rFonts w:ascii="Times New Roman" w:eastAsia="Times New Roman" w:hAnsi="Times New Roman" w:cs="Times New Roman"/>
      <w:kern w:val="0"/>
      <w:sz w:val="18"/>
      <w:szCs w:val="20"/>
      <w:lang w:eastAsia="en-AU"/>
      <w14:ligatures w14:val="none"/>
    </w:rPr>
  </w:style>
  <w:style w:type="paragraph" w:styleId="Header">
    <w:name w:val="header"/>
    <w:basedOn w:val="Normal"/>
    <w:link w:val="HeaderChar"/>
    <w:uiPriority w:val="99"/>
    <w:unhideWhenUsed/>
    <w:rsid w:val="00C66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66E"/>
  </w:style>
  <w:style w:type="paragraph" w:styleId="Footer">
    <w:name w:val="footer"/>
    <w:basedOn w:val="Normal"/>
    <w:link w:val="FooterChar"/>
    <w:uiPriority w:val="99"/>
    <w:unhideWhenUsed/>
    <w:rsid w:val="00C66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66E"/>
  </w:style>
  <w:style w:type="character" w:customStyle="1" w:styleId="cf01">
    <w:name w:val="cf01"/>
    <w:basedOn w:val="DefaultParagraphFont"/>
    <w:rsid w:val="00CE5638"/>
    <w:rPr>
      <w:rFonts w:ascii="Segoe UI" w:hAnsi="Segoe UI" w:cs="Segoe UI" w:hint="default"/>
      <w:sz w:val="18"/>
      <w:szCs w:val="18"/>
    </w:rPr>
  </w:style>
  <w:style w:type="paragraph" w:styleId="NormalWeb">
    <w:name w:val="Normal (Web)"/>
    <w:basedOn w:val="Normal"/>
    <w:uiPriority w:val="99"/>
    <w:unhideWhenUsed/>
    <w:rsid w:val="002A47F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egislationheading">
    <w:name w:val="legislationheading"/>
    <w:basedOn w:val="Normal"/>
    <w:rsid w:val="002A47F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Mention">
    <w:name w:val="Mention"/>
    <w:basedOn w:val="DefaultParagraphFont"/>
    <w:uiPriority w:val="99"/>
    <w:unhideWhenUsed/>
    <w:rsid w:val="00023D76"/>
    <w:rPr>
      <w:color w:val="2B579A"/>
      <w:shd w:val="clear" w:color="auto" w:fill="E1DFDD"/>
    </w:rPr>
  </w:style>
  <w:style w:type="paragraph" w:customStyle="1" w:styleId="ESTitle">
    <w:name w:val="ES Title"/>
    <w:basedOn w:val="Heading1"/>
    <w:next w:val="Normal"/>
    <w:link w:val="ESTitleChar"/>
    <w:qFormat/>
    <w:rsid w:val="00447980"/>
    <w:pPr>
      <w:keepNext w:val="0"/>
      <w:keepLines w:val="0"/>
      <w:spacing w:before="319" w:after="79" w:line="240" w:lineRule="auto"/>
      <w:jc w:val="center"/>
    </w:pPr>
    <w:rPr>
      <w:rFonts w:ascii="Times New Roman" w:eastAsia="Calibri" w:hAnsi="Times New Roman" w:cs="Times New Roman"/>
      <w:b/>
      <w:bCs/>
      <w:caps/>
      <w:color w:val="000000" w:themeColor="text1"/>
      <w:kern w:val="36"/>
      <w:sz w:val="24"/>
      <w:szCs w:val="24"/>
      <w:u w:val="single"/>
      <w:lang w:eastAsia="en-AU"/>
      <w14:ligatures w14:val="none"/>
    </w:rPr>
  </w:style>
  <w:style w:type="character" w:customStyle="1" w:styleId="ESTitleChar">
    <w:name w:val="ES Title Char"/>
    <w:basedOn w:val="DefaultParagraphFont"/>
    <w:link w:val="ESTitle"/>
    <w:rsid w:val="00447980"/>
    <w:rPr>
      <w:rFonts w:ascii="Times New Roman" w:eastAsia="Calibri" w:hAnsi="Times New Roman" w:cs="Times New Roman"/>
      <w:b/>
      <w:bCs/>
      <w:caps/>
      <w:color w:val="000000" w:themeColor="text1"/>
      <w:kern w:val="36"/>
      <w:sz w:val="24"/>
      <w:szCs w:val="24"/>
      <w:u w:val="single"/>
      <w:lang w:eastAsia="en-AU"/>
      <w14:ligatures w14:val="none"/>
    </w:rPr>
  </w:style>
  <w:style w:type="paragraph" w:customStyle="1" w:styleId="ESHeading">
    <w:name w:val="ES Heading"/>
    <w:basedOn w:val="Heading1"/>
    <w:next w:val="Normal"/>
    <w:link w:val="ESHeadingChar"/>
    <w:qFormat/>
    <w:rsid w:val="00715FED"/>
    <w:pPr>
      <w:keepLines w:val="0"/>
      <w:spacing w:before="360" w:after="120" w:line="240" w:lineRule="auto"/>
    </w:pPr>
    <w:rPr>
      <w:rFonts w:ascii="Times New Roman" w:eastAsia="Calibri" w:hAnsi="Times New Roman" w:cs="Times New Roman"/>
      <w:b/>
      <w:bCs/>
      <w:color w:val="000000" w:themeColor="text1"/>
      <w:kern w:val="36"/>
      <w:sz w:val="24"/>
      <w:szCs w:val="24"/>
      <w:lang w:eastAsia="en-AU"/>
      <w14:ligatures w14:val="none"/>
    </w:rPr>
  </w:style>
  <w:style w:type="character" w:customStyle="1" w:styleId="ESHeadingChar">
    <w:name w:val="ES Heading Char"/>
    <w:basedOn w:val="DefaultParagraphFont"/>
    <w:link w:val="ESHeading"/>
    <w:rsid w:val="00715FED"/>
    <w:rPr>
      <w:rFonts w:ascii="Times New Roman" w:eastAsia="Calibri" w:hAnsi="Times New Roman" w:cs="Times New Roman"/>
      <w:b/>
      <w:bCs/>
      <w:color w:val="000000" w:themeColor="text1"/>
      <w:kern w:val="36"/>
      <w:sz w:val="24"/>
      <w:szCs w:val="24"/>
      <w:lang w:eastAsia="en-AU"/>
      <w14:ligatures w14:val="none"/>
    </w:rPr>
  </w:style>
  <w:style w:type="character" w:styleId="Strong">
    <w:name w:val="Strong"/>
    <w:basedOn w:val="DefaultParagraphFont"/>
    <w:uiPriority w:val="22"/>
    <w:qFormat/>
    <w:rsid w:val="0014327F"/>
    <w:rPr>
      <w:b/>
      <w:bCs/>
    </w:rPr>
  </w:style>
  <w:style w:type="character" w:styleId="FollowedHyperlink">
    <w:name w:val="FollowedHyperlink"/>
    <w:basedOn w:val="DefaultParagraphFont"/>
    <w:uiPriority w:val="99"/>
    <w:semiHidden/>
    <w:unhideWhenUsed/>
    <w:rsid w:val="00DD1523"/>
    <w:rPr>
      <w:color w:val="954F72" w:themeColor="followedHyperlink"/>
      <w:u w:val="single"/>
    </w:rPr>
  </w:style>
  <w:style w:type="paragraph" w:customStyle="1" w:styleId="Definition">
    <w:name w:val="Definition"/>
    <w:aliases w:val="dd"/>
    <w:basedOn w:val="Normal"/>
    <w:rsid w:val="00E65855"/>
    <w:pPr>
      <w:spacing w:before="180" w:after="0" w:line="240" w:lineRule="auto"/>
      <w:ind w:left="1134"/>
    </w:pPr>
    <w:rPr>
      <w:rFonts w:ascii="Times New Roman" w:eastAsia="Times New Roman" w:hAnsi="Times New Roman" w:cs="Times New Roman"/>
      <w:kern w:val="0"/>
      <w:szCs w:val="20"/>
      <w:lang w:eastAsia="en-AU"/>
      <w14:ligatures w14:val="none"/>
    </w:rPr>
  </w:style>
  <w:style w:type="paragraph" w:customStyle="1" w:styleId="paragraph">
    <w:name w:val="paragraph"/>
    <w:aliases w:val="a,t_Para,Paragraph"/>
    <w:basedOn w:val="Normal"/>
    <w:link w:val="paragraphChar"/>
    <w:qFormat/>
    <w:rsid w:val="003F33B3"/>
    <w:pPr>
      <w:tabs>
        <w:tab w:val="right" w:pos="1531"/>
      </w:tabs>
      <w:spacing w:before="40" w:after="0" w:line="240" w:lineRule="auto"/>
      <w:ind w:left="1644" w:hanging="1644"/>
    </w:pPr>
    <w:rPr>
      <w:rFonts w:ascii="Times New Roman" w:eastAsia="Times New Roman" w:hAnsi="Times New Roman" w:cs="Times New Roman"/>
      <w:kern w:val="0"/>
      <w:szCs w:val="20"/>
      <w:lang w:eastAsia="en-AU"/>
      <w14:ligatures w14:val="none"/>
    </w:rPr>
  </w:style>
  <w:style w:type="character" w:customStyle="1" w:styleId="paragraphChar">
    <w:name w:val="paragraph Char"/>
    <w:aliases w:val="a Char,Paragraph Char"/>
    <w:basedOn w:val="DefaultParagraphFont"/>
    <w:link w:val="paragraph"/>
    <w:locked/>
    <w:rsid w:val="003F33B3"/>
    <w:rPr>
      <w:rFonts w:ascii="Times New Roman" w:eastAsia="Times New Roman" w:hAnsi="Times New Roman" w:cs="Times New Roman"/>
      <w:kern w:val="0"/>
      <w:szCs w:val="20"/>
      <w:lang w:eastAsia="en-AU"/>
      <w14:ligatures w14:val="none"/>
    </w:rPr>
  </w:style>
  <w:style w:type="paragraph" w:customStyle="1" w:styleId="tdefn">
    <w:name w:val="tdefn"/>
    <w:basedOn w:val="Normal"/>
    <w:rsid w:val="005E7F7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ableHeading">
    <w:name w:val="TableHeading"/>
    <w:aliases w:val="th"/>
    <w:basedOn w:val="Normal"/>
    <w:next w:val="Normal"/>
    <w:rsid w:val="00786ED7"/>
    <w:pPr>
      <w:keepNext/>
      <w:spacing w:before="60" w:after="0" w:line="240" w:lineRule="atLeast"/>
    </w:pPr>
    <w:rPr>
      <w:rFonts w:ascii="Times New Roman" w:eastAsia="Times New Roman" w:hAnsi="Times New Roman" w:cs="Times New Roman"/>
      <w:b/>
      <w:kern w:val="0"/>
      <w:sz w:val="20"/>
      <w:szCs w:val="20"/>
      <w:lang w:eastAsia="en-AU"/>
      <w14:ligatures w14:val="none"/>
    </w:rPr>
  </w:style>
  <w:style w:type="paragraph" w:customStyle="1" w:styleId="Tabletext">
    <w:name w:val="Tabletext"/>
    <w:aliases w:val="tt"/>
    <w:basedOn w:val="Normal"/>
    <w:rsid w:val="00786ED7"/>
    <w:pPr>
      <w:spacing w:before="60" w:after="0" w:line="240" w:lineRule="atLeast"/>
    </w:pPr>
    <w:rPr>
      <w:rFonts w:ascii="Times New Roman" w:eastAsia="Times New Roman" w:hAnsi="Times New Roman" w:cs="Times New Roman"/>
      <w:kern w:val="0"/>
      <w:sz w:val="20"/>
      <w:szCs w:val="20"/>
      <w:lang w:eastAsia="en-AU"/>
      <w14:ligatures w14:val="none"/>
    </w:rPr>
  </w:style>
  <w:style w:type="character" w:customStyle="1" w:styleId="ListParagraphChar">
    <w:name w:val="List Paragraph Char"/>
    <w:aliases w:val="Resume Title Char,heading 4 Char,Citation List Char,Ha Char,DDM Gen Text Char,List Paragraph1 Char,List Paragraph11 Char,NFP GP Bulleted List Char,Recommendation Char"/>
    <w:basedOn w:val="DefaultParagraphFont"/>
    <w:link w:val="ListParagraph"/>
    <w:uiPriority w:val="34"/>
    <w:locked/>
    <w:rsid w:val="0019005A"/>
  </w:style>
  <w:style w:type="paragraph" w:customStyle="1" w:styleId="TableText0">
    <w:name w:val="Table Text"/>
    <w:basedOn w:val="Normal"/>
    <w:uiPriority w:val="11"/>
    <w:qFormat/>
    <w:rsid w:val="001109C7"/>
    <w:pPr>
      <w:spacing w:after="40" w:line="200" w:lineRule="exact"/>
    </w:pPr>
    <w:rPr>
      <w:rFonts w:ascii="Arial" w:eastAsia="Times New Roman" w:hAnsi="Arial" w:cs="Times New Roman"/>
      <w:bCs/>
      <w:color w:val="414141"/>
      <w:kern w:val="0"/>
      <w:sz w:val="16"/>
      <w:szCs w:val="24"/>
      <w:lang w:eastAsia="en-GB"/>
      <w14:ligatures w14:val="none"/>
    </w:rPr>
  </w:style>
  <w:style w:type="paragraph" w:customStyle="1" w:styleId="tSubpara">
    <w:name w:val="t_Subpara"/>
    <w:aliases w:val="paragraph(sub),aa,t_Subpara + Left:  -2.01 cm"/>
    <w:basedOn w:val="Normal"/>
    <w:qFormat/>
    <w:rsid w:val="00DB1CBB"/>
    <w:pPr>
      <w:tabs>
        <w:tab w:val="right" w:pos="1985"/>
      </w:tabs>
      <w:spacing w:before="40" w:after="0" w:line="240" w:lineRule="auto"/>
      <w:ind w:left="2098" w:hanging="2098"/>
    </w:pPr>
    <w:rPr>
      <w:rFonts w:ascii="Times New Roman" w:eastAsia="Times New Roman" w:hAnsi="Times New Roman" w:cs="Times New Roman"/>
      <w:kern w:val="0"/>
      <w:szCs w:val="20"/>
      <w:lang w:eastAsia="en-AU"/>
      <w14:ligatures w14:val="none"/>
    </w:rPr>
  </w:style>
  <w:style w:type="paragraph" w:styleId="BodyText2">
    <w:name w:val="Body Text 2"/>
    <w:basedOn w:val="Normal"/>
    <w:link w:val="BodyText2Char"/>
    <w:uiPriority w:val="99"/>
    <w:unhideWhenUsed/>
    <w:rsid w:val="00513DA6"/>
    <w:pPr>
      <w:spacing w:after="120" w:line="480" w:lineRule="auto"/>
    </w:pPr>
    <w:rPr>
      <w:rFonts w:ascii="Times New Roman" w:eastAsia="Calibri" w:hAnsi="Times New Roman" w:cs="Times New Roman"/>
      <w:kern w:val="0"/>
      <w:szCs w:val="20"/>
      <w14:ligatures w14:val="none"/>
    </w:rPr>
  </w:style>
  <w:style w:type="character" w:customStyle="1" w:styleId="BodyText2Char">
    <w:name w:val="Body Text 2 Char"/>
    <w:basedOn w:val="DefaultParagraphFont"/>
    <w:link w:val="BodyText2"/>
    <w:uiPriority w:val="99"/>
    <w:rsid w:val="00513DA6"/>
    <w:rPr>
      <w:rFonts w:ascii="Times New Roman" w:eastAsia="Calibri"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78809">
      <w:bodyDiv w:val="1"/>
      <w:marLeft w:val="0"/>
      <w:marRight w:val="0"/>
      <w:marTop w:val="0"/>
      <w:marBottom w:val="0"/>
      <w:divBdr>
        <w:top w:val="none" w:sz="0" w:space="0" w:color="auto"/>
        <w:left w:val="none" w:sz="0" w:space="0" w:color="auto"/>
        <w:bottom w:val="none" w:sz="0" w:space="0" w:color="auto"/>
        <w:right w:val="none" w:sz="0" w:space="0" w:color="auto"/>
      </w:divBdr>
    </w:div>
    <w:div w:id="475925190">
      <w:bodyDiv w:val="1"/>
      <w:marLeft w:val="0"/>
      <w:marRight w:val="0"/>
      <w:marTop w:val="0"/>
      <w:marBottom w:val="0"/>
      <w:divBdr>
        <w:top w:val="none" w:sz="0" w:space="0" w:color="auto"/>
        <w:left w:val="none" w:sz="0" w:space="0" w:color="auto"/>
        <w:bottom w:val="none" w:sz="0" w:space="0" w:color="auto"/>
        <w:right w:val="none" w:sz="0" w:space="0" w:color="auto"/>
      </w:divBdr>
    </w:div>
    <w:div w:id="620723593">
      <w:bodyDiv w:val="1"/>
      <w:marLeft w:val="0"/>
      <w:marRight w:val="0"/>
      <w:marTop w:val="0"/>
      <w:marBottom w:val="0"/>
      <w:divBdr>
        <w:top w:val="none" w:sz="0" w:space="0" w:color="auto"/>
        <w:left w:val="none" w:sz="0" w:space="0" w:color="auto"/>
        <w:bottom w:val="none" w:sz="0" w:space="0" w:color="auto"/>
        <w:right w:val="none" w:sz="0" w:space="0" w:color="auto"/>
      </w:divBdr>
    </w:div>
    <w:div w:id="753550895">
      <w:bodyDiv w:val="1"/>
      <w:marLeft w:val="0"/>
      <w:marRight w:val="0"/>
      <w:marTop w:val="0"/>
      <w:marBottom w:val="0"/>
      <w:divBdr>
        <w:top w:val="none" w:sz="0" w:space="0" w:color="auto"/>
        <w:left w:val="none" w:sz="0" w:space="0" w:color="auto"/>
        <w:bottom w:val="none" w:sz="0" w:space="0" w:color="auto"/>
        <w:right w:val="none" w:sz="0" w:space="0" w:color="auto"/>
      </w:divBdr>
    </w:div>
    <w:div w:id="1081949719">
      <w:bodyDiv w:val="1"/>
      <w:marLeft w:val="0"/>
      <w:marRight w:val="0"/>
      <w:marTop w:val="0"/>
      <w:marBottom w:val="0"/>
      <w:divBdr>
        <w:top w:val="none" w:sz="0" w:space="0" w:color="auto"/>
        <w:left w:val="none" w:sz="0" w:space="0" w:color="auto"/>
        <w:bottom w:val="none" w:sz="0" w:space="0" w:color="auto"/>
        <w:right w:val="none" w:sz="0" w:space="0" w:color="auto"/>
      </w:divBdr>
    </w:div>
    <w:div w:id="1255820022">
      <w:bodyDiv w:val="1"/>
      <w:marLeft w:val="0"/>
      <w:marRight w:val="0"/>
      <w:marTop w:val="0"/>
      <w:marBottom w:val="0"/>
      <w:divBdr>
        <w:top w:val="none" w:sz="0" w:space="0" w:color="auto"/>
        <w:left w:val="none" w:sz="0" w:space="0" w:color="auto"/>
        <w:bottom w:val="none" w:sz="0" w:space="0" w:color="auto"/>
        <w:right w:val="none" w:sz="0" w:space="0" w:color="auto"/>
      </w:divBdr>
    </w:div>
    <w:div w:id="1518235433">
      <w:bodyDiv w:val="1"/>
      <w:marLeft w:val="0"/>
      <w:marRight w:val="0"/>
      <w:marTop w:val="0"/>
      <w:marBottom w:val="0"/>
      <w:divBdr>
        <w:top w:val="none" w:sz="0" w:space="0" w:color="auto"/>
        <w:left w:val="none" w:sz="0" w:space="0" w:color="auto"/>
        <w:bottom w:val="none" w:sz="0" w:space="0" w:color="auto"/>
        <w:right w:val="none" w:sz="0" w:space="0" w:color="auto"/>
      </w:divBdr>
    </w:div>
    <w:div w:id="1659453058">
      <w:bodyDiv w:val="1"/>
      <w:marLeft w:val="0"/>
      <w:marRight w:val="0"/>
      <w:marTop w:val="0"/>
      <w:marBottom w:val="0"/>
      <w:divBdr>
        <w:top w:val="none" w:sz="0" w:space="0" w:color="auto"/>
        <w:left w:val="none" w:sz="0" w:space="0" w:color="auto"/>
        <w:bottom w:val="none" w:sz="0" w:space="0" w:color="auto"/>
        <w:right w:val="none" w:sz="0" w:space="0" w:color="auto"/>
      </w:divBdr>
    </w:div>
    <w:div w:id="18844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c2cd768726c95d7bea034e554580696b">
  <xsd:schema xmlns:xsd="http://www.w3.org/2001/XMLSchema" xmlns:xs="http://www.w3.org/2001/XMLSchema" xmlns:p="http://schemas.microsoft.com/office/2006/metadata/properties" xmlns:ns1="http://schemas.microsoft.com/sharepoint/v3" xmlns:ns2="34b62b4a-5584-4b75-9864-fdc1c6516fc1" xmlns:ns3="0046e55a-d89a-45fd-9fc9-1a5273320001" xmlns:ns4="d81c2681-db7b-4a56-9abd-a3238a78f6b2" xmlns:ns5="e8238601-ce47-4778-85d0-8b1d6564965a" targetNamespace="http://schemas.microsoft.com/office/2006/metadata/properties" ma:root="true" ma:fieldsID="edd541b840f357e0de405f57d8be3fb8" ns1:_="" ns2:_="" ns3:_="" ns4:_="" ns5:_="">
    <xsd:import namespace="http://schemas.microsoft.com/sharepoint/v3"/>
    <xsd:import namespace="34b62b4a-5584-4b75-9864-fdc1c6516fc1"/>
    <xsd:import namespace="0046e55a-d89a-45fd-9fc9-1a5273320001"/>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1:_ip_UnifiedCompliancePolicyProperties" minOccurs="0"/>
                <xsd:element ref="ns1:_ip_UnifiedCompliancePolicyUIAction"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62b4a-5584-4b75-9864-fdc1c6516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6e55a-d89a-45fd-9fc9-1a5273320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84e3e5a-7bf7-49c4-bc80-1d89334c1a3c}"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0C1B8-6222-4F03-89C8-4861F9F32FCB}">
  <ds:schemaRefs>
    <ds:schemaRef ds:uri="http://purl.org/dc/dcmitype/"/>
    <ds:schemaRef ds:uri="http://www.w3.org/XML/1998/namespace"/>
    <ds:schemaRef ds:uri="http://purl.org/dc/elements/1.1/"/>
    <ds:schemaRef ds:uri="http://schemas.microsoft.com/sharepoint/v3"/>
    <ds:schemaRef ds:uri="http://schemas.microsoft.com/office/2006/metadata/properties"/>
    <ds:schemaRef ds:uri="http://schemas.microsoft.com/office/2006/documentManagement/types"/>
    <ds:schemaRef ds:uri="0046e55a-d89a-45fd-9fc9-1a5273320001"/>
    <ds:schemaRef ds:uri="http://purl.org/dc/terms/"/>
    <ds:schemaRef ds:uri="http://schemas.microsoft.com/office/infopath/2007/PartnerControls"/>
    <ds:schemaRef ds:uri="http://schemas.openxmlformats.org/package/2006/metadata/core-properties"/>
    <ds:schemaRef ds:uri="e8238601-ce47-4778-85d0-8b1d6564965a"/>
    <ds:schemaRef ds:uri="d81c2681-db7b-4a56-9abd-a3238a78f6b2"/>
    <ds:schemaRef ds:uri="34b62b4a-5584-4b75-9864-fdc1c6516fc1"/>
  </ds:schemaRefs>
</ds:datastoreItem>
</file>

<file path=customXml/itemProps2.xml><?xml version="1.0" encoding="utf-8"?>
<ds:datastoreItem xmlns:ds="http://schemas.openxmlformats.org/officeDocument/2006/customXml" ds:itemID="{338FAE6A-CFF3-455B-9D84-D05226A04EBC}">
  <ds:schemaRefs>
    <ds:schemaRef ds:uri="http://schemas.microsoft.com/sharepoint/v3/contenttype/forms"/>
  </ds:schemaRefs>
</ds:datastoreItem>
</file>

<file path=customXml/itemProps3.xml><?xml version="1.0" encoding="utf-8"?>
<ds:datastoreItem xmlns:ds="http://schemas.openxmlformats.org/officeDocument/2006/customXml" ds:itemID="{DBFA7B40-A82F-4C71-94E0-66DE2F45B646}">
  <ds:schemaRefs>
    <ds:schemaRef ds:uri="http://schemas.openxmlformats.org/officeDocument/2006/bibliography"/>
  </ds:schemaRefs>
</ds:datastoreItem>
</file>

<file path=customXml/itemProps4.xml><?xml version="1.0" encoding="utf-8"?>
<ds:datastoreItem xmlns:ds="http://schemas.openxmlformats.org/officeDocument/2006/customXml" ds:itemID="{32F9690B-4856-4AB5-A27B-E142521C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2b4a-5584-4b75-9864-fdc1c6516fc1"/>
    <ds:schemaRef ds:uri="0046e55a-d89a-45fd-9fc9-1a5273320001"/>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16</TotalTime>
  <Pages>54</Pages>
  <Words>27442</Words>
  <Characters>142426</Characters>
  <Application>Microsoft Office Word</Application>
  <DocSecurity>0</DocSecurity>
  <Lines>2687</Lines>
  <Paragraphs>1477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Katey</dc:creator>
  <cp:keywords/>
  <dc:description/>
  <cp:lastModifiedBy>Katey DUGDALE</cp:lastModifiedBy>
  <cp:revision>4</cp:revision>
  <cp:lastPrinted>2025-11-18T21:18:00Z</cp:lastPrinted>
  <dcterms:created xsi:type="dcterms:W3CDTF">2025-11-18T20:51:00Z</dcterms:created>
  <dcterms:modified xsi:type="dcterms:W3CDTF">2025-11-18T21:36:00Z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ClassificationContentMarkingHeaderShapeIds">
    <vt:lpwstr>3eb468bd,7d48807b,2b8fdd88,3a979fd5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10a0a356,7547631b,cf00536,f67a5ed,208a5893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Record_x0020_Classification">
    <vt:lpwstr/>
  </property>
  <property fmtid="{D5CDD505-2E9C-101B-9397-08002B2CF9AE}" pid="11" name="h64465b6520a47a58f1168c7a3f04764">
    <vt:lpwstr/>
  </property>
  <property fmtid="{D5CDD505-2E9C-101B-9397-08002B2CF9AE}" pid="12" name="Record Classification">
    <vt:lpwstr/>
  </property>
</Properties>
</file>