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10CB8" w14:textId="177CC3DA" w:rsidR="00950F85" w:rsidRPr="000F1DE5" w:rsidRDefault="00154ACB" w:rsidP="008F00AD">
      <w:bookmarkStart w:id="0" w:name="_Toc213155393"/>
      <w:bookmarkStart w:id="1" w:name="_Toc216958014"/>
      <w:bookmarkStart w:id="2" w:name="_Toc181009004"/>
      <w:bookmarkStart w:id="3" w:name="_Toc181009146"/>
      <w:r w:rsidRPr="000F1DE5">
        <w:rPr>
          <w:noProof/>
        </w:rPr>
        <w:drawing>
          <wp:anchor distT="0" distB="0" distL="114300" distR="114300" simplePos="0" relativeHeight="251658240" behindDoc="1" locked="0" layoutInCell="1" allowOverlap="1" wp14:anchorId="0A84E8BD" wp14:editId="2B28FBAD">
            <wp:simplePos x="0" y="0"/>
            <wp:positionH relativeFrom="page">
              <wp:posOffset>-203200</wp:posOffset>
            </wp:positionH>
            <wp:positionV relativeFrom="paragraph">
              <wp:posOffset>-939800</wp:posOffset>
            </wp:positionV>
            <wp:extent cx="7791450" cy="10713085"/>
            <wp:effectExtent l="0" t="0" r="0" b="0"/>
            <wp:wrapNone/>
            <wp:docPr id="2159678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1450" cy="10713085"/>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p>
    <w:p w14:paraId="567AFC82" w14:textId="35A8B309" w:rsidR="005324FA" w:rsidRPr="000E3271" w:rsidRDefault="005324FA" w:rsidP="000E3271">
      <w:pPr>
        <w:rPr>
          <w:rFonts w:ascii="Aptos Narrow" w:hAnsi="Aptos Narrow"/>
          <w:b/>
          <w:color w:val="FFFFFF" w:themeColor="background1"/>
          <w:sz w:val="72"/>
          <w:szCs w:val="72"/>
        </w:rPr>
      </w:pPr>
      <w:bookmarkStart w:id="4" w:name="_Toc213155394"/>
      <w:bookmarkStart w:id="5" w:name="_Toc216958015"/>
      <w:r w:rsidRPr="000E3271">
        <w:rPr>
          <w:rFonts w:ascii="Aptos Narrow" w:hAnsi="Aptos Narrow"/>
          <w:b/>
          <w:bCs/>
          <w:color w:val="FFFFFF" w:themeColor="background1"/>
          <w:sz w:val="72"/>
          <w:szCs w:val="72"/>
        </w:rPr>
        <w:t>Dr</w:t>
      </w:r>
      <w:r w:rsidR="000E3271" w:rsidRPr="000E3271">
        <w:rPr>
          <w:rFonts w:ascii="Aptos Narrow" w:hAnsi="Aptos Narrow"/>
          <w:b/>
          <w:bCs/>
          <w:color w:val="FFFFFF" w:themeColor="background1"/>
          <w:sz w:val="72"/>
          <w:szCs w:val="72"/>
        </w:rPr>
        <w:t>aft Voluntary Emissions Estimation and Reporting Guidelines</w:t>
      </w:r>
      <w:r w:rsidR="00D355A1">
        <w:rPr>
          <w:rFonts w:ascii="Aptos Narrow" w:hAnsi="Aptos Narrow"/>
          <w:b/>
          <w:bCs/>
          <w:color w:val="FFFFFF" w:themeColor="background1"/>
          <w:sz w:val="72"/>
          <w:szCs w:val="72"/>
        </w:rPr>
        <w:t xml:space="preserve"> </w:t>
      </w:r>
      <w:r w:rsidR="00D355A1" w:rsidRPr="00D355A1">
        <w:rPr>
          <w:rFonts w:ascii="Calibri" w:hAnsi="Calibri"/>
          <w:b/>
          <w:color w:val="FFFFFF" w:themeColor="background1"/>
          <w:spacing w:val="-10"/>
          <w:kern w:val="28"/>
          <w:sz w:val="72"/>
          <w:szCs w:val="72"/>
        </w:rPr>
        <w:t>for Agriculture, Fisheries and Forestry</w:t>
      </w:r>
    </w:p>
    <w:p w14:paraId="3C2CF9A9" w14:textId="6C4A6364" w:rsidR="000E3271" w:rsidRPr="000E3271" w:rsidRDefault="00812927" w:rsidP="000E3271">
      <w:pPr>
        <w:rPr>
          <w:rFonts w:ascii="Aptos Narrow" w:hAnsi="Aptos Narrow"/>
          <w:color w:val="FFC000"/>
          <w:sz w:val="48"/>
          <w:szCs w:val="48"/>
        </w:rPr>
      </w:pPr>
      <w:r w:rsidRPr="000E3271">
        <w:rPr>
          <w:rFonts w:ascii="Aptos Narrow" w:hAnsi="Aptos Narrow"/>
          <w:color w:val="FFC000"/>
          <w:sz w:val="48"/>
          <w:szCs w:val="48"/>
        </w:rPr>
        <w:t>Common Requirements Framework</w:t>
      </w:r>
      <w:bookmarkEnd w:id="4"/>
      <w:bookmarkEnd w:id="5"/>
    </w:p>
    <w:p w14:paraId="59E7FB3C" w14:textId="0948F6D8" w:rsidR="00950F85" w:rsidRPr="000E3271" w:rsidRDefault="00950F85" w:rsidP="000E3271">
      <w:pPr>
        <w:rPr>
          <w:rFonts w:cs="Calibri"/>
        </w:rPr>
      </w:pPr>
      <w:r w:rsidRPr="000E3271">
        <w:rPr>
          <w:rFonts w:cs="Calibri"/>
        </w:rPr>
        <w:br w:type="page"/>
      </w:r>
    </w:p>
    <w:p w14:paraId="339E0776" w14:textId="2CA97704" w:rsidR="00950F85" w:rsidRPr="000F1DE5" w:rsidRDefault="00950F85" w:rsidP="00950F85">
      <w:pPr>
        <w:pStyle w:val="Copyright"/>
        <w:rPr>
          <w:rFonts w:ascii="Aptos" w:hAnsi="Aptos"/>
        </w:rPr>
      </w:pPr>
      <w:r w:rsidRPr="000F1DE5">
        <w:rPr>
          <w:rFonts w:ascii="Aptos" w:hAnsi="Aptos"/>
        </w:rPr>
        <w:lastRenderedPageBreak/>
        <w:t>© Commonwealth of Australia 202</w:t>
      </w:r>
      <w:r w:rsidR="00C819C7">
        <w:rPr>
          <w:rFonts w:ascii="Aptos" w:hAnsi="Aptos"/>
        </w:rPr>
        <w:t>6</w:t>
      </w:r>
    </w:p>
    <w:p w14:paraId="50910B77" w14:textId="77777777" w:rsidR="00950F85" w:rsidRPr="000F1DE5" w:rsidRDefault="00950F85" w:rsidP="00950F85">
      <w:pPr>
        <w:pStyle w:val="Copyright"/>
        <w:rPr>
          <w:rFonts w:ascii="Aptos" w:hAnsi="Aptos"/>
        </w:rPr>
      </w:pPr>
      <w:r w:rsidRPr="000F1DE5">
        <w:rPr>
          <w:rFonts w:ascii="Aptos" w:hAnsi="Aptos"/>
        </w:rPr>
        <w:t>Ownership of intellectual property rights</w:t>
      </w:r>
    </w:p>
    <w:p w14:paraId="6771A6A6" w14:textId="77777777" w:rsidR="00950F85" w:rsidRPr="000F1DE5" w:rsidRDefault="00950F85" w:rsidP="00950F85">
      <w:pPr>
        <w:pStyle w:val="Copyright"/>
        <w:rPr>
          <w:rFonts w:ascii="Aptos" w:hAnsi="Aptos"/>
        </w:rPr>
      </w:pPr>
      <w:r w:rsidRPr="000F1DE5">
        <w:rPr>
          <w:rFonts w:ascii="Aptos" w:hAnsi="Aptos"/>
        </w:rPr>
        <w:t>Unless otherwise noted, copyright (and any other intellectual property rights) in this publication is owned by the Commonwealth of Australia (referred to as the Commonwealth).</w:t>
      </w:r>
    </w:p>
    <w:p w14:paraId="0E132704" w14:textId="77777777" w:rsidR="00950F85" w:rsidRPr="000F1DE5" w:rsidRDefault="00950F85" w:rsidP="00950F85">
      <w:pPr>
        <w:pStyle w:val="Copyright"/>
        <w:rPr>
          <w:rFonts w:ascii="Aptos" w:hAnsi="Aptos"/>
        </w:rPr>
      </w:pPr>
      <w:r w:rsidRPr="000F1DE5">
        <w:rPr>
          <w:rFonts w:ascii="Aptos" w:hAnsi="Aptos"/>
        </w:rPr>
        <w:t>Creative Commons licence</w:t>
      </w:r>
    </w:p>
    <w:p w14:paraId="0FCC8FD6" w14:textId="77777777" w:rsidR="00950F85" w:rsidRPr="000F1DE5" w:rsidRDefault="00950F85" w:rsidP="00950F85">
      <w:pPr>
        <w:pStyle w:val="Copyright"/>
        <w:rPr>
          <w:rFonts w:ascii="Aptos" w:hAnsi="Aptos"/>
        </w:rPr>
      </w:pPr>
      <w:r w:rsidRPr="000F1DE5">
        <w:rPr>
          <w:rFonts w:ascii="Aptos" w:hAnsi="Aptos"/>
        </w:rPr>
        <w:t xml:space="preserve">All material in this publication is licensed under a </w:t>
      </w:r>
      <w:hyperlink r:id="rId12" w:history="1">
        <w:r w:rsidRPr="000F1DE5">
          <w:rPr>
            <w:rStyle w:val="Hyperlink"/>
            <w:rFonts w:ascii="Aptos" w:hAnsi="Aptos"/>
          </w:rPr>
          <w:t>Creative Commons Attribution 4.0 International Licence</w:t>
        </w:r>
      </w:hyperlink>
      <w:r w:rsidRPr="000F1DE5">
        <w:rPr>
          <w:rFonts w:ascii="Aptos" w:hAnsi="Aptos"/>
        </w:rPr>
        <w:t xml:space="preserve"> except content supplied by third parties, logos and the Commonwealth Coat of Arms.</w:t>
      </w:r>
    </w:p>
    <w:p w14:paraId="35B6ADE1" w14:textId="77777777" w:rsidR="00950F85" w:rsidRPr="000F1DE5" w:rsidRDefault="00950F85" w:rsidP="00950F85">
      <w:pPr>
        <w:pStyle w:val="Copyright"/>
        <w:rPr>
          <w:rFonts w:ascii="Aptos" w:hAnsi="Aptos"/>
        </w:rPr>
      </w:pPr>
      <w:r w:rsidRPr="000F1DE5">
        <w:rPr>
          <w:rFonts w:ascii="Aptos" w:hAnsi="Aptos"/>
        </w:rPr>
        <w:t xml:space="preserve">Inquiries about the licence and any use of this document should be submitted via our online contact </w:t>
      </w:r>
      <w:hyperlink r:id="rId13" w:history="1">
        <w:r w:rsidRPr="000F1DE5">
          <w:rPr>
            <w:rStyle w:val="Hyperlink"/>
            <w:rFonts w:ascii="Aptos" w:hAnsi="Aptos"/>
          </w:rPr>
          <w:t>form</w:t>
        </w:r>
      </w:hyperlink>
      <w:r w:rsidRPr="000F1DE5">
        <w:rPr>
          <w:rFonts w:ascii="Aptos" w:hAnsi="Aptos"/>
        </w:rPr>
        <w:t>.</w:t>
      </w:r>
    </w:p>
    <w:p w14:paraId="3C395FDD" w14:textId="77777777" w:rsidR="00950F85" w:rsidRPr="000F1DE5" w:rsidRDefault="00950F85" w:rsidP="00950F85">
      <w:pPr>
        <w:pStyle w:val="Copyright"/>
        <w:rPr>
          <w:rFonts w:ascii="Aptos" w:hAnsi="Aptos"/>
        </w:rPr>
      </w:pPr>
      <w:r w:rsidRPr="000F1DE5">
        <w:rPr>
          <w:rFonts w:ascii="Aptos" w:hAnsi="Aptos"/>
          <w:noProof/>
        </w:rPr>
        <w:drawing>
          <wp:inline distT="0" distB="0" distL="0" distR="0" wp14:anchorId="0AA1C4D4" wp14:editId="7B08C075">
            <wp:extent cx="725170" cy="255905"/>
            <wp:effectExtent l="0" t="0" r="0" b="0"/>
            <wp:docPr id="18024084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08478"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170" cy="255905"/>
                    </a:xfrm>
                    <a:prstGeom prst="rect">
                      <a:avLst/>
                    </a:prstGeom>
                    <a:noFill/>
                  </pic:spPr>
                </pic:pic>
              </a:graphicData>
            </a:graphic>
          </wp:inline>
        </w:drawing>
      </w:r>
    </w:p>
    <w:p w14:paraId="001F73EF" w14:textId="77777777" w:rsidR="00950F85" w:rsidRPr="000F1DE5" w:rsidRDefault="00950F85" w:rsidP="00950F85">
      <w:pPr>
        <w:pStyle w:val="Copyright"/>
        <w:rPr>
          <w:rFonts w:ascii="Aptos" w:hAnsi="Aptos"/>
        </w:rPr>
      </w:pPr>
      <w:r w:rsidRPr="000F1DE5">
        <w:rPr>
          <w:rFonts w:ascii="Aptos" w:hAnsi="Aptos"/>
        </w:rPr>
        <w:t>Cataloguing data</w:t>
      </w:r>
    </w:p>
    <w:p w14:paraId="51AF58B6" w14:textId="36B64364" w:rsidR="00950F85" w:rsidRPr="000F1DE5" w:rsidRDefault="00950F85" w:rsidP="00950F85">
      <w:pPr>
        <w:pStyle w:val="Copyright"/>
        <w:rPr>
          <w:rFonts w:ascii="Aptos" w:hAnsi="Aptos"/>
        </w:rPr>
      </w:pPr>
      <w:r w:rsidRPr="000F1DE5">
        <w:rPr>
          <w:rFonts w:ascii="Aptos" w:hAnsi="Aptos"/>
        </w:rPr>
        <w:t>This publication (and any material sourced from it) should be attributed as: DCCEEW 202</w:t>
      </w:r>
      <w:r w:rsidR="002A619D">
        <w:rPr>
          <w:rFonts w:ascii="Aptos" w:hAnsi="Aptos"/>
        </w:rPr>
        <w:t>6</w:t>
      </w:r>
      <w:r w:rsidRPr="000F1DE5">
        <w:rPr>
          <w:rFonts w:ascii="Aptos" w:hAnsi="Aptos"/>
        </w:rPr>
        <w:t xml:space="preserve">, </w:t>
      </w:r>
      <w:r w:rsidR="00230245" w:rsidRPr="000F1DE5">
        <w:rPr>
          <w:rFonts w:ascii="Aptos" w:hAnsi="Aptos"/>
        </w:rPr>
        <w:t xml:space="preserve">DRAFT Greenhouse Gas Emissions Estimation and Reporting Guidelines for Agriculture, Fisheries and Forestry - </w:t>
      </w:r>
      <w:r w:rsidR="00F15ACA" w:rsidRPr="000F1DE5">
        <w:rPr>
          <w:rFonts w:ascii="Aptos" w:hAnsi="Aptos"/>
        </w:rPr>
        <w:t>Common Requirements Framework</w:t>
      </w:r>
      <w:r w:rsidRPr="000F1DE5">
        <w:rPr>
          <w:rFonts w:ascii="Aptos" w:hAnsi="Aptos"/>
        </w:rPr>
        <w:t xml:space="preserve">, Department of Climate Change, Energy, the Environment and Water, Canberra, </w:t>
      </w:r>
      <w:r w:rsidR="002A619D">
        <w:rPr>
          <w:rFonts w:ascii="Aptos" w:hAnsi="Aptos"/>
        </w:rPr>
        <w:t>March</w:t>
      </w:r>
      <w:r w:rsidRPr="000F1DE5">
        <w:rPr>
          <w:rFonts w:ascii="Aptos" w:hAnsi="Aptos"/>
        </w:rPr>
        <w:t>. CC BY 4.0.</w:t>
      </w:r>
    </w:p>
    <w:p w14:paraId="4EEB237F" w14:textId="77777777" w:rsidR="00950F85" w:rsidRPr="000F1DE5" w:rsidRDefault="00950F85" w:rsidP="00950F85">
      <w:pPr>
        <w:pStyle w:val="Copyright"/>
        <w:rPr>
          <w:rFonts w:ascii="Aptos" w:hAnsi="Aptos"/>
        </w:rPr>
      </w:pPr>
      <w:r w:rsidRPr="000F1DE5">
        <w:rPr>
          <w:rFonts w:ascii="Aptos" w:hAnsi="Aptos"/>
        </w:rPr>
        <w:t>This publication is available at dcceew.gov.au.</w:t>
      </w:r>
    </w:p>
    <w:p w14:paraId="2DBD9E26" w14:textId="77777777" w:rsidR="00950F85" w:rsidRPr="000F1DE5" w:rsidRDefault="00950F85" w:rsidP="00950F85">
      <w:pPr>
        <w:pStyle w:val="Copyright"/>
        <w:rPr>
          <w:rFonts w:ascii="Aptos" w:hAnsi="Aptos"/>
        </w:rPr>
      </w:pPr>
      <w:r w:rsidRPr="000F1DE5">
        <w:rPr>
          <w:rFonts w:ascii="Aptos" w:hAnsi="Aptos"/>
        </w:rPr>
        <w:t>Department of Climate Change, Energy, the Environment and Water</w:t>
      </w:r>
    </w:p>
    <w:p w14:paraId="5E68D791" w14:textId="77777777" w:rsidR="00950F85" w:rsidRPr="000F1DE5" w:rsidRDefault="00950F85" w:rsidP="00950F85">
      <w:pPr>
        <w:pStyle w:val="Copyright"/>
        <w:rPr>
          <w:rFonts w:ascii="Aptos" w:hAnsi="Aptos"/>
        </w:rPr>
      </w:pPr>
      <w:r w:rsidRPr="000F1DE5">
        <w:rPr>
          <w:rFonts w:ascii="Aptos" w:hAnsi="Aptos"/>
        </w:rPr>
        <w:t>GPO Box 3090 Canberra ACT 2601</w:t>
      </w:r>
    </w:p>
    <w:p w14:paraId="7722C59E" w14:textId="77777777" w:rsidR="00950F85" w:rsidRPr="000F1DE5" w:rsidRDefault="00950F85" w:rsidP="00950F85">
      <w:pPr>
        <w:pStyle w:val="Copyright"/>
        <w:rPr>
          <w:rFonts w:ascii="Aptos" w:hAnsi="Aptos"/>
        </w:rPr>
      </w:pPr>
      <w:r w:rsidRPr="000F1DE5">
        <w:rPr>
          <w:rFonts w:ascii="Aptos" w:hAnsi="Aptos"/>
        </w:rPr>
        <w:t>Telephone 1800 920 528</w:t>
      </w:r>
    </w:p>
    <w:p w14:paraId="0C04267A" w14:textId="77777777" w:rsidR="00950F85" w:rsidRPr="000F1DE5" w:rsidRDefault="00950F85" w:rsidP="00950F85">
      <w:pPr>
        <w:pStyle w:val="Copyright"/>
        <w:rPr>
          <w:rFonts w:ascii="Aptos" w:hAnsi="Aptos"/>
        </w:rPr>
      </w:pPr>
      <w:r w:rsidRPr="000F1DE5">
        <w:rPr>
          <w:rFonts w:ascii="Aptos" w:hAnsi="Aptos"/>
        </w:rPr>
        <w:t>Web dcceew.gov.au</w:t>
      </w:r>
    </w:p>
    <w:p w14:paraId="1644D556" w14:textId="77777777" w:rsidR="00950F85" w:rsidRPr="000F1DE5" w:rsidRDefault="00950F85" w:rsidP="00950F85">
      <w:pPr>
        <w:pStyle w:val="Copyright"/>
        <w:rPr>
          <w:rFonts w:ascii="Aptos" w:hAnsi="Aptos"/>
        </w:rPr>
      </w:pPr>
      <w:r w:rsidRPr="000F1DE5">
        <w:rPr>
          <w:rFonts w:ascii="Aptos" w:hAnsi="Aptos"/>
        </w:rPr>
        <w:t>Disclaimer</w:t>
      </w:r>
    </w:p>
    <w:p w14:paraId="69B914DD" w14:textId="77777777" w:rsidR="00950F85" w:rsidRPr="000F1DE5" w:rsidRDefault="00950F85" w:rsidP="00950F85">
      <w:pPr>
        <w:pStyle w:val="Copyright"/>
        <w:rPr>
          <w:rFonts w:ascii="Aptos" w:hAnsi="Aptos"/>
        </w:rPr>
      </w:pPr>
      <w:r w:rsidRPr="000F1DE5">
        <w:rPr>
          <w:rFonts w:ascii="Aptos" w:hAnsi="Aptos"/>
        </w:rPr>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C624D34" w14:textId="77777777" w:rsidR="00950F85" w:rsidRPr="000F1DE5" w:rsidRDefault="00950F85" w:rsidP="00950F85">
      <w:pPr>
        <w:pStyle w:val="Copyright"/>
        <w:rPr>
          <w:rFonts w:ascii="Aptos" w:hAnsi="Aptos"/>
        </w:rPr>
      </w:pPr>
      <w:r w:rsidRPr="000F1DE5">
        <w:rPr>
          <w:rFonts w:ascii="Aptos" w:hAnsi="Aptos"/>
        </w:rPr>
        <w:t>Acknowledgements</w:t>
      </w:r>
    </w:p>
    <w:p w14:paraId="6238CBCF" w14:textId="30F09507" w:rsidR="00950F85" w:rsidRPr="000F1DE5" w:rsidRDefault="00BC7439" w:rsidP="00950F85">
      <w:pPr>
        <w:pStyle w:val="Copyright"/>
        <w:rPr>
          <w:rFonts w:ascii="Aptos" w:hAnsi="Aptos"/>
        </w:rPr>
      </w:pPr>
      <w:r w:rsidRPr="000F1DE5">
        <w:rPr>
          <w:rFonts w:ascii="Aptos" w:hAnsi="Aptos"/>
        </w:rPr>
        <w:t>We thank the Zero Net Emissions Agriculture Cooperative Research Centre and the Voluntary Greenhouse Gas Estimation and Reporting Standards Reference Group for their valued contributions</w:t>
      </w:r>
      <w:r w:rsidR="00905449">
        <w:rPr>
          <w:rFonts w:ascii="Aptos" w:hAnsi="Aptos"/>
        </w:rPr>
        <w:t xml:space="preserve"> </w:t>
      </w:r>
      <w:r w:rsidRPr="000F1DE5">
        <w:rPr>
          <w:rFonts w:ascii="Aptos" w:hAnsi="Aptos"/>
        </w:rPr>
        <w:t>to this document</w:t>
      </w:r>
      <w:r w:rsidR="00950F85" w:rsidRPr="000F1DE5">
        <w:rPr>
          <w:rFonts w:ascii="Aptos" w:hAnsi="Aptos"/>
        </w:rPr>
        <w:t>.</w:t>
      </w:r>
      <w:r w:rsidR="00232746">
        <w:rPr>
          <w:rFonts w:ascii="Aptos" w:hAnsi="Aptos"/>
        </w:rPr>
        <w:t xml:space="preserve"> </w:t>
      </w:r>
      <w:r w:rsidR="00121F16">
        <w:rPr>
          <w:rFonts w:ascii="Aptos" w:hAnsi="Aptos"/>
        </w:rPr>
        <w:t xml:space="preserve">In addition, we wish to thank stakeholders </w:t>
      </w:r>
      <w:r w:rsidR="00905449">
        <w:rPr>
          <w:rFonts w:ascii="Aptos" w:hAnsi="Aptos"/>
        </w:rPr>
        <w:t xml:space="preserve">from </w:t>
      </w:r>
      <w:r w:rsidR="00121F16">
        <w:rPr>
          <w:rFonts w:ascii="Aptos" w:hAnsi="Aptos"/>
        </w:rPr>
        <w:t xml:space="preserve">across the agriculture, fisheries and forestry sectors who have provided detailed and considered </w:t>
      </w:r>
      <w:r w:rsidR="00905449">
        <w:rPr>
          <w:rFonts w:ascii="Aptos" w:hAnsi="Aptos"/>
        </w:rPr>
        <w:t xml:space="preserve">comments on the Common Requirements Framework. </w:t>
      </w:r>
    </w:p>
    <w:p w14:paraId="37EFB138" w14:textId="77777777" w:rsidR="00950F85" w:rsidRPr="000F1DE5" w:rsidRDefault="00950F85" w:rsidP="00950F85">
      <w:pPr>
        <w:pStyle w:val="Copyright"/>
        <w:rPr>
          <w:rFonts w:ascii="Aptos" w:hAnsi="Aptos"/>
        </w:rPr>
      </w:pPr>
      <w:r w:rsidRPr="000F1DE5">
        <w:rPr>
          <w:rFonts w:ascii="Aptos" w:hAnsi="Aptos"/>
        </w:rPr>
        <w:t>Acknowledgement of Country</w:t>
      </w:r>
    </w:p>
    <w:p w14:paraId="016E9634" w14:textId="77777777" w:rsidR="00950F85" w:rsidRPr="000F1DE5" w:rsidRDefault="00950F85" w:rsidP="00950F85">
      <w:pPr>
        <w:pStyle w:val="Copyright"/>
        <w:rPr>
          <w:rFonts w:ascii="Aptos" w:hAnsi="Aptos"/>
        </w:rPr>
      </w:pPr>
      <w:r w:rsidRPr="000F1DE5">
        <w:rPr>
          <w:rFonts w:ascii="Aptos" w:hAnsi="Aptos"/>
        </w:rPr>
        <w:t>We acknowledge the Traditional Owners of Country throughout Australia and recognise their continuing connection to land, waters and culture. We pay our respects to their Elders past and present.</w:t>
      </w:r>
    </w:p>
    <w:p w14:paraId="0FB36020" w14:textId="77777777" w:rsidR="002A06F8" w:rsidRDefault="002A06F8" w:rsidP="002A06F8">
      <w:pPr>
        <w:pStyle w:val="Title"/>
        <w:suppressLineNumbers/>
        <w:jc w:val="center"/>
        <w:rPr>
          <w:rFonts w:ascii="Aptos" w:hAnsi="Aptos"/>
        </w:rPr>
        <w:sectPr w:rsidR="002A06F8" w:rsidSect="00667320">
          <w:headerReference w:type="even" r:id="rId15"/>
          <w:headerReference w:type="default" r:id="rId16"/>
          <w:footerReference w:type="even" r:id="rId17"/>
          <w:footerReference w:type="default" r:id="rId18"/>
          <w:headerReference w:type="first" r:id="rId19"/>
          <w:footerReference w:type="first" r:id="rId20"/>
          <w:pgSz w:w="11906" w:h="16838"/>
          <w:pgMar w:top="1440" w:right="1416" w:bottom="1440" w:left="1440" w:header="708" w:footer="708" w:gutter="0"/>
          <w:cols w:space="708"/>
          <w:docGrid w:linePitch="360"/>
        </w:sectPr>
      </w:pPr>
    </w:p>
    <w:p w14:paraId="1A9BEE5C" w14:textId="77777777" w:rsidR="002A06F8" w:rsidRPr="006475C3" w:rsidRDefault="002A06F8" w:rsidP="006475C3">
      <w:pPr>
        <w:sectPr w:rsidR="002A06F8" w:rsidRPr="006475C3" w:rsidSect="00667320">
          <w:headerReference w:type="default" r:id="rId21"/>
          <w:pgSz w:w="11906" w:h="16838"/>
          <w:pgMar w:top="1440" w:right="1416" w:bottom="1440" w:left="1440" w:header="708" w:footer="708" w:gutter="0"/>
          <w:cols w:space="708"/>
          <w:docGrid w:linePitch="360"/>
        </w:sectPr>
      </w:pPr>
    </w:p>
    <w:sdt>
      <w:sdtPr>
        <w:rPr>
          <w:rFonts w:ascii="Aptos" w:eastAsiaTheme="minorEastAsia" w:hAnsi="Aptos"/>
        </w:rPr>
        <w:id w:val="-1026099756"/>
        <w:docPartObj>
          <w:docPartGallery w:val="Table of Contents"/>
          <w:docPartUnique/>
        </w:docPartObj>
      </w:sdtPr>
      <w:sdtEndPr>
        <w:rPr>
          <w:b/>
          <w:bCs/>
        </w:rPr>
      </w:sdtEndPr>
      <w:sdtContent>
        <w:p w14:paraId="7EB72F22" w14:textId="77777777" w:rsidR="001436D5" w:rsidRDefault="00B801AB">
          <w:pPr>
            <w:pStyle w:val="TOC1"/>
            <w:tabs>
              <w:tab w:val="left" w:pos="440"/>
              <w:tab w:val="right" w:leader="dot" w:pos="9016"/>
            </w:tabs>
            <w:rPr>
              <w:rStyle w:val="TitleChar"/>
              <w:rFonts w:ascii="Aptos" w:hAnsi="Aptos"/>
            </w:rPr>
          </w:pPr>
          <w:r w:rsidRPr="000F1DE5">
            <w:rPr>
              <w:rStyle w:val="TitleChar"/>
              <w:rFonts w:ascii="Aptos" w:hAnsi="Aptos"/>
            </w:rPr>
            <w:t>Contents</w:t>
          </w:r>
        </w:p>
        <w:p w14:paraId="3BA0694B" w14:textId="70D05E4A" w:rsidR="002A06F8" w:rsidRDefault="00762184">
          <w:pPr>
            <w:pStyle w:val="TOC1"/>
            <w:tabs>
              <w:tab w:val="left" w:pos="440"/>
              <w:tab w:val="right" w:leader="dot" w:pos="9016"/>
            </w:tabs>
            <w:rPr>
              <w:rFonts w:eastAsiaTheme="minorEastAsia"/>
              <w:noProof/>
              <w:sz w:val="24"/>
              <w:szCs w:val="24"/>
              <w:lang w:eastAsia="en-AU"/>
            </w:rPr>
          </w:pPr>
          <w:r w:rsidRPr="000F1DE5">
            <w:rPr>
              <w:rFonts w:ascii="Aptos" w:eastAsiaTheme="majorEastAsia" w:hAnsi="Aptos" w:cstheme="majorBidi"/>
              <w:color w:val="0F4761" w:themeColor="accent1" w:themeShade="BF"/>
              <w:kern w:val="0"/>
              <w:sz w:val="32"/>
              <w:szCs w:val="32"/>
              <w:lang w:val="en-US"/>
              <w14:ligatures w14:val="none"/>
            </w:rPr>
            <w:fldChar w:fldCharType="begin"/>
          </w:r>
          <w:r w:rsidRPr="000F1DE5">
            <w:rPr>
              <w:rFonts w:ascii="Aptos" w:hAnsi="Aptos"/>
            </w:rPr>
            <w:instrText xml:space="preserve"> TOC \o "1-2" \h \z \u </w:instrText>
          </w:r>
          <w:r w:rsidRPr="000F1DE5">
            <w:rPr>
              <w:rFonts w:ascii="Aptos" w:eastAsiaTheme="majorEastAsia" w:hAnsi="Aptos" w:cstheme="majorBidi"/>
              <w:color w:val="0F4761" w:themeColor="accent1" w:themeShade="BF"/>
              <w:kern w:val="0"/>
              <w:sz w:val="32"/>
              <w:szCs w:val="32"/>
              <w:lang w:val="en-US"/>
              <w14:ligatures w14:val="none"/>
            </w:rPr>
            <w:fldChar w:fldCharType="separate"/>
          </w:r>
          <w:hyperlink w:anchor="_Toc225269943" w:history="1">
            <w:r w:rsidR="002A06F8" w:rsidRPr="00D0701D">
              <w:rPr>
                <w:rStyle w:val="Hyperlink"/>
                <w:noProof/>
              </w:rPr>
              <w:t>1.</w:t>
            </w:r>
            <w:r w:rsidR="002A06F8">
              <w:rPr>
                <w:rFonts w:eastAsiaTheme="minorEastAsia"/>
                <w:noProof/>
                <w:sz w:val="24"/>
                <w:szCs w:val="24"/>
                <w:lang w:eastAsia="en-AU"/>
              </w:rPr>
              <w:tab/>
            </w:r>
            <w:r w:rsidR="002A06F8" w:rsidRPr="00D0701D">
              <w:rPr>
                <w:rStyle w:val="Hyperlink"/>
                <w:noProof/>
              </w:rPr>
              <w:t>Introduction</w:t>
            </w:r>
            <w:r w:rsidR="002A06F8">
              <w:rPr>
                <w:noProof/>
                <w:webHidden/>
              </w:rPr>
              <w:tab/>
            </w:r>
            <w:r w:rsidR="002A06F8">
              <w:rPr>
                <w:noProof/>
                <w:webHidden/>
              </w:rPr>
              <w:fldChar w:fldCharType="begin"/>
            </w:r>
            <w:r w:rsidR="002A06F8">
              <w:rPr>
                <w:noProof/>
                <w:webHidden/>
              </w:rPr>
              <w:instrText xml:space="preserve"> PAGEREF _Toc225269943 \h </w:instrText>
            </w:r>
            <w:r w:rsidR="002A06F8">
              <w:rPr>
                <w:noProof/>
                <w:webHidden/>
              </w:rPr>
            </w:r>
            <w:r w:rsidR="002A06F8">
              <w:rPr>
                <w:noProof/>
                <w:webHidden/>
              </w:rPr>
              <w:fldChar w:fldCharType="separate"/>
            </w:r>
            <w:r w:rsidR="00877813">
              <w:rPr>
                <w:noProof/>
                <w:webHidden/>
              </w:rPr>
              <w:t>5</w:t>
            </w:r>
            <w:r w:rsidR="002A06F8">
              <w:rPr>
                <w:noProof/>
                <w:webHidden/>
              </w:rPr>
              <w:fldChar w:fldCharType="end"/>
            </w:r>
          </w:hyperlink>
        </w:p>
        <w:p w14:paraId="13F444B4" w14:textId="2E108083" w:rsidR="002A06F8" w:rsidRDefault="002A06F8">
          <w:pPr>
            <w:pStyle w:val="TOC2"/>
            <w:tabs>
              <w:tab w:val="left" w:pos="960"/>
              <w:tab w:val="right" w:leader="dot" w:pos="9016"/>
            </w:tabs>
            <w:rPr>
              <w:rFonts w:eastAsiaTheme="minorEastAsia"/>
              <w:noProof/>
              <w:sz w:val="24"/>
              <w:szCs w:val="24"/>
              <w:lang w:eastAsia="en-AU"/>
            </w:rPr>
          </w:pPr>
          <w:hyperlink w:anchor="_Toc225269944" w:history="1">
            <w:r w:rsidRPr="00D0701D">
              <w:rPr>
                <w:rStyle w:val="Hyperlink"/>
                <w:noProof/>
              </w:rPr>
              <w:t>1.1</w:t>
            </w:r>
            <w:r>
              <w:rPr>
                <w:rFonts w:eastAsiaTheme="minorEastAsia"/>
                <w:noProof/>
                <w:sz w:val="24"/>
                <w:szCs w:val="24"/>
                <w:lang w:eastAsia="en-AU"/>
              </w:rPr>
              <w:tab/>
            </w:r>
            <w:r w:rsidRPr="00D0701D">
              <w:rPr>
                <w:rStyle w:val="Hyperlink"/>
                <w:noProof/>
              </w:rPr>
              <w:t>Context</w:t>
            </w:r>
            <w:r>
              <w:rPr>
                <w:noProof/>
                <w:webHidden/>
              </w:rPr>
              <w:tab/>
            </w:r>
            <w:r>
              <w:rPr>
                <w:noProof/>
                <w:webHidden/>
              </w:rPr>
              <w:fldChar w:fldCharType="begin"/>
            </w:r>
            <w:r>
              <w:rPr>
                <w:noProof/>
                <w:webHidden/>
              </w:rPr>
              <w:instrText xml:space="preserve"> PAGEREF _Toc225269944 \h </w:instrText>
            </w:r>
            <w:r>
              <w:rPr>
                <w:noProof/>
                <w:webHidden/>
              </w:rPr>
            </w:r>
            <w:r>
              <w:rPr>
                <w:noProof/>
                <w:webHidden/>
              </w:rPr>
              <w:fldChar w:fldCharType="separate"/>
            </w:r>
            <w:r w:rsidR="00877813">
              <w:rPr>
                <w:noProof/>
                <w:webHidden/>
              </w:rPr>
              <w:t>5</w:t>
            </w:r>
            <w:r>
              <w:rPr>
                <w:noProof/>
                <w:webHidden/>
              </w:rPr>
              <w:fldChar w:fldCharType="end"/>
            </w:r>
          </w:hyperlink>
        </w:p>
        <w:p w14:paraId="1CFC7ACB" w14:textId="1DD7C838" w:rsidR="002A06F8" w:rsidRDefault="002A06F8">
          <w:pPr>
            <w:pStyle w:val="TOC2"/>
            <w:tabs>
              <w:tab w:val="left" w:pos="960"/>
              <w:tab w:val="right" w:leader="dot" w:pos="9016"/>
            </w:tabs>
            <w:rPr>
              <w:rFonts w:eastAsiaTheme="minorEastAsia"/>
              <w:noProof/>
              <w:sz w:val="24"/>
              <w:szCs w:val="24"/>
              <w:lang w:eastAsia="en-AU"/>
            </w:rPr>
          </w:pPr>
          <w:hyperlink w:anchor="_Toc225269945" w:history="1">
            <w:r w:rsidRPr="00D0701D">
              <w:rPr>
                <w:rStyle w:val="Hyperlink"/>
                <w:noProof/>
              </w:rPr>
              <w:t>1.2</w:t>
            </w:r>
            <w:r>
              <w:rPr>
                <w:rFonts w:eastAsiaTheme="minorEastAsia"/>
                <w:noProof/>
                <w:sz w:val="24"/>
                <w:szCs w:val="24"/>
                <w:lang w:eastAsia="en-AU"/>
              </w:rPr>
              <w:tab/>
            </w:r>
            <w:r w:rsidRPr="00D0701D">
              <w:rPr>
                <w:rStyle w:val="Hyperlink"/>
                <w:noProof/>
              </w:rPr>
              <w:t>The benefits of producing a GHG inventory</w:t>
            </w:r>
            <w:r>
              <w:rPr>
                <w:noProof/>
                <w:webHidden/>
              </w:rPr>
              <w:tab/>
            </w:r>
            <w:r>
              <w:rPr>
                <w:noProof/>
                <w:webHidden/>
              </w:rPr>
              <w:fldChar w:fldCharType="begin"/>
            </w:r>
            <w:r>
              <w:rPr>
                <w:noProof/>
                <w:webHidden/>
              </w:rPr>
              <w:instrText xml:space="preserve"> PAGEREF _Toc225269945 \h </w:instrText>
            </w:r>
            <w:r>
              <w:rPr>
                <w:noProof/>
                <w:webHidden/>
              </w:rPr>
            </w:r>
            <w:r>
              <w:rPr>
                <w:noProof/>
                <w:webHidden/>
              </w:rPr>
              <w:fldChar w:fldCharType="separate"/>
            </w:r>
            <w:r w:rsidR="00877813">
              <w:rPr>
                <w:noProof/>
                <w:webHidden/>
              </w:rPr>
              <w:t>7</w:t>
            </w:r>
            <w:r>
              <w:rPr>
                <w:noProof/>
                <w:webHidden/>
              </w:rPr>
              <w:fldChar w:fldCharType="end"/>
            </w:r>
          </w:hyperlink>
        </w:p>
        <w:p w14:paraId="1CFF8993" w14:textId="096A806C" w:rsidR="002A06F8" w:rsidRDefault="002A06F8">
          <w:pPr>
            <w:pStyle w:val="TOC2"/>
            <w:tabs>
              <w:tab w:val="left" w:pos="960"/>
              <w:tab w:val="right" w:leader="dot" w:pos="9016"/>
            </w:tabs>
            <w:rPr>
              <w:rFonts w:eastAsiaTheme="minorEastAsia"/>
              <w:noProof/>
              <w:sz w:val="24"/>
              <w:szCs w:val="24"/>
              <w:lang w:eastAsia="en-AU"/>
            </w:rPr>
          </w:pPr>
          <w:hyperlink w:anchor="_Toc225269946" w:history="1">
            <w:r w:rsidRPr="00D0701D">
              <w:rPr>
                <w:rStyle w:val="Hyperlink"/>
                <w:noProof/>
              </w:rPr>
              <w:t>1.3</w:t>
            </w:r>
            <w:r>
              <w:rPr>
                <w:rFonts w:eastAsiaTheme="minorEastAsia"/>
                <w:noProof/>
                <w:sz w:val="24"/>
                <w:szCs w:val="24"/>
                <w:lang w:eastAsia="en-AU"/>
              </w:rPr>
              <w:tab/>
            </w:r>
            <w:r w:rsidRPr="00D0701D">
              <w:rPr>
                <w:rStyle w:val="Hyperlink"/>
                <w:noProof/>
              </w:rPr>
              <w:t>Purpose of the Guidelines</w:t>
            </w:r>
            <w:r>
              <w:rPr>
                <w:noProof/>
                <w:webHidden/>
              </w:rPr>
              <w:tab/>
            </w:r>
            <w:r>
              <w:rPr>
                <w:noProof/>
                <w:webHidden/>
              </w:rPr>
              <w:fldChar w:fldCharType="begin"/>
            </w:r>
            <w:r>
              <w:rPr>
                <w:noProof/>
                <w:webHidden/>
              </w:rPr>
              <w:instrText xml:space="preserve"> PAGEREF _Toc225269946 \h </w:instrText>
            </w:r>
            <w:r>
              <w:rPr>
                <w:noProof/>
                <w:webHidden/>
              </w:rPr>
            </w:r>
            <w:r>
              <w:rPr>
                <w:noProof/>
                <w:webHidden/>
              </w:rPr>
              <w:fldChar w:fldCharType="separate"/>
            </w:r>
            <w:r w:rsidR="00877813">
              <w:rPr>
                <w:noProof/>
                <w:webHidden/>
              </w:rPr>
              <w:t>7</w:t>
            </w:r>
            <w:r>
              <w:rPr>
                <w:noProof/>
                <w:webHidden/>
              </w:rPr>
              <w:fldChar w:fldCharType="end"/>
            </w:r>
          </w:hyperlink>
        </w:p>
        <w:p w14:paraId="124D9F5A" w14:textId="40D84E3E" w:rsidR="002A06F8" w:rsidRDefault="002A06F8">
          <w:pPr>
            <w:pStyle w:val="TOC1"/>
            <w:tabs>
              <w:tab w:val="left" w:pos="440"/>
              <w:tab w:val="right" w:leader="dot" w:pos="9016"/>
            </w:tabs>
            <w:rPr>
              <w:rFonts w:eastAsiaTheme="minorEastAsia"/>
              <w:noProof/>
              <w:sz w:val="24"/>
              <w:szCs w:val="24"/>
              <w:lang w:eastAsia="en-AU"/>
            </w:rPr>
          </w:pPr>
          <w:hyperlink w:anchor="_Toc225269947" w:history="1">
            <w:r w:rsidRPr="00D0701D">
              <w:rPr>
                <w:rStyle w:val="Hyperlink"/>
                <w:noProof/>
              </w:rPr>
              <w:t>2.</w:t>
            </w:r>
            <w:r>
              <w:rPr>
                <w:rFonts w:eastAsiaTheme="minorEastAsia"/>
                <w:noProof/>
                <w:sz w:val="24"/>
                <w:szCs w:val="24"/>
                <w:lang w:eastAsia="en-AU"/>
              </w:rPr>
              <w:tab/>
            </w:r>
            <w:r w:rsidRPr="00D0701D">
              <w:rPr>
                <w:rStyle w:val="Hyperlink"/>
                <w:noProof/>
              </w:rPr>
              <w:t>Using the Guidelines</w:t>
            </w:r>
            <w:r>
              <w:rPr>
                <w:noProof/>
                <w:webHidden/>
              </w:rPr>
              <w:tab/>
            </w:r>
            <w:r>
              <w:rPr>
                <w:noProof/>
                <w:webHidden/>
              </w:rPr>
              <w:fldChar w:fldCharType="begin"/>
            </w:r>
            <w:r>
              <w:rPr>
                <w:noProof/>
                <w:webHidden/>
              </w:rPr>
              <w:instrText xml:space="preserve"> PAGEREF _Toc225269947 \h </w:instrText>
            </w:r>
            <w:r>
              <w:rPr>
                <w:noProof/>
                <w:webHidden/>
              </w:rPr>
            </w:r>
            <w:r>
              <w:rPr>
                <w:noProof/>
                <w:webHidden/>
              </w:rPr>
              <w:fldChar w:fldCharType="separate"/>
            </w:r>
            <w:r w:rsidR="00877813">
              <w:rPr>
                <w:noProof/>
                <w:webHidden/>
              </w:rPr>
              <w:t>8</w:t>
            </w:r>
            <w:r>
              <w:rPr>
                <w:noProof/>
                <w:webHidden/>
              </w:rPr>
              <w:fldChar w:fldCharType="end"/>
            </w:r>
          </w:hyperlink>
        </w:p>
        <w:p w14:paraId="46E6F618" w14:textId="06BB6C8D" w:rsidR="002A06F8" w:rsidRDefault="002A06F8">
          <w:pPr>
            <w:pStyle w:val="TOC2"/>
            <w:tabs>
              <w:tab w:val="left" w:pos="960"/>
              <w:tab w:val="right" w:leader="dot" w:pos="9016"/>
            </w:tabs>
            <w:rPr>
              <w:rFonts w:eastAsiaTheme="minorEastAsia"/>
              <w:noProof/>
              <w:sz w:val="24"/>
              <w:szCs w:val="24"/>
              <w:lang w:eastAsia="en-AU"/>
            </w:rPr>
          </w:pPr>
          <w:hyperlink w:anchor="_Toc225269948" w:history="1">
            <w:r w:rsidRPr="00D0701D">
              <w:rPr>
                <w:rStyle w:val="Hyperlink"/>
                <w:noProof/>
              </w:rPr>
              <w:t>2.1</w:t>
            </w:r>
            <w:r>
              <w:rPr>
                <w:rFonts w:eastAsiaTheme="minorEastAsia"/>
                <w:noProof/>
                <w:sz w:val="24"/>
                <w:szCs w:val="24"/>
                <w:lang w:eastAsia="en-AU"/>
              </w:rPr>
              <w:tab/>
            </w:r>
            <w:r w:rsidRPr="00D0701D">
              <w:rPr>
                <w:rStyle w:val="Hyperlink"/>
                <w:noProof/>
              </w:rPr>
              <w:t>Format of the Guidelines</w:t>
            </w:r>
            <w:r>
              <w:rPr>
                <w:noProof/>
                <w:webHidden/>
              </w:rPr>
              <w:tab/>
            </w:r>
            <w:r>
              <w:rPr>
                <w:noProof/>
                <w:webHidden/>
              </w:rPr>
              <w:fldChar w:fldCharType="begin"/>
            </w:r>
            <w:r>
              <w:rPr>
                <w:noProof/>
                <w:webHidden/>
              </w:rPr>
              <w:instrText xml:space="preserve"> PAGEREF _Toc225269948 \h </w:instrText>
            </w:r>
            <w:r>
              <w:rPr>
                <w:noProof/>
                <w:webHidden/>
              </w:rPr>
            </w:r>
            <w:r>
              <w:rPr>
                <w:noProof/>
                <w:webHidden/>
              </w:rPr>
              <w:fldChar w:fldCharType="separate"/>
            </w:r>
            <w:r w:rsidR="00877813">
              <w:rPr>
                <w:noProof/>
                <w:webHidden/>
              </w:rPr>
              <w:t>8</w:t>
            </w:r>
            <w:r>
              <w:rPr>
                <w:noProof/>
                <w:webHidden/>
              </w:rPr>
              <w:fldChar w:fldCharType="end"/>
            </w:r>
          </w:hyperlink>
        </w:p>
        <w:p w14:paraId="257BCB9D" w14:textId="36D08015" w:rsidR="002A06F8" w:rsidRDefault="002A06F8">
          <w:pPr>
            <w:pStyle w:val="TOC2"/>
            <w:tabs>
              <w:tab w:val="left" w:pos="960"/>
              <w:tab w:val="right" w:leader="dot" w:pos="9016"/>
            </w:tabs>
            <w:rPr>
              <w:rFonts w:eastAsiaTheme="minorEastAsia"/>
              <w:noProof/>
              <w:sz w:val="24"/>
              <w:szCs w:val="24"/>
              <w:lang w:eastAsia="en-AU"/>
            </w:rPr>
          </w:pPr>
          <w:hyperlink w:anchor="_Toc225269949" w:history="1">
            <w:r w:rsidRPr="00D0701D">
              <w:rPr>
                <w:rStyle w:val="Hyperlink"/>
                <w:noProof/>
              </w:rPr>
              <w:t>2.2</w:t>
            </w:r>
            <w:r>
              <w:rPr>
                <w:rFonts w:eastAsiaTheme="minorEastAsia"/>
                <w:noProof/>
                <w:sz w:val="24"/>
                <w:szCs w:val="24"/>
                <w:lang w:eastAsia="en-AU"/>
              </w:rPr>
              <w:tab/>
            </w:r>
            <w:r w:rsidRPr="00D0701D">
              <w:rPr>
                <w:rStyle w:val="Hyperlink"/>
                <w:noProof/>
              </w:rPr>
              <w:t>Emissions Scopes</w:t>
            </w:r>
            <w:r>
              <w:rPr>
                <w:noProof/>
                <w:webHidden/>
              </w:rPr>
              <w:tab/>
            </w:r>
            <w:r>
              <w:rPr>
                <w:noProof/>
                <w:webHidden/>
              </w:rPr>
              <w:fldChar w:fldCharType="begin"/>
            </w:r>
            <w:r>
              <w:rPr>
                <w:noProof/>
                <w:webHidden/>
              </w:rPr>
              <w:instrText xml:space="preserve"> PAGEREF _Toc225269949 \h </w:instrText>
            </w:r>
            <w:r>
              <w:rPr>
                <w:noProof/>
                <w:webHidden/>
              </w:rPr>
            </w:r>
            <w:r>
              <w:rPr>
                <w:noProof/>
                <w:webHidden/>
              </w:rPr>
              <w:fldChar w:fldCharType="separate"/>
            </w:r>
            <w:r w:rsidR="00877813">
              <w:rPr>
                <w:noProof/>
                <w:webHidden/>
              </w:rPr>
              <w:t>9</w:t>
            </w:r>
            <w:r>
              <w:rPr>
                <w:noProof/>
                <w:webHidden/>
              </w:rPr>
              <w:fldChar w:fldCharType="end"/>
            </w:r>
          </w:hyperlink>
        </w:p>
        <w:p w14:paraId="193F1829" w14:textId="44C6D541" w:rsidR="002A06F8" w:rsidRDefault="002A06F8">
          <w:pPr>
            <w:pStyle w:val="TOC2"/>
            <w:tabs>
              <w:tab w:val="left" w:pos="960"/>
              <w:tab w:val="right" w:leader="dot" w:pos="9016"/>
            </w:tabs>
            <w:rPr>
              <w:rFonts w:eastAsiaTheme="minorEastAsia"/>
              <w:noProof/>
              <w:sz w:val="24"/>
              <w:szCs w:val="24"/>
              <w:lang w:eastAsia="en-AU"/>
            </w:rPr>
          </w:pPr>
          <w:hyperlink w:anchor="_Toc225269950" w:history="1">
            <w:r w:rsidRPr="00D0701D">
              <w:rPr>
                <w:rStyle w:val="Hyperlink"/>
                <w:noProof/>
              </w:rPr>
              <w:t>2.3</w:t>
            </w:r>
            <w:r>
              <w:rPr>
                <w:rFonts w:eastAsiaTheme="minorEastAsia"/>
                <w:noProof/>
                <w:sz w:val="24"/>
                <w:szCs w:val="24"/>
                <w:lang w:eastAsia="en-AU"/>
              </w:rPr>
              <w:tab/>
            </w:r>
            <w:r w:rsidRPr="00D0701D">
              <w:rPr>
                <w:rStyle w:val="Hyperlink"/>
                <w:noProof/>
              </w:rPr>
              <w:t>Coverage and limitations of the Guidelines</w:t>
            </w:r>
            <w:r>
              <w:rPr>
                <w:noProof/>
                <w:webHidden/>
              </w:rPr>
              <w:tab/>
            </w:r>
            <w:r>
              <w:rPr>
                <w:noProof/>
                <w:webHidden/>
              </w:rPr>
              <w:fldChar w:fldCharType="begin"/>
            </w:r>
            <w:r>
              <w:rPr>
                <w:noProof/>
                <w:webHidden/>
              </w:rPr>
              <w:instrText xml:space="preserve"> PAGEREF _Toc225269950 \h </w:instrText>
            </w:r>
            <w:r>
              <w:rPr>
                <w:noProof/>
                <w:webHidden/>
              </w:rPr>
            </w:r>
            <w:r>
              <w:rPr>
                <w:noProof/>
                <w:webHidden/>
              </w:rPr>
              <w:fldChar w:fldCharType="separate"/>
            </w:r>
            <w:r w:rsidR="00877813">
              <w:rPr>
                <w:noProof/>
                <w:webHidden/>
              </w:rPr>
              <w:t>9</w:t>
            </w:r>
            <w:r>
              <w:rPr>
                <w:noProof/>
                <w:webHidden/>
              </w:rPr>
              <w:fldChar w:fldCharType="end"/>
            </w:r>
          </w:hyperlink>
        </w:p>
        <w:p w14:paraId="248E935F" w14:textId="0171DEF5" w:rsidR="002A06F8" w:rsidRDefault="002A06F8">
          <w:pPr>
            <w:pStyle w:val="TOC2"/>
            <w:tabs>
              <w:tab w:val="left" w:pos="960"/>
              <w:tab w:val="right" w:leader="dot" w:pos="9016"/>
            </w:tabs>
            <w:rPr>
              <w:rFonts w:eastAsiaTheme="minorEastAsia"/>
              <w:noProof/>
              <w:sz w:val="24"/>
              <w:szCs w:val="24"/>
              <w:lang w:eastAsia="en-AU"/>
            </w:rPr>
          </w:pPr>
          <w:hyperlink w:anchor="_Toc225269951" w:history="1">
            <w:r w:rsidRPr="00D0701D">
              <w:rPr>
                <w:rStyle w:val="Hyperlink"/>
                <w:noProof/>
              </w:rPr>
              <w:t>2.4</w:t>
            </w:r>
            <w:r>
              <w:rPr>
                <w:rFonts w:eastAsiaTheme="minorEastAsia"/>
                <w:noProof/>
                <w:sz w:val="24"/>
                <w:szCs w:val="24"/>
                <w:lang w:eastAsia="en-AU"/>
              </w:rPr>
              <w:tab/>
            </w:r>
            <w:r w:rsidRPr="00D0701D">
              <w:rPr>
                <w:rStyle w:val="Hyperlink"/>
                <w:noProof/>
              </w:rPr>
              <w:t>Steps to develop a GHG inventory</w:t>
            </w:r>
            <w:r>
              <w:rPr>
                <w:noProof/>
                <w:webHidden/>
              </w:rPr>
              <w:tab/>
            </w:r>
            <w:r>
              <w:rPr>
                <w:noProof/>
                <w:webHidden/>
              </w:rPr>
              <w:fldChar w:fldCharType="begin"/>
            </w:r>
            <w:r>
              <w:rPr>
                <w:noProof/>
                <w:webHidden/>
              </w:rPr>
              <w:instrText xml:space="preserve"> PAGEREF _Toc225269951 \h </w:instrText>
            </w:r>
            <w:r>
              <w:rPr>
                <w:noProof/>
                <w:webHidden/>
              </w:rPr>
            </w:r>
            <w:r>
              <w:rPr>
                <w:noProof/>
                <w:webHidden/>
              </w:rPr>
              <w:fldChar w:fldCharType="separate"/>
            </w:r>
            <w:r w:rsidR="00877813">
              <w:rPr>
                <w:noProof/>
                <w:webHidden/>
              </w:rPr>
              <w:t>13</w:t>
            </w:r>
            <w:r>
              <w:rPr>
                <w:noProof/>
                <w:webHidden/>
              </w:rPr>
              <w:fldChar w:fldCharType="end"/>
            </w:r>
          </w:hyperlink>
        </w:p>
        <w:p w14:paraId="0CB85904" w14:textId="267557DC" w:rsidR="002A06F8" w:rsidRDefault="002A06F8">
          <w:pPr>
            <w:pStyle w:val="TOC1"/>
            <w:tabs>
              <w:tab w:val="left" w:pos="440"/>
              <w:tab w:val="right" w:leader="dot" w:pos="9016"/>
            </w:tabs>
            <w:rPr>
              <w:rFonts w:eastAsiaTheme="minorEastAsia"/>
              <w:noProof/>
              <w:sz w:val="24"/>
              <w:szCs w:val="24"/>
              <w:lang w:eastAsia="en-AU"/>
            </w:rPr>
          </w:pPr>
          <w:hyperlink w:anchor="_Toc225269952" w:history="1">
            <w:r w:rsidRPr="00D0701D">
              <w:rPr>
                <w:rStyle w:val="Hyperlink"/>
                <w:noProof/>
              </w:rPr>
              <w:t>3.</w:t>
            </w:r>
            <w:r>
              <w:rPr>
                <w:rFonts w:eastAsiaTheme="minorEastAsia"/>
                <w:noProof/>
                <w:sz w:val="24"/>
                <w:szCs w:val="24"/>
                <w:lang w:eastAsia="en-AU"/>
              </w:rPr>
              <w:tab/>
            </w:r>
            <w:r w:rsidRPr="00D0701D">
              <w:rPr>
                <w:rStyle w:val="Hyperlink"/>
                <w:noProof/>
              </w:rPr>
              <w:t>Principles for GHG inventories</w:t>
            </w:r>
            <w:r>
              <w:rPr>
                <w:noProof/>
                <w:webHidden/>
              </w:rPr>
              <w:tab/>
            </w:r>
            <w:r>
              <w:rPr>
                <w:noProof/>
                <w:webHidden/>
              </w:rPr>
              <w:fldChar w:fldCharType="begin"/>
            </w:r>
            <w:r>
              <w:rPr>
                <w:noProof/>
                <w:webHidden/>
              </w:rPr>
              <w:instrText xml:space="preserve"> PAGEREF _Toc225269952 \h </w:instrText>
            </w:r>
            <w:r>
              <w:rPr>
                <w:noProof/>
                <w:webHidden/>
              </w:rPr>
            </w:r>
            <w:r>
              <w:rPr>
                <w:noProof/>
                <w:webHidden/>
              </w:rPr>
              <w:fldChar w:fldCharType="separate"/>
            </w:r>
            <w:r w:rsidR="00877813">
              <w:rPr>
                <w:noProof/>
                <w:webHidden/>
              </w:rPr>
              <w:t>14</w:t>
            </w:r>
            <w:r>
              <w:rPr>
                <w:noProof/>
                <w:webHidden/>
              </w:rPr>
              <w:fldChar w:fldCharType="end"/>
            </w:r>
          </w:hyperlink>
        </w:p>
        <w:p w14:paraId="173B9618" w14:textId="016CB665" w:rsidR="002A06F8" w:rsidRDefault="002A06F8">
          <w:pPr>
            <w:pStyle w:val="TOC1"/>
            <w:tabs>
              <w:tab w:val="left" w:pos="440"/>
              <w:tab w:val="right" w:leader="dot" w:pos="9016"/>
            </w:tabs>
            <w:rPr>
              <w:rFonts w:eastAsiaTheme="minorEastAsia"/>
              <w:noProof/>
              <w:sz w:val="24"/>
              <w:szCs w:val="24"/>
              <w:lang w:eastAsia="en-AU"/>
            </w:rPr>
          </w:pPr>
          <w:hyperlink w:anchor="_Toc225269953" w:history="1">
            <w:r w:rsidRPr="00D0701D">
              <w:rPr>
                <w:rStyle w:val="Hyperlink"/>
                <w:noProof/>
              </w:rPr>
              <w:t>4.</w:t>
            </w:r>
            <w:r>
              <w:rPr>
                <w:rFonts w:eastAsiaTheme="minorEastAsia"/>
                <w:noProof/>
                <w:sz w:val="24"/>
                <w:szCs w:val="24"/>
                <w:lang w:eastAsia="en-AU"/>
              </w:rPr>
              <w:tab/>
            </w:r>
            <w:r w:rsidRPr="00D0701D">
              <w:rPr>
                <w:rStyle w:val="Hyperlink"/>
                <w:noProof/>
              </w:rPr>
              <w:t>Defining the goal of a GHG inventory</w:t>
            </w:r>
            <w:r>
              <w:rPr>
                <w:noProof/>
                <w:webHidden/>
              </w:rPr>
              <w:tab/>
            </w:r>
            <w:r>
              <w:rPr>
                <w:noProof/>
                <w:webHidden/>
              </w:rPr>
              <w:fldChar w:fldCharType="begin"/>
            </w:r>
            <w:r>
              <w:rPr>
                <w:noProof/>
                <w:webHidden/>
              </w:rPr>
              <w:instrText xml:space="preserve"> PAGEREF _Toc225269953 \h </w:instrText>
            </w:r>
            <w:r>
              <w:rPr>
                <w:noProof/>
                <w:webHidden/>
              </w:rPr>
            </w:r>
            <w:r>
              <w:rPr>
                <w:noProof/>
                <w:webHidden/>
              </w:rPr>
              <w:fldChar w:fldCharType="separate"/>
            </w:r>
            <w:r w:rsidR="00877813">
              <w:rPr>
                <w:noProof/>
                <w:webHidden/>
              </w:rPr>
              <w:t>14</w:t>
            </w:r>
            <w:r>
              <w:rPr>
                <w:noProof/>
                <w:webHidden/>
              </w:rPr>
              <w:fldChar w:fldCharType="end"/>
            </w:r>
          </w:hyperlink>
        </w:p>
        <w:p w14:paraId="63F9CD90" w14:textId="407EE95D" w:rsidR="002A06F8" w:rsidRDefault="002A06F8">
          <w:pPr>
            <w:pStyle w:val="TOC1"/>
            <w:tabs>
              <w:tab w:val="left" w:pos="440"/>
              <w:tab w:val="right" w:leader="dot" w:pos="9016"/>
            </w:tabs>
            <w:rPr>
              <w:rFonts w:eastAsiaTheme="minorEastAsia"/>
              <w:noProof/>
              <w:sz w:val="24"/>
              <w:szCs w:val="24"/>
              <w:lang w:eastAsia="en-AU"/>
            </w:rPr>
          </w:pPr>
          <w:hyperlink w:anchor="_Toc225269954" w:history="1">
            <w:r w:rsidRPr="00D0701D">
              <w:rPr>
                <w:rStyle w:val="Hyperlink"/>
                <w:noProof/>
              </w:rPr>
              <w:t>5.</w:t>
            </w:r>
            <w:r>
              <w:rPr>
                <w:rFonts w:eastAsiaTheme="minorEastAsia"/>
                <w:noProof/>
                <w:sz w:val="24"/>
                <w:szCs w:val="24"/>
                <w:lang w:eastAsia="en-AU"/>
              </w:rPr>
              <w:tab/>
            </w:r>
            <w:r w:rsidRPr="00D0701D">
              <w:rPr>
                <w:rStyle w:val="Hyperlink"/>
                <w:noProof/>
              </w:rPr>
              <w:t>Defining boundaries</w:t>
            </w:r>
            <w:r>
              <w:rPr>
                <w:noProof/>
                <w:webHidden/>
              </w:rPr>
              <w:tab/>
            </w:r>
            <w:r>
              <w:rPr>
                <w:noProof/>
                <w:webHidden/>
              </w:rPr>
              <w:fldChar w:fldCharType="begin"/>
            </w:r>
            <w:r>
              <w:rPr>
                <w:noProof/>
                <w:webHidden/>
              </w:rPr>
              <w:instrText xml:space="preserve"> PAGEREF _Toc225269954 \h </w:instrText>
            </w:r>
            <w:r>
              <w:rPr>
                <w:noProof/>
                <w:webHidden/>
              </w:rPr>
            </w:r>
            <w:r>
              <w:rPr>
                <w:noProof/>
                <w:webHidden/>
              </w:rPr>
              <w:fldChar w:fldCharType="separate"/>
            </w:r>
            <w:r w:rsidR="00877813">
              <w:rPr>
                <w:noProof/>
                <w:webHidden/>
              </w:rPr>
              <w:t>16</w:t>
            </w:r>
            <w:r>
              <w:rPr>
                <w:noProof/>
                <w:webHidden/>
              </w:rPr>
              <w:fldChar w:fldCharType="end"/>
            </w:r>
          </w:hyperlink>
        </w:p>
        <w:p w14:paraId="01500C05" w14:textId="1A686169" w:rsidR="002A06F8" w:rsidRDefault="002A06F8">
          <w:pPr>
            <w:pStyle w:val="TOC2"/>
            <w:tabs>
              <w:tab w:val="left" w:pos="960"/>
              <w:tab w:val="right" w:leader="dot" w:pos="9016"/>
            </w:tabs>
            <w:rPr>
              <w:rFonts w:eastAsiaTheme="minorEastAsia"/>
              <w:noProof/>
              <w:sz w:val="24"/>
              <w:szCs w:val="24"/>
              <w:lang w:eastAsia="en-AU"/>
            </w:rPr>
          </w:pPr>
          <w:hyperlink w:anchor="_Toc225269955" w:history="1">
            <w:r w:rsidRPr="00D0701D">
              <w:rPr>
                <w:rStyle w:val="Hyperlink"/>
                <w:noProof/>
              </w:rPr>
              <w:t>5.1</w:t>
            </w:r>
            <w:r>
              <w:rPr>
                <w:rFonts w:eastAsiaTheme="minorEastAsia"/>
                <w:noProof/>
                <w:sz w:val="24"/>
                <w:szCs w:val="24"/>
                <w:lang w:eastAsia="en-AU"/>
              </w:rPr>
              <w:tab/>
            </w:r>
            <w:r w:rsidRPr="00D0701D">
              <w:rPr>
                <w:rStyle w:val="Hyperlink"/>
                <w:noProof/>
              </w:rPr>
              <w:t>Organisational boundary</w:t>
            </w:r>
            <w:r>
              <w:rPr>
                <w:noProof/>
                <w:webHidden/>
              </w:rPr>
              <w:tab/>
            </w:r>
            <w:r>
              <w:rPr>
                <w:noProof/>
                <w:webHidden/>
              </w:rPr>
              <w:fldChar w:fldCharType="begin"/>
            </w:r>
            <w:r>
              <w:rPr>
                <w:noProof/>
                <w:webHidden/>
              </w:rPr>
              <w:instrText xml:space="preserve"> PAGEREF _Toc225269955 \h </w:instrText>
            </w:r>
            <w:r>
              <w:rPr>
                <w:noProof/>
                <w:webHidden/>
              </w:rPr>
            </w:r>
            <w:r>
              <w:rPr>
                <w:noProof/>
                <w:webHidden/>
              </w:rPr>
              <w:fldChar w:fldCharType="separate"/>
            </w:r>
            <w:r w:rsidR="00877813">
              <w:rPr>
                <w:noProof/>
                <w:webHidden/>
              </w:rPr>
              <w:t>16</w:t>
            </w:r>
            <w:r>
              <w:rPr>
                <w:noProof/>
                <w:webHidden/>
              </w:rPr>
              <w:fldChar w:fldCharType="end"/>
            </w:r>
          </w:hyperlink>
        </w:p>
        <w:p w14:paraId="76E9D535" w14:textId="5B585555" w:rsidR="002A06F8" w:rsidRDefault="002A06F8">
          <w:pPr>
            <w:pStyle w:val="TOC2"/>
            <w:tabs>
              <w:tab w:val="left" w:pos="960"/>
              <w:tab w:val="right" w:leader="dot" w:pos="9016"/>
            </w:tabs>
            <w:rPr>
              <w:rFonts w:eastAsiaTheme="minorEastAsia"/>
              <w:noProof/>
              <w:sz w:val="24"/>
              <w:szCs w:val="24"/>
              <w:lang w:eastAsia="en-AU"/>
            </w:rPr>
          </w:pPr>
          <w:hyperlink w:anchor="_Toc225269956" w:history="1">
            <w:r w:rsidRPr="00D0701D">
              <w:rPr>
                <w:rStyle w:val="Hyperlink"/>
                <w:noProof/>
              </w:rPr>
              <w:t>5.2</w:t>
            </w:r>
            <w:r>
              <w:rPr>
                <w:rFonts w:eastAsiaTheme="minorEastAsia"/>
                <w:noProof/>
                <w:sz w:val="24"/>
                <w:szCs w:val="24"/>
                <w:lang w:eastAsia="en-AU"/>
              </w:rPr>
              <w:tab/>
            </w:r>
            <w:r w:rsidRPr="00D0701D">
              <w:rPr>
                <w:rStyle w:val="Hyperlink"/>
                <w:noProof/>
              </w:rPr>
              <w:t>Reporting boundary</w:t>
            </w:r>
            <w:r>
              <w:rPr>
                <w:noProof/>
                <w:webHidden/>
              </w:rPr>
              <w:tab/>
            </w:r>
            <w:r>
              <w:rPr>
                <w:noProof/>
                <w:webHidden/>
              </w:rPr>
              <w:fldChar w:fldCharType="begin"/>
            </w:r>
            <w:r>
              <w:rPr>
                <w:noProof/>
                <w:webHidden/>
              </w:rPr>
              <w:instrText xml:space="preserve"> PAGEREF _Toc225269956 \h </w:instrText>
            </w:r>
            <w:r>
              <w:rPr>
                <w:noProof/>
                <w:webHidden/>
              </w:rPr>
            </w:r>
            <w:r>
              <w:rPr>
                <w:noProof/>
                <w:webHidden/>
              </w:rPr>
              <w:fldChar w:fldCharType="separate"/>
            </w:r>
            <w:r w:rsidR="00877813">
              <w:rPr>
                <w:noProof/>
                <w:webHidden/>
              </w:rPr>
              <w:t>17</w:t>
            </w:r>
            <w:r>
              <w:rPr>
                <w:noProof/>
                <w:webHidden/>
              </w:rPr>
              <w:fldChar w:fldCharType="end"/>
            </w:r>
          </w:hyperlink>
        </w:p>
        <w:p w14:paraId="03A557B5" w14:textId="1BE1A7DA" w:rsidR="002A06F8" w:rsidRDefault="002A06F8">
          <w:pPr>
            <w:pStyle w:val="TOC1"/>
            <w:tabs>
              <w:tab w:val="left" w:pos="440"/>
              <w:tab w:val="right" w:leader="dot" w:pos="9016"/>
            </w:tabs>
            <w:rPr>
              <w:rFonts w:eastAsiaTheme="minorEastAsia"/>
              <w:noProof/>
              <w:sz w:val="24"/>
              <w:szCs w:val="24"/>
              <w:lang w:eastAsia="en-AU"/>
            </w:rPr>
          </w:pPr>
          <w:hyperlink w:anchor="_Toc225269957" w:history="1">
            <w:r w:rsidRPr="00D0701D">
              <w:rPr>
                <w:rStyle w:val="Hyperlink"/>
                <w:noProof/>
              </w:rPr>
              <w:t>6.</w:t>
            </w:r>
            <w:r>
              <w:rPr>
                <w:rFonts w:eastAsiaTheme="minorEastAsia"/>
                <w:noProof/>
                <w:sz w:val="24"/>
                <w:szCs w:val="24"/>
                <w:lang w:eastAsia="en-AU"/>
              </w:rPr>
              <w:tab/>
            </w:r>
            <w:r w:rsidRPr="00D0701D">
              <w:rPr>
                <w:rStyle w:val="Hyperlink"/>
                <w:noProof/>
              </w:rPr>
              <w:t>Estimating GHG emissions and removals</w:t>
            </w:r>
            <w:r>
              <w:rPr>
                <w:noProof/>
                <w:webHidden/>
              </w:rPr>
              <w:tab/>
            </w:r>
            <w:r>
              <w:rPr>
                <w:noProof/>
                <w:webHidden/>
              </w:rPr>
              <w:fldChar w:fldCharType="begin"/>
            </w:r>
            <w:r>
              <w:rPr>
                <w:noProof/>
                <w:webHidden/>
              </w:rPr>
              <w:instrText xml:space="preserve"> PAGEREF _Toc225269957 \h </w:instrText>
            </w:r>
            <w:r>
              <w:rPr>
                <w:noProof/>
                <w:webHidden/>
              </w:rPr>
            </w:r>
            <w:r>
              <w:rPr>
                <w:noProof/>
                <w:webHidden/>
              </w:rPr>
              <w:fldChar w:fldCharType="separate"/>
            </w:r>
            <w:r w:rsidR="00877813">
              <w:rPr>
                <w:noProof/>
                <w:webHidden/>
              </w:rPr>
              <w:t>20</w:t>
            </w:r>
            <w:r>
              <w:rPr>
                <w:noProof/>
                <w:webHidden/>
              </w:rPr>
              <w:fldChar w:fldCharType="end"/>
            </w:r>
          </w:hyperlink>
        </w:p>
        <w:p w14:paraId="792266BC" w14:textId="4DF2A74D" w:rsidR="002A06F8" w:rsidRDefault="002A06F8">
          <w:pPr>
            <w:pStyle w:val="TOC2"/>
            <w:tabs>
              <w:tab w:val="left" w:pos="960"/>
              <w:tab w:val="right" w:leader="dot" w:pos="9016"/>
            </w:tabs>
            <w:rPr>
              <w:rFonts w:eastAsiaTheme="minorEastAsia"/>
              <w:noProof/>
              <w:sz w:val="24"/>
              <w:szCs w:val="24"/>
              <w:lang w:eastAsia="en-AU"/>
            </w:rPr>
          </w:pPr>
          <w:hyperlink w:anchor="_Toc225269958" w:history="1">
            <w:r w:rsidRPr="00D0701D">
              <w:rPr>
                <w:rStyle w:val="Hyperlink"/>
                <w:noProof/>
              </w:rPr>
              <w:t>6.1</w:t>
            </w:r>
            <w:r>
              <w:rPr>
                <w:rFonts w:eastAsiaTheme="minorEastAsia"/>
                <w:noProof/>
                <w:sz w:val="24"/>
                <w:szCs w:val="24"/>
                <w:lang w:eastAsia="en-AU"/>
              </w:rPr>
              <w:tab/>
            </w:r>
            <w:r w:rsidRPr="00D0701D">
              <w:rPr>
                <w:rStyle w:val="Hyperlink"/>
                <w:noProof/>
              </w:rPr>
              <w:t>Select the calculation method</w:t>
            </w:r>
            <w:r>
              <w:rPr>
                <w:noProof/>
                <w:webHidden/>
              </w:rPr>
              <w:tab/>
            </w:r>
            <w:r>
              <w:rPr>
                <w:noProof/>
                <w:webHidden/>
              </w:rPr>
              <w:fldChar w:fldCharType="begin"/>
            </w:r>
            <w:r>
              <w:rPr>
                <w:noProof/>
                <w:webHidden/>
              </w:rPr>
              <w:instrText xml:space="preserve"> PAGEREF _Toc225269958 \h </w:instrText>
            </w:r>
            <w:r>
              <w:rPr>
                <w:noProof/>
                <w:webHidden/>
              </w:rPr>
            </w:r>
            <w:r>
              <w:rPr>
                <w:noProof/>
                <w:webHidden/>
              </w:rPr>
              <w:fldChar w:fldCharType="separate"/>
            </w:r>
            <w:r w:rsidR="00877813">
              <w:rPr>
                <w:noProof/>
                <w:webHidden/>
              </w:rPr>
              <w:t>21</w:t>
            </w:r>
            <w:r>
              <w:rPr>
                <w:noProof/>
                <w:webHidden/>
              </w:rPr>
              <w:fldChar w:fldCharType="end"/>
            </w:r>
          </w:hyperlink>
        </w:p>
        <w:p w14:paraId="37CC2C0A" w14:textId="0295BE3B" w:rsidR="002A06F8" w:rsidRDefault="002A06F8">
          <w:pPr>
            <w:pStyle w:val="TOC2"/>
            <w:tabs>
              <w:tab w:val="left" w:pos="960"/>
              <w:tab w:val="right" w:leader="dot" w:pos="9016"/>
            </w:tabs>
            <w:rPr>
              <w:rFonts w:eastAsiaTheme="minorEastAsia"/>
              <w:noProof/>
              <w:sz w:val="24"/>
              <w:szCs w:val="24"/>
              <w:lang w:eastAsia="en-AU"/>
            </w:rPr>
          </w:pPr>
          <w:hyperlink w:anchor="_Toc225269959" w:history="1">
            <w:r w:rsidRPr="00D0701D">
              <w:rPr>
                <w:rStyle w:val="Hyperlink"/>
                <w:noProof/>
              </w:rPr>
              <w:t>6.2</w:t>
            </w:r>
            <w:r>
              <w:rPr>
                <w:rFonts w:eastAsiaTheme="minorEastAsia"/>
                <w:noProof/>
                <w:sz w:val="24"/>
                <w:szCs w:val="24"/>
                <w:lang w:eastAsia="en-AU"/>
              </w:rPr>
              <w:tab/>
            </w:r>
            <w:r w:rsidRPr="00D0701D">
              <w:rPr>
                <w:rStyle w:val="Hyperlink"/>
                <w:noProof/>
              </w:rPr>
              <w:t>Collect data required for estimation</w:t>
            </w:r>
            <w:r>
              <w:rPr>
                <w:noProof/>
                <w:webHidden/>
              </w:rPr>
              <w:tab/>
            </w:r>
            <w:r>
              <w:rPr>
                <w:noProof/>
                <w:webHidden/>
              </w:rPr>
              <w:fldChar w:fldCharType="begin"/>
            </w:r>
            <w:r>
              <w:rPr>
                <w:noProof/>
                <w:webHidden/>
              </w:rPr>
              <w:instrText xml:space="preserve"> PAGEREF _Toc225269959 \h </w:instrText>
            </w:r>
            <w:r>
              <w:rPr>
                <w:noProof/>
                <w:webHidden/>
              </w:rPr>
            </w:r>
            <w:r>
              <w:rPr>
                <w:noProof/>
                <w:webHidden/>
              </w:rPr>
              <w:fldChar w:fldCharType="separate"/>
            </w:r>
            <w:r w:rsidR="00877813">
              <w:rPr>
                <w:noProof/>
                <w:webHidden/>
              </w:rPr>
              <w:t>22</w:t>
            </w:r>
            <w:r>
              <w:rPr>
                <w:noProof/>
                <w:webHidden/>
              </w:rPr>
              <w:fldChar w:fldCharType="end"/>
            </w:r>
          </w:hyperlink>
        </w:p>
        <w:p w14:paraId="2EC24B48" w14:textId="7C09444C" w:rsidR="002A06F8" w:rsidRDefault="002A06F8">
          <w:pPr>
            <w:pStyle w:val="TOC2"/>
            <w:tabs>
              <w:tab w:val="left" w:pos="960"/>
              <w:tab w:val="right" w:leader="dot" w:pos="9016"/>
            </w:tabs>
            <w:rPr>
              <w:rFonts w:eastAsiaTheme="minorEastAsia"/>
              <w:noProof/>
              <w:sz w:val="24"/>
              <w:szCs w:val="24"/>
              <w:lang w:eastAsia="en-AU"/>
            </w:rPr>
          </w:pPr>
          <w:hyperlink w:anchor="_Toc225269960" w:history="1">
            <w:r w:rsidRPr="00D0701D">
              <w:rPr>
                <w:rStyle w:val="Hyperlink"/>
                <w:noProof/>
              </w:rPr>
              <w:t>6.3</w:t>
            </w:r>
            <w:r>
              <w:rPr>
                <w:rFonts w:eastAsiaTheme="minorEastAsia"/>
                <w:noProof/>
                <w:sz w:val="24"/>
                <w:szCs w:val="24"/>
                <w:lang w:eastAsia="en-AU"/>
              </w:rPr>
              <w:tab/>
            </w:r>
            <w:r w:rsidRPr="00D0701D">
              <w:rPr>
                <w:rStyle w:val="Hyperlink"/>
                <w:noProof/>
              </w:rPr>
              <w:t>Calculate GHG emissions and removals</w:t>
            </w:r>
            <w:r>
              <w:rPr>
                <w:noProof/>
                <w:webHidden/>
              </w:rPr>
              <w:tab/>
            </w:r>
            <w:r>
              <w:rPr>
                <w:noProof/>
                <w:webHidden/>
              </w:rPr>
              <w:fldChar w:fldCharType="begin"/>
            </w:r>
            <w:r>
              <w:rPr>
                <w:noProof/>
                <w:webHidden/>
              </w:rPr>
              <w:instrText xml:space="preserve"> PAGEREF _Toc225269960 \h </w:instrText>
            </w:r>
            <w:r>
              <w:rPr>
                <w:noProof/>
                <w:webHidden/>
              </w:rPr>
            </w:r>
            <w:r>
              <w:rPr>
                <w:noProof/>
                <w:webHidden/>
              </w:rPr>
              <w:fldChar w:fldCharType="separate"/>
            </w:r>
            <w:r w:rsidR="00877813">
              <w:rPr>
                <w:noProof/>
                <w:webHidden/>
              </w:rPr>
              <w:t>22</w:t>
            </w:r>
            <w:r>
              <w:rPr>
                <w:noProof/>
                <w:webHidden/>
              </w:rPr>
              <w:fldChar w:fldCharType="end"/>
            </w:r>
          </w:hyperlink>
        </w:p>
        <w:p w14:paraId="6ECEE637" w14:textId="07C9FD2C" w:rsidR="002A06F8" w:rsidRDefault="002A06F8">
          <w:pPr>
            <w:pStyle w:val="TOC2"/>
            <w:tabs>
              <w:tab w:val="left" w:pos="960"/>
              <w:tab w:val="right" w:leader="dot" w:pos="9016"/>
            </w:tabs>
            <w:rPr>
              <w:rFonts w:eastAsiaTheme="minorEastAsia"/>
              <w:noProof/>
              <w:sz w:val="24"/>
              <w:szCs w:val="24"/>
              <w:lang w:eastAsia="en-AU"/>
            </w:rPr>
          </w:pPr>
          <w:hyperlink w:anchor="_Toc225269961" w:history="1">
            <w:r w:rsidRPr="00D0701D">
              <w:rPr>
                <w:rStyle w:val="Hyperlink"/>
                <w:noProof/>
              </w:rPr>
              <w:t>6.4</w:t>
            </w:r>
            <w:r>
              <w:rPr>
                <w:rFonts w:eastAsiaTheme="minorEastAsia"/>
                <w:noProof/>
                <w:sz w:val="24"/>
                <w:szCs w:val="24"/>
                <w:lang w:eastAsia="en-AU"/>
              </w:rPr>
              <w:tab/>
            </w:r>
            <w:r w:rsidRPr="00D0701D">
              <w:rPr>
                <w:rStyle w:val="Hyperlink"/>
                <w:noProof/>
              </w:rPr>
              <w:t>Land use, land use change and forestry methods</w:t>
            </w:r>
            <w:r>
              <w:rPr>
                <w:noProof/>
                <w:webHidden/>
              </w:rPr>
              <w:tab/>
            </w:r>
            <w:r>
              <w:rPr>
                <w:noProof/>
                <w:webHidden/>
              </w:rPr>
              <w:fldChar w:fldCharType="begin"/>
            </w:r>
            <w:r>
              <w:rPr>
                <w:noProof/>
                <w:webHidden/>
              </w:rPr>
              <w:instrText xml:space="preserve"> PAGEREF _Toc225269961 \h </w:instrText>
            </w:r>
            <w:r>
              <w:rPr>
                <w:noProof/>
                <w:webHidden/>
              </w:rPr>
            </w:r>
            <w:r>
              <w:rPr>
                <w:noProof/>
                <w:webHidden/>
              </w:rPr>
              <w:fldChar w:fldCharType="separate"/>
            </w:r>
            <w:r w:rsidR="00877813">
              <w:rPr>
                <w:noProof/>
                <w:webHidden/>
              </w:rPr>
              <w:t>23</w:t>
            </w:r>
            <w:r>
              <w:rPr>
                <w:noProof/>
                <w:webHidden/>
              </w:rPr>
              <w:fldChar w:fldCharType="end"/>
            </w:r>
          </w:hyperlink>
        </w:p>
        <w:p w14:paraId="1262BCC0" w14:textId="50836EF1" w:rsidR="002A06F8" w:rsidRDefault="002A06F8">
          <w:pPr>
            <w:pStyle w:val="TOC2"/>
            <w:tabs>
              <w:tab w:val="left" w:pos="960"/>
              <w:tab w:val="right" w:leader="dot" w:pos="9016"/>
            </w:tabs>
            <w:rPr>
              <w:rFonts w:eastAsiaTheme="minorEastAsia"/>
              <w:noProof/>
              <w:sz w:val="24"/>
              <w:szCs w:val="24"/>
              <w:lang w:eastAsia="en-AU"/>
            </w:rPr>
          </w:pPr>
          <w:hyperlink w:anchor="_Toc225269962" w:history="1">
            <w:r w:rsidRPr="00D0701D">
              <w:rPr>
                <w:rStyle w:val="Hyperlink"/>
                <w:noProof/>
              </w:rPr>
              <w:t>6.5</w:t>
            </w:r>
            <w:r>
              <w:rPr>
                <w:rFonts w:eastAsiaTheme="minorEastAsia"/>
                <w:noProof/>
                <w:sz w:val="24"/>
                <w:szCs w:val="24"/>
                <w:lang w:eastAsia="en-AU"/>
              </w:rPr>
              <w:tab/>
            </w:r>
            <w:r w:rsidRPr="00D0701D">
              <w:rPr>
                <w:rStyle w:val="Hyperlink"/>
                <w:noProof/>
              </w:rPr>
              <w:t>Scope 2 electricity emissions</w:t>
            </w:r>
            <w:r>
              <w:rPr>
                <w:noProof/>
                <w:webHidden/>
              </w:rPr>
              <w:tab/>
            </w:r>
            <w:r>
              <w:rPr>
                <w:noProof/>
                <w:webHidden/>
              </w:rPr>
              <w:fldChar w:fldCharType="begin"/>
            </w:r>
            <w:r>
              <w:rPr>
                <w:noProof/>
                <w:webHidden/>
              </w:rPr>
              <w:instrText xml:space="preserve"> PAGEREF _Toc225269962 \h </w:instrText>
            </w:r>
            <w:r>
              <w:rPr>
                <w:noProof/>
                <w:webHidden/>
              </w:rPr>
            </w:r>
            <w:r>
              <w:rPr>
                <w:noProof/>
                <w:webHidden/>
              </w:rPr>
              <w:fldChar w:fldCharType="separate"/>
            </w:r>
            <w:r w:rsidR="00877813">
              <w:rPr>
                <w:noProof/>
                <w:webHidden/>
              </w:rPr>
              <w:t>24</w:t>
            </w:r>
            <w:r>
              <w:rPr>
                <w:noProof/>
                <w:webHidden/>
              </w:rPr>
              <w:fldChar w:fldCharType="end"/>
            </w:r>
          </w:hyperlink>
        </w:p>
        <w:p w14:paraId="70EFD376" w14:textId="1241A3A4" w:rsidR="002A06F8" w:rsidRDefault="002A06F8">
          <w:pPr>
            <w:pStyle w:val="TOC1"/>
            <w:tabs>
              <w:tab w:val="left" w:pos="440"/>
              <w:tab w:val="right" w:leader="dot" w:pos="9016"/>
            </w:tabs>
            <w:rPr>
              <w:rFonts w:eastAsiaTheme="minorEastAsia"/>
              <w:noProof/>
              <w:sz w:val="24"/>
              <w:szCs w:val="24"/>
              <w:lang w:eastAsia="en-AU"/>
            </w:rPr>
          </w:pPr>
          <w:hyperlink w:anchor="_Toc225269963" w:history="1">
            <w:r w:rsidRPr="00D0701D">
              <w:rPr>
                <w:rStyle w:val="Hyperlink"/>
                <w:noProof/>
              </w:rPr>
              <w:t>7.</w:t>
            </w:r>
            <w:r>
              <w:rPr>
                <w:rFonts w:eastAsiaTheme="minorEastAsia"/>
                <w:noProof/>
                <w:sz w:val="24"/>
                <w:szCs w:val="24"/>
                <w:lang w:eastAsia="en-AU"/>
              </w:rPr>
              <w:tab/>
            </w:r>
            <w:r w:rsidRPr="00D0701D">
              <w:rPr>
                <w:rStyle w:val="Hyperlink"/>
                <w:noProof/>
              </w:rPr>
              <w:t>Tracking emissions over time</w:t>
            </w:r>
            <w:r>
              <w:rPr>
                <w:noProof/>
                <w:webHidden/>
              </w:rPr>
              <w:tab/>
            </w:r>
            <w:r>
              <w:rPr>
                <w:noProof/>
                <w:webHidden/>
              </w:rPr>
              <w:fldChar w:fldCharType="begin"/>
            </w:r>
            <w:r>
              <w:rPr>
                <w:noProof/>
                <w:webHidden/>
              </w:rPr>
              <w:instrText xml:space="preserve"> PAGEREF _Toc225269963 \h </w:instrText>
            </w:r>
            <w:r>
              <w:rPr>
                <w:noProof/>
                <w:webHidden/>
              </w:rPr>
            </w:r>
            <w:r>
              <w:rPr>
                <w:noProof/>
                <w:webHidden/>
              </w:rPr>
              <w:fldChar w:fldCharType="separate"/>
            </w:r>
            <w:r w:rsidR="00877813">
              <w:rPr>
                <w:noProof/>
                <w:webHidden/>
              </w:rPr>
              <w:t>25</w:t>
            </w:r>
            <w:r>
              <w:rPr>
                <w:noProof/>
                <w:webHidden/>
              </w:rPr>
              <w:fldChar w:fldCharType="end"/>
            </w:r>
          </w:hyperlink>
        </w:p>
        <w:p w14:paraId="3B903B2C" w14:textId="692323D3" w:rsidR="002A06F8" w:rsidRDefault="002A06F8">
          <w:pPr>
            <w:pStyle w:val="TOC2"/>
            <w:tabs>
              <w:tab w:val="left" w:pos="960"/>
              <w:tab w:val="right" w:leader="dot" w:pos="9016"/>
            </w:tabs>
            <w:rPr>
              <w:rFonts w:eastAsiaTheme="minorEastAsia"/>
              <w:noProof/>
              <w:sz w:val="24"/>
              <w:szCs w:val="24"/>
              <w:lang w:eastAsia="en-AU"/>
            </w:rPr>
          </w:pPr>
          <w:hyperlink w:anchor="_Toc225269964" w:history="1">
            <w:r w:rsidRPr="00D0701D">
              <w:rPr>
                <w:rStyle w:val="Hyperlink"/>
                <w:noProof/>
              </w:rPr>
              <w:t>7.1</w:t>
            </w:r>
            <w:r>
              <w:rPr>
                <w:rFonts w:eastAsiaTheme="minorEastAsia"/>
                <w:noProof/>
                <w:sz w:val="24"/>
                <w:szCs w:val="24"/>
                <w:lang w:eastAsia="en-AU"/>
              </w:rPr>
              <w:tab/>
            </w:r>
            <w:r w:rsidRPr="00D0701D">
              <w:rPr>
                <w:rStyle w:val="Hyperlink"/>
                <w:noProof/>
              </w:rPr>
              <w:t>Establishing a base year or base period</w:t>
            </w:r>
            <w:r>
              <w:rPr>
                <w:noProof/>
                <w:webHidden/>
              </w:rPr>
              <w:tab/>
            </w:r>
            <w:r>
              <w:rPr>
                <w:noProof/>
                <w:webHidden/>
              </w:rPr>
              <w:fldChar w:fldCharType="begin"/>
            </w:r>
            <w:r>
              <w:rPr>
                <w:noProof/>
                <w:webHidden/>
              </w:rPr>
              <w:instrText xml:space="preserve"> PAGEREF _Toc225269964 \h </w:instrText>
            </w:r>
            <w:r>
              <w:rPr>
                <w:noProof/>
                <w:webHidden/>
              </w:rPr>
            </w:r>
            <w:r>
              <w:rPr>
                <w:noProof/>
                <w:webHidden/>
              </w:rPr>
              <w:fldChar w:fldCharType="separate"/>
            </w:r>
            <w:r w:rsidR="00877813">
              <w:rPr>
                <w:noProof/>
                <w:webHidden/>
              </w:rPr>
              <w:t>25</w:t>
            </w:r>
            <w:r>
              <w:rPr>
                <w:noProof/>
                <w:webHidden/>
              </w:rPr>
              <w:fldChar w:fldCharType="end"/>
            </w:r>
          </w:hyperlink>
        </w:p>
        <w:p w14:paraId="273AD0A4" w14:textId="2FF4B5E5" w:rsidR="002A06F8" w:rsidRDefault="002A06F8">
          <w:pPr>
            <w:pStyle w:val="TOC2"/>
            <w:tabs>
              <w:tab w:val="left" w:pos="960"/>
              <w:tab w:val="right" w:leader="dot" w:pos="9016"/>
            </w:tabs>
            <w:rPr>
              <w:rFonts w:eastAsiaTheme="minorEastAsia"/>
              <w:noProof/>
              <w:sz w:val="24"/>
              <w:szCs w:val="24"/>
              <w:lang w:eastAsia="en-AU"/>
            </w:rPr>
          </w:pPr>
          <w:hyperlink w:anchor="_Toc225269965" w:history="1">
            <w:r w:rsidRPr="00D0701D">
              <w:rPr>
                <w:rStyle w:val="Hyperlink"/>
                <w:noProof/>
              </w:rPr>
              <w:t>7.2</w:t>
            </w:r>
            <w:r>
              <w:rPr>
                <w:rFonts w:eastAsiaTheme="minorEastAsia"/>
                <w:noProof/>
                <w:sz w:val="24"/>
                <w:szCs w:val="24"/>
                <w:lang w:eastAsia="en-AU"/>
              </w:rPr>
              <w:tab/>
            </w:r>
            <w:r w:rsidRPr="00D0701D">
              <w:rPr>
                <w:rStyle w:val="Hyperlink"/>
                <w:noProof/>
              </w:rPr>
              <w:t>Recalculations</w:t>
            </w:r>
            <w:r>
              <w:rPr>
                <w:noProof/>
                <w:webHidden/>
              </w:rPr>
              <w:tab/>
            </w:r>
            <w:r>
              <w:rPr>
                <w:noProof/>
                <w:webHidden/>
              </w:rPr>
              <w:fldChar w:fldCharType="begin"/>
            </w:r>
            <w:r>
              <w:rPr>
                <w:noProof/>
                <w:webHidden/>
              </w:rPr>
              <w:instrText xml:space="preserve"> PAGEREF _Toc225269965 \h </w:instrText>
            </w:r>
            <w:r>
              <w:rPr>
                <w:noProof/>
                <w:webHidden/>
              </w:rPr>
            </w:r>
            <w:r>
              <w:rPr>
                <w:noProof/>
                <w:webHidden/>
              </w:rPr>
              <w:fldChar w:fldCharType="separate"/>
            </w:r>
            <w:r w:rsidR="00877813">
              <w:rPr>
                <w:noProof/>
                <w:webHidden/>
              </w:rPr>
              <w:t>26</w:t>
            </w:r>
            <w:r>
              <w:rPr>
                <w:noProof/>
                <w:webHidden/>
              </w:rPr>
              <w:fldChar w:fldCharType="end"/>
            </w:r>
          </w:hyperlink>
        </w:p>
        <w:p w14:paraId="1662EC43" w14:textId="52F4B304" w:rsidR="002A06F8" w:rsidRDefault="002A06F8">
          <w:pPr>
            <w:pStyle w:val="TOC1"/>
            <w:tabs>
              <w:tab w:val="left" w:pos="440"/>
              <w:tab w:val="right" w:leader="dot" w:pos="9016"/>
            </w:tabs>
            <w:rPr>
              <w:rFonts w:eastAsiaTheme="minorEastAsia"/>
              <w:noProof/>
              <w:sz w:val="24"/>
              <w:szCs w:val="24"/>
              <w:lang w:eastAsia="en-AU"/>
            </w:rPr>
          </w:pPr>
          <w:hyperlink w:anchor="_Toc225269966" w:history="1">
            <w:r w:rsidRPr="00D0701D">
              <w:rPr>
                <w:rStyle w:val="Hyperlink"/>
                <w:noProof/>
              </w:rPr>
              <w:t>8.</w:t>
            </w:r>
            <w:r>
              <w:rPr>
                <w:rFonts w:eastAsiaTheme="minorEastAsia"/>
                <w:noProof/>
                <w:sz w:val="24"/>
                <w:szCs w:val="24"/>
                <w:lang w:eastAsia="en-AU"/>
              </w:rPr>
              <w:tab/>
            </w:r>
            <w:r w:rsidRPr="00D0701D">
              <w:rPr>
                <w:rStyle w:val="Hyperlink"/>
                <w:noProof/>
              </w:rPr>
              <w:t>Assessing the quality of the GHG inventory</w:t>
            </w:r>
            <w:r>
              <w:rPr>
                <w:noProof/>
                <w:webHidden/>
              </w:rPr>
              <w:tab/>
            </w:r>
            <w:r>
              <w:rPr>
                <w:noProof/>
                <w:webHidden/>
              </w:rPr>
              <w:fldChar w:fldCharType="begin"/>
            </w:r>
            <w:r>
              <w:rPr>
                <w:noProof/>
                <w:webHidden/>
              </w:rPr>
              <w:instrText xml:space="preserve"> PAGEREF _Toc225269966 \h </w:instrText>
            </w:r>
            <w:r>
              <w:rPr>
                <w:noProof/>
                <w:webHidden/>
              </w:rPr>
            </w:r>
            <w:r>
              <w:rPr>
                <w:noProof/>
                <w:webHidden/>
              </w:rPr>
              <w:fldChar w:fldCharType="separate"/>
            </w:r>
            <w:r w:rsidR="00877813">
              <w:rPr>
                <w:noProof/>
                <w:webHidden/>
              </w:rPr>
              <w:t>27</w:t>
            </w:r>
            <w:r>
              <w:rPr>
                <w:noProof/>
                <w:webHidden/>
              </w:rPr>
              <w:fldChar w:fldCharType="end"/>
            </w:r>
          </w:hyperlink>
        </w:p>
        <w:p w14:paraId="6C0E8128" w14:textId="44A7E8AD" w:rsidR="002A06F8" w:rsidRDefault="002A06F8">
          <w:pPr>
            <w:pStyle w:val="TOC2"/>
            <w:tabs>
              <w:tab w:val="left" w:pos="960"/>
              <w:tab w:val="right" w:leader="dot" w:pos="9016"/>
            </w:tabs>
            <w:rPr>
              <w:rFonts w:eastAsiaTheme="minorEastAsia"/>
              <w:noProof/>
              <w:sz w:val="24"/>
              <w:szCs w:val="24"/>
              <w:lang w:eastAsia="en-AU"/>
            </w:rPr>
          </w:pPr>
          <w:hyperlink w:anchor="_Toc225269967" w:history="1">
            <w:r w:rsidRPr="00D0701D">
              <w:rPr>
                <w:rStyle w:val="Hyperlink"/>
                <w:noProof/>
              </w:rPr>
              <w:t>8.1</w:t>
            </w:r>
            <w:r>
              <w:rPr>
                <w:rFonts w:eastAsiaTheme="minorEastAsia"/>
                <w:noProof/>
                <w:sz w:val="24"/>
                <w:szCs w:val="24"/>
                <w:lang w:eastAsia="en-AU"/>
              </w:rPr>
              <w:tab/>
            </w:r>
            <w:r w:rsidRPr="00D0701D">
              <w:rPr>
                <w:rStyle w:val="Hyperlink"/>
                <w:noProof/>
              </w:rPr>
              <w:t>Data quality framework</w:t>
            </w:r>
            <w:r>
              <w:rPr>
                <w:noProof/>
                <w:webHidden/>
              </w:rPr>
              <w:tab/>
            </w:r>
            <w:r>
              <w:rPr>
                <w:noProof/>
                <w:webHidden/>
              </w:rPr>
              <w:fldChar w:fldCharType="begin"/>
            </w:r>
            <w:r>
              <w:rPr>
                <w:noProof/>
                <w:webHidden/>
              </w:rPr>
              <w:instrText xml:space="preserve"> PAGEREF _Toc225269967 \h </w:instrText>
            </w:r>
            <w:r>
              <w:rPr>
                <w:noProof/>
                <w:webHidden/>
              </w:rPr>
            </w:r>
            <w:r>
              <w:rPr>
                <w:noProof/>
                <w:webHidden/>
              </w:rPr>
              <w:fldChar w:fldCharType="separate"/>
            </w:r>
            <w:r w:rsidR="00877813">
              <w:rPr>
                <w:noProof/>
                <w:webHidden/>
              </w:rPr>
              <w:t>27</w:t>
            </w:r>
            <w:r>
              <w:rPr>
                <w:noProof/>
                <w:webHidden/>
              </w:rPr>
              <w:fldChar w:fldCharType="end"/>
            </w:r>
          </w:hyperlink>
        </w:p>
        <w:p w14:paraId="037DCBED" w14:textId="323C6AE6" w:rsidR="002A06F8" w:rsidRDefault="002A06F8">
          <w:pPr>
            <w:pStyle w:val="TOC2"/>
            <w:tabs>
              <w:tab w:val="left" w:pos="960"/>
              <w:tab w:val="right" w:leader="dot" w:pos="9016"/>
            </w:tabs>
            <w:rPr>
              <w:rFonts w:eastAsiaTheme="minorEastAsia"/>
              <w:noProof/>
              <w:sz w:val="24"/>
              <w:szCs w:val="24"/>
              <w:lang w:eastAsia="en-AU"/>
            </w:rPr>
          </w:pPr>
          <w:hyperlink w:anchor="_Toc225269968" w:history="1">
            <w:r w:rsidRPr="00D0701D">
              <w:rPr>
                <w:rStyle w:val="Hyperlink"/>
                <w:noProof/>
              </w:rPr>
              <w:t>8.2</w:t>
            </w:r>
            <w:r>
              <w:rPr>
                <w:rFonts w:eastAsiaTheme="minorEastAsia"/>
                <w:noProof/>
                <w:sz w:val="24"/>
                <w:szCs w:val="24"/>
                <w:lang w:eastAsia="en-AU"/>
              </w:rPr>
              <w:tab/>
            </w:r>
            <w:r w:rsidRPr="00D0701D">
              <w:rPr>
                <w:rStyle w:val="Hyperlink"/>
                <w:noProof/>
              </w:rPr>
              <w:t>Quality assurance</w:t>
            </w:r>
            <w:r>
              <w:rPr>
                <w:noProof/>
                <w:webHidden/>
              </w:rPr>
              <w:tab/>
            </w:r>
            <w:r>
              <w:rPr>
                <w:noProof/>
                <w:webHidden/>
              </w:rPr>
              <w:fldChar w:fldCharType="begin"/>
            </w:r>
            <w:r>
              <w:rPr>
                <w:noProof/>
                <w:webHidden/>
              </w:rPr>
              <w:instrText xml:space="preserve"> PAGEREF _Toc225269968 \h </w:instrText>
            </w:r>
            <w:r>
              <w:rPr>
                <w:noProof/>
                <w:webHidden/>
              </w:rPr>
            </w:r>
            <w:r>
              <w:rPr>
                <w:noProof/>
                <w:webHidden/>
              </w:rPr>
              <w:fldChar w:fldCharType="separate"/>
            </w:r>
            <w:r w:rsidR="00877813">
              <w:rPr>
                <w:noProof/>
                <w:webHidden/>
              </w:rPr>
              <w:t>30</w:t>
            </w:r>
            <w:r>
              <w:rPr>
                <w:noProof/>
                <w:webHidden/>
              </w:rPr>
              <w:fldChar w:fldCharType="end"/>
            </w:r>
          </w:hyperlink>
        </w:p>
        <w:p w14:paraId="0C050843" w14:textId="23D2920E" w:rsidR="002A06F8" w:rsidRDefault="002A06F8">
          <w:pPr>
            <w:pStyle w:val="TOC1"/>
            <w:tabs>
              <w:tab w:val="left" w:pos="440"/>
              <w:tab w:val="right" w:leader="dot" w:pos="9016"/>
            </w:tabs>
            <w:rPr>
              <w:rFonts w:eastAsiaTheme="minorEastAsia"/>
              <w:noProof/>
              <w:sz w:val="24"/>
              <w:szCs w:val="24"/>
              <w:lang w:eastAsia="en-AU"/>
            </w:rPr>
          </w:pPr>
          <w:hyperlink w:anchor="_Toc225269969" w:history="1">
            <w:r w:rsidRPr="00D0701D">
              <w:rPr>
                <w:rStyle w:val="Hyperlink"/>
                <w:noProof/>
              </w:rPr>
              <w:t>9.</w:t>
            </w:r>
            <w:r>
              <w:rPr>
                <w:rFonts w:eastAsiaTheme="minorEastAsia"/>
                <w:noProof/>
                <w:sz w:val="24"/>
                <w:szCs w:val="24"/>
                <w:lang w:eastAsia="en-AU"/>
              </w:rPr>
              <w:tab/>
            </w:r>
            <w:r w:rsidRPr="00D0701D">
              <w:rPr>
                <w:rStyle w:val="Hyperlink"/>
                <w:noProof/>
              </w:rPr>
              <w:t>Reporting</w:t>
            </w:r>
            <w:r>
              <w:rPr>
                <w:noProof/>
                <w:webHidden/>
              </w:rPr>
              <w:tab/>
            </w:r>
            <w:r>
              <w:rPr>
                <w:noProof/>
                <w:webHidden/>
              </w:rPr>
              <w:fldChar w:fldCharType="begin"/>
            </w:r>
            <w:r>
              <w:rPr>
                <w:noProof/>
                <w:webHidden/>
              </w:rPr>
              <w:instrText xml:space="preserve"> PAGEREF _Toc225269969 \h </w:instrText>
            </w:r>
            <w:r>
              <w:rPr>
                <w:noProof/>
                <w:webHidden/>
              </w:rPr>
            </w:r>
            <w:r>
              <w:rPr>
                <w:noProof/>
                <w:webHidden/>
              </w:rPr>
              <w:fldChar w:fldCharType="separate"/>
            </w:r>
            <w:r w:rsidR="00877813">
              <w:rPr>
                <w:noProof/>
                <w:webHidden/>
              </w:rPr>
              <w:t>30</w:t>
            </w:r>
            <w:r>
              <w:rPr>
                <w:noProof/>
                <w:webHidden/>
              </w:rPr>
              <w:fldChar w:fldCharType="end"/>
            </w:r>
          </w:hyperlink>
        </w:p>
        <w:p w14:paraId="381A988E" w14:textId="275ED32C" w:rsidR="002A06F8" w:rsidRDefault="002A06F8">
          <w:pPr>
            <w:pStyle w:val="TOC2"/>
            <w:tabs>
              <w:tab w:val="left" w:pos="960"/>
              <w:tab w:val="right" w:leader="dot" w:pos="9016"/>
            </w:tabs>
            <w:rPr>
              <w:rFonts w:eastAsiaTheme="minorEastAsia"/>
              <w:noProof/>
              <w:sz w:val="24"/>
              <w:szCs w:val="24"/>
              <w:lang w:eastAsia="en-AU"/>
            </w:rPr>
          </w:pPr>
          <w:hyperlink w:anchor="_Toc225269970" w:history="1">
            <w:r w:rsidRPr="00D0701D">
              <w:rPr>
                <w:rStyle w:val="Hyperlink"/>
                <w:noProof/>
              </w:rPr>
              <w:t>9.1</w:t>
            </w:r>
            <w:r>
              <w:rPr>
                <w:rFonts w:eastAsiaTheme="minorEastAsia"/>
                <w:noProof/>
                <w:sz w:val="24"/>
                <w:szCs w:val="24"/>
                <w:lang w:eastAsia="en-AU"/>
              </w:rPr>
              <w:tab/>
            </w:r>
            <w:r w:rsidRPr="00D0701D">
              <w:rPr>
                <w:rStyle w:val="Hyperlink"/>
                <w:noProof/>
              </w:rPr>
              <w:t>Required information and documentation</w:t>
            </w:r>
            <w:r>
              <w:rPr>
                <w:noProof/>
                <w:webHidden/>
              </w:rPr>
              <w:tab/>
            </w:r>
            <w:r>
              <w:rPr>
                <w:noProof/>
                <w:webHidden/>
              </w:rPr>
              <w:fldChar w:fldCharType="begin"/>
            </w:r>
            <w:r>
              <w:rPr>
                <w:noProof/>
                <w:webHidden/>
              </w:rPr>
              <w:instrText xml:space="preserve"> PAGEREF _Toc225269970 \h </w:instrText>
            </w:r>
            <w:r>
              <w:rPr>
                <w:noProof/>
                <w:webHidden/>
              </w:rPr>
            </w:r>
            <w:r>
              <w:rPr>
                <w:noProof/>
                <w:webHidden/>
              </w:rPr>
              <w:fldChar w:fldCharType="separate"/>
            </w:r>
            <w:r w:rsidR="00877813">
              <w:rPr>
                <w:noProof/>
                <w:webHidden/>
              </w:rPr>
              <w:t>30</w:t>
            </w:r>
            <w:r>
              <w:rPr>
                <w:noProof/>
                <w:webHidden/>
              </w:rPr>
              <w:fldChar w:fldCharType="end"/>
            </w:r>
          </w:hyperlink>
        </w:p>
        <w:p w14:paraId="6F5B4B7C" w14:textId="2C5FA6C6" w:rsidR="002A06F8" w:rsidRDefault="002A06F8">
          <w:pPr>
            <w:pStyle w:val="TOC2"/>
            <w:tabs>
              <w:tab w:val="left" w:pos="960"/>
              <w:tab w:val="right" w:leader="dot" w:pos="9016"/>
            </w:tabs>
            <w:rPr>
              <w:rFonts w:eastAsiaTheme="minorEastAsia"/>
              <w:noProof/>
              <w:sz w:val="24"/>
              <w:szCs w:val="24"/>
              <w:lang w:eastAsia="en-AU"/>
            </w:rPr>
          </w:pPr>
          <w:hyperlink w:anchor="_Toc225269971" w:history="1">
            <w:r w:rsidRPr="00D0701D">
              <w:rPr>
                <w:rStyle w:val="Hyperlink"/>
                <w:noProof/>
              </w:rPr>
              <w:t>9.2</w:t>
            </w:r>
            <w:r>
              <w:rPr>
                <w:rFonts w:eastAsiaTheme="minorEastAsia"/>
                <w:noProof/>
                <w:sz w:val="24"/>
                <w:szCs w:val="24"/>
                <w:lang w:eastAsia="en-AU"/>
              </w:rPr>
              <w:tab/>
            </w:r>
            <w:r w:rsidRPr="00D0701D">
              <w:rPr>
                <w:rStyle w:val="Hyperlink"/>
                <w:noProof/>
              </w:rPr>
              <w:t>Reporting format</w:t>
            </w:r>
            <w:r>
              <w:rPr>
                <w:noProof/>
                <w:webHidden/>
              </w:rPr>
              <w:tab/>
            </w:r>
            <w:r>
              <w:rPr>
                <w:noProof/>
                <w:webHidden/>
              </w:rPr>
              <w:fldChar w:fldCharType="begin"/>
            </w:r>
            <w:r>
              <w:rPr>
                <w:noProof/>
                <w:webHidden/>
              </w:rPr>
              <w:instrText xml:space="preserve"> PAGEREF _Toc225269971 \h </w:instrText>
            </w:r>
            <w:r>
              <w:rPr>
                <w:noProof/>
                <w:webHidden/>
              </w:rPr>
            </w:r>
            <w:r>
              <w:rPr>
                <w:noProof/>
                <w:webHidden/>
              </w:rPr>
              <w:fldChar w:fldCharType="separate"/>
            </w:r>
            <w:r w:rsidR="00877813">
              <w:rPr>
                <w:noProof/>
                <w:webHidden/>
              </w:rPr>
              <w:t>31</w:t>
            </w:r>
            <w:r>
              <w:rPr>
                <w:noProof/>
                <w:webHidden/>
              </w:rPr>
              <w:fldChar w:fldCharType="end"/>
            </w:r>
          </w:hyperlink>
        </w:p>
        <w:p w14:paraId="1C6BD454" w14:textId="164D11E6" w:rsidR="002A06F8" w:rsidRDefault="002A06F8">
          <w:pPr>
            <w:pStyle w:val="TOC2"/>
            <w:tabs>
              <w:tab w:val="left" w:pos="960"/>
              <w:tab w:val="right" w:leader="dot" w:pos="9016"/>
            </w:tabs>
            <w:rPr>
              <w:rFonts w:eastAsiaTheme="minorEastAsia"/>
              <w:noProof/>
              <w:sz w:val="24"/>
              <w:szCs w:val="24"/>
              <w:lang w:eastAsia="en-AU"/>
            </w:rPr>
          </w:pPr>
          <w:hyperlink w:anchor="_Toc225269972" w:history="1">
            <w:r w:rsidRPr="00D0701D">
              <w:rPr>
                <w:rStyle w:val="Hyperlink"/>
                <w:noProof/>
              </w:rPr>
              <w:t>9.3</w:t>
            </w:r>
            <w:r>
              <w:rPr>
                <w:rFonts w:eastAsiaTheme="minorEastAsia"/>
                <w:noProof/>
                <w:sz w:val="24"/>
                <w:szCs w:val="24"/>
                <w:lang w:eastAsia="en-AU"/>
              </w:rPr>
              <w:tab/>
            </w:r>
            <w:r w:rsidRPr="00D0701D">
              <w:rPr>
                <w:rStyle w:val="Hyperlink"/>
                <w:noProof/>
              </w:rPr>
              <w:t>Frequency of reporting</w:t>
            </w:r>
            <w:r>
              <w:rPr>
                <w:noProof/>
                <w:webHidden/>
              </w:rPr>
              <w:tab/>
            </w:r>
            <w:r>
              <w:rPr>
                <w:noProof/>
                <w:webHidden/>
              </w:rPr>
              <w:fldChar w:fldCharType="begin"/>
            </w:r>
            <w:r>
              <w:rPr>
                <w:noProof/>
                <w:webHidden/>
              </w:rPr>
              <w:instrText xml:space="preserve"> PAGEREF _Toc225269972 \h </w:instrText>
            </w:r>
            <w:r>
              <w:rPr>
                <w:noProof/>
                <w:webHidden/>
              </w:rPr>
            </w:r>
            <w:r>
              <w:rPr>
                <w:noProof/>
                <w:webHidden/>
              </w:rPr>
              <w:fldChar w:fldCharType="separate"/>
            </w:r>
            <w:r w:rsidR="00877813">
              <w:rPr>
                <w:noProof/>
                <w:webHidden/>
              </w:rPr>
              <w:t>31</w:t>
            </w:r>
            <w:r>
              <w:rPr>
                <w:noProof/>
                <w:webHidden/>
              </w:rPr>
              <w:fldChar w:fldCharType="end"/>
            </w:r>
          </w:hyperlink>
        </w:p>
        <w:p w14:paraId="6FBD4CCA" w14:textId="1479675F" w:rsidR="002A06F8" w:rsidRDefault="002A06F8">
          <w:pPr>
            <w:pStyle w:val="TOC2"/>
            <w:tabs>
              <w:tab w:val="left" w:pos="960"/>
              <w:tab w:val="right" w:leader="dot" w:pos="9016"/>
            </w:tabs>
            <w:rPr>
              <w:rFonts w:eastAsiaTheme="minorEastAsia"/>
              <w:noProof/>
              <w:sz w:val="24"/>
              <w:szCs w:val="24"/>
              <w:lang w:eastAsia="en-AU"/>
            </w:rPr>
          </w:pPr>
          <w:hyperlink w:anchor="_Toc225269973" w:history="1">
            <w:r w:rsidRPr="00D0701D">
              <w:rPr>
                <w:rStyle w:val="Hyperlink"/>
                <w:noProof/>
              </w:rPr>
              <w:t>9.4</w:t>
            </w:r>
            <w:r>
              <w:rPr>
                <w:rFonts w:eastAsiaTheme="minorEastAsia"/>
                <w:noProof/>
                <w:sz w:val="24"/>
                <w:szCs w:val="24"/>
                <w:lang w:eastAsia="en-AU"/>
              </w:rPr>
              <w:tab/>
            </w:r>
            <w:r w:rsidRPr="00D0701D">
              <w:rPr>
                <w:rStyle w:val="Hyperlink"/>
                <w:noProof/>
              </w:rPr>
              <w:t>Reporting period</w:t>
            </w:r>
            <w:r>
              <w:rPr>
                <w:noProof/>
                <w:webHidden/>
              </w:rPr>
              <w:tab/>
            </w:r>
            <w:r>
              <w:rPr>
                <w:noProof/>
                <w:webHidden/>
              </w:rPr>
              <w:fldChar w:fldCharType="begin"/>
            </w:r>
            <w:r>
              <w:rPr>
                <w:noProof/>
                <w:webHidden/>
              </w:rPr>
              <w:instrText xml:space="preserve"> PAGEREF _Toc225269973 \h </w:instrText>
            </w:r>
            <w:r>
              <w:rPr>
                <w:noProof/>
                <w:webHidden/>
              </w:rPr>
            </w:r>
            <w:r>
              <w:rPr>
                <w:noProof/>
                <w:webHidden/>
              </w:rPr>
              <w:fldChar w:fldCharType="separate"/>
            </w:r>
            <w:r w:rsidR="00877813">
              <w:rPr>
                <w:noProof/>
                <w:webHidden/>
              </w:rPr>
              <w:t>31</w:t>
            </w:r>
            <w:r>
              <w:rPr>
                <w:noProof/>
                <w:webHidden/>
              </w:rPr>
              <w:fldChar w:fldCharType="end"/>
            </w:r>
          </w:hyperlink>
        </w:p>
        <w:p w14:paraId="4C37DD04" w14:textId="02F49504" w:rsidR="002A06F8" w:rsidRDefault="002A06F8">
          <w:pPr>
            <w:pStyle w:val="TOC2"/>
            <w:tabs>
              <w:tab w:val="left" w:pos="960"/>
              <w:tab w:val="right" w:leader="dot" w:pos="9016"/>
            </w:tabs>
            <w:rPr>
              <w:rFonts w:eastAsiaTheme="minorEastAsia"/>
              <w:noProof/>
              <w:sz w:val="24"/>
              <w:szCs w:val="24"/>
              <w:lang w:eastAsia="en-AU"/>
            </w:rPr>
          </w:pPr>
          <w:hyperlink w:anchor="_Toc225269974" w:history="1">
            <w:r w:rsidRPr="00D0701D">
              <w:rPr>
                <w:rStyle w:val="Hyperlink"/>
                <w:noProof/>
              </w:rPr>
              <w:t>9.5</w:t>
            </w:r>
            <w:r>
              <w:rPr>
                <w:rFonts w:eastAsiaTheme="minorEastAsia"/>
                <w:noProof/>
                <w:sz w:val="24"/>
                <w:szCs w:val="24"/>
                <w:lang w:eastAsia="en-AU"/>
              </w:rPr>
              <w:tab/>
            </w:r>
            <w:r w:rsidRPr="00D0701D">
              <w:rPr>
                <w:rStyle w:val="Hyperlink"/>
                <w:noProof/>
              </w:rPr>
              <w:t>Base year reporting</w:t>
            </w:r>
            <w:r>
              <w:rPr>
                <w:noProof/>
                <w:webHidden/>
              </w:rPr>
              <w:tab/>
            </w:r>
            <w:r>
              <w:rPr>
                <w:noProof/>
                <w:webHidden/>
              </w:rPr>
              <w:fldChar w:fldCharType="begin"/>
            </w:r>
            <w:r>
              <w:rPr>
                <w:noProof/>
                <w:webHidden/>
              </w:rPr>
              <w:instrText xml:space="preserve"> PAGEREF _Toc225269974 \h </w:instrText>
            </w:r>
            <w:r>
              <w:rPr>
                <w:noProof/>
                <w:webHidden/>
              </w:rPr>
            </w:r>
            <w:r>
              <w:rPr>
                <w:noProof/>
                <w:webHidden/>
              </w:rPr>
              <w:fldChar w:fldCharType="separate"/>
            </w:r>
            <w:r w:rsidR="00877813">
              <w:rPr>
                <w:noProof/>
                <w:webHidden/>
              </w:rPr>
              <w:t>32</w:t>
            </w:r>
            <w:r>
              <w:rPr>
                <w:noProof/>
                <w:webHidden/>
              </w:rPr>
              <w:fldChar w:fldCharType="end"/>
            </w:r>
          </w:hyperlink>
        </w:p>
        <w:p w14:paraId="1626B135" w14:textId="74EA3111" w:rsidR="002A06F8" w:rsidRDefault="002A06F8">
          <w:pPr>
            <w:pStyle w:val="TOC2"/>
            <w:tabs>
              <w:tab w:val="left" w:pos="960"/>
              <w:tab w:val="right" w:leader="dot" w:pos="9016"/>
            </w:tabs>
            <w:rPr>
              <w:rFonts w:eastAsiaTheme="minorEastAsia"/>
              <w:noProof/>
              <w:sz w:val="24"/>
              <w:szCs w:val="24"/>
              <w:lang w:eastAsia="en-AU"/>
            </w:rPr>
          </w:pPr>
          <w:hyperlink w:anchor="_Toc225269975" w:history="1">
            <w:r w:rsidRPr="00D0701D">
              <w:rPr>
                <w:rStyle w:val="Hyperlink"/>
                <w:noProof/>
              </w:rPr>
              <w:t>9.6</w:t>
            </w:r>
            <w:r>
              <w:rPr>
                <w:rFonts w:eastAsiaTheme="minorEastAsia"/>
                <w:noProof/>
                <w:sz w:val="24"/>
                <w:szCs w:val="24"/>
                <w:lang w:eastAsia="en-AU"/>
              </w:rPr>
              <w:tab/>
            </w:r>
            <w:r w:rsidRPr="00D0701D">
              <w:rPr>
                <w:rStyle w:val="Hyperlink"/>
                <w:noProof/>
              </w:rPr>
              <w:t>Treatment of carbon credits and renewable energy</w:t>
            </w:r>
            <w:r>
              <w:rPr>
                <w:noProof/>
                <w:webHidden/>
              </w:rPr>
              <w:tab/>
            </w:r>
            <w:r>
              <w:rPr>
                <w:noProof/>
                <w:webHidden/>
              </w:rPr>
              <w:fldChar w:fldCharType="begin"/>
            </w:r>
            <w:r>
              <w:rPr>
                <w:noProof/>
                <w:webHidden/>
              </w:rPr>
              <w:instrText xml:space="preserve"> PAGEREF _Toc225269975 \h </w:instrText>
            </w:r>
            <w:r>
              <w:rPr>
                <w:noProof/>
                <w:webHidden/>
              </w:rPr>
            </w:r>
            <w:r>
              <w:rPr>
                <w:noProof/>
                <w:webHidden/>
              </w:rPr>
              <w:fldChar w:fldCharType="separate"/>
            </w:r>
            <w:r w:rsidR="00877813">
              <w:rPr>
                <w:noProof/>
                <w:webHidden/>
              </w:rPr>
              <w:t>32</w:t>
            </w:r>
            <w:r>
              <w:rPr>
                <w:noProof/>
                <w:webHidden/>
              </w:rPr>
              <w:fldChar w:fldCharType="end"/>
            </w:r>
          </w:hyperlink>
        </w:p>
        <w:p w14:paraId="6568EE0E" w14:textId="7E65FDB1" w:rsidR="002A06F8" w:rsidRDefault="002A06F8">
          <w:pPr>
            <w:pStyle w:val="TOC1"/>
            <w:tabs>
              <w:tab w:val="left" w:pos="720"/>
              <w:tab w:val="right" w:leader="dot" w:pos="9016"/>
            </w:tabs>
            <w:rPr>
              <w:rFonts w:eastAsiaTheme="minorEastAsia"/>
              <w:noProof/>
              <w:sz w:val="24"/>
              <w:szCs w:val="24"/>
              <w:lang w:eastAsia="en-AU"/>
            </w:rPr>
          </w:pPr>
          <w:hyperlink w:anchor="_Toc225269976" w:history="1">
            <w:r w:rsidRPr="00D0701D">
              <w:rPr>
                <w:rStyle w:val="Hyperlink"/>
                <w:noProof/>
              </w:rPr>
              <w:t>10.</w:t>
            </w:r>
            <w:r>
              <w:rPr>
                <w:rFonts w:eastAsiaTheme="minorEastAsia"/>
                <w:noProof/>
                <w:sz w:val="24"/>
                <w:szCs w:val="24"/>
                <w:lang w:eastAsia="en-AU"/>
              </w:rPr>
              <w:tab/>
            </w:r>
            <w:r w:rsidRPr="00D0701D">
              <w:rPr>
                <w:rStyle w:val="Hyperlink"/>
                <w:noProof/>
              </w:rPr>
              <w:t>Estimating the GHG intensity of products</w:t>
            </w:r>
            <w:r>
              <w:rPr>
                <w:noProof/>
                <w:webHidden/>
              </w:rPr>
              <w:tab/>
            </w:r>
            <w:r>
              <w:rPr>
                <w:noProof/>
                <w:webHidden/>
              </w:rPr>
              <w:fldChar w:fldCharType="begin"/>
            </w:r>
            <w:r>
              <w:rPr>
                <w:noProof/>
                <w:webHidden/>
              </w:rPr>
              <w:instrText xml:space="preserve"> PAGEREF _Toc225269976 \h </w:instrText>
            </w:r>
            <w:r>
              <w:rPr>
                <w:noProof/>
                <w:webHidden/>
              </w:rPr>
            </w:r>
            <w:r>
              <w:rPr>
                <w:noProof/>
                <w:webHidden/>
              </w:rPr>
              <w:fldChar w:fldCharType="separate"/>
            </w:r>
            <w:r w:rsidR="00877813">
              <w:rPr>
                <w:noProof/>
                <w:webHidden/>
              </w:rPr>
              <w:t>33</w:t>
            </w:r>
            <w:r>
              <w:rPr>
                <w:noProof/>
                <w:webHidden/>
              </w:rPr>
              <w:fldChar w:fldCharType="end"/>
            </w:r>
          </w:hyperlink>
        </w:p>
        <w:p w14:paraId="05818AF2" w14:textId="20AFF6E5" w:rsidR="002A06F8" w:rsidRDefault="002A06F8">
          <w:pPr>
            <w:pStyle w:val="TOC2"/>
            <w:tabs>
              <w:tab w:val="left" w:pos="960"/>
              <w:tab w:val="right" w:leader="dot" w:pos="9016"/>
            </w:tabs>
            <w:rPr>
              <w:rFonts w:eastAsiaTheme="minorEastAsia"/>
              <w:noProof/>
              <w:sz w:val="24"/>
              <w:szCs w:val="24"/>
              <w:lang w:eastAsia="en-AU"/>
            </w:rPr>
          </w:pPr>
          <w:hyperlink w:anchor="_Toc225269977" w:history="1">
            <w:r w:rsidRPr="00D0701D">
              <w:rPr>
                <w:rStyle w:val="Hyperlink"/>
                <w:noProof/>
              </w:rPr>
              <w:t>10.1</w:t>
            </w:r>
            <w:r>
              <w:rPr>
                <w:rFonts w:eastAsiaTheme="minorEastAsia"/>
                <w:noProof/>
                <w:sz w:val="24"/>
                <w:szCs w:val="24"/>
                <w:lang w:eastAsia="en-AU"/>
              </w:rPr>
              <w:tab/>
            </w:r>
            <w:r w:rsidRPr="00D0701D">
              <w:rPr>
                <w:rStyle w:val="Hyperlink"/>
                <w:noProof/>
              </w:rPr>
              <w:t>Method overview</w:t>
            </w:r>
            <w:r>
              <w:rPr>
                <w:noProof/>
                <w:webHidden/>
              </w:rPr>
              <w:tab/>
            </w:r>
            <w:r>
              <w:rPr>
                <w:noProof/>
                <w:webHidden/>
              </w:rPr>
              <w:fldChar w:fldCharType="begin"/>
            </w:r>
            <w:r>
              <w:rPr>
                <w:noProof/>
                <w:webHidden/>
              </w:rPr>
              <w:instrText xml:space="preserve"> PAGEREF _Toc225269977 \h </w:instrText>
            </w:r>
            <w:r>
              <w:rPr>
                <w:noProof/>
                <w:webHidden/>
              </w:rPr>
            </w:r>
            <w:r>
              <w:rPr>
                <w:noProof/>
                <w:webHidden/>
              </w:rPr>
              <w:fldChar w:fldCharType="separate"/>
            </w:r>
            <w:r w:rsidR="00877813">
              <w:rPr>
                <w:noProof/>
                <w:webHidden/>
              </w:rPr>
              <w:t>34</w:t>
            </w:r>
            <w:r>
              <w:rPr>
                <w:noProof/>
                <w:webHidden/>
              </w:rPr>
              <w:fldChar w:fldCharType="end"/>
            </w:r>
          </w:hyperlink>
        </w:p>
        <w:p w14:paraId="55BC230E" w14:textId="14BE1318" w:rsidR="002A06F8" w:rsidRDefault="002A06F8">
          <w:pPr>
            <w:pStyle w:val="TOC2"/>
            <w:tabs>
              <w:tab w:val="left" w:pos="960"/>
              <w:tab w:val="right" w:leader="dot" w:pos="9016"/>
            </w:tabs>
            <w:rPr>
              <w:rFonts w:eastAsiaTheme="minorEastAsia"/>
              <w:noProof/>
              <w:sz w:val="24"/>
              <w:szCs w:val="24"/>
              <w:lang w:eastAsia="en-AU"/>
            </w:rPr>
          </w:pPr>
          <w:hyperlink w:anchor="_Toc225269978" w:history="1">
            <w:r w:rsidRPr="00D0701D">
              <w:rPr>
                <w:rStyle w:val="Hyperlink"/>
                <w:noProof/>
              </w:rPr>
              <w:t>10.2</w:t>
            </w:r>
            <w:r>
              <w:rPr>
                <w:rFonts w:eastAsiaTheme="minorEastAsia"/>
                <w:noProof/>
                <w:sz w:val="24"/>
                <w:szCs w:val="24"/>
                <w:lang w:eastAsia="en-AU"/>
              </w:rPr>
              <w:tab/>
            </w:r>
            <w:r w:rsidRPr="00D0701D">
              <w:rPr>
                <w:rStyle w:val="Hyperlink"/>
                <w:noProof/>
              </w:rPr>
              <w:t>Steps for estimating product emission intensity</w:t>
            </w:r>
            <w:r>
              <w:rPr>
                <w:noProof/>
                <w:webHidden/>
              </w:rPr>
              <w:tab/>
            </w:r>
            <w:r>
              <w:rPr>
                <w:noProof/>
                <w:webHidden/>
              </w:rPr>
              <w:fldChar w:fldCharType="begin"/>
            </w:r>
            <w:r>
              <w:rPr>
                <w:noProof/>
                <w:webHidden/>
              </w:rPr>
              <w:instrText xml:space="preserve"> PAGEREF _Toc225269978 \h </w:instrText>
            </w:r>
            <w:r>
              <w:rPr>
                <w:noProof/>
                <w:webHidden/>
              </w:rPr>
            </w:r>
            <w:r>
              <w:rPr>
                <w:noProof/>
                <w:webHidden/>
              </w:rPr>
              <w:fldChar w:fldCharType="separate"/>
            </w:r>
            <w:r w:rsidR="00877813">
              <w:rPr>
                <w:noProof/>
                <w:webHidden/>
              </w:rPr>
              <w:t>35</w:t>
            </w:r>
            <w:r>
              <w:rPr>
                <w:noProof/>
                <w:webHidden/>
              </w:rPr>
              <w:fldChar w:fldCharType="end"/>
            </w:r>
          </w:hyperlink>
        </w:p>
        <w:p w14:paraId="2D99B252" w14:textId="284097AC" w:rsidR="002A06F8" w:rsidRDefault="002A06F8">
          <w:pPr>
            <w:pStyle w:val="TOC2"/>
            <w:tabs>
              <w:tab w:val="left" w:pos="960"/>
              <w:tab w:val="right" w:leader="dot" w:pos="9016"/>
            </w:tabs>
            <w:rPr>
              <w:rFonts w:eastAsiaTheme="minorEastAsia"/>
              <w:noProof/>
              <w:sz w:val="24"/>
              <w:szCs w:val="24"/>
              <w:lang w:eastAsia="en-AU"/>
            </w:rPr>
          </w:pPr>
          <w:hyperlink w:anchor="_Toc225269979" w:history="1">
            <w:r w:rsidRPr="00D0701D">
              <w:rPr>
                <w:rStyle w:val="Hyperlink"/>
                <w:noProof/>
              </w:rPr>
              <w:t>10.3</w:t>
            </w:r>
            <w:r>
              <w:rPr>
                <w:rFonts w:eastAsiaTheme="minorEastAsia"/>
                <w:noProof/>
                <w:sz w:val="24"/>
                <w:szCs w:val="24"/>
                <w:lang w:eastAsia="en-AU"/>
              </w:rPr>
              <w:tab/>
            </w:r>
            <w:r w:rsidRPr="00D0701D">
              <w:rPr>
                <w:rStyle w:val="Hyperlink"/>
                <w:noProof/>
              </w:rPr>
              <w:t>Sector specific guidance and other allocation considerations</w:t>
            </w:r>
            <w:r>
              <w:rPr>
                <w:noProof/>
                <w:webHidden/>
              </w:rPr>
              <w:tab/>
            </w:r>
            <w:r>
              <w:rPr>
                <w:noProof/>
                <w:webHidden/>
              </w:rPr>
              <w:fldChar w:fldCharType="begin"/>
            </w:r>
            <w:r>
              <w:rPr>
                <w:noProof/>
                <w:webHidden/>
              </w:rPr>
              <w:instrText xml:space="preserve"> PAGEREF _Toc225269979 \h </w:instrText>
            </w:r>
            <w:r>
              <w:rPr>
                <w:noProof/>
                <w:webHidden/>
              </w:rPr>
            </w:r>
            <w:r>
              <w:rPr>
                <w:noProof/>
                <w:webHidden/>
              </w:rPr>
              <w:fldChar w:fldCharType="separate"/>
            </w:r>
            <w:r w:rsidR="00877813">
              <w:rPr>
                <w:noProof/>
                <w:webHidden/>
              </w:rPr>
              <w:t>41</w:t>
            </w:r>
            <w:r>
              <w:rPr>
                <w:noProof/>
                <w:webHidden/>
              </w:rPr>
              <w:fldChar w:fldCharType="end"/>
            </w:r>
          </w:hyperlink>
        </w:p>
        <w:p w14:paraId="7C5AAC48" w14:textId="21E5CC72" w:rsidR="002A06F8" w:rsidRDefault="002A06F8">
          <w:pPr>
            <w:pStyle w:val="TOC2"/>
            <w:tabs>
              <w:tab w:val="left" w:pos="960"/>
              <w:tab w:val="right" w:leader="dot" w:pos="9016"/>
            </w:tabs>
            <w:rPr>
              <w:rFonts w:eastAsiaTheme="minorEastAsia"/>
              <w:noProof/>
              <w:sz w:val="24"/>
              <w:szCs w:val="24"/>
              <w:lang w:eastAsia="en-AU"/>
            </w:rPr>
          </w:pPr>
          <w:hyperlink w:anchor="_Toc225269980" w:history="1">
            <w:r w:rsidRPr="00D0701D">
              <w:rPr>
                <w:rStyle w:val="Hyperlink"/>
                <w:noProof/>
              </w:rPr>
              <w:t>10.4</w:t>
            </w:r>
            <w:r>
              <w:rPr>
                <w:rFonts w:eastAsiaTheme="minorEastAsia"/>
                <w:noProof/>
                <w:sz w:val="24"/>
                <w:szCs w:val="24"/>
                <w:lang w:eastAsia="en-AU"/>
              </w:rPr>
              <w:tab/>
            </w:r>
            <w:r w:rsidRPr="00D0701D">
              <w:rPr>
                <w:rStyle w:val="Hyperlink"/>
                <w:noProof/>
              </w:rPr>
              <w:t>Reporting</w:t>
            </w:r>
            <w:r>
              <w:rPr>
                <w:noProof/>
                <w:webHidden/>
              </w:rPr>
              <w:tab/>
            </w:r>
            <w:r>
              <w:rPr>
                <w:noProof/>
                <w:webHidden/>
              </w:rPr>
              <w:fldChar w:fldCharType="begin"/>
            </w:r>
            <w:r>
              <w:rPr>
                <w:noProof/>
                <w:webHidden/>
              </w:rPr>
              <w:instrText xml:space="preserve"> PAGEREF _Toc225269980 \h </w:instrText>
            </w:r>
            <w:r>
              <w:rPr>
                <w:noProof/>
                <w:webHidden/>
              </w:rPr>
            </w:r>
            <w:r>
              <w:rPr>
                <w:noProof/>
                <w:webHidden/>
              </w:rPr>
              <w:fldChar w:fldCharType="separate"/>
            </w:r>
            <w:r w:rsidR="00877813">
              <w:rPr>
                <w:noProof/>
                <w:webHidden/>
              </w:rPr>
              <w:t>47</w:t>
            </w:r>
            <w:r>
              <w:rPr>
                <w:noProof/>
                <w:webHidden/>
              </w:rPr>
              <w:fldChar w:fldCharType="end"/>
            </w:r>
          </w:hyperlink>
        </w:p>
        <w:p w14:paraId="3D9044B6" w14:textId="5CA80EBF" w:rsidR="002A06F8" w:rsidRDefault="002A06F8">
          <w:pPr>
            <w:pStyle w:val="TOC1"/>
            <w:tabs>
              <w:tab w:val="left" w:pos="720"/>
              <w:tab w:val="right" w:leader="dot" w:pos="9016"/>
            </w:tabs>
            <w:rPr>
              <w:rFonts w:eastAsiaTheme="minorEastAsia"/>
              <w:noProof/>
              <w:sz w:val="24"/>
              <w:szCs w:val="24"/>
              <w:lang w:eastAsia="en-AU"/>
            </w:rPr>
          </w:pPr>
          <w:hyperlink w:anchor="_Toc225269981" w:history="1">
            <w:r w:rsidRPr="00D0701D">
              <w:rPr>
                <w:rStyle w:val="Hyperlink"/>
                <w:noProof/>
              </w:rPr>
              <w:t>11.</w:t>
            </w:r>
            <w:r>
              <w:rPr>
                <w:rFonts w:eastAsiaTheme="minorEastAsia"/>
                <w:noProof/>
                <w:sz w:val="24"/>
                <w:szCs w:val="24"/>
                <w:lang w:eastAsia="en-AU"/>
              </w:rPr>
              <w:tab/>
            </w:r>
            <w:r w:rsidRPr="00D0701D">
              <w:rPr>
                <w:rStyle w:val="Hyperlink"/>
                <w:noProof/>
              </w:rPr>
              <w:t>Good practice documentation management</w:t>
            </w:r>
            <w:r>
              <w:rPr>
                <w:noProof/>
                <w:webHidden/>
              </w:rPr>
              <w:tab/>
            </w:r>
            <w:r>
              <w:rPr>
                <w:noProof/>
                <w:webHidden/>
              </w:rPr>
              <w:fldChar w:fldCharType="begin"/>
            </w:r>
            <w:r>
              <w:rPr>
                <w:noProof/>
                <w:webHidden/>
              </w:rPr>
              <w:instrText xml:space="preserve"> PAGEREF _Toc225269981 \h </w:instrText>
            </w:r>
            <w:r>
              <w:rPr>
                <w:noProof/>
                <w:webHidden/>
              </w:rPr>
            </w:r>
            <w:r>
              <w:rPr>
                <w:noProof/>
                <w:webHidden/>
              </w:rPr>
              <w:fldChar w:fldCharType="separate"/>
            </w:r>
            <w:r w:rsidR="00877813">
              <w:rPr>
                <w:noProof/>
                <w:webHidden/>
              </w:rPr>
              <w:t>48</w:t>
            </w:r>
            <w:r>
              <w:rPr>
                <w:noProof/>
                <w:webHidden/>
              </w:rPr>
              <w:fldChar w:fldCharType="end"/>
            </w:r>
          </w:hyperlink>
        </w:p>
        <w:p w14:paraId="62A8CC03" w14:textId="651D98F9" w:rsidR="002A06F8" w:rsidRDefault="002A06F8">
          <w:pPr>
            <w:pStyle w:val="TOC1"/>
            <w:tabs>
              <w:tab w:val="right" w:leader="dot" w:pos="9016"/>
            </w:tabs>
            <w:rPr>
              <w:rFonts w:eastAsiaTheme="minorEastAsia"/>
              <w:noProof/>
              <w:sz w:val="24"/>
              <w:szCs w:val="24"/>
              <w:lang w:eastAsia="en-AU"/>
            </w:rPr>
          </w:pPr>
          <w:hyperlink w:anchor="_Toc225269982" w:history="1">
            <w:r w:rsidRPr="00D0701D">
              <w:rPr>
                <w:rStyle w:val="Hyperlink"/>
                <w:noProof/>
              </w:rPr>
              <w:t>Appendix A – Sector-specific cradle-to-gate boundaries</w:t>
            </w:r>
            <w:r>
              <w:rPr>
                <w:noProof/>
                <w:webHidden/>
              </w:rPr>
              <w:tab/>
            </w:r>
            <w:r>
              <w:rPr>
                <w:noProof/>
                <w:webHidden/>
              </w:rPr>
              <w:fldChar w:fldCharType="begin"/>
            </w:r>
            <w:r>
              <w:rPr>
                <w:noProof/>
                <w:webHidden/>
              </w:rPr>
              <w:instrText xml:space="preserve"> PAGEREF _Toc225269982 \h </w:instrText>
            </w:r>
            <w:r>
              <w:rPr>
                <w:noProof/>
                <w:webHidden/>
              </w:rPr>
            </w:r>
            <w:r>
              <w:rPr>
                <w:noProof/>
                <w:webHidden/>
              </w:rPr>
              <w:fldChar w:fldCharType="separate"/>
            </w:r>
            <w:r w:rsidR="00877813">
              <w:rPr>
                <w:noProof/>
                <w:webHidden/>
              </w:rPr>
              <w:t>49</w:t>
            </w:r>
            <w:r>
              <w:rPr>
                <w:noProof/>
                <w:webHidden/>
              </w:rPr>
              <w:fldChar w:fldCharType="end"/>
            </w:r>
          </w:hyperlink>
        </w:p>
        <w:p w14:paraId="00A77D63" w14:textId="17E182AB" w:rsidR="002A06F8" w:rsidRDefault="002A06F8">
          <w:pPr>
            <w:pStyle w:val="TOC1"/>
            <w:tabs>
              <w:tab w:val="right" w:leader="dot" w:pos="9016"/>
            </w:tabs>
            <w:rPr>
              <w:rFonts w:eastAsiaTheme="minorEastAsia"/>
              <w:noProof/>
              <w:sz w:val="24"/>
              <w:szCs w:val="24"/>
              <w:lang w:eastAsia="en-AU"/>
            </w:rPr>
          </w:pPr>
          <w:hyperlink w:anchor="_Toc225269983" w:history="1">
            <w:r w:rsidRPr="00D0701D">
              <w:rPr>
                <w:rStyle w:val="Hyperlink"/>
                <w:noProof/>
              </w:rPr>
              <w:t>Appendix B - Choosing a consolidation approach</w:t>
            </w:r>
            <w:r>
              <w:rPr>
                <w:noProof/>
                <w:webHidden/>
              </w:rPr>
              <w:tab/>
            </w:r>
            <w:r>
              <w:rPr>
                <w:noProof/>
                <w:webHidden/>
              </w:rPr>
              <w:fldChar w:fldCharType="begin"/>
            </w:r>
            <w:r>
              <w:rPr>
                <w:noProof/>
                <w:webHidden/>
              </w:rPr>
              <w:instrText xml:space="preserve"> PAGEREF _Toc225269983 \h </w:instrText>
            </w:r>
            <w:r>
              <w:rPr>
                <w:noProof/>
                <w:webHidden/>
              </w:rPr>
            </w:r>
            <w:r>
              <w:rPr>
                <w:noProof/>
                <w:webHidden/>
              </w:rPr>
              <w:fldChar w:fldCharType="separate"/>
            </w:r>
            <w:r w:rsidR="00877813">
              <w:rPr>
                <w:noProof/>
                <w:webHidden/>
              </w:rPr>
              <w:t>50</w:t>
            </w:r>
            <w:r>
              <w:rPr>
                <w:noProof/>
                <w:webHidden/>
              </w:rPr>
              <w:fldChar w:fldCharType="end"/>
            </w:r>
          </w:hyperlink>
        </w:p>
        <w:p w14:paraId="348200D4" w14:textId="63009D0A" w:rsidR="002A06F8" w:rsidRDefault="002A06F8">
          <w:pPr>
            <w:pStyle w:val="TOC1"/>
            <w:tabs>
              <w:tab w:val="right" w:leader="dot" w:pos="9016"/>
            </w:tabs>
            <w:rPr>
              <w:rFonts w:eastAsiaTheme="minorEastAsia"/>
              <w:noProof/>
              <w:sz w:val="24"/>
              <w:szCs w:val="24"/>
              <w:lang w:eastAsia="en-AU"/>
            </w:rPr>
          </w:pPr>
          <w:hyperlink w:anchor="_Toc225269984" w:history="1">
            <w:r w:rsidRPr="00D0701D">
              <w:rPr>
                <w:rStyle w:val="Hyperlink"/>
                <w:noProof/>
              </w:rPr>
              <w:t>Appendix C - Leased lands and agistment</w:t>
            </w:r>
            <w:r>
              <w:rPr>
                <w:noProof/>
                <w:webHidden/>
              </w:rPr>
              <w:tab/>
            </w:r>
            <w:r>
              <w:rPr>
                <w:noProof/>
                <w:webHidden/>
              </w:rPr>
              <w:fldChar w:fldCharType="begin"/>
            </w:r>
            <w:r>
              <w:rPr>
                <w:noProof/>
                <w:webHidden/>
              </w:rPr>
              <w:instrText xml:space="preserve"> PAGEREF _Toc225269984 \h </w:instrText>
            </w:r>
            <w:r>
              <w:rPr>
                <w:noProof/>
                <w:webHidden/>
              </w:rPr>
            </w:r>
            <w:r>
              <w:rPr>
                <w:noProof/>
                <w:webHidden/>
              </w:rPr>
              <w:fldChar w:fldCharType="separate"/>
            </w:r>
            <w:r w:rsidR="00877813">
              <w:rPr>
                <w:noProof/>
                <w:webHidden/>
              </w:rPr>
              <w:t>52</w:t>
            </w:r>
            <w:r>
              <w:rPr>
                <w:noProof/>
                <w:webHidden/>
              </w:rPr>
              <w:fldChar w:fldCharType="end"/>
            </w:r>
          </w:hyperlink>
        </w:p>
        <w:p w14:paraId="7A6691E4" w14:textId="62B8F016" w:rsidR="002A06F8" w:rsidRDefault="002A06F8">
          <w:pPr>
            <w:pStyle w:val="TOC1"/>
            <w:tabs>
              <w:tab w:val="right" w:leader="dot" w:pos="9016"/>
            </w:tabs>
            <w:rPr>
              <w:rFonts w:eastAsiaTheme="minorEastAsia"/>
              <w:noProof/>
              <w:sz w:val="24"/>
              <w:szCs w:val="24"/>
              <w:lang w:eastAsia="en-AU"/>
            </w:rPr>
          </w:pPr>
          <w:hyperlink w:anchor="_Toc225269985" w:history="1">
            <w:r w:rsidRPr="00D0701D">
              <w:rPr>
                <w:rStyle w:val="Hyperlink"/>
                <w:noProof/>
              </w:rPr>
              <w:t>Appendix D - Criteria for applying Method 3 approaches</w:t>
            </w:r>
            <w:r>
              <w:rPr>
                <w:noProof/>
                <w:webHidden/>
              </w:rPr>
              <w:tab/>
            </w:r>
            <w:r>
              <w:rPr>
                <w:noProof/>
                <w:webHidden/>
              </w:rPr>
              <w:fldChar w:fldCharType="begin"/>
            </w:r>
            <w:r>
              <w:rPr>
                <w:noProof/>
                <w:webHidden/>
              </w:rPr>
              <w:instrText xml:space="preserve"> PAGEREF _Toc225269985 \h </w:instrText>
            </w:r>
            <w:r>
              <w:rPr>
                <w:noProof/>
                <w:webHidden/>
              </w:rPr>
            </w:r>
            <w:r>
              <w:rPr>
                <w:noProof/>
                <w:webHidden/>
              </w:rPr>
              <w:fldChar w:fldCharType="separate"/>
            </w:r>
            <w:r w:rsidR="00877813">
              <w:rPr>
                <w:noProof/>
                <w:webHidden/>
              </w:rPr>
              <w:t>57</w:t>
            </w:r>
            <w:r>
              <w:rPr>
                <w:noProof/>
                <w:webHidden/>
              </w:rPr>
              <w:fldChar w:fldCharType="end"/>
            </w:r>
          </w:hyperlink>
        </w:p>
        <w:p w14:paraId="4BF7CB1B" w14:textId="7217BC1C" w:rsidR="002A06F8" w:rsidRDefault="002A06F8">
          <w:pPr>
            <w:pStyle w:val="TOC1"/>
            <w:tabs>
              <w:tab w:val="right" w:leader="dot" w:pos="9016"/>
            </w:tabs>
            <w:rPr>
              <w:rFonts w:eastAsiaTheme="minorEastAsia"/>
              <w:noProof/>
              <w:sz w:val="24"/>
              <w:szCs w:val="24"/>
              <w:lang w:eastAsia="en-AU"/>
            </w:rPr>
          </w:pPr>
          <w:hyperlink w:anchor="_Toc225269986" w:history="1">
            <w:r w:rsidRPr="00D0701D">
              <w:rPr>
                <w:rStyle w:val="Hyperlink"/>
                <w:noProof/>
              </w:rPr>
              <w:t>Appendix E – Entity Inventory Reporting Template</w:t>
            </w:r>
            <w:r>
              <w:rPr>
                <w:noProof/>
                <w:webHidden/>
              </w:rPr>
              <w:tab/>
            </w:r>
            <w:r>
              <w:rPr>
                <w:noProof/>
                <w:webHidden/>
              </w:rPr>
              <w:fldChar w:fldCharType="begin"/>
            </w:r>
            <w:r>
              <w:rPr>
                <w:noProof/>
                <w:webHidden/>
              </w:rPr>
              <w:instrText xml:space="preserve"> PAGEREF _Toc225269986 \h </w:instrText>
            </w:r>
            <w:r>
              <w:rPr>
                <w:noProof/>
                <w:webHidden/>
              </w:rPr>
            </w:r>
            <w:r>
              <w:rPr>
                <w:noProof/>
                <w:webHidden/>
              </w:rPr>
              <w:fldChar w:fldCharType="separate"/>
            </w:r>
            <w:r w:rsidR="00877813">
              <w:rPr>
                <w:noProof/>
                <w:webHidden/>
              </w:rPr>
              <w:t>58</w:t>
            </w:r>
            <w:r>
              <w:rPr>
                <w:noProof/>
                <w:webHidden/>
              </w:rPr>
              <w:fldChar w:fldCharType="end"/>
            </w:r>
          </w:hyperlink>
        </w:p>
        <w:p w14:paraId="7C37A2FF" w14:textId="58A2E3BF" w:rsidR="002A06F8" w:rsidRDefault="002A06F8">
          <w:pPr>
            <w:pStyle w:val="TOC1"/>
            <w:tabs>
              <w:tab w:val="right" w:leader="dot" w:pos="9016"/>
            </w:tabs>
            <w:rPr>
              <w:rFonts w:eastAsiaTheme="minorEastAsia"/>
              <w:noProof/>
              <w:sz w:val="24"/>
              <w:szCs w:val="24"/>
              <w:lang w:eastAsia="en-AU"/>
            </w:rPr>
          </w:pPr>
          <w:hyperlink w:anchor="_Toc225269987" w:history="1">
            <w:r w:rsidRPr="00D0701D">
              <w:rPr>
                <w:rStyle w:val="Hyperlink"/>
                <w:noProof/>
              </w:rPr>
              <w:t>Appendix F – Product Emissions Intensity Reporting Template</w:t>
            </w:r>
            <w:r>
              <w:rPr>
                <w:noProof/>
                <w:webHidden/>
              </w:rPr>
              <w:tab/>
            </w:r>
            <w:r>
              <w:rPr>
                <w:noProof/>
                <w:webHidden/>
              </w:rPr>
              <w:fldChar w:fldCharType="begin"/>
            </w:r>
            <w:r>
              <w:rPr>
                <w:noProof/>
                <w:webHidden/>
              </w:rPr>
              <w:instrText xml:space="preserve"> PAGEREF _Toc225269987 \h </w:instrText>
            </w:r>
            <w:r>
              <w:rPr>
                <w:noProof/>
                <w:webHidden/>
              </w:rPr>
            </w:r>
            <w:r>
              <w:rPr>
                <w:noProof/>
                <w:webHidden/>
              </w:rPr>
              <w:fldChar w:fldCharType="separate"/>
            </w:r>
            <w:r w:rsidR="00877813">
              <w:rPr>
                <w:noProof/>
                <w:webHidden/>
              </w:rPr>
              <w:t>64</w:t>
            </w:r>
            <w:r>
              <w:rPr>
                <w:noProof/>
                <w:webHidden/>
              </w:rPr>
              <w:fldChar w:fldCharType="end"/>
            </w:r>
          </w:hyperlink>
        </w:p>
        <w:p w14:paraId="7D7508D1" w14:textId="597D7CE3" w:rsidR="002A06F8" w:rsidRDefault="002A06F8">
          <w:pPr>
            <w:pStyle w:val="TOC1"/>
            <w:tabs>
              <w:tab w:val="right" w:leader="dot" w:pos="9016"/>
            </w:tabs>
            <w:rPr>
              <w:rFonts w:eastAsiaTheme="minorEastAsia"/>
              <w:noProof/>
              <w:sz w:val="24"/>
              <w:szCs w:val="24"/>
              <w:lang w:eastAsia="en-AU"/>
            </w:rPr>
          </w:pPr>
          <w:hyperlink w:anchor="_Toc225269988" w:history="1">
            <w:r w:rsidRPr="00D0701D">
              <w:rPr>
                <w:rStyle w:val="Hyperlink"/>
                <w:noProof/>
              </w:rPr>
              <w:t>Appendix G- Key terms</w:t>
            </w:r>
            <w:r>
              <w:rPr>
                <w:noProof/>
                <w:webHidden/>
              </w:rPr>
              <w:tab/>
            </w:r>
            <w:r>
              <w:rPr>
                <w:noProof/>
                <w:webHidden/>
              </w:rPr>
              <w:fldChar w:fldCharType="begin"/>
            </w:r>
            <w:r>
              <w:rPr>
                <w:noProof/>
                <w:webHidden/>
              </w:rPr>
              <w:instrText xml:space="preserve"> PAGEREF _Toc225269988 \h </w:instrText>
            </w:r>
            <w:r>
              <w:rPr>
                <w:noProof/>
                <w:webHidden/>
              </w:rPr>
            </w:r>
            <w:r>
              <w:rPr>
                <w:noProof/>
                <w:webHidden/>
              </w:rPr>
              <w:fldChar w:fldCharType="separate"/>
            </w:r>
            <w:r w:rsidR="00877813">
              <w:rPr>
                <w:noProof/>
                <w:webHidden/>
              </w:rPr>
              <w:t>69</w:t>
            </w:r>
            <w:r>
              <w:rPr>
                <w:noProof/>
                <w:webHidden/>
              </w:rPr>
              <w:fldChar w:fldCharType="end"/>
            </w:r>
          </w:hyperlink>
        </w:p>
        <w:p w14:paraId="3326B10D" w14:textId="0DE0479E" w:rsidR="00B801AB" w:rsidRPr="000F1DE5" w:rsidRDefault="00762184" w:rsidP="002B2E62">
          <w:pPr>
            <w:suppressLineNumbers/>
            <w:rPr>
              <w:rFonts w:ascii="Aptos" w:hAnsi="Aptos"/>
            </w:rPr>
          </w:pPr>
          <w:r w:rsidRPr="000F1DE5">
            <w:rPr>
              <w:rFonts w:ascii="Aptos" w:hAnsi="Aptos"/>
            </w:rPr>
            <w:fldChar w:fldCharType="end"/>
          </w:r>
        </w:p>
      </w:sdtContent>
    </w:sdt>
    <w:p w14:paraId="28B8F693" w14:textId="77777777" w:rsidR="002A06F8" w:rsidRDefault="002A06F8" w:rsidP="008833DB">
      <w:pPr>
        <w:pStyle w:val="Style4"/>
        <w:ind w:left="432"/>
        <w:sectPr w:rsidR="002A06F8" w:rsidSect="002A06F8">
          <w:headerReference w:type="default" r:id="rId22"/>
          <w:type w:val="continuous"/>
          <w:pgSz w:w="11906" w:h="16838" w:code="9"/>
          <w:pgMar w:top="1440" w:right="1440" w:bottom="1440" w:left="1440" w:header="709" w:footer="709" w:gutter="0"/>
          <w:cols w:space="708"/>
          <w:docGrid w:linePitch="360"/>
        </w:sectPr>
      </w:pPr>
    </w:p>
    <w:p w14:paraId="54CFAFCE" w14:textId="7590D7D1" w:rsidR="001E62B2" w:rsidRDefault="001E62B2" w:rsidP="008833DB">
      <w:pPr>
        <w:pStyle w:val="Style4"/>
        <w:ind w:left="432"/>
      </w:pPr>
      <w:bookmarkStart w:id="6" w:name="_Toc225269943"/>
      <w:r>
        <w:lastRenderedPageBreak/>
        <w:t>Introduction</w:t>
      </w:r>
      <w:bookmarkEnd w:id="6"/>
    </w:p>
    <w:p w14:paraId="3E985664" w14:textId="7B495973" w:rsidR="001E62B2" w:rsidRDefault="001E62B2" w:rsidP="001E62B2">
      <w:pPr>
        <w:spacing w:line="257" w:lineRule="auto"/>
        <w:rPr>
          <w:rFonts w:ascii="Aptos" w:eastAsia="Aptos" w:hAnsi="Aptos" w:cs="Aptos"/>
        </w:rPr>
      </w:pPr>
      <w:r w:rsidRPr="00980365">
        <w:rPr>
          <w:rFonts w:ascii="Aptos" w:eastAsia="Aptos" w:hAnsi="Aptos" w:cs="Aptos"/>
        </w:rPr>
        <w:t xml:space="preserve">Understanding the greenhouse gas (GHG) emissions profile of a business is becoming increasingly </w:t>
      </w:r>
      <w:r>
        <w:rPr>
          <w:rFonts w:ascii="Aptos" w:eastAsia="Aptos" w:hAnsi="Aptos" w:cs="Aptos"/>
        </w:rPr>
        <w:t>important</w:t>
      </w:r>
      <w:r w:rsidRPr="00980365">
        <w:rPr>
          <w:rFonts w:ascii="Aptos" w:eastAsia="Aptos" w:hAnsi="Aptos" w:cs="Aptos"/>
        </w:rPr>
        <w:t xml:space="preserve"> for </w:t>
      </w:r>
      <w:r>
        <w:rPr>
          <w:rFonts w:ascii="Aptos" w:eastAsia="Aptos" w:hAnsi="Aptos" w:cs="Aptos"/>
        </w:rPr>
        <w:t>a</w:t>
      </w:r>
      <w:r w:rsidRPr="00980365">
        <w:rPr>
          <w:rFonts w:ascii="Aptos" w:eastAsia="Aptos" w:hAnsi="Aptos" w:cs="Aptos"/>
        </w:rPr>
        <w:t xml:space="preserve">griculture, fisheries and forestry (AFF) industries. </w:t>
      </w:r>
      <w:r>
        <w:rPr>
          <w:rFonts w:ascii="Aptos" w:eastAsia="Aptos" w:hAnsi="Aptos" w:cs="Aptos"/>
        </w:rPr>
        <w:t>D</w:t>
      </w:r>
      <w:r w:rsidRPr="00980365">
        <w:rPr>
          <w:rFonts w:ascii="Aptos" w:eastAsia="Aptos" w:hAnsi="Aptos" w:cs="Aptos"/>
        </w:rPr>
        <w:t xml:space="preserve">emand for emissions data </w:t>
      </w:r>
      <w:r>
        <w:rPr>
          <w:rFonts w:ascii="Aptos" w:eastAsia="Aptos" w:hAnsi="Aptos" w:cs="Aptos"/>
        </w:rPr>
        <w:t xml:space="preserve">is </w:t>
      </w:r>
      <w:r w:rsidRPr="00980365">
        <w:rPr>
          <w:rFonts w:ascii="Aptos" w:eastAsia="Aptos" w:hAnsi="Aptos" w:cs="Aptos"/>
        </w:rPr>
        <w:t>expected to increase, driven by a range of factors including evolving market expectations</w:t>
      </w:r>
      <w:r>
        <w:rPr>
          <w:rFonts w:ascii="Aptos" w:eastAsia="Aptos" w:hAnsi="Aptos" w:cs="Aptos"/>
        </w:rPr>
        <w:t>,</w:t>
      </w:r>
      <w:r w:rsidRPr="00980365">
        <w:rPr>
          <w:rFonts w:ascii="Aptos" w:eastAsia="Aptos" w:hAnsi="Aptos" w:cs="Aptos"/>
        </w:rPr>
        <w:t xml:space="preserve"> and supply chains </w:t>
      </w:r>
      <w:r>
        <w:rPr>
          <w:rFonts w:ascii="Aptos" w:eastAsia="Aptos" w:hAnsi="Aptos" w:cs="Aptos"/>
        </w:rPr>
        <w:t xml:space="preserve">and financial institutions </w:t>
      </w:r>
      <w:r w:rsidRPr="00980365">
        <w:rPr>
          <w:rFonts w:ascii="Aptos" w:eastAsia="Aptos" w:hAnsi="Aptos" w:cs="Aptos"/>
        </w:rPr>
        <w:t>seeking to monitor progress again</w:t>
      </w:r>
      <w:r>
        <w:rPr>
          <w:rFonts w:ascii="Aptos" w:eastAsia="Aptos" w:hAnsi="Aptos" w:cs="Aptos"/>
        </w:rPr>
        <w:t>st</w:t>
      </w:r>
      <w:r w:rsidRPr="00980365">
        <w:rPr>
          <w:rFonts w:ascii="Aptos" w:eastAsia="Aptos" w:hAnsi="Aptos" w:cs="Aptos"/>
        </w:rPr>
        <w:t xml:space="preserve"> voluntary climate commitment</w:t>
      </w:r>
      <w:r w:rsidR="00AA6825">
        <w:rPr>
          <w:rFonts w:ascii="Aptos" w:eastAsia="Aptos" w:hAnsi="Aptos" w:cs="Aptos"/>
        </w:rPr>
        <w:t>s</w:t>
      </w:r>
      <w:r w:rsidRPr="00980365">
        <w:rPr>
          <w:rFonts w:ascii="Aptos" w:eastAsia="Aptos" w:hAnsi="Aptos" w:cs="Aptos"/>
        </w:rPr>
        <w:t xml:space="preserve">. </w:t>
      </w:r>
      <w:r>
        <w:rPr>
          <w:rFonts w:ascii="Aptos" w:eastAsia="Aptos" w:hAnsi="Aptos" w:cs="Aptos"/>
        </w:rPr>
        <w:t>Additionally, some large AFF entities may be required to report under</w:t>
      </w:r>
      <w:r w:rsidRPr="40346951">
        <w:rPr>
          <w:rFonts w:ascii="Aptos" w:eastAsia="Aptos" w:hAnsi="Aptos" w:cs="Aptos"/>
        </w:rPr>
        <w:t xml:space="preserve"> Australia’s mandatory climate-related financial disclosure</w:t>
      </w:r>
      <w:r w:rsidR="00842B80">
        <w:rPr>
          <w:rFonts w:ascii="Aptos" w:eastAsia="Aptos" w:hAnsi="Aptos" w:cs="Aptos"/>
        </w:rPr>
        <w:t xml:space="preserve"> regime </w:t>
      </w:r>
      <w:r>
        <w:rPr>
          <w:rFonts w:ascii="Aptos" w:eastAsia="Aptos" w:hAnsi="Aptos" w:cs="Aptos"/>
        </w:rPr>
        <w:t>as set out in</w:t>
      </w:r>
      <w:r w:rsidRPr="40346951">
        <w:rPr>
          <w:rFonts w:ascii="Aptos" w:eastAsia="Aptos" w:hAnsi="Aptos" w:cs="Aptos"/>
        </w:rPr>
        <w:t xml:space="preserve"> the </w:t>
      </w:r>
      <w:r w:rsidRPr="40346951">
        <w:rPr>
          <w:rFonts w:ascii="Aptos" w:eastAsia="Aptos" w:hAnsi="Aptos" w:cs="Aptos"/>
          <w:i/>
          <w:iCs/>
        </w:rPr>
        <w:t>Corporations Act 2001</w:t>
      </w:r>
      <w:r w:rsidRPr="00980365">
        <w:rPr>
          <w:rFonts w:ascii="Aptos" w:eastAsia="Aptos" w:hAnsi="Aptos" w:cs="Aptos"/>
        </w:rPr>
        <w:t>.</w:t>
      </w:r>
      <w:r w:rsidR="00DF0EF7" w:rsidRPr="00DF0EF7">
        <w:rPr>
          <w:rFonts w:ascii="Calibri" w:hAnsi="Calibri" w:cs="Calibri"/>
          <w:color w:val="000000"/>
          <w:shd w:val="clear" w:color="auto" w:fill="FFFFFF"/>
        </w:rPr>
        <w:t xml:space="preserve"> </w:t>
      </w:r>
    </w:p>
    <w:p w14:paraId="75370B06" w14:textId="77777777" w:rsidR="001E62B2" w:rsidRDefault="001E62B2" w:rsidP="001E62B2">
      <w:pPr>
        <w:spacing w:line="257" w:lineRule="auto"/>
        <w:rPr>
          <w:rFonts w:ascii="Aptos" w:eastAsia="Aptos" w:hAnsi="Aptos" w:cs="Aptos"/>
        </w:rPr>
      </w:pPr>
      <w:r>
        <w:rPr>
          <w:rFonts w:ascii="Aptos" w:eastAsia="Aptos" w:hAnsi="Aptos" w:cs="Aptos"/>
        </w:rPr>
        <w:t>Although</w:t>
      </w:r>
      <w:r w:rsidRPr="40346951">
        <w:rPr>
          <w:rFonts w:ascii="Aptos" w:eastAsia="Aptos" w:hAnsi="Aptos" w:cs="Aptos"/>
        </w:rPr>
        <w:t xml:space="preserve"> GHG calculators are available</w:t>
      </w:r>
      <w:r>
        <w:rPr>
          <w:rFonts w:ascii="Aptos" w:eastAsia="Aptos" w:hAnsi="Aptos" w:cs="Aptos"/>
        </w:rPr>
        <w:t xml:space="preserve"> to support estimating and reporting</w:t>
      </w:r>
      <w:r w:rsidRPr="40346951">
        <w:rPr>
          <w:rFonts w:ascii="Aptos" w:eastAsia="Aptos" w:hAnsi="Aptos" w:cs="Aptos"/>
        </w:rPr>
        <w:t>, stakeholders have raised concerns about inconsistent results, causing uncertainty about which calculators to use or how to begin.</w:t>
      </w:r>
    </w:p>
    <w:p w14:paraId="5BAED712" w14:textId="2CDC1B35" w:rsidR="001E62B2" w:rsidRDefault="001E62B2" w:rsidP="001E62B2">
      <w:pPr>
        <w:spacing w:line="257" w:lineRule="auto"/>
        <w:rPr>
          <w:rFonts w:ascii="Aptos" w:eastAsia="Aptos" w:hAnsi="Aptos" w:cs="Aptos"/>
        </w:rPr>
      </w:pPr>
      <w:r w:rsidRPr="40346951">
        <w:rPr>
          <w:rFonts w:ascii="Aptos" w:eastAsia="Aptos" w:hAnsi="Aptos" w:cs="Aptos"/>
        </w:rPr>
        <w:t xml:space="preserve">The Australian Government has developed the </w:t>
      </w:r>
      <w:r>
        <w:rPr>
          <w:rFonts w:ascii="Aptos" w:eastAsia="Aptos" w:hAnsi="Aptos" w:cs="Aptos"/>
        </w:rPr>
        <w:t>v</w:t>
      </w:r>
      <w:r w:rsidRPr="40346951">
        <w:rPr>
          <w:rFonts w:ascii="Aptos" w:eastAsia="Aptos" w:hAnsi="Aptos" w:cs="Aptos"/>
        </w:rPr>
        <w:t xml:space="preserve">oluntary GHG </w:t>
      </w:r>
      <w:r>
        <w:rPr>
          <w:rFonts w:ascii="Aptos" w:eastAsia="Aptos" w:hAnsi="Aptos" w:cs="Aptos"/>
        </w:rPr>
        <w:t xml:space="preserve">Emissions </w:t>
      </w:r>
      <w:r w:rsidRPr="40346951">
        <w:rPr>
          <w:rFonts w:ascii="Aptos" w:eastAsia="Aptos" w:hAnsi="Aptos" w:cs="Aptos"/>
        </w:rPr>
        <w:t xml:space="preserve">Estimation and Reporting Guidelines for Agriculture, Fisheries and Forestry (the Guidelines) to improve the quality and consistency of </w:t>
      </w:r>
      <w:r w:rsidR="00FD48CA">
        <w:rPr>
          <w:rFonts w:ascii="Aptos" w:eastAsia="Aptos" w:hAnsi="Aptos" w:cs="Aptos"/>
        </w:rPr>
        <w:t xml:space="preserve">reporting and </w:t>
      </w:r>
      <w:r w:rsidR="000B74D2">
        <w:rPr>
          <w:rFonts w:ascii="Aptos" w:eastAsia="Aptos" w:hAnsi="Aptos" w:cs="Aptos"/>
        </w:rPr>
        <w:t xml:space="preserve">estimation </w:t>
      </w:r>
      <w:r w:rsidRPr="40346951">
        <w:rPr>
          <w:rFonts w:ascii="Aptos" w:eastAsia="Aptos" w:hAnsi="Aptos" w:cs="Aptos"/>
        </w:rPr>
        <w:t>methods</w:t>
      </w:r>
      <w:r w:rsidR="00117171">
        <w:rPr>
          <w:rFonts w:ascii="Aptos" w:eastAsia="Aptos" w:hAnsi="Aptos" w:cs="Aptos"/>
        </w:rPr>
        <w:t xml:space="preserve"> </w:t>
      </w:r>
      <w:r w:rsidR="00117171">
        <w:t>–</w:t>
      </w:r>
      <w:r w:rsidR="00117171">
        <w:rPr>
          <w:rFonts w:ascii="Aptos" w:eastAsia="Aptos" w:hAnsi="Aptos" w:cs="Aptos"/>
        </w:rPr>
        <w:t xml:space="preserve"> </w:t>
      </w:r>
      <w:r w:rsidRPr="40346951">
        <w:rPr>
          <w:rFonts w:ascii="Aptos" w:eastAsia="Aptos" w:hAnsi="Aptos" w:cs="Aptos"/>
        </w:rPr>
        <w:t>and, by extension, the tools entities rely on.</w:t>
      </w:r>
      <w:r w:rsidR="000570EA">
        <w:rPr>
          <w:rFonts w:ascii="Aptos" w:eastAsia="Aptos" w:hAnsi="Aptos" w:cs="Aptos"/>
        </w:rPr>
        <w:t xml:space="preserve"> </w:t>
      </w:r>
      <w:r w:rsidR="000570EA" w:rsidRPr="000570EA">
        <w:rPr>
          <w:rFonts w:ascii="Aptos" w:eastAsia="Aptos" w:hAnsi="Aptos" w:cs="Aptos"/>
        </w:rPr>
        <w:t>Agricultural Innovation Australia</w:t>
      </w:r>
      <w:r w:rsidR="00EB7D21">
        <w:rPr>
          <w:rFonts w:ascii="Aptos" w:eastAsia="Aptos" w:hAnsi="Aptos" w:cs="Aptos"/>
        </w:rPr>
        <w:t>’s</w:t>
      </w:r>
      <w:r w:rsidR="000570EA" w:rsidRPr="000570EA">
        <w:rPr>
          <w:rFonts w:ascii="Aptos" w:eastAsia="Aptos" w:hAnsi="Aptos" w:cs="Aptos"/>
        </w:rPr>
        <w:t xml:space="preserve"> (AIA</w:t>
      </w:r>
      <w:r w:rsidR="003F5FE5">
        <w:rPr>
          <w:rFonts w:ascii="Aptos" w:eastAsia="Aptos" w:hAnsi="Aptos" w:cs="Aptos"/>
        </w:rPr>
        <w:t>’s</w:t>
      </w:r>
      <w:r w:rsidR="000570EA" w:rsidRPr="000570EA">
        <w:rPr>
          <w:rFonts w:ascii="Aptos" w:eastAsia="Aptos" w:hAnsi="Aptos" w:cs="Aptos"/>
        </w:rPr>
        <w:t>)</w:t>
      </w:r>
      <w:r w:rsidR="00BB6F28" w:rsidRPr="00BB6F28">
        <w:rPr>
          <w:rFonts w:ascii="Aptos" w:eastAsia="Aptos" w:hAnsi="Aptos" w:cs="Aptos"/>
        </w:rPr>
        <w:t xml:space="preserve"> open-source code and </w:t>
      </w:r>
      <w:r w:rsidR="009D77D5">
        <w:rPr>
          <w:rFonts w:ascii="Aptos" w:eastAsia="Aptos" w:hAnsi="Aptos" w:cs="Aptos"/>
        </w:rPr>
        <w:t>Application Programming Interface (</w:t>
      </w:r>
      <w:r w:rsidR="00BB6F28" w:rsidRPr="00BB6F28">
        <w:rPr>
          <w:rFonts w:ascii="Aptos" w:eastAsia="Aptos" w:hAnsi="Aptos" w:cs="Aptos"/>
        </w:rPr>
        <w:t>API</w:t>
      </w:r>
      <w:r w:rsidR="009D77D5">
        <w:rPr>
          <w:rFonts w:ascii="Aptos" w:eastAsia="Aptos" w:hAnsi="Aptos" w:cs="Aptos"/>
        </w:rPr>
        <w:t>)</w:t>
      </w:r>
      <w:r w:rsidR="00A36B23">
        <w:rPr>
          <w:rFonts w:ascii="Aptos" w:eastAsia="Aptos" w:hAnsi="Aptos" w:cs="Aptos"/>
        </w:rPr>
        <w:t xml:space="preserve"> (in development)</w:t>
      </w:r>
      <w:r w:rsidR="00BB6F28" w:rsidRPr="00BB6F28">
        <w:rPr>
          <w:rFonts w:ascii="Aptos" w:eastAsia="Aptos" w:hAnsi="Aptos" w:cs="Aptos"/>
        </w:rPr>
        <w:t xml:space="preserve"> align with the methods outlined in these Guidelines.</w:t>
      </w:r>
      <w:r w:rsidR="00BB6F28">
        <w:rPr>
          <w:rFonts w:ascii="Aptos" w:eastAsia="Aptos" w:hAnsi="Aptos" w:cs="Aptos"/>
        </w:rPr>
        <w:t xml:space="preserve"> </w:t>
      </w:r>
    </w:p>
    <w:p w14:paraId="5D7DAAF9" w14:textId="44AF00F2" w:rsidR="001E62B2" w:rsidRDefault="001E62B2" w:rsidP="001E62B2">
      <w:pPr>
        <w:spacing w:line="257" w:lineRule="auto"/>
      </w:pPr>
      <w:r w:rsidRPr="40346951">
        <w:rPr>
          <w:rFonts w:ascii="Aptos" w:eastAsia="Aptos" w:hAnsi="Aptos" w:cs="Aptos"/>
        </w:rPr>
        <w:t>The Guidelines comprise the Common Requirements Framework and the Methodolog</w:t>
      </w:r>
      <w:r>
        <w:rPr>
          <w:rFonts w:ascii="Aptos" w:eastAsia="Aptos" w:hAnsi="Aptos" w:cs="Aptos"/>
        </w:rPr>
        <w:t>ical</w:t>
      </w:r>
      <w:r w:rsidRPr="40346951">
        <w:rPr>
          <w:rFonts w:ascii="Aptos" w:eastAsia="Aptos" w:hAnsi="Aptos" w:cs="Aptos"/>
        </w:rPr>
        <w:t xml:space="preserve"> Guidance</w:t>
      </w:r>
      <w:r w:rsidR="007C3B04">
        <w:rPr>
          <w:rFonts w:ascii="Aptos" w:eastAsia="Aptos" w:hAnsi="Aptos" w:cs="Aptos"/>
        </w:rPr>
        <w:t xml:space="preserve"> (including Land Use, Land Use Change and Forest</w:t>
      </w:r>
      <w:r w:rsidR="00D42139">
        <w:rPr>
          <w:rFonts w:ascii="Aptos" w:eastAsia="Aptos" w:hAnsi="Aptos" w:cs="Aptos"/>
        </w:rPr>
        <w:t>r</w:t>
      </w:r>
      <w:r w:rsidR="007C3B04">
        <w:rPr>
          <w:rFonts w:ascii="Aptos" w:eastAsia="Aptos" w:hAnsi="Aptos" w:cs="Aptos"/>
        </w:rPr>
        <w:t>y methods)</w:t>
      </w:r>
      <w:r w:rsidRPr="40346951">
        <w:rPr>
          <w:rFonts w:ascii="Aptos" w:eastAsia="Aptos" w:hAnsi="Aptos" w:cs="Aptos"/>
        </w:rPr>
        <w:t>. This document, the Common Requirements Framework, sets out the core requirements for entities to estimate and report their GHG emission and removal in a consistent and transparent way.</w:t>
      </w:r>
      <w:r>
        <w:rPr>
          <w:rFonts w:ascii="Aptos" w:eastAsia="Aptos" w:hAnsi="Aptos" w:cs="Aptos"/>
        </w:rPr>
        <w:t xml:space="preserve"> </w:t>
      </w:r>
      <w:r w:rsidRPr="00C15EF8">
        <w:rPr>
          <w:rFonts w:ascii="Aptos" w:eastAsia="Aptos" w:hAnsi="Aptos" w:cs="Aptos"/>
        </w:rPr>
        <w:t xml:space="preserve">The Methodological Guidance describes </w:t>
      </w:r>
      <w:r>
        <w:rPr>
          <w:rFonts w:ascii="Aptos" w:eastAsia="Aptos" w:hAnsi="Aptos" w:cs="Aptos"/>
        </w:rPr>
        <w:t xml:space="preserve">the </w:t>
      </w:r>
      <w:r w:rsidRPr="00C15EF8">
        <w:rPr>
          <w:rFonts w:ascii="Aptos" w:eastAsia="Aptos" w:hAnsi="Aptos" w:cs="Aptos"/>
        </w:rPr>
        <w:t>methods and emission factors for GHG estimation.</w:t>
      </w:r>
      <w:r w:rsidR="00A26412">
        <w:rPr>
          <w:rFonts w:ascii="Aptos" w:eastAsia="Aptos" w:hAnsi="Aptos" w:cs="Aptos"/>
        </w:rPr>
        <w:t xml:space="preserve"> </w:t>
      </w:r>
      <w:r w:rsidR="00AC6F22" w:rsidRPr="00080E86">
        <w:rPr>
          <w:rFonts w:ascii="Aptos" w:eastAsia="Aptos" w:hAnsi="Aptos" w:cs="Aptos"/>
        </w:rPr>
        <w:t xml:space="preserve">While the Guidelines </w:t>
      </w:r>
      <w:r w:rsidR="004A5D3C">
        <w:rPr>
          <w:rFonts w:ascii="Aptos" w:eastAsia="Aptos" w:hAnsi="Aptos" w:cs="Aptos"/>
        </w:rPr>
        <w:t xml:space="preserve">are </w:t>
      </w:r>
      <w:r w:rsidR="00AC6F22" w:rsidRPr="00080E86">
        <w:rPr>
          <w:rFonts w:ascii="Aptos" w:eastAsia="Aptos" w:hAnsi="Aptos" w:cs="Aptos"/>
        </w:rPr>
        <w:t xml:space="preserve">voluntary, </w:t>
      </w:r>
      <w:r w:rsidR="00853958">
        <w:rPr>
          <w:rFonts w:ascii="Aptos" w:eastAsia="Aptos" w:hAnsi="Aptos" w:cs="Aptos"/>
        </w:rPr>
        <w:t xml:space="preserve">users </w:t>
      </w:r>
      <w:r w:rsidR="00F76AB2">
        <w:rPr>
          <w:rFonts w:ascii="Aptos" w:eastAsia="Aptos" w:hAnsi="Aptos" w:cs="Aptos"/>
        </w:rPr>
        <w:t xml:space="preserve">wanting to claim </w:t>
      </w:r>
      <w:r w:rsidR="001A1319">
        <w:rPr>
          <w:rFonts w:ascii="Aptos" w:eastAsia="Aptos" w:hAnsi="Aptos" w:cs="Aptos"/>
        </w:rPr>
        <w:t xml:space="preserve">compliance with them need to </w:t>
      </w:r>
      <w:r w:rsidR="00DA67EE">
        <w:rPr>
          <w:rFonts w:ascii="Aptos" w:eastAsia="Aptos" w:hAnsi="Aptos" w:cs="Aptos"/>
        </w:rPr>
        <w:t xml:space="preserve">follow </w:t>
      </w:r>
      <w:r w:rsidR="007D5027">
        <w:rPr>
          <w:rFonts w:ascii="Aptos" w:eastAsia="Aptos" w:hAnsi="Aptos" w:cs="Aptos"/>
        </w:rPr>
        <w:t xml:space="preserve">the specified </w:t>
      </w:r>
      <w:r w:rsidR="00AC6F22" w:rsidRPr="00080E86">
        <w:rPr>
          <w:rFonts w:ascii="Aptos" w:eastAsia="Aptos" w:hAnsi="Aptos" w:cs="Aptos"/>
        </w:rPr>
        <w:t>requirements.</w:t>
      </w:r>
    </w:p>
    <w:p w14:paraId="3914FFB4" w14:textId="77777777" w:rsidR="001E62B2" w:rsidRPr="00B175C6" w:rsidRDefault="001E62B2" w:rsidP="00BE68D0">
      <w:pPr>
        <w:pStyle w:val="Style3"/>
        <w:ind w:left="567" w:hanging="567"/>
      </w:pPr>
      <w:bookmarkStart w:id="7" w:name="_Toc225269944"/>
      <w:r w:rsidRPr="001B5E20">
        <w:t>Context</w:t>
      </w:r>
      <w:bookmarkEnd w:id="7"/>
    </w:p>
    <w:p w14:paraId="75A26FC8" w14:textId="77777777" w:rsidR="001E62B2" w:rsidRPr="00E36490" w:rsidRDefault="001E62B2" w:rsidP="001E62B2">
      <w:pPr>
        <w:pStyle w:val="Heading3"/>
        <w:numPr>
          <w:ilvl w:val="0"/>
          <w:numId w:val="0"/>
        </w:numPr>
        <w:spacing w:before="0" w:after="0" w:line="240" w:lineRule="auto"/>
        <w:ind w:left="720" w:hanging="720"/>
      </w:pPr>
      <w:r>
        <w:t xml:space="preserve">GHG emissions from agriculture, </w:t>
      </w:r>
      <w:r w:rsidRPr="001061A8">
        <w:t>fisheries and forestry</w:t>
      </w:r>
    </w:p>
    <w:p w14:paraId="73A7523A" w14:textId="3397F12A" w:rsidR="001E62B2" w:rsidRDefault="001E62B2" w:rsidP="001E62B2">
      <w:pPr>
        <w:rPr>
          <w:rFonts w:ascii="Aptos" w:eastAsia="Aptos" w:hAnsi="Aptos" w:cs="Aptos"/>
        </w:rPr>
      </w:pPr>
      <w:r w:rsidRPr="291B401C">
        <w:rPr>
          <w:rFonts w:ascii="Aptos" w:eastAsia="Aptos" w:hAnsi="Aptos" w:cs="Aptos"/>
        </w:rPr>
        <w:t xml:space="preserve">Agriculture and land </w:t>
      </w:r>
      <w:r>
        <w:rPr>
          <w:rFonts w:ascii="Aptos" w:eastAsia="Aptos" w:hAnsi="Aptos" w:cs="Aptos"/>
        </w:rPr>
        <w:t>management</w:t>
      </w:r>
      <w:r w:rsidRPr="291B401C">
        <w:rPr>
          <w:rFonts w:ascii="Aptos" w:eastAsia="Aptos" w:hAnsi="Aptos" w:cs="Aptos"/>
        </w:rPr>
        <w:t xml:space="preserve"> are </w:t>
      </w:r>
      <w:r>
        <w:rPr>
          <w:rFonts w:ascii="Aptos" w:eastAsia="Aptos" w:hAnsi="Aptos" w:cs="Aptos"/>
        </w:rPr>
        <w:t>major</w:t>
      </w:r>
      <w:r w:rsidRPr="291B401C">
        <w:rPr>
          <w:rFonts w:ascii="Aptos" w:eastAsia="Aptos" w:hAnsi="Aptos" w:cs="Aptos"/>
        </w:rPr>
        <w:t xml:space="preserve"> contributors to global climate change, primarily through </w:t>
      </w:r>
      <w:r w:rsidRPr="006A7CB8">
        <w:rPr>
          <w:rFonts w:ascii="Aptos" w:eastAsia="Aptos" w:hAnsi="Aptos" w:cs="Aptos"/>
        </w:rPr>
        <w:t>emissions</w:t>
      </w:r>
      <w:r w:rsidRPr="291B401C">
        <w:rPr>
          <w:rFonts w:ascii="Aptos" w:eastAsia="Aptos" w:hAnsi="Aptos" w:cs="Aptos"/>
          <w:i/>
          <w:iCs/>
        </w:rPr>
        <w:t xml:space="preserve"> </w:t>
      </w:r>
      <w:r w:rsidRPr="291B401C">
        <w:rPr>
          <w:rFonts w:ascii="Aptos" w:eastAsia="Aptos" w:hAnsi="Aptos" w:cs="Aptos"/>
        </w:rPr>
        <w:t xml:space="preserve">of methane </w:t>
      </w:r>
      <w:r w:rsidRPr="291B401C" w:rsidDel="00914366">
        <w:rPr>
          <w:rFonts w:ascii="Aptos" w:eastAsia="Aptos" w:hAnsi="Aptos" w:cs="Aptos"/>
        </w:rPr>
        <w:t>(</w:t>
      </w:r>
      <w:r w:rsidR="00D10127">
        <w:rPr>
          <w:rFonts w:ascii="Aptos" w:eastAsia="Aptos" w:hAnsi="Aptos" w:cs="Aptos"/>
        </w:rPr>
        <w:t>CH</w:t>
      </w:r>
      <w:r w:rsidR="00D10127" w:rsidRPr="00225235">
        <w:rPr>
          <w:rFonts w:ascii="Aptos" w:eastAsia="Aptos" w:hAnsi="Aptos" w:cs="Aptos"/>
          <w:vertAlign w:val="subscript"/>
        </w:rPr>
        <w:t>4</w:t>
      </w:r>
      <w:r w:rsidR="00D10127">
        <w:rPr>
          <w:rFonts w:ascii="Aptos" w:eastAsia="Aptos" w:hAnsi="Aptos" w:cs="Aptos"/>
        </w:rPr>
        <w:t>)</w:t>
      </w:r>
      <w:r w:rsidRPr="291B401C">
        <w:rPr>
          <w:rFonts w:ascii="Aptos" w:eastAsia="Aptos" w:hAnsi="Aptos" w:cs="Aptos"/>
        </w:rPr>
        <w:t xml:space="preserve"> from livestock </w:t>
      </w:r>
      <w:r>
        <w:rPr>
          <w:rFonts w:ascii="Aptos" w:eastAsia="Aptos" w:hAnsi="Aptos" w:cs="Aptos"/>
        </w:rPr>
        <w:t>and</w:t>
      </w:r>
      <w:r w:rsidRPr="291B401C">
        <w:rPr>
          <w:rFonts w:ascii="Aptos" w:eastAsia="Aptos" w:hAnsi="Aptos" w:cs="Aptos"/>
        </w:rPr>
        <w:t xml:space="preserve"> nitrous oxide </w:t>
      </w:r>
      <w:r w:rsidRPr="291B401C" w:rsidDel="00914366">
        <w:rPr>
          <w:rFonts w:ascii="Aptos" w:eastAsia="Aptos" w:hAnsi="Aptos" w:cs="Aptos"/>
        </w:rPr>
        <w:t>(</w:t>
      </w:r>
      <w:r w:rsidR="00D10127">
        <w:rPr>
          <w:rFonts w:ascii="Aptos" w:eastAsia="Aptos" w:hAnsi="Aptos" w:cs="Aptos"/>
        </w:rPr>
        <w:t>N</w:t>
      </w:r>
      <w:r w:rsidR="00D10127" w:rsidRPr="00225235">
        <w:rPr>
          <w:rFonts w:ascii="Aptos" w:eastAsia="Aptos" w:hAnsi="Aptos" w:cs="Aptos"/>
          <w:vertAlign w:val="subscript"/>
        </w:rPr>
        <w:t>2</w:t>
      </w:r>
      <w:r w:rsidR="00D10127">
        <w:rPr>
          <w:rFonts w:ascii="Aptos" w:eastAsia="Aptos" w:hAnsi="Aptos" w:cs="Aptos"/>
        </w:rPr>
        <w:t xml:space="preserve">O) </w:t>
      </w:r>
      <w:r w:rsidRPr="291B401C">
        <w:rPr>
          <w:rFonts w:ascii="Aptos" w:eastAsia="Aptos" w:hAnsi="Aptos" w:cs="Aptos"/>
        </w:rPr>
        <w:t>from agricultural soils</w:t>
      </w:r>
      <w:r>
        <w:rPr>
          <w:rFonts w:ascii="Aptos" w:eastAsia="Aptos" w:hAnsi="Aptos" w:cs="Aptos"/>
        </w:rPr>
        <w:t xml:space="preserve">. </w:t>
      </w:r>
      <w:r w:rsidR="005F1178" w:rsidRPr="005F1178">
        <w:rPr>
          <w:rFonts w:ascii="Aptos" w:eastAsia="Aptos" w:hAnsi="Aptos" w:cs="Aptos"/>
        </w:rPr>
        <w:t xml:space="preserve">Fisheries and aquaculture contribute a smaller but still </w:t>
      </w:r>
      <w:r w:rsidR="0040400F">
        <w:rPr>
          <w:rFonts w:ascii="Aptos" w:eastAsia="Aptos" w:hAnsi="Aptos" w:cs="Aptos"/>
        </w:rPr>
        <w:t>significant</w:t>
      </w:r>
      <w:r w:rsidR="005F1178" w:rsidRPr="005F1178">
        <w:rPr>
          <w:rFonts w:ascii="Aptos" w:eastAsia="Aptos" w:hAnsi="Aptos" w:cs="Aptos"/>
        </w:rPr>
        <w:t xml:space="preserve"> share of emissions, largely associated with energy use, feed production, and nutrient management. </w:t>
      </w:r>
      <w:r>
        <w:rPr>
          <w:rFonts w:ascii="Aptos" w:eastAsia="Aptos" w:hAnsi="Aptos" w:cs="Aptos"/>
        </w:rPr>
        <w:t>In addition,</w:t>
      </w:r>
      <w:r w:rsidRPr="00442026">
        <w:rPr>
          <w:rFonts w:ascii="Aptos" w:eastAsia="Aptos" w:hAnsi="Aptos" w:cs="Aptos"/>
        </w:rPr>
        <w:t xml:space="preserve"> practices such as vegetation</w:t>
      </w:r>
      <w:r w:rsidRPr="00442026" w:rsidDel="008F7AA9">
        <w:rPr>
          <w:rFonts w:ascii="Aptos" w:eastAsia="Aptos" w:hAnsi="Aptos" w:cs="Aptos"/>
        </w:rPr>
        <w:t xml:space="preserve"> </w:t>
      </w:r>
      <w:r>
        <w:rPr>
          <w:rFonts w:ascii="Aptos" w:eastAsia="Aptos" w:hAnsi="Aptos" w:cs="Aptos"/>
        </w:rPr>
        <w:t>clearing</w:t>
      </w:r>
      <w:r w:rsidRPr="00442026">
        <w:rPr>
          <w:rFonts w:ascii="Aptos" w:eastAsia="Aptos" w:hAnsi="Aptos" w:cs="Aptos"/>
        </w:rPr>
        <w:t xml:space="preserve"> or </w:t>
      </w:r>
      <w:r>
        <w:rPr>
          <w:rFonts w:ascii="Aptos" w:eastAsia="Aptos" w:hAnsi="Aptos" w:cs="Aptos"/>
        </w:rPr>
        <w:t xml:space="preserve">tree </w:t>
      </w:r>
      <w:r w:rsidRPr="00442026">
        <w:rPr>
          <w:rFonts w:ascii="Aptos" w:eastAsia="Aptos" w:hAnsi="Aptos" w:cs="Aptos"/>
        </w:rPr>
        <w:t>planting</w:t>
      </w:r>
      <w:r>
        <w:rPr>
          <w:rFonts w:ascii="Aptos" w:eastAsia="Aptos" w:hAnsi="Aptos" w:cs="Aptos"/>
        </w:rPr>
        <w:t xml:space="preserve"> affect carbon stocks in vegetation and soils and can</w:t>
      </w:r>
      <w:r w:rsidRPr="00442026">
        <w:rPr>
          <w:rFonts w:ascii="Aptos" w:eastAsia="Aptos" w:hAnsi="Aptos" w:cs="Aptos"/>
        </w:rPr>
        <w:t xml:space="preserve"> </w:t>
      </w:r>
      <w:r>
        <w:rPr>
          <w:rFonts w:ascii="Aptos" w:eastAsia="Aptos" w:hAnsi="Aptos" w:cs="Aptos"/>
        </w:rPr>
        <w:t xml:space="preserve">cause </w:t>
      </w:r>
      <w:r w:rsidRPr="00442026">
        <w:rPr>
          <w:rFonts w:ascii="Aptos" w:eastAsia="Aptos" w:hAnsi="Aptos" w:cs="Aptos"/>
        </w:rPr>
        <w:t xml:space="preserve">emissions or removals of </w:t>
      </w:r>
      <w:r w:rsidRPr="291B401C" w:rsidDel="00442026">
        <w:rPr>
          <w:rFonts w:ascii="Aptos" w:eastAsia="Aptos" w:hAnsi="Aptos" w:cs="Aptos"/>
        </w:rPr>
        <w:t xml:space="preserve">carbon dioxide </w:t>
      </w:r>
      <w:r w:rsidDel="00442026">
        <w:rPr>
          <w:rFonts w:ascii="Aptos" w:eastAsia="Aptos" w:hAnsi="Aptos" w:cs="Aptos"/>
        </w:rPr>
        <w:t>(CO</w:t>
      </w:r>
      <w:r w:rsidRPr="00225420" w:rsidDel="00442026">
        <w:rPr>
          <w:rFonts w:ascii="Aptos" w:eastAsia="Aptos" w:hAnsi="Aptos" w:cs="Aptos"/>
          <w:vertAlign w:val="subscript"/>
        </w:rPr>
        <w:t>2</w:t>
      </w:r>
      <w:r w:rsidDel="00442026">
        <w:rPr>
          <w:rFonts w:ascii="Aptos" w:eastAsia="Aptos" w:hAnsi="Aptos" w:cs="Aptos"/>
        </w:rPr>
        <w:t xml:space="preserve">) </w:t>
      </w:r>
      <w:r w:rsidRPr="291B401C" w:rsidDel="00442026">
        <w:rPr>
          <w:rFonts w:ascii="Aptos" w:eastAsia="Aptos" w:hAnsi="Aptos" w:cs="Aptos"/>
        </w:rPr>
        <w:t>from the atmosphere</w:t>
      </w:r>
      <w:r>
        <w:rPr>
          <w:rFonts w:ascii="Aptos" w:eastAsia="Aptos" w:hAnsi="Aptos" w:cs="Aptos"/>
        </w:rPr>
        <w:t xml:space="preserve">. </w:t>
      </w:r>
    </w:p>
    <w:p w14:paraId="29B5B164" w14:textId="5D1CCEBA" w:rsidR="001E62B2" w:rsidRDefault="00437097" w:rsidP="001E62B2">
      <w:pPr>
        <w:spacing w:line="257" w:lineRule="auto"/>
        <w:rPr>
          <w:rFonts w:ascii="Aptos" w:eastAsia="Aptos" w:hAnsi="Aptos" w:cs="Aptos"/>
        </w:rPr>
      </w:pPr>
      <w:r w:rsidRPr="00437097">
        <w:rPr>
          <w:rFonts w:ascii="Aptos" w:eastAsia="Aptos" w:hAnsi="Aptos" w:cs="Aptos"/>
        </w:rPr>
        <w:t>AFF industries also emit</w:t>
      </w:r>
      <w:r w:rsidR="008C5C2F">
        <w:rPr>
          <w:rFonts w:ascii="Aptos" w:eastAsia="Aptos" w:hAnsi="Aptos" w:cs="Aptos"/>
        </w:rPr>
        <w:t xml:space="preserve"> </w:t>
      </w:r>
      <w:r w:rsidR="000F7B29">
        <w:rPr>
          <w:rFonts w:ascii="Aptos" w:eastAsia="Aptos" w:hAnsi="Aptos" w:cs="Aptos"/>
        </w:rPr>
        <w:t xml:space="preserve">GHGs </w:t>
      </w:r>
      <w:proofErr w:type="gramStart"/>
      <w:r w:rsidRPr="00437097">
        <w:rPr>
          <w:rFonts w:ascii="Aptos" w:eastAsia="Aptos" w:hAnsi="Aptos" w:cs="Aptos"/>
        </w:rPr>
        <w:t>through the use of</w:t>
      </w:r>
      <w:proofErr w:type="gramEnd"/>
      <w:r w:rsidRPr="00437097">
        <w:rPr>
          <w:rFonts w:ascii="Aptos" w:eastAsia="Aptos" w:hAnsi="Aptos" w:cs="Aptos"/>
        </w:rPr>
        <w:t xml:space="preserve"> diesel, petrol, electricity</w:t>
      </w:r>
      <w:r w:rsidR="000F7B29">
        <w:rPr>
          <w:rFonts w:ascii="Aptos" w:eastAsia="Aptos" w:hAnsi="Aptos" w:cs="Aptos"/>
        </w:rPr>
        <w:t xml:space="preserve"> and refrigerants</w:t>
      </w:r>
      <w:r w:rsidRPr="00437097">
        <w:rPr>
          <w:rFonts w:ascii="Aptos" w:eastAsia="Aptos" w:hAnsi="Aptos" w:cs="Aptos"/>
        </w:rPr>
        <w:t xml:space="preserve"> used in </w:t>
      </w:r>
      <w:r w:rsidR="000F7B29">
        <w:rPr>
          <w:rFonts w:ascii="Aptos" w:eastAsia="Aptos" w:hAnsi="Aptos" w:cs="Aptos"/>
        </w:rPr>
        <w:t xml:space="preserve">land-based, </w:t>
      </w:r>
      <w:r w:rsidRPr="00437097">
        <w:rPr>
          <w:rFonts w:ascii="Aptos" w:eastAsia="Aptos" w:hAnsi="Aptos" w:cs="Aptos"/>
        </w:rPr>
        <w:t xml:space="preserve">marine and </w:t>
      </w:r>
      <w:r w:rsidR="000F7B29">
        <w:rPr>
          <w:rFonts w:ascii="Aptos" w:eastAsia="Aptos" w:hAnsi="Aptos" w:cs="Aptos"/>
        </w:rPr>
        <w:t>aquaculture</w:t>
      </w:r>
      <w:r w:rsidRPr="00437097">
        <w:rPr>
          <w:rFonts w:ascii="Aptos" w:eastAsia="Aptos" w:hAnsi="Aptos" w:cs="Aptos"/>
        </w:rPr>
        <w:t xml:space="preserve"> operations. Additional emissions occur upstream through the production of inputs such as fertiliser, feed, energy, and chemicals. These upstream emissions form part of an entity’s overall emissions profile.</w:t>
      </w:r>
      <w:r w:rsidR="002E575F">
        <w:rPr>
          <w:rFonts w:ascii="Aptos" w:eastAsia="Aptos" w:hAnsi="Aptos" w:cs="Aptos"/>
        </w:rPr>
        <w:t xml:space="preserve"> </w:t>
      </w:r>
      <w:r w:rsidR="001E62B2" w:rsidRPr="291B401C">
        <w:rPr>
          <w:rFonts w:ascii="Aptos" w:eastAsia="Aptos" w:hAnsi="Aptos" w:cs="Aptos"/>
        </w:rPr>
        <w:t xml:space="preserve">More information about emissions and removals produced through </w:t>
      </w:r>
      <w:r w:rsidR="000872AA">
        <w:rPr>
          <w:rFonts w:ascii="Aptos" w:eastAsia="Aptos" w:hAnsi="Aptos" w:cs="Aptos"/>
        </w:rPr>
        <w:t>land based</w:t>
      </w:r>
      <w:r w:rsidR="001E62B2" w:rsidRPr="291B401C">
        <w:rPr>
          <w:rFonts w:ascii="Aptos" w:eastAsia="Aptos" w:hAnsi="Aptos" w:cs="Aptos"/>
        </w:rPr>
        <w:t xml:space="preserve"> production</w:t>
      </w:r>
      <w:r w:rsidR="000872AA">
        <w:rPr>
          <w:rFonts w:ascii="Aptos" w:eastAsia="Aptos" w:hAnsi="Aptos" w:cs="Aptos"/>
        </w:rPr>
        <w:t xml:space="preserve"> activities</w:t>
      </w:r>
      <w:r w:rsidR="001E62B2" w:rsidRPr="291B401C">
        <w:rPr>
          <w:rFonts w:ascii="Aptos" w:eastAsia="Aptos" w:hAnsi="Aptos" w:cs="Aptos"/>
        </w:rPr>
        <w:t xml:space="preserve">, and what can be done to help reduce emissions can </w:t>
      </w:r>
      <w:r w:rsidR="001E62B2">
        <w:rPr>
          <w:rFonts w:ascii="Aptos" w:eastAsia="Aptos" w:hAnsi="Aptos" w:cs="Aptos"/>
        </w:rPr>
        <w:t xml:space="preserve">be </w:t>
      </w:r>
      <w:r w:rsidR="001E62B2" w:rsidRPr="291B401C">
        <w:rPr>
          <w:rFonts w:ascii="Aptos" w:eastAsia="Aptos" w:hAnsi="Aptos" w:cs="Aptos"/>
        </w:rPr>
        <w:t xml:space="preserve">found </w:t>
      </w:r>
      <w:hyperlink r:id="rId23" w:history="1">
        <w:hyperlink r:id="rId24" w:history="1">
          <w:hyperlink r:id="rId25" w:history="1">
            <w:hyperlink r:id="rId26" w:history="1">
              <w:hyperlink r:id="rId27" w:history="1">
                <w:hyperlink r:id="rId28" w:history="1">
                  <w:r w:rsidR="001E62B2" w:rsidRPr="009741B8">
                    <w:rPr>
                      <w:rStyle w:val="Hyperlink"/>
                      <w:rFonts w:ascii="Aptos" w:eastAsia="Aptos" w:hAnsi="Aptos" w:cs="Aptos"/>
                    </w:rPr>
                    <w:t>here</w:t>
                  </w:r>
                </w:hyperlink>
              </w:hyperlink>
              <w:r w:rsidR="001E62B2" w:rsidRPr="000A179A">
                <w:rPr>
                  <w:rStyle w:val="Hyperlink"/>
                  <w:rFonts w:ascii="Aptos" w:eastAsia="Aptos" w:hAnsi="Aptos" w:cs="Aptos"/>
                  <w:u w:val="none"/>
                </w:rPr>
                <w:t>.</w:t>
              </w:r>
            </w:hyperlink>
          </w:hyperlink>
        </w:hyperlink>
      </w:hyperlink>
      <w:r w:rsidR="004F305B">
        <w:rPr>
          <w:rFonts w:ascii="Aptos" w:eastAsia="Aptos" w:hAnsi="Aptos" w:cs="Aptos"/>
        </w:rPr>
        <w:t xml:space="preserve"> Information on energy efficiency </w:t>
      </w:r>
      <w:r w:rsidR="006F0207">
        <w:rPr>
          <w:rFonts w:ascii="Aptos" w:eastAsia="Aptos" w:hAnsi="Aptos" w:cs="Aptos"/>
        </w:rPr>
        <w:t>within</w:t>
      </w:r>
      <w:r w:rsidR="004F305B">
        <w:rPr>
          <w:rFonts w:ascii="Aptos" w:eastAsia="Aptos" w:hAnsi="Aptos" w:cs="Aptos"/>
        </w:rPr>
        <w:t xml:space="preserve"> the fisheries and aquaculture sectors can be found </w:t>
      </w:r>
      <w:hyperlink r:id="rId29" w:history="1">
        <w:hyperlink r:id="rId30" w:history="1">
          <w:r w:rsidR="004F305B" w:rsidRPr="002E21F7">
            <w:rPr>
              <w:rStyle w:val="Hyperlink"/>
              <w:rFonts w:ascii="Aptos" w:eastAsia="Aptos" w:hAnsi="Aptos" w:cs="Aptos"/>
            </w:rPr>
            <w:t>here</w:t>
          </w:r>
        </w:hyperlink>
        <w:r w:rsidR="004F305B" w:rsidRPr="000048B4">
          <w:rPr>
            <w:rStyle w:val="Hyperlink"/>
            <w:rFonts w:ascii="Aptos" w:eastAsia="Aptos" w:hAnsi="Aptos" w:cs="Aptos"/>
            <w:u w:val="none"/>
          </w:rPr>
          <w:t>.</w:t>
        </w:r>
      </w:hyperlink>
    </w:p>
    <w:p w14:paraId="3A631814" w14:textId="77777777" w:rsidR="001E62B2" w:rsidRPr="007773D6" w:rsidRDefault="001E62B2" w:rsidP="001E62B2">
      <w:pPr>
        <w:pStyle w:val="Heading3"/>
        <w:numPr>
          <w:ilvl w:val="0"/>
          <w:numId w:val="0"/>
        </w:numPr>
        <w:ind w:left="720" w:hanging="720"/>
      </w:pPr>
      <w:r>
        <w:lastRenderedPageBreak/>
        <w:t>Reporting requirements and standards</w:t>
      </w:r>
    </w:p>
    <w:p w14:paraId="069F8D70" w14:textId="501CC14C" w:rsidR="001E62B2" w:rsidRDefault="001E62B2" w:rsidP="001E62B2">
      <w:r>
        <w:t>A range of reporting standards have been introduced to inform industry, investors and policy makers about sources of emissions and how to target their emissions reduction efforts.</w:t>
      </w:r>
    </w:p>
    <w:p w14:paraId="3201B0D2" w14:textId="77777777" w:rsidR="001E62B2" w:rsidRPr="006A6908" w:rsidRDefault="001E62B2" w:rsidP="001E62B2">
      <w:pPr>
        <w:pStyle w:val="Style1"/>
      </w:pPr>
      <w:r w:rsidRPr="006A6908">
        <w:t xml:space="preserve">International </w:t>
      </w:r>
    </w:p>
    <w:p w14:paraId="05E9256F" w14:textId="5703DE77" w:rsidR="001E62B2" w:rsidRDefault="001E62B2" w:rsidP="001E62B2">
      <w:pPr>
        <w:rPr>
          <w:rFonts w:ascii="Aptos" w:eastAsia="Aptos" w:hAnsi="Aptos" w:cs="Aptos"/>
        </w:rPr>
      </w:pPr>
      <w:r w:rsidRPr="2B3AD530">
        <w:rPr>
          <w:rFonts w:ascii="Aptos" w:eastAsia="Aptos" w:hAnsi="Aptos" w:cs="Aptos"/>
        </w:rPr>
        <w:t xml:space="preserve">Australia reports its GHG emissions to the </w:t>
      </w:r>
      <w:r>
        <w:rPr>
          <w:rFonts w:ascii="Aptos" w:eastAsia="Aptos" w:hAnsi="Aptos" w:cs="Aptos"/>
        </w:rPr>
        <w:t>United Nations Framework Convention on Climate Change</w:t>
      </w:r>
      <w:r w:rsidRPr="2B3AD530">
        <w:rPr>
          <w:rFonts w:ascii="Aptos" w:eastAsia="Aptos" w:hAnsi="Aptos" w:cs="Aptos"/>
        </w:rPr>
        <w:t xml:space="preserve"> </w:t>
      </w:r>
      <w:r>
        <w:rPr>
          <w:rFonts w:ascii="Aptos" w:eastAsia="Aptos" w:hAnsi="Aptos" w:cs="Aptos"/>
        </w:rPr>
        <w:t>(</w:t>
      </w:r>
      <w:r w:rsidRPr="2B3AD530">
        <w:rPr>
          <w:rFonts w:ascii="Aptos" w:eastAsia="Aptos" w:hAnsi="Aptos" w:cs="Aptos"/>
        </w:rPr>
        <w:t>UNFCCC</w:t>
      </w:r>
      <w:r>
        <w:rPr>
          <w:rFonts w:ascii="Aptos" w:eastAsia="Aptos" w:hAnsi="Aptos" w:cs="Aptos"/>
        </w:rPr>
        <w:t>)</w:t>
      </w:r>
      <w:r w:rsidRPr="2B3AD530">
        <w:rPr>
          <w:rFonts w:ascii="Aptos" w:eastAsia="Aptos" w:hAnsi="Aptos" w:cs="Aptos"/>
        </w:rPr>
        <w:t xml:space="preserve"> using rules designed by the Intergovernmental Panel on Climate Change (IPCC). Australia mostly uses country-specific methodologies and emissions factors in compiling its reports. </w:t>
      </w:r>
    </w:p>
    <w:p w14:paraId="5C4DCF31" w14:textId="4EA3B728" w:rsidR="001E62B2" w:rsidRDefault="001E62B2" w:rsidP="001E62B2">
      <w:pPr>
        <w:spacing w:line="257" w:lineRule="auto"/>
        <w:rPr>
          <w:rFonts w:ascii="Aptos" w:eastAsia="Aptos" w:hAnsi="Aptos" w:cs="Aptos"/>
        </w:rPr>
      </w:pPr>
      <w:r w:rsidRPr="2B3AD530">
        <w:rPr>
          <w:rFonts w:ascii="Aptos" w:eastAsia="Aptos" w:hAnsi="Aptos" w:cs="Aptos"/>
        </w:rPr>
        <w:t xml:space="preserve">A range of additional international reporting standards align broadly with the IPCC Guidelines but are tailored to support entity-level GHG reporting. These include the </w:t>
      </w:r>
      <w:hyperlink r:id="rId31" w:history="1">
        <w:r w:rsidRPr="2B3AD530">
          <w:rPr>
            <w:rStyle w:val="Hyperlink"/>
            <w:rFonts w:ascii="Aptos" w:eastAsia="Aptos" w:hAnsi="Aptos" w:cs="Aptos"/>
            <w:color w:val="467886"/>
          </w:rPr>
          <w:t>Greenhouse Gas Protocol</w:t>
        </w:r>
      </w:hyperlink>
      <w:r w:rsidRPr="2B3AD530">
        <w:rPr>
          <w:rFonts w:ascii="Aptos" w:eastAsia="Aptos" w:hAnsi="Aptos" w:cs="Aptos"/>
        </w:rPr>
        <w:t xml:space="preserve"> </w:t>
      </w:r>
      <w:hyperlink r:id="rId32" w:history="1">
        <w:r w:rsidRPr="00BF7D32">
          <w:rPr>
            <w:rStyle w:val="Hyperlink"/>
            <w:rFonts w:ascii="Aptos" w:eastAsia="Aptos" w:hAnsi="Aptos" w:cs="Aptos"/>
          </w:rPr>
          <w:t>Corporate Accounting and Reporting</w:t>
        </w:r>
      </w:hyperlink>
      <w:r w:rsidRPr="2B3AD530">
        <w:rPr>
          <w:rFonts w:ascii="Aptos" w:eastAsia="Aptos" w:hAnsi="Aptos" w:cs="Aptos"/>
        </w:rPr>
        <w:t xml:space="preserve">, </w:t>
      </w:r>
      <w:hyperlink r:id="rId33" w:history="1">
        <w:r w:rsidRPr="008542F7">
          <w:rPr>
            <w:rStyle w:val="Hyperlink"/>
            <w:rFonts w:ascii="Aptos" w:eastAsia="Aptos" w:hAnsi="Aptos" w:cs="Aptos"/>
          </w:rPr>
          <w:t>Corporate Value Chain (Scope 3)</w:t>
        </w:r>
      </w:hyperlink>
      <w:r w:rsidR="00C54680">
        <w:rPr>
          <w:rFonts w:ascii="Aptos" w:eastAsia="Aptos" w:hAnsi="Aptos" w:cs="Aptos"/>
        </w:rPr>
        <w:t xml:space="preserve"> and </w:t>
      </w:r>
      <w:hyperlink r:id="rId34" w:history="1">
        <w:r w:rsidR="00C54680" w:rsidRPr="008542F7">
          <w:rPr>
            <w:rStyle w:val="Hyperlink"/>
            <w:rFonts w:ascii="Aptos" w:eastAsia="Aptos" w:hAnsi="Aptos" w:cs="Aptos"/>
          </w:rPr>
          <w:t>Product</w:t>
        </w:r>
        <w:r w:rsidRPr="008542F7">
          <w:rPr>
            <w:rStyle w:val="Hyperlink"/>
            <w:rFonts w:ascii="Aptos" w:eastAsia="Aptos" w:hAnsi="Aptos" w:cs="Aptos"/>
          </w:rPr>
          <w:t xml:space="preserve"> Standard</w:t>
        </w:r>
        <w:r w:rsidR="00C54680" w:rsidRPr="008542F7">
          <w:rPr>
            <w:rStyle w:val="Hyperlink"/>
            <w:rFonts w:ascii="Aptos" w:eastAsia="Aptos" w:hAnsi="Aptos" w:cs="Aptos"/>
          </w:rPr>
          <w:t>s</w:t>
        </w:r>
      </w:hyperlink>
      <w:r>
        <w:rPr>
          <w:rFonts w:ascii="Aptos" w:eastAsia="Aptos" w:hAnsi="Aptos" w:cs="Aptos"/>
        </w:rPr>
        <w:t xml:space="preserve"> </w:t>
      </w:r>
      <w:r w:rsidRPr="2B3AD530">
        <w:rPr>
          <w:rFonts w:ascii="Aptos" w:eastAsia="Aptos" w:hAnsi="Aptos" w:cs="Aptos"/>
        </w:rPr>
        <w:t xml:space="preserve">and the </w:t>
      </w:r>
      <w:hyperlink r:id="rId35" w:history="1">
        <w:hyperlink r:id="rId36" w:history="1">
          <w:r w:rsidRPr="000950D0">
            <w:rPr>
              <w:rStyle w:val="Hyperlink"/>
              <w:rFonts w:ascii="Aptos" w:eastAsia="Aptos" w:hAnsi="Aptos" w:cs="Aptos"/>
            </w:rPr>
            <w:t>International Standards Organization</w:t>
          </w:r>
        </w:hyperlink>
      </w:hyperlink>
      <w:r w:rsidRPr="2B3AD530">
        <w:rPr>
          <w:rFonts w:ascii="Aptos" w:eastAsia="Aptos" w:hAnsi="Aptos" w:cs="Aptos"/>
        </w:rPr>
        <w:t>14060</w:t>
      </w:r>
      <w:r w:rsidR="007627DA">
        <w:rPr>
          <w:rFonts w:ascii="Aptos" w:eastAsia="Aptos" w:hAnsi="Aptos" w:cs="Aptos"/>
        </w:rPr>
        <w:t>s</w:t>
      </w:r>
      <w:r w:rsidR="00712B7B">
        <w:rPr>
          <w:rFonts w:ascii="Aptos" w:eastAsia="Aptos" w:hAnsi="Aptos" w:cs="Aptos"/>
        </w:rPr>
        <w:t xml:space="preserve"> </w:t>
      </w:r>
      <w:r w:rsidRPr="2B3AD530">
        <w:rPr>
          <w:rFonts w:ascii="Aptos" w:eastAsia="Aptos" w:hAnsi="Aptos" w:cs="Aptos"/>
        </w:rPr>
        <w:t>series</w:t>
      </w:r>
      <w:r w:rsidR="00712B7B">
        <w:rPr>
          <w:rFonts w:ascii="Aptos" w:eastAsia="Aptos" w:hAnsi="Aptos" w:cs="Aptos"/>
        </w:rPr>
        <w:t xml:space="preserve">. </w:t>
      </w:r>
      <w:r w:rsidRPr="2B3AD530">
        <w:rPr>
          <w:rFonts w:ascii="Aptos" w:eastAsia="Aptos" w:hAnsi="Aptos" w:cs="Aptos"/>
        </w:rPr>
        <w:t xml:space="preserve"> </w:t>
      </w:r>
      <w:r>
        <w:rPr>
          <w:rFonts w:ascii="Aptos" w:eastAsia="Aptos" w:hAnsi="Aptos" w:cs="Aptos"/>
        </w:rPr>
        <w:t xml:space="preserve"> </w:t>
      </w:r>
    </w:p>
    <w:p w14:paraId="301269A9" w14:textId="11729613" w:rsidR="001E62B2" w:rsidRDefault="008542F7" w:rsidP="001E62B2">
      <w:pPr>
        <w:spacing w:line="257" w:lineRule="auto"/>
        <w:rPr>
          <w:rFonts w:ascii="Aptos" w:eastAsia="Aptos" w:hAnsi="Aptos" w:cs="Aptos"/>
        </w:rPr>
      </w:pPr>
      <w:r>
        <w:rPr>
          <w:rFonts w:ascii="Aptos" w:eastAsia="Aptos" w:hAnsi="Aptos" w:cs="Aptos"/>
        </w:rPr>
        <w:t xml:space="preserve">These international </w:t>
      </w:r>
      <w:r w:rsidR="00872C1D">
        <w:rPr>
          <w:rFonts w:ascii="Aptos" w:eastAsia="Aptos" w:hAnsi="Aptos" w:cs="Aptos"/>
        </w:rPr>
        <w:t xml:space="preserve">GHG emissions estimation </w:t>
      </w:r>
      <w:r w:rsidR="001E62B2" w:rsidRPr="2B3AD530">
        <w:rPr>
          <w:rFonts w:ascii="Aptos" w:eastAsia="Aptos" w:hAnsi="Aptos" w:cs="Aptos"/>
        </w:rPr>
        <w:t xml:space="preserve">standards have been adopted by a range of jurisdictions, supply chains and financial institutions globally – including here in Australia.  </w:t>
      </w:r>
    </w:p>
    <w:p w14:paraId="4D6C5096" w14:textId="1D88BFA4" w:rsidR="001E62B2" w:rsidRDefault="001E62B2" w:rsidP="001E62B2">
      <w:pPr>
        <w:pStyle w:val="Style1"/>
      </w:pPr>
      <w:r w:rsidRPr="00E17D10">
        <w:t xml:space="preserve">Domestic </w:t>
      </w:r>
    </w:p>
    <w:p w14:paraId="4F5C5C50" w14:textId="6C13E61B" w:rsidR="001E62B2" w:rsidRDefault="001E62B2" w:rsidP="001E62B2">
      <w:pPr>
        <w:rPr>
          <w:rFonts w:ascii="Aptos" w:eastAsia="Aptos" w:hAnsi="Aptos" w:cs="Aptos"/>
        </w:rPr>
      </w:pPr>
      <w:r w:rsidRPr="719941D1">
        <w:rPr>
          <w:rFonts w:ascii="Aptos" w:eastAsia="Aptos" w:hAnsi="Aptos" w:cs="Aptos"/>
        </w:rPr>
        <w:t xml:space="preserve">In Australia, </w:t>
      </w:r>
      <w:r>
        <w:rPr>
          <w:rFonts w:ascii="Aptos" w:eastAsia="Aptos" w:hAnsi="Aptos" w:cs="Aptos"/>
        </w:rPr>
        <w:t>the</w:t>
      </w:r>
      <w:r w:rsidRPr="00192111">
        <w:rPr>
          <w:rFonts w:ascii="Aptos" w:eastAsia="Aptos" w:hAnsi="Aptos" w:cs="Aptos"/>
        </w:rPr>
        <w:t xml:space="preserve"> National Greenhouse and Energy Reporting (NGER) </w:t>
      </w:r>
      <w:r w:rsidR="009A5681">
        <w:rPr>
          <w:rFonts w:ascii="Aptos" w:eastAsia="Aptos" w:hAnsi="Aptos" w:cs="Aptos"/>
        </w:rPr>
        <w:t>s</w:t>
      </w:r>
      <w:r w:rsidR="009A5681" w:rsidRPr="00192111">
        <w:rPr>
          <w:rFonts w:ascii="Aptos" w:eastAsia="Aptos" w:hAnsi="Aptos" w:cs="Aptos"/>
        </w:rPr>
        <w:t xml:space="preserve">cheme </w:t>
      </w:r>
      <w:r>
        <w:rPr>
          <w:rFonts w:ascii="Aptos" w:eastAsia="Aptos" w:hAnsi="Aptos" w:cs="Aptos"/>
        </w:rPr>
        <w:t>requires companies that meet specific emissions or energy thresholds to report the GHG</w:t>
      </w:r>
      <w:r w:rsidRPr="00751418">
        <w:rPr>
          <w:rFonts w:ascii="Aptos" w:eastAsia="Aptos" w:hAnsi="Aptos" w:cs="Aptos"/>
        </w:rPr>
        <w:t xml:space="preserve"> </w:t>
      </w:r>
      <w:r w:rsidRPr="007F2C35">
        <w:rPr>
          <w:rFonts w:ascii="Aptos" w:eastAsia="Aptos" w:hAnsi="Aptos" w:cs="Aptos"/>
        </w:rPr>
        <w:t xml:space="preserve">emissions associated with </w:t>
      </w:r>
      <w:r>
        <w:rPr>
          <w:rFonts w:ascii="Aptos" w:eastAsia="Aptos" w:hAnsi="Aptos" w:cs="Aptos"/>
        </w:rPr>
        <w:t xml:space="preserve">their </w:t>
      </w:r>
      <w:r w:rsidRPr="007F2C35">
        <w:rPr>
          <w:rFonts w:ascii="Aptos" w:eastAsia="Aptos" w:hAnsi="Aptos" w:cs="Aptos"/>
        </w:rPr>
        <w:t>energy production</w:t>
      </w:r>
      <w:r w:rsidR="001B35DA">
        <w:rPr>
          <w:rFonts w:ascii="Aptos" w:eastAsia="Aptos" w:hAnsi="Aptos" w:cs="Aptos"/>
        </w:rPr>
        <w:t xml:space="preserve"> and</w:t>
      </w:r>
      <w:r w:rsidRPr="007F2C35" w:rsidDel="001B35DA">
        <w:rPr>
          <w:rFonts w:ascii="Aptos" w:eastAsia="Aptos" w:hAnsi="Aptos" w:cs="Aptos"/>
        </w:rPr>
        <w:t xml:space="preserve"> </w:t>
      </w:r>
      <w:r w:rsidRPr="007F2C35">
        <w:rPr>
          <w:rFonts w:ascii="Aptos" w:eastAsia="Aptos" w:hAnsi="Aptos" w:cs="Aptos"/>
        </w:rPr>
        <w:t xml:space="preserve">consumption </w:t>
      </w:r>
      <w:r w:rsidR="001B35DA">
        <w:rPr>
          <w:rFonts w:ascii="Aptos" w:eastAsia="Aptos" w:hAnsi="Aptos" w:cs="Aptos"/>
        </w:rPr>
        <w:t xml:space="preserve">(such as </w:t>
      </w:r>
      <w:r w:rsidR="001B35DA" w:rsidRPr="001B35DA">
        <w:rPr>
          <w:rFonts w:ascii="Aptos" w:eastAsia="Aptos" w:hAnsi="Aptos" w:cs="Aptos"/>
        </w:rPr>
        <w:t>use of diesel fuel for operations and transport</w:t>
      </w:r>
      <w:r w:rsidR="001B35DA">
        <w:rPr>
          <w:rFonts w:ascii="Aptos" w:eastAsia="Aptos" w:hAnsi="Aptos" w:cs="Aptos"/>
        </w:rPr>
        <w:t xml:space="preserve">) </w:t>
      </w:r>
      <w:r>
        <w:rPr>
          <w:rFonts w:ascii="Aptos" w:eastAsia="Aptos" w:hAnsi="Aptos" w:cs="Aptos"/>
        </w:rPr>
        <w:t>or</w:t>
      </w:r>
      <w:r w:rsidRPr="007F2C35">
        <w:rPr>
          <w:rFonts w:ascii="Aptos" w:eastAsia="Aptos" w:hAnsi="Aptos" w:cs="Aptos"/>
        </w:rPr>
        <w:t xml:space="preserve"> industrial pro</w:t>
      </w:r>
      <w:r>
        <w:rPr>
          <w:rFonts w:ascii="Aptos" w:eastAsia="Aptos" w:hAnsi="Aptos" w:cs="Aptos"/>
        </w:rPr>
        <w:t>cesses</w:t>
      </w:r>
      <w:r w:rsidR="00406ABF">
        <w:rPr>
          <w:rFonts w:ascii="Aptos" w:eastAsia="Aptos" w:hAnsi="Aptos" w:cs="Aptos"/>
        </w:rPr>
        <w:t xml:space="preserve"> and waste</w:t>
      </w:r>
      <w:r w:rsidRPr="007F2C35">
        <w:rPr>
          <w:rFonts w:ascii="Aptos" w:eastAsia="Aptos" w:hAnsi="Aptos" w:cs="Aptos"/>
        </w:rPr>
        <w:t>.</w:t>
      </w:r>
      <w:r>
        <w:rPr>
          <w:rFonts w:ascii="Aptos" w:eastAsia="Aptos" w:hAnsi="Aptos" w:cs="Aptos"/>
        </w:rPr>
        <w:t xml:space="preserve"> Reporting e</w:t>
      </w:r>
      <w:r w:rsidRPr="000D19D0">
        <w:rPr>
          <w:rFonts w:ascii="Aptos" w:eastAsia="Aptos" w:hAnsi="Aptos" w:cs="Aptos"/>
        </w:rPr>
        <w:t xml:space="preserve">ntities must use </w:t>
      </w:r>
      <w:r>
        <w:rPr>
          <w:rFonts w:ascii="Aptos" w:eastAsia="Aptos" w:hAnsi="Aptos" w:cs="Aptos"/>
        </w:rPr>
        <w:t>the</w:t>
      </w:r>
      <w:r w:rsidRPr="000D19D0">
        <w:rPr>
          <w:rFonts w:ascii="Aptos" w:eastAsia="Aptos" w:hAnsi="Aptos" w:cs="Aptos"/>
        </w:rPr>
        <w:t xml:space="preserve"> prescribed calculation methods and emission factors </w:t>
      </w:r>
      <w:r w:rsidRPr="00F0282F">
        <w:rPr>
          <w:rFonts w:ascii="Aptos" w:eastAsia="Aptos" w:hAnsi="Aptos" w:cs="Aptos"/>
        </w:rPr>
        <w:t>set out</w:t>
      </w:r>
      <w:r w:rsidRPr="000D19D0">
        <w:rPr>
          <w:rFonts w:ascii="Aptos" w:eastAsia="Aptos" w:hAnsi="Aptos" w:cs="Aptos"/>
        </w:rPr>
        <w:t xml:space="preserve"> in the </w:t>
      </w:r>
      <w:r w:rsidRPr="00F0282F">
        <w:rPr>
          <w:rFonts w:ascii="Aptos" w:eastAsia="Aptos" w:hAnsi="Aptos" w:cs="Aptos"/>
          <w:i/>
          <w:iCs/>
        </w:rPr>
        <w:t>NGER (</w:t>
      </w:r>
      <w:r w:rsidRPr="00F0282F">
        <w:rPr>
          <w:rFonts w:ascii="Aptos" w:eastAsia="Aptos" w:hAnsi="Aptos" w:cs="Aptos"/>
          <w:i/>
        </w:rPr>
        <w:t>Measurement</w:t>
      </w:r>
      <w:r w:rsidRPr="00F0282F">
        <w:rPr>
          <w:rFonts w:ascii="Aptos" w:eastAsia="Aptos" w:hAnsi="Aptos" w:cs="Aptos"/>
          <w:i/>
          <w:iCs/>
        </w:rPr>
        <w:t>)</w:t>
      </w:r>
      <w:r w:rsidRPr="00F0282F">
        <w:rPr>
          <w:rFonts w:ascii="Aptos" w:eastAsia="Aptos" w:hAnsi="Aptos" w:cs="Aptos"/>
          <w:i/>
        </w:rPr>
        <w:t xml:space="preserve"> Determination</w:t>
      </w:r>
      <w:r w:rsidRPr="00F0282F">
        <w:rPr>
          <w:rFonts w:ascii="Aptos" w:eastAsia="Aptos" w:hAnsi="Aptos" w:cs="Aptos"/>
          <w:i/>
          <w:iCs/>
        </w:rPr>
        <w:t xml:space="preserve"> 2008</w:t>
      </w:r>
      <w:r w:rsidRPr="00F0282F">
        <w:rPr>
          <w:rFonts w:ascii="Aptos" w:eastAsia="Aptos" w:hAnsi="Aptos" w:cs="Aptos"/>
        </w:rPr>
        <w:t xml:space="preserve"> to ensure consistency and accuracy</w:t>
      </w:r>
      <w:r w:rsidRPr="000D19D0">
        <w:rPr>
          <w:rFonts w:ascii="Aptos" w:eastAsia="Aptos" w:hAnsi="Aptos" w:cs="Aptos"/>
        </w:rPr>
        <w:t>.</w:t>
      </w:r>
      <w:r>
        <w:rPr>
          <w:rFonts w:ascii="Aptos" w:eastAsia="Aptos" w:hAnsi="Aptos" w:cs="Aptos"/>
        </w:rPr>
        <w:t xml:space="preserve"> However, the NGER </w:t>
      </w:r>
      <w:r w:rsidR="009A5681">
        <w:rPr>
          <w:rFonts w:ascii="Aptos" w:eastAsia="Aptos" w:hAnsi="Aptos" w:cs="Aptos"/>
        </w:rPr>
        <w:t xml:space="preserve">scheme </w:t>
      </w:r>
      <w:r>
        <w:rPr>
          <w:rFonts w:ascii="Aptos" w:eastAsia="Aptos" w:hAnsi="Aptos" w:cs="Aptos"/>
        </w:rPr>
        <w:t xml:space="preserve">does not cover emissions associated with agricultural production (such as </w:t>
      </w:r>
      <w:r w:rsidR="00135C47">
        <w:rPr>
          <w:rFonts w:ascii="Aptos" w:eastAsia="Aptos" w:hAnsi="Aptos" w:cs="Aptos"/>
        </w:rPr>
        <w:t>CH</w:t>
      </w:r>
      <w:r w:rsidR="00135C47" w:rsidRPr="00135C47">
        <w:rPr>
          <w:rFonts w:ascii="Aptos" w:eastAsia="Aptos" w:hAnsi="Aptos" w:cs="Aptos"/>
          <w:vertAlign w:val="subscript"/>
        </w:rPr>
        <w:t>4</w:t>
      </w:r>
      <w:r>
        <w:rPr>
          <w:rFonts w:ascii="Aptos" w:eastAsia="Aptos" w:hAnsi="Aptos" w:cs="Aptos"/>
        </w:rPr>
        <w:t xml:space="preserve"> emissions from livestock) or land management activities (such as vegetation clearing). </w:t>
      </w:r>
    </w:p>
    <w:p w14:paraId="254E5064" w14:textId="2F21F5FF" w:rsidR="001E62B2" w:rsidRDefault="001E62B2" w:rsidP="001E62B2">
      <w:pPr>
        <w:spacing w:line="257" w:lineRule="auto"/>
        <w:rPr>
          <w:rFonts w:ascii="Aptos" w:eastAsia="Aptos" w:hAnsi="Aptos" w:cs="Aptos"/>
        </w:rPr>
      </w:pPr>
      <w:r>
        <w:rPr>
          <w:rFonts w:ascii="Aptos" w:eastAsia="Aptos" w:hAnsi="Aptos" w:cs="Aptos"/>
        </w:rPr>
        <w:t>Separately, c</w:t>
      </w:r>
      <w:r w:rsidRPr="719941D1">
        <w:rPr>
          <w:rFonts w:ascii="Aptos" w:eastAsia="Aptos" w:hAnsi="Aptos" w:cs="Aptos"/>
        </w:rPr>
        <w:t>limate-</w:t>
      </w:r>
      <w:r>
        <w:rPr>
          <w:rFonts w:ascii="Aptos" w:eastAsia="Aptos" w:hAnsi="Aptos" w:cs="Aptos"/>
        </w:rPr>
        <w:t>r</w:t>
      </w:r>
      <w:r w:rsidRPr="719941D1">
        <w:rPr>
          <w:rFonts w:ascii="Aptos" w:eastAsia="Aptos" w:hAnsi="Aptos" w:cs="Aptos"/>
        </w:rPr>
        <w:t xml:space="preserve">elated </w:t>
      </w:r>
      <w:r>
        <w:rPr>
          <w:rFonts w:ascii="Aptos" w:eastAsia="Aptos" w:hAnsi="Aptos" w:cs="Aptos"/>
        </w:rPr>
        <w:t>f</w:t>
      </w:r>
      <w:r w:rsidRPr="719941D1">
        <w:rPr>
          <w:rFonts w:ascii="Aptos" w:eastAsia="Aptos" w:hAnsi="Aptos" w:cs="Aptos"/>
        </w:rPr>
        <w:t xml:space="preserve">inancial </w:t>
      </w:r>
      <w:r>
        <w:rPr>
          <w:rFonts w:ascii="Aptos" w:eastAsia="Aptos" w:hAnsi="Aptos" w:cs="Aptos"/>
        </w:rPr>
        <w:t>d</w:t>
      </w:r>
      <w:r w:rsidRPr="719941D1">
        <w:rPr>
          <w:rFonts w:ascii="Aptos" w:eastAsia="Aptos" w:hAnsi="Aptos" w:cs="Aptos"/>
        </w:rPr>
        <w:t xml:space="preserve">isclosure (CRFD) </w:t>
      </w:r>
      <w:r>
        <w:rPr>
          <w:rFonts w:ascii="Aptos" w:eastAsia="Aptos" w:hAnsi="Aptos" w:cs="Aptos"/>
        </w:rPr>
        <w:t xml:space="preserve">has been introduced </w:t>
      </w:r>
      <w:r w:rsidRPr="719941D1">
        <w:rPr>
          <w:rFonts w:ascii="Aptos" w:eastAsia="Aptos" w:hAnsi="Aptos" w:cs="Aptos"/>
        </w:rPr>
        <w:t xml:space="preserve">under the </w:t>
      </w:r>
      <w:r w:rsidRPr="719941D1">
        <w:rPr>
          <w:rFonts w:ascii="Aptos" w:eastAsia="Aptos" w:hAnsi="Aptos" w:cs="Aptos"/>
          <w:i/>
          <w:iCs/>
        </w:rPr>
        <w:t>Corporations Act 2001</w:t>
      </w:r>
      <w:r>
        <w:rPr>
          <w:rFonts w:ascii="Aptos" w:eastAsia="Aptos" w:hAnsi="Aptos" w:cs="Aptos"/>
        </w:rPr>
        <w:t xml:space="preserve">. </w:t>
      </w:r>
      <w:r w:rsidRPr="719941D1">
        <w:rPr>
          <w:rFonts w:ascii="Aptos" w:eastAsia="Aptos" w:hAnsi="Aptos" w:cs="Aptos"/>
        </w:rPr>
        <w:t>CRFD</w:t>
      </w:r>
      <w:r w:rsidRPr="719941D1" w:rsidDel="000278C2">
        <w:rPr>
          <w:rFonts w:ascii="Aptos" w:eastAsia="Aptos" w:hAnsi="Aptos" w:cs="Aptos"/>
        </w:rPr>
        <w:t xml:space="preserve"> </w:t>
      </w:r>
      <w:r>
        <w:rPr>
          <w:rFonts w:ascii="Aptos" w:eastAsia="Aptos" w:hAnsi="Aptos" w:cs="Aptos"/>
        </w:rPr>
        <w:t>requires</w:t>
      </w:r>
      <w:r w:rsidRPr="719941D1" w:rsidDel="00F73D98">
        <w:rPr>
          <w:rFonts w:ascii="Aptos" w:eastAsia="Aptos" w:hAnsi="Aptos" w:cs="Aptos"/>
        </w:rPr>
        <w:t xml:space="preserve"> </w:t>
      </w:r>
      <w:r w:rsidRPr="719941D1">
        <w:rPr>
          <w:rFonts w:ascii="Aptos" w:eastAsia="Aptos" w:hAnsi="Aptos" w:cs="Aptos"/>
        </w:rPr>
        <w:t xml:space="preserve">entities that meet specific thresholds to </w:t>
      </w:r>
      <w:r>
        <w:rPr>
          <w:rFonts w:ascii="Aptos" w:eastAsia="Aptos" w:hAnsi="Aptos" w:cs="Aptos"/>
        </w:rPr>
        <w:t>disclose</w:t>
      </w:r>
      <w:r w:rsidRPr="719941D1">
        <w:rPr>
          <w:rFonts w:ascii="Aptos" w:eastAsia="Aptos" w:hAnsi="Aptos" w:cs="Aptos"/>
        </w:rPr>
        <w:t xml:space="preserve"> </w:t>
      </w:r>
      <w:r>
        <w:rPr>
          <w:rFonts w:ascii="Aptos" w:eastAsia="Aptos" w:hAnsi="Aptos" w:cs="Aptos"/>
        </w:rPr>
        <w:t xml:space="preserve">their </w:t>
      </w:r>
      <w:r w:rsidRPr="719941D1">
        <w:rPr>
          <w:rFonts w:ascii="Aptos" w:eastAsia="Aptos" w:hAnsi="Aptos" w:cs="Aptos"/>
        </w:rPr>
        <w:t xml:space="preserve">GHG emissions </w:t>
      </w:r>
      <w:r w:rsidRPr="007827BC">
        <w:rPr>
          <w:rFonts w:ascii="Aptos" w:eastAsia="Aptos" w:hAnsi="Aptos" w:cs="Aptos"/>
        </w:rPr>
        <w:t>as part of their annual reporting obligations</w:t>
      </w:r>
      <w:r w:rsidRPr="719941D1">
        <w:rPr>
          <w:rFonts w:ascii="Aptos" w:eastAsia="Aptos" w:hAnsi="Aptos" w:cs="Aptos"/>
        </w:rPr>
        <w:t xml:space="preserve">. </w:t>
      </w:r>
      <w:r w:rsidR="00E82476" w:rsidRPr="00E82476">
        <w:rPr>
          <w:rFonts w:ascii="Aptos" w:eastAsia="Aptos" w:hAnsi="Aptos" w:cs="Aptos"/>
        </w:rPr>
        <w:t xml:space="preserve">The Australian Accounting Standards Board (AASB) has issued </w:t>
      </w:r>
      <w:r w:rsidR="00E82476">
        <w:rPr>
          <w:rFonts w:ascii="Aptos" w:eastAsia="Aptos" w:hAnsi="Aptos" w:cs="Aptos"/>
        </w:rPr>
        <w:t xml:space="preserve">the </w:t>
      </w:r>
      <w:r w:rsidR="00E82476" w:rsidRPr="00135C47">
        <w:rPr>
          <w:rFonts w:ascii="Aptos" w:eastAsia="Aptos" w:hAnsi="Aptos" w:cs="Aptos"/>
          <w:i/>
        </w:rPr>
        <w:t>Australian Sustainability Reporting Standard AASB S2 Climate-related Disclosures</w:t>
      </w:r>
      <w:r w:rsidR="00E82476" w:rsidRPr="00E82476">
        <w:rPr>
          <w:rFonts w:ascii="Aptos" w:eastAsia="Aptos" w:hAnsi="Aptos" w:cs="Aptos"/>
        </w:rPr>
        <w:t xml:space="preserve"> (</w:t>
      </w:r>
      <w:hyperlink r:id="rId37" w:history="1">
        <w:r w:rsidR="00E82476" w:rsidRPr="00E274B6">
          <w:rPr>
            <w:rStyle w:val="Hyperlink"/>
            <w:rFonts w:ascii="Aptos" w:eastAsia="Aptos" w:hAnsi="Aptos" w:cs="Aptos"/>
          </w:rPr>
          <w:t>AASB S2</w:t>
        </w:r>
      </w:hyperlink>
      <w:r w:rsidR="00E82476" w:rsidRPr="00E82476">
        <w:rPr>
          <w:rFonts w:ascii="Aptos" w:eastAsia="Aptos" w:hAnsi="Aptos" w:cs="Aptos"/>
        </w:rPr>
        <w:t xml:space="preserve">), which requires reporting entities </w:t>
      </w:r>
      <w:r w:rsidR="00226689">
        <w:rPr>
          <w:rFonts w:ascii="Aptos" w:eastAsia="Aptos" w:hAnsi="Aptos" w:cs="Aptos"/>
        </w:rPr>
        <w:t xml:space="preserve">to </w:t>
      </w:r>
      <w:r w:rsidR="001001B2">
        <w:rPr>
          <w:rFonts w:ascii="Aptos" w:eastAsia="Aptos" w:hAnsi="Aptos" w:cs="Aptos"/>
        </w:rPr>
        <w:t>measure</w:t>
      </w:r>
      <w:r w:rsidR="004051DE">
        <w:rPr>
          <w:rStyle w:val="FootnoteReference"/>
          <w:rFonts w:ascii="Aptos" w:eastAsia="Aptos" w:hAnsi="Aptos" w:cs="Aptos"/>
        </w:rPr>
        <w:footnoteReference w:id="2"/>
      </w:r>
      <w:r w:rsidR="00DD1159">
        <w:rPr>
          <w:rFonts w:ascii="Aptos" w:eastAsia="Aptos" w:hAnsi="Aptos" w:cs="Aptos"/>
        </w:rPr>
        <w:t xml:space="preserve"> </w:t>
      </w:r>
      <w:r w:rsidR="00E82476" w:rsidRPr="00E82476">
        <w:rPr>
          <w:rFonts w:ascii="Aptos" w:eastAsia="Aptos" w:hAnsi="Aptos" w:cs="Aptos"/>
        </w:rPr>
        <w:t>GHG emissions in accordance with the</w:t>
      </w:r>
      <w:r w:rsidR="00E82476">
        <w:rPr>
          <w:rFonts w:ascii="Aptos" w:eastAsia="Aptos" w:hAnsi="Aptos" w:cs="Aptos"/>
        </w:rPr>
        <w:t xml:space="preserve"> </w:t>
      </w:r>
      <w:r w:rsidRPr="00480EBA">
        <w:rPr>
          <w:rFonts w:ascii="Aptos" w:eastAsia="Aptos" w:hAnsi="Aptos" w:cs="Aptos"/>
        </w:rPr>
        <w:t xml:space="preserve">GHG Protocol Corporate Accounting and Reporting </w:t>
      </w:r>
      <w:r>
        <w:rPr>
          <w:rFonts w:ascii="Aptos" w:eastAsia="Aptos" w:hAnsi="Aptos" w:cs="Aptos"/>
        </w:rPr>
        <w:t>Standard</w:t>
      </w:r>
      <w:r w:rsidR="009A7402">
        <w:rPr>
          <w:rFonts w:ascii="Aptos" w:eastAsia="Aptos" w:hAnsi="Aptos" w:cs="Aptos"/>
        </w:rPr>
        <w:t xml:space="preserve"> (</w:t>
      </w:r>
      <w:r w:rsidR="009A7402" w:rsidRPr="00480EBA">
        <w:rPr>
          <w:rFonts w:ascii="Aptos" w:eastAsia="Aptos" w:hAnsi="Aptos" w:cs="Aptos"/>
        </w:rPr>
        <w:t xml:space="preserve">unless otherwise specified by a jurisdictional </w:t>
      </w:r>
      <w:r w:rsidR="009A7402">
        <w:rPr>
          <w:rFonts w:ascii="Aptos" w:eastAsia="Aptos" w:hAnsi="Aptos" w:cs="Aptos"/>
        </w:rPr>
        <w:t>authority)</w:t>
      </w:r>
      <w:r w:rsidR="00E64D37">
        <w:rPr>
          <w:rFonts w:ascii="Aptos" w:eastAsia="Aptos" w:hAnsi="Aptos" w:cs="Aptos"/>
        </w:rPr>
        <w:t>;</w:t>
      </w:r>
      <w:r w:rsidR="00141473">
        <w:rPr>
          <w:rFonts w:ascii="Aptos" w:eastAsia="Aptos" w:hAnsi="Aptos" w:cs="Aptos"/>
        </w:rPr>
        <w:t xml:space="preserve"> </w:t>
      </w:r>
      <w:r w:rsidRPr="00480EBA">
        <w:rPr>
          <w:rFonts w:ascii="Aptos" w:eastAsia="Aptos" w:hAnsi="Aptos" w:cs="Aptos"/>
        </w:rPr>
        <w:t>and</w:t>
      </w:r>
      <w:r w:rsidR="003802D8">
        <w:rPr>
          <w:rFonts w:ascii="Aptos" w:eastAsia="Aptos" w:hAnsi="Aptos" w:cs="Aptos"/>
        </w:rPr>
        <w:t xml:space="preserve"> consider all</w:t>
      </w:r>
      <w:r w:rsidRPr="00480EBA" w:rsidDel="003802D8">
        <w:rPr>
          <w:rFonts w:ascii="Aptos" w:eastAsia="Aptos" w:hAnsi="Aptos" w:cs="Aptos"/>
        </w:rPr>
        <w:t xml:space="preserve"> </w:t>
      </w:r>
      <w:r w:rsidR="003F2079">
        <w:rPr>
          <w:rFonts w:ascii="Aptos" w:eastAsia="Aptos" w:hAnsi="Aptos" w:cs="Aptos"/>
        </w:rPr>
        <w:t>15</w:t>
      </w:r>
      <w:r w:rsidR="003334CF">
        <w:rPr>
          <w:rFonts w:ascii="Aptos" w:eastAsia="Aptos" w:hAnsi="Aptos" w:cs="Aptos"/>
        </w:rPr>
        <w:t xml:space="preserve"> reporting</w:t>
      </w:r>
      <w:r w:rsidR="003F2079">
        <w:rPr>
          <w:rFonts w:ascii="Aptos" w:eastAsia="Aptos" w:hAnsi="Aptos" w:cs="Aptos"/>
        </w:rPr>
        <w:t xml:space="preserve"> categories </w:t>
      </w:r>
      <w:r w:rsidR="009A7402">
        <w:rPr>
          <w:rFonts w:ascii="Aptos" w:eastAsia="Aptos" w:hAnsi="Aptos" w:cs="Aptos"/>
        </w:rPr>
        <w:t xml:space="preserve">of Scope 3 emissions outlined in the </w:t>
      </w:r>
      <w:r w:rsidRPr="00480EBA">
        <w:rPr>
          <w:rFonts w:ascii="Aptos" w:eastAsia="Aptos" w:hAnsi="Aptos" w:cs="Aptos"/>
        </w:rPr>
        <w:t>Corporate Value Chain (Scope 3) Standard</w:t>
      </w:r>
      <w:r w:rsidR="009A7402">
        <w:rPr>
          <w:rFonts w:ascii="Aptos" w:eastAsia="Aptos" w:hAnsi="Aptos" w:cs="Aptos"/>
        </w:rPr>
        <w:t xml:space="preserve">. </w:t>
      </w:r>
    </w:p>
    <w:p w14:paraId="486ED250" w14:textId="4BC3E2AF" w:rsidR="001E62B2" w:rsidRDefault="00025B2D" w:rsidP="001E62B2">
      <w:pPr>
        <w:spacing w:line="257" w:lineRule="auto"/>
        <w:rPr>
          <w:rFonts w:ascii="Aptos" w:eastAsia="Aptos" w:hAnsi="Aptos" w:cs="Aptos"/>
        </w:rPr>
      </w:pPr>
      <w:r>
        <w:rPr>
          <w:rFonts w:ascii="Aptos" w:eastAsia="Aptos" w:hAnsi="Aptos" w:cs="Aptos"/>
        </w:rPr>
        <w:t xml:space="preserve">Even if </w:t>
      </w:r>
      <w:r w:rsidR="001E62B2" w:rsidRPr="3CBCA031">
        <w:rPr>
          <w:rFonts w:ascii="Aptos" w:eastAsia="Aptos" w:hAnsi="Aptos" w:cs="Aptos"/>
        </w:rPr>
        <w:t xml:space="preserve">AFF businesses </w:t>
      </w:r>
      <w:r>
        <w:rPr>
          <w:rFonts w:ascii="Aptos" w:eastAsia="Aptos" w:hAnsi="Aptos" w:cs="Aptos"/>
        </w:rPr>
        <w:t>do</w:t>
      </w:r>
      <w:r w:rsidR="001E62B2" w:rsidRPr="3CBCA031">
        <w:rPr>
          <w:rFonts w:ascii="Aptos" w:eastAsia="Aptos" w:hAnsi="Aptos" w:cs="Aptos"/>
        </w:rPr>
        <w:t xml:space="preserve"> not meet the formal reporting thresholds</w:t>
      </w:r>
      <w:r w:rsidR="001E62B2">
        <w:rPr>
          <w:rFonts w:ascii="Aptos" w:eastAsia="Aptos" w:hAnsi="Aptos" w:cs="Aptos"/>
        </w:rPr>
        <w:t xml:space="preserve"> for CRFD</w:t>
      </w:r>
      <w:r w:rsidR="001E62B2" w:rsidRPr="3CBCA031">
        <w:rPr>
          <w:rFonts w:ascii="Aptos" w:eastAsia="Aptos" w:hAnsi="Aptos" w:cs="Aptos"/>
        </w:rPr>
        <w:t xml:space="preserve">, </w:t>
      </w:r>
      <w:r w:rsidR="001E62B2">
        <w:rPr>
          <w:rFonts w:ascii="Aptos" w:eastAsia="Aptos" w:hAnsi="Aptos" w:cs="Aptos"/>
        </w:rPr>
        <w:t xml:space="preserve">they </w:t>
      </w:r>
      <w:r>
        <w:rPr>
          <w:rFonts w:ascii="Aptos" w:eastAsia="Aptos" w:hAnsi="Aptos" w:cs="Aptos"/>
        </w:rPr>
        <w:t xml:space="preserve">could </w:t>
      </w:r>
      <w:r w:rsidR="001E62B2" w:rsidRPr="3CBCA031">
        <w:rPr>
          <w:rFonts w:ascii="Aptos" w:eastAsia="Aptos" w:hAnsi="Aptos" w:cs="Aptos"/>
        </w:rPr>
        <w:t xml:space="preserve">be </w:t>
      </w:r>
      <w:r w:rsidR="001E62B2">
        <w:rPr>
          <w:rFonts w:ascii="Aptos" w:eastAsia="Aptos" w:hAnsi="Aptos" w:cs="Aptos"/>
        </w:rPr>
        <w:t>asked</w:t>
      </w:r>
      <w:r w:rsidR="001E62B2" w:rsidRPr="3CBCA031">
        <w:rPr>
          <w:rFonts w:ascii="Aptos" w:eastAsia="Aptos" w:hAnsi="Aptos" w:cs="Aptos"/>
        </w:rPr>
        <w:t xml:space="preserve"> to provide their </w:t>
      </w:r>
      <w:r w:rsidR="001E62B2">
        <w:rPr>
          <w:rFonts w:ascii="Aptos" w:eastAsia="Aptos" w:hAnsi="Aptos" w:cs="Aptos"/>
        </w:rPr>
        <w:t xml:space="preserve">GHG </w:t>
      </w:r>
      <w:r w:rsidR="001E62B2" w:rsidRPr="3CBCA031">
        <w:rPr>
          <w:rFonts w:ascii="Aptos" w:eastAsia="Aptos" w:hAnsi="Aptos" w:cs="Aptos"/>
        </w:rPr>
        <w:t xml:space="preserve">emissions data to supply chain </w:t>
      </w:r>
      <w:r w:rsidR="001E62B2">
        <w:rPr>
          <w:rFonts w:ascii="Aptos" w:eastAsia="Aptos" w:hAnsi="Aptos" w:cs="Aptos"/>
        </w:rPr>
        <w:t xml:space="preserve">and finance </w:t>
      </w:r>
      <w:r w:rsidR="001E62B2" w:rsidRPr="3CBCA031">
        <w:rPr>
          <w:rFonts w:ascii="Aptos" w:eastAsia="Aptos" w:hAnsi="Aptos" w:cs="Aptos"/>
        </w:rPr>
        <w:t>entities that are obligated to report</w:t>
      </w:r>
      <w:r w:rsidR="00F55713">
        <w:rPr>
          <w:rFonts w:ascii="Aptos" w:eastAsia="Aptos" w:hAnsi="Aptos" w:cs="Aptos"/>
        </w:rPr>
        <w:t xml:space="preserve"> their </w:t>
      </w:r>
      <w:r w:rsidR="00CE6CE3">
        <w:rPr>
          <w:rFonts w:ascii="Aptos" w:eastAsia="Aptos" w:hAnsi="Aptos" w:cs="Aptos"/>
        </w:rPr>
        <w:t xml:space="preserve">own </w:t>
      </w:r>
      <w:r w:rsidR="00F55713">
        <w:rPr>
          <w:rFonts w:ascii="Aptos" w:eastAsia="Aptos" w:hAnsi="Aptos" w:cs="Aptos"/>
        </w:rPr>
        <w:t>Scope 3 emissions</w:t>
      </w:r>
      <w:r w:rsidR="001E62B2" w:rsidRPr="3CBCA031">
        <w:rPr>
          <w:rFonts w:ascii="Aptos" w:eastAsia="Aptos" w:hAnsi="Aptos" w:cs="Aptos"/>
        </w:rPr>
        <w:t xml:space="preserve">. </w:t>
      </w:r>
      <w:r w:rsidR="001E62B2">
        <w:rPr>
          <w:rFonts w:ascii="Aptos" w:eastAsia="Aptos" w:hAnsi="Aptos" w:cs="Aptos"/>
        </w:rPr>
        <w:t>Importantly, t</w:t>
      </w:r>
      <w:r w:rsidR="001E62B2" w:rsidRPr="3CBCA031">
        <w:rPr>
          <w:rFonts w:ascii="Aptos" w:eastAsia="Aptos" w:hAnsi="Aptos" w:cs="Aptos"/>
        </w:rPr>
        <w:t xml:space="preserve">he </w:t>
      </w:r>
      <w:r w:rsidR="001E62B2" w:rsidRPr="003C5622">
        <w:rPr>
          <w:rFonts w:ascii="Aptos" w:eastAsia="Aptos" w:hAnsi="Aptos" w:cs="Aptos"/>
          <w:i/>
          <w:iCs/>
        </w:rPr>
        <w:t>Corporations Act 2001</w:t>
      </w:r>
      <w:r w:rsidR="001E62B2" w:rsidRPr="3CBCA031">
        <w:rPr>
          <w:rFonts w:ascii="Aptos" w:eastAsia="Aptos" w:hAnsi="Aptos" w:cs="Aptos"/>
        </w:rPr>
        <w:t xml:space="preserve"> does not impose a direct regulatory requirement on third parties to supply </w:t>
      </w:r>
      <w:r w:rsidR="001E62B2">
        <w:rPr>
          <w:rFonts w:ascii="Aptos" w:eastAsia="Aptos" w:hAnsi="Aptos" w:cs="Aptos"/>
        </w:rPr>
        <w:t xml:space="preserve">data and </w:t>
      </w:r>
      <w:r w:rsidR="001E62B2" w:rsidRPr="3CBCA031">
        <w:rPr>
          <w:rFonts w:ascii="Aptos" w:eastAsia="Aptos" w:hAnsi="Aptos" w:cs="Aptos"/>
        </w:rPr>
        <w:t>information</w:t>
      </w:r>
      <w:r w:rsidR="001E62B2">
        <w:rPr>
          <w:rFonts w:ascii="Aptos" w:eastAsia="Aptos" w:hAnsi="Aptos" w:cs="Aptos"/>
        </w:rPr>
        <w:t xml:space="preserve"> to CRFD reporting entities (see </w:t>
      </w:r>
      <w:hyperlink r:id="rId38" w:history="1">
        <w:r w:rsidR="001E62B2" w:rsidRPr="00381C30">
          <w:rPr>
            <w:rStyle w:val="Hyperlink"/>
            <w:rFonts w:ascii="Aptos" w:eastAsia="Aptos" w:hAnsi="Aptos" w:cs="Aptos"/>
          </w:rPr>
          <w:t>Sustainability reporting for small business | ASIC</w:t>
        </w:r>
      </w:hyperlink>
      <w:r w:rsidR="001E62B2">
        <w:t>)</w:t>
      </w:r>
      <w:r w:rsidR="001E62B2">
        <w:rPr>
          <w:rFonts w:ascii="Aptos" w:eastAsia="Aptos" w:hAnsi="Aptos" w:cs="Aptos"/>
        </w:rPr>
        <w:t>.</w:t>
      </w:r>
      <w:r w:rsidR="001E62B2" w:rsidRPr="3CBCA031">
        <w:rPr>
          <w:rFonts w:ascii="Aptos" w:eastAsia="Aptos" w:hAnsi="Aptos" w:cs="Aptos"/>
        </w:rPr>
        <w:t xml:space="preserve"> </w:t>
      </w:r>
      <w:r w:rsidR="001E62B2">
        <w:rPr>
          <w:rFonts w:ascii="Aptos" w:eastAsia="Aptos" w:hAnsi="Aptos" w:cs="Aptos"/>
        </w:rPr>
        <w:t xml:space="preserve">Further information on CRFD can be found </w:t>
      </w:r>
      <w:r w:rsidR="0050239A">
        <w:rPr>
          <w:rFonts w:ascii="Aptos" w:eastAsia="Aptos" w:hAnsi="Aptos" w:cs="Aptos"/>
        </w:rPr>
        <w:t>at</w:t>
      </w:r>
      <w:r w:rsidR="007857DE">
        <w:rPr>
          <w:rFonts w:ascii="Aptos" w:eastAsia="Aptos" w:hAnsi="Aptos" w:cs="Aptos"/>
        </w:rPr>
        <w:t xml:space="preserve"> the</w:t>
      </w:r>
      <w:r w:rsidR="0050239A">
        <w:rPr>
          <w:rFonts w:ascii="Aptos" w:eastAsia="Aptos" w:hAnsi="Aptos" w:cs="Aptos"/>
        </w:rPr>
        <w:t xml:space="preserve"> </w:t>
      </w:r>
      <w:hyperlink r:id="rId39" w:history="1">
        <w:r w:rsidR="0050239A" w:rsidRPr="006D4A0C">
          <w:rPr>
            <w:rStyle w:val="Hyperlink"/>
            <w:rFonts w:ascii="Aptos" w:eastAsia="Aptos" w:hAnsi="Aptos" w:cs="Aptos"/>
          </w:rPr>
          <w:t>AASB</w:t>
        </w:r>
      </w:hyperlink>
      <w:r w:rsidR="0050239A">
        <w:rPr>
          <w:rFonts w:ascii="Aptos" w:eastAsia="Aptos" w:hAnsi="Aptos" w:cs="Aptos"/>
        </w:rPr>
        <w:t xml:space="preserve"> and </w:t>
      </w:r>
      <w:hyperlink r:id="rId40" w:history="1">
        <w:r w:rsidR="0050239A" w:rsidRPr="0050239A">
          <w:rPr>
            <w:rStyle w:val="Hyperlink"/>
            <w:rFonts w:ascii="Aptos" w:eastAsia="Aptos" w:hAnsi="Aptos" w:cs="Aptos"/>
          </w:rPr>
          <w:t>Department of Agriculture, Fisheries and Forestry</w:t>
        </w:r>
      </w:hyperlink>
      <w:r w:rsidR="0050239A">
        <w:rPr>
          <w:rFonts w:ascii="Aptos" w:eastAsia="Aptos" w:hAnsi="Aptos" w:cs="Aptos"/>
        </w:rPr>
        <w:t xml:space="preserve"> websites.  </w:t>
      </w:r>
    </w:p>
    <w:p w14:paraId="5E871390" w14:textId="6337A5AE" w:rsidR="001E62B2" w:rsidRPr="00A41BB2" w:rsidRDefault="001E62B2" w:rsidP="00BE68D0">
      <w:pPr>
        <w:pStyle w:val="Style3"/>
        <w:ind w:left="567" w:hanging="567"/>
      </w:pPr>
      <w:bookmarkStart w:id="8" w:name="_Toc211591422"/>
      <w:bookmarkStart w:id="9" w:name="_Toc212120100"/>
      <w:bookmarkStart w:id="10" w:name="_Toc212120254"/>
      <w:bookmarkStart w:id="11" w:name="_Toc212131400"/>
      <w:bookmarkStart w:id="12" w:name="_Toc211591423"/>
      <w:bookmarkStart w:id="13" w:name="_Toc212120101"/>
      <w:bookmarkStart w:id="14" w:name="_Toc212120255"/>
      <w:bookmarkStart w:id="15" w:name="_Toc212131401"/>
      <w:bookmarkStart w:id="16" w:name="_Toc225269945"/>
      <w:bookmarkEnd w:id="8"/>
      <w:bookmarkEnd w:id="9"/>
      <w:bookmarkEnd w:id="10"/>
      <w:bookmarkEnd w:id="11"/>
      <w:bookmarkEnd w:id="12"/>
      <w:bookmarkEnd w:id="13"/>
      <w:bookmarkEnd w:id="14"/>
      <w:bookmarkEnd w:id="15"/>
      <w:r w:rsidRPr="00A41BB2">
        <w:lastRenderedPageBreak/>
        <w:t>The benefits of producing a G</w:t>
      </w:r>
      <w:r>
        <w:t>H</w:t>
      </w:r>
      <w:r w:rsidRPr="00A41BB2">
        <w:t xml:space="preserve">G </w:t>
      </w:r>
      <w:r>
        <w:t>i</w:t>
      </w:r>
      <w:r w:rsidRPr="00A41BB2">
        <w:t>nventory</w:t>
      </w:r>
      <w:bookmarkEnd w:id="16"/>
    </w:p>
    <w:p w14:paraId="7F06669B" w14:textId="7495F350" w:rsidR="001E62B2" w:rsidRPr="00C20FB5" w:rsidRDefault="001E62B2" w:rsidP="00C20FB5">
      <w:r w:rsidRPr="00C20FB5">
        <w:t xml:space="preserve">A GHG emissions inventory is a critical </w:t>
      </w:r>
      <w:r w:rsidRPr="00C20FB5" w:rsidDel="006E1ED6">
        <w:t>tool</w:t>
      </w:r>
      <w:r w:rsidRPr="00C20FB5">
        <w:t xml:space="preserve"> for understanding</w:t>
      </w:r>
      <w:r w:rsidRPr="00C20FB5" w:rsidDel="006E1ED6">
        <w:t xml:space="preserve"> </w:t>
      </w:r>
      <w:r w:rsidRPr="00C20FB5" w:rsidDel="001B0AB9">
        <w:t>an entity’s</w:t>
      </w:r>
      <w:r w:rsidRPr="00C20FB5">
        <w:t xml:space="preserve"> GHG emissions profile and developing effective climate change mitigation strategies. By compiling an inventory, businesses can:</w:t>
      </w:r>
    </w:p>
    <w:p w14:paraId="339B4CB5" w14:textId="77777777" w:rsidR="001E62B2" w:rsidRDefault="001E62B2" w:rsidP="001E62B2">
      <w:pPr>
        <w:pStyle w:val="ListParagraph"/>
        <w:numPr>
          <w:ilvl w:val="0"/>
          <w:numId w:val="3"/>
        </w:numPr>
      </w:pPr>
      <w:r>
        <w:t>assess</w:t>
      </w:r>
      <w:r w:rsidRPr="00843DE4">
        <w:t xml:space="preserve"> their exposure to GHG-related risks</w:t>
      </w:r>
    </w:p>
    <w:p w14:paraId="67DA9418" w14:textId="77777777" w:rsidR="001E62B2" w:rsidRDefault="001E62B2" w:rsidP="001E62B2">
      <w:pPr>
        <w:pStyle w:val="ListParagraph"/>
        <w:numPr>
          <w:ilvl w:val="0"/>
          <w:numId w:val="3"/>
        </w:numPr>
      </w:pPr>
      <w:r>
        <w:t>identify</w:t>
      </w:r>
      <w:r w:rsidRPr="00843DE4">
        <w:t xml:space="preserve"> emissions reduction opportunities</w:t>
      </w:r>
    </w:p>
    <w:p w14:paraId="47703C7A" w14:textId="77777777" w:rsidR="001E62B2" w:rsidRDefault="001E62B2" w:rsidP="001E62B2">
      <w:pPr>
        <w:pStyle w:val="ListParagraph"/>
        <w:numPr>
          <w:ilvl w:val="0"/>
          <w:numId w:val="3"/>
        </w:numPr>
      </w:pPr>
      <w:r>
        <w:t>establish</w:t>
      </w:r>
      <w:r w:rsidRPr="00843DE4">
        <w:t xml:space="preserve"> baseline data</w:t>
      </w:r>
      <w:r>
        <w:t xml:space="preserve"> for tracking progress</w:t>
      </w:r>
    </w:p>
    <w:p w14:paraId="37CCF368" w14:textId="77777777" w:rsidR="001E62B2" w:rsidRDefault="001E62B2" w:rsidP="001E62B2">
      <w:pPr>
        <w:pStyle w:val="ListParagraph"/>
        <w:numPr>
          <w:ilvl w:val="0"/>
          <w:numId w:val="3"/>
        </w:numPr>
      </w:pPr>
      <w:r>
        <w:t xml:space="preserve">set </w:t>
      </w:r>
      <w:r w:rsidRPr="00843DE4">
        <w:t xml:space="preserve">reduction targets </w:t>
      </w:r>
      <w:r>
        <w:t xml:space="preserve">and monitor </w:t>
      </w:r>
      <w:r w:rsidRPr="00843DE4">
        <w:t>performance</w:t>
      </w:r>
    </w:p>
    <w:p w14:paraId="4CA2A383" w14:textId="77777777" w:rsidR="001E62B2" w:rsidRDefault="001E62B2" w:rsidP="001E62B2">
      <w:pPr>
        <w:pStyle w:val="ListParagraph"/>
        <w:numPr>
          <w:ilvl w:val="0"/>
          <w:numId w:val="3"/>
        </w:numPr>
      </w:pPr>
      <w:r>
        <w:t>communicate results to stakeholders with confidence.</w:t>
      </w:r>
    </w:p>
    <w:p w14:paraId="648F1856" w14:textId="18C1BFFB" w:rsidR="00EF3743" w:rsidRDefault="001E62B2" w:rsidP="000A5D73">
      <w:r>
        <w:t>For AFF entities</w:t>
      </w:r>
      <w:r w:rsidRPr="00C065CE">
        <w:t>, inventories can also drive productivity and resource efficiency, supporting both environmental and economic outcomes</w:t>
      </w:r>
      <w:r>
        <w:t xml:space="preserve">. </w:t>
      </w:r>
      <w:r w:rsidDel="000246F0">
        <w:t xml:space="preserve"> </w:t>
      </w:r>
    </w:p>
    <w:p w14:paraId="18C3AA66" w14:textId="59B578DD" w:rsidR="00C23196" w:rsidRPr="00055189" w:rsidRDefault="001E62B2" w:rsidP="000A5D73">
      <w:r w:rsidRPr="00055189">
        <w:t xml:space="preserve">A GHG inventory can be developed using existing farm management data and a GHG calculator that implements these Guidelines. </w:t>
      </w:r>
    </w:p>
    <w:p w14:paraId="24102101" w14:textId="37DA778E" w:rsidR="001E62B2" w:rsidRPr="00CD4C47" w:rsidRDefault="001E62B2" w:rsidP="00BE68D0">
      <w:pPr>
        <w:pStyle w:val="Style3"/>
        <w:ind w:left="567" w:hanging="567"/>
      </w:pPr>
      <w:bookmarkStart w:id="17" w:name="_Toc218784823"/>
      <w:bookmarkStart w:id="18" w:name="_Toc218784891"/>
      <w:bookmarkStart w:id="19" w:name="_Toc218785282"/>
      <w:bookmarkStart w:id="20" w:name="_Toc225269946"/>
      <w:bookmarkEnd w:id="17"/>
      <w:bookmarkEnd w:id="18"/>
      <w:bookmarkEnd w:id="19"/>
      <w:r>
        <w:t>Purpose of the Guidelines</w:t>
      </w:r>
      <w:bookmarkEnd w:id="20"/>
      <w:r>
        <w:t xml:space="preserve"> </w:t>
      </w:r>
    </w:p>
    <w:p w14:paraId="19CED86A" w14:textId="1E960819" w:rsidR="001E62B2" w:rsidRPr="002B6A77" w:rsidRDefault="001E62B2" w:rsidP="001E62B2">
      <w:r w:rsidRPr="008E717D">
        <w:rPr>
          <w:rFonts w:eastAsiaTheme="minorEastAsia"/>
        </w:rPr>
        <w:t xml:space="preserve">The </w:t>
      </w:r>
      <w:r>
        <w:rPr>
          <w:rFonts w:eastAsiaTheme="minorEastAsia"/>
        </w:rPr>
        <w:t>Guidelines</w:t>
      </w:r>
      <w:r w:rsidRPr="008E717D">
        <w:rPr>
          <w:rFonts w:eastAsiaTheme="minorEastAsia"/>
        </w:rPr>
        <w:t xml:space="preserve"> provide a nationally consistent</w:t>
      </w:r>
      <w:r>
        <w:rPr>
          <w:rFonts w:eastAsiaTheme="minorEastAsia"/>
        </w:rPr>
        <w:t xml:space="preserve"> framework and methods for </w:t>
      </w:r>
      <w:r w:rsidRPr="008E717D">
        <w:rPr>
          <w:rFonts w:eastAsiaTheme="minorEastAsia"/>
        </w:rPr>
        <w:t>estimat</w:t>
      </w:r>
      <w:r>
        <w:rPr>
          <w:rFonts w:eastAsiaTheme="minorEastAsia"/>
        </w:rPr>
        <w:t>ing</w:t>
      </w:r>
      <w:r>
        <w:t xml:space="preserve"> and reporting </w:t>
      </w:r>
      <w:r w:rsidR="008F5A20">
        <w:t xml:space="preserve">AFF entities’ </w:t>
      </w:r>
      <w:r>
        <w:t xml:space="preserve">GHG </w:t>
      </w:r>
      <w:r w:rsidRPr="002B6A77">
        <w:t xml:space="preserve">emissions and removals. </w:t>
      </w:r>
    </w:p>
    <w:p w14:paraId="2F512510" w14:textId="77777777" w:rsidR="001E62B2" w:rsidRPr="002B6A77" w:rsidRDefault="001E62B2" w:rsidP="001E62B2">
      <w:r w:rsidRPr="002B6A77">
        <w:t xml:space="preserve">The Guidelines are intended to: </w:t>
      </w:r>
    </w:p>
    <w:p w14:paraId="5707A663" w14:textId="77777777" w:rsidR="001E62B2" w:rsidRDefault="001E62B2" w:rsidP="001E62B2">
      <w:pPr>
        <w:pStyle w:val="ListParagraph"/>
        <w:numPr>
          <w:ilvl w:val="0"/>
          <w:numId w:val="3"/>
        </w:numPr>
      </w:pPr>
      <w:r>
        <w:t>provide methods that are scientifically robust,</w:t>
      </w:r>
      <w:r w:rsidDel="00922455">
        <w:t xml:space="preserve"> </w:t>
      </w:r>
      <w:r>
        <w:t>appropriate</w:t>
      </w:r>
      <w:r w:rsidRPr="002B6A77">
        <w:t xml:space="preserve"> </w:t>
      </w:r>
      <w:r>
        <w:t xml:space="preserve">for </w:t>
      </w:r>
      <w:r w:rsidRPr="002B6A77">
        <w:t>Australian production systems and environment</w:t>
      </w:r>
      <w:r>
        <w:t xml:space="preserve">s, and can be applied at the entity level </w:t>
      </w:r>
    </w:p>
    <w:p w14:paraId="5B86FA0E" w14:textId="77777777" w:rsidR="001E62B2" w:rsidRDefault="001E62B2" w:rsidP="001E62B2">
      <w:pPr>
        <w:pStyle w:val="ListParagraph"/>
        <w:numPr>
          <w:ilvl w:val="0"/>
          <w:numId w:val="3"/>
        </w:numPr>
      </w:pPr>
      <w:r w:rsidRPr="002B6A77">
        <w:t xml:space="preserve">support </w:t>
      </w:r>
      <w:r>
        <w:t>AFF</w:t>
      </w:r>
      <w:r w:rsidRPr="002B6A77">
        <w:t xml:space="preserve"> </w:t>
      </w:r>
      <w:r>
        <w:t>entities</w:t>
      </w:r>
      <w:r w:rsidRPr="002B6A77">
        <w:t xml:space="preserve"> to estimate </w:t>
      </w:r>
      <w:r>
        <w:t xml:space="preserve">GHG </w:t>
      </w:r>
      <w:r w:rsidRPr="002B6A77">
        <w:t>emissions and removals</w:t>
      </w:r>
      <w:r>
        <w:t xml:space="preserve"> for multiple reporting purposes </w:t>
      </w:r>
    </w:p>
    <w:p w14:paraId="6433DFF9" w14:textId="77777777" w:rsidR="001E62B2" w:rsidRDefault="001E62B2" w:rsidP="001E62B2">
      <w:pPr>
        <w:pStyle w:val="ListParagraph"/>
        <w:numPr>
          <w:ilvl w:val="0"/>
          <w:numId w:val="3"/>
        </w:numPr>
      </w:pPr>
      <w:r>
        <w:t>support technical end users, including third party GHG emissions calculator and tool developers, agronomists and agricultural consultants, to understand and apply GHG emissions and removals estimation methods.</w:t>
      </w:r>
    </w:p>
    <w:p w14:paraId="35243B15" w14:textId="77777777" w:rsidR="001E62B2" w:rsidRDefault="001E62B2" w:rsidP="001E62B2">
      <w:r>
        <w:t xml:space="preserve">The Guidelines can be used </w:t>
      </w:r>
      <w:r w:rsidRPr="006278CC">
        <w:t>in conjunction with other reporting frameworks where applicable</w:t>
      </w:r>
      <w:r>
        <w:t>.</w:t>
      </w:r>
    </w:p>
    <w:p w14:paraId="49FB767C" w14:textId="77777777" w:rsidR="001E62B2" w:rsidRDefault="001E62B2" w:rsidP="001E62B2">
      <w:r>
        <w:t>The Guidelines have been designed to:</w:t>
      </w:r>
    </w:p>
    <w:p w14:paraId="27B01245" w14:textId="312717E9" w:rsidR="00E07E51" w:rsidRPr="00BC71AE" w:rsidRDefault="001E62B2" w:rsidP="001E62B2">
      <w:pPr>
        <w:pStyle w:val="ListParagraph"/>
        <w:numPr>
          <w:ilvl w:val="0"/>
          <w:numId w:val="3"/>
        </w:numPr>
      </w:pPr>
      <w:r w:rsidRPr="006A6908">
        <w:rPr>
          <w:b/>
          <w:bCs/>
        </w:rPr>
        <w:t>Align with the</w:t>
      </w:r>
      <w:r>
        <w:rPr>
          <w:b/>
          <w:bCs/>
        </w:rPr>
        <w:t xml:space="preserve"> Australian</w:t>
      </w:r>
      <w:r w:rsidRPr="006A6908">
        <w:rPr>
          <w:b/>
          <w:bCs/>
        </w:rPr>
        <w:t xml:space="preserve"> National Greenhouse Accounts (NGA)</w:t>
      </w:r>
      <w:r>
        <w:t xml:space="preserve">: </w:t>
      </w:r>
      <w:r w:rsidRPr="00DC084C">
        <w:t>Estimation methods are consistent with NG</w:t>
      </w:r>
      <w:r>
        <w:t>A methods</w:t>
      </w:r>
      <w:r w:rsidR="0015281D">
        <w:t>,</w:t>
      </w:r>
      <w:r>
        <w:t xml:space="preserve"> </w:t>
      </w:r>
      <w:r w:rsidR="0015281D" w:rsidRPr="0015281D">
        <w:t>where re</w:t>
      </w:r>
      <w:r w:rsidR="0015281D">
        <w:t>levant</w:t>
      </w:r>
      <w:r w:rsidR="0015281D" w:rsidRPr="0015281D">
        <w:t xml:space="preserve"> methods exi</w:t>
      </w:r>
      <w:r w:rsidR="0015281D">
        <w:t xml:space="preserve">st, </w:t>
      </w:r>
      <w:r>
        <w:t>and</w:t>
      </w:r>
      <w:r w:rsidRPr="00BC71AE" w:rsidDel="00A23211">
        <w:t xml:space="preserve"> </w:t>
      </w:r>
      <w:r w:rsidRPr="00BC71AE">
        <w:t>have been adapted for use at the entity level.</w:t>
      </w:r>
      <w:r>
        <w:t xml:space="preserve">   </w:t>
      </w:r>
    </w:p>
    <w:p w14:paraId="67C32364" w14:textId="2629884C" w:rsidR="001E62B2" w:rsidRPr="00801DCF" w:rsidRDefault="001E62B2" w:rsidP="001E62B2">
      <w:pPr>
        <w:pStyle w:val="ListParagraph"/>
        <w:numPr>
          <w:ilvl w:val="0"/>
          <w:numId w:val="3"/>
        </w:numPr>
        <w:rPr>
          <w:rFonts w:ascii="Aptos" w:hAnsi="Aptos"/>
        </w:rPr>
      </w:pPr>
      <w:r w:rsidRPr="00BC71AE">
        <w:rPr>
          <w:b/>
          <w:bCs/>
        </w:rPr>
        <w:t>Build on existing standards</w:t>
      </w:r>
      <w:r w:rsidR="006C729D">
        <w:rPr>
          <w:b/>
          <w:bCs/>
        </w:rPr>
        <w:t xml:space="preserve"> and </w:t>
      </w:r>
      <w:r w:rsidR="006433E3">
        <w:rPr>
          <w:b/>
          <w:bCs/>
        </w:rPr>
        <w:t>industry frameworks</w:t>
      </w:r>
      <w:r w:rsidRPr="00BC71AE">
        <w:rPr>
          <w:b/>
          <w:bCs/>
        </w:rPr>
        <w:t>:</w:t>
      </w:r>
      <w:r w:rsidRPr="00BC71AE">
        <w:t xml:space="preserve"> The Guidelines are designed to stand on their own</w:t>
      </w:r>
      <w:r>
        <w:t>.</w:t>
      </w:r>
      <w:r w:rsidRPr="00BC71AE">
        <w:t xml:space="preserve"> </w:t>
      </w:r>
      <w:r>
        <w:t>However, they</w:t>
      </w:r>
      <w:r w:rsidRPr="00BC71AE">
        <w:t xml:space="preserve"> draw on other international and domestic </w:t>
      </w:r>
      <w:r>
        <w:t>standards</w:t>
      </w:r>
      <w:r w:rsidRPr="00BC71AE">
        <w:t xml:space="preserve"> </w:t>
      </w:r>
      <w:r w:rsidR="00525EDA">
        <w:t>an</w:t>
      </w:r>
      <w:r w:rsidR="009435C1">
        <w:t>d</w:t>
      </w:r>
      <w:r w:rsidR="00525EDA">
        <w:t xml:space="preserve"> frameworks </w:t>
      </w:r>
      <w:r w:rsidRPr="00BC71AE">
        <w:t xml:space="preserve">including the Greenhouse Gas (GHG) Protocol, International </w:t>
      </w:r>
      <w:r>
        <w:t xml:space="preserve">Standards </w:t>
      </w:r>
      <w:r w:rsidRPr="00BC71AE">
        <w:t xml:space="preserve">Organization (ISO) standards </w:t>
      </w:r>
      <w:r w:rsidR="00C5422E">
        <w:t xml:space="preserve">and </w:t>
      </w:r>
      <w:r w:rsidR="00E55038">
        <w:t>the</w:t>
      </w:r>
      <w:r w:rsidR="009435C1">
        <w:t xml:space="preserve"> industry</w:t>
      </w:r>
      <w:r w:rsidR="00E55038">
        <w:t xml:space="preserve"> agreed</w:t>
      </w:r>
      <w:r w:rsidR="009435C1">
        <w:t xml:space="preserve"> </w:t>
      </w:r>
      <w:hyperlink r:id="rId41" w:history="1">
        <w:r w:rsidR="00E07E51" w:rsidRPr="00110EF4">
          <w:rPr>
            <w:rStyle w:val="Hyperlink"/>
            <w:rFonts w:ascii="Aptos" w:eastAsia="Aptos" w:hAnsi="Aptos" w:cs="Aptos"/>
            <w:i/>
            <w:color w:val="auto"/>
            <w:u w:val="none"/>
          </w:rPr>
          <w:t>Common Approach to Sector-Level Greenhouse Gas Accounting for Australian Agriculture</w:t>
        </w:r>
      </w:hyperlink>
      <w:r w:rsidR="002907EB">
        <w:rPr>
          <w:rStyle w:val="FootnoteReference"/>
          <w:rFonts w:ascii="Aptos" w:eastAsia="Aptos" w:hAnsi="Aptos" w:cs="Aptos"/>
          <w:i/>
        </w:rPr>
        <w:footnoteReference w:id="3"/>
      </w:r>
      <w:r w:rsidR="00E07E51" w:rsidRPr="00E07E51">
        <w:rPr>
          <w:rFonts w:ascii="Aptos" w:eastAsia="Aptos" w:hAnsi="Aptos" w:cs="Aptos"/>
        </w:rPr>
        <w:t>.</w:t>
      </w:r>
      <w:r w:rsidR="002907EB">
        <w:rPr>
          <w:rFonts w:ascii="Aptos" w:eastAsia="Aptos" w:hAnsi="Aptos" w:cs="Aptos"/>
        </w:rPr>
        <w:t xml:space="preserve"> </w:t>
      </w:r>
      <w:r>
        <w:t>The Guidelines</w:t>
      </w:r>
      <w:r w:rsidR="0071058C">
        <w:t xml:space="preserve"> </w:t>
      </w:r>
      <w:r>
        <w:t xml:space="preserve">refer to these standards </w:t>
      </w:r>
      <w:r w:rsidR="00B27AD2">
        <w:t xml:space="preserve">and frameworks </w:t>
      </w:r>
      <w:r>
        <w:t>where relevant.</w:t>
      </w:r>
    </w:p>
    <w:p w14:paraId="4431A9A4" w14:textId="33E0A1BC" w:rsidR="001E62B2" w:rsidRPr="00DC084C" w:rsidRDefault="001E62B2" w:rsidP="001E62B2">
      <w:pPr>
        <w:pStyle w:val="ListParagraph"/>
        <w:numPr>
          <w:ilvl w:val="0"/>
          <w:numId w:val="3"/>
        </w:numPr>
      </w:pPr>
      <w:r w:rsidRPr="006A605C">
        <w:rPr>
          <w:b/>
          <w:bCs/>
        </w:rPr>
        <w:t xml:space="preserve">Provide </w:t>
      </w:r>
      <w:r>
        <w:rPr>
          <w:b/>
          <w:bCs/>
        </w:rPr>
        <w:t>p</w:t>
      </w:r>
      <w:r w:rsidRPr="006A605C">
        <w:rPr>
          <w:b/>
          <w:bCs/>
        </w:rPr>
        <w:t>ractical methods</w:t>
      </w:r>
      <w:r>
        <w:t xml:space="preserve">: The Guidelines aim to support AFF entities </w:t>
      </w:r>
      <w:r w:rsidRPr="00DC084C">
        <w:t xml:space="preserve">to </w:t>
      </w:r>
      <w:r>
        <w:t>obtain reliable and consistent estimates at a</w:t>
      </w:r>
      <w:r w:rsidDel="0050615D">
        <w:t xml:space="preserve"> </w:t>
      </w:r>
      <w:r w:rsidR="00C36EC8">
        <w:t>reasonable</w:t>
      </w:r>
      <w:r w:rsidR="0050615D" w:rsidRPr="0050615D">
        <w:t xml:space="preserve"> </w:t>
      </w:r>
      <w:r w:rsidR="0050615D">
        <w:t xml:space="preserve">level of </w:t>
      </w:r>
      <w:r w:rsidR="0050615D" w:rsidRPr="0050615D">
        <w:t>effort utilising commonly recorded data input</w:t>
      </w:r>
      <w:r w:rsidR="0050615D">
        <w:t>s.</w:t>
      </w:r>
      <w:r>
        <w:t xml:space="preserve"> Entities can select from simple methods </w:t>
      </w:r>
      <w:r w:rsidR="00B272D9">
        <w:t>that</w:t>
      </w:r>
      <w:r>
        <w:t xml:space="preserve"> use default values </w:t>
      </w:r>
      <w:r>
        <w:lastRenderedPageBreak/>
        <w:t>for ease of estimation</w:t>
      </w:r>
      <w:r w:rsidR="00A41C35">
        <w:t>,</w:t>
      </w:r>
      <w:r>
        <w:t xml:space="preserve"> through to more complex methods requiring more </w:t>
      </w:r>
      <w:r w:rsidR="00627DDA">
        <w:t xml:space="preserve">detailed </w:t>
      </w:r>
      <w:r>
        <w:t>data</w:t>
      </w:r>
      <w:r w:rsidR="00895865">
        <w:t>,</w:t>
      </w:r>
      <w:r>
        <w:t xml:space="preserve"> which provide a more accurate estimate </w:t>
      </w:r>
      <w:r w:rsidR="00E0743D">
        <w:t xml:space="preserve">but </w:t>
      </w:r>
      <w:r w:rsidR="00390135">
        <w:t>can</w:t>
      </w:r>
      <w:r w:rsidR="00877010" w:rsidRPr="00877010">
        <w:t xml:space="preserve"> </w:t>
      </w:r>
      <w:r w:rsidR="005D3B71">
        <w:t>be</w:t>
      </w:r>
      <w:r w:rsidR="00877010" w:rsidRPr="00877010">
        <w:t xml:space="preserve"> more complex to implement</w:t>
      </w:r>
      <w:r w:rsidR="005D3B71">
        <w:t xml:space="preserve">. </w:t>
      </w:r>
    </w:p>
    <w:p w14:paraId="4045CB26" w14:textId="67270817" w:rsidR="001E62B2" w:rsidRPr="00AB1831" w:rsidRDefault="001E62B2" w:rsidP="001E62B2">
      <w:pPr>
        <w:pStyle w:val="ListParagraph"/>
        <w:numPr>
          <w:ilvl w:val="0"/>
          <w:numId w:val="3"/>
        </w:numPr>
        <w:rPr>
          <w:rFonts w:eastAsiaTheme="majorEastAsia" w:cstheme="majorBidi"/>
          <w:iCs/>
        </w:rPr>
      </w:pPr>
      <w:r w:rsidRPr="006A605C">
        <w:rPr>
          <w:b/>
          <w:bCs/>
        </w:rPr>
        <w:t xml:space="preserve">Enable </w:t>
      </w:r>
      <w:r>
        <w:rPr>
          <w:b/>
          <w:bCs/>
        </w:rPr>
        <w:t>d</w:t>
      </w:r>
      <w:r w:rsidRPr="006A605C">
        <w:rPr>
          <w:b/>
          <w:bCs/>
        </w:rPr>
        <w:t xml:space="preserve">ata </w:t>
      </w:r>
      <w:r>
        <w:rPr>
          <w:b/>
          <w:bCs/>
        </w:rPr>
        <w:t>r</w:t>
      </w:r>
      <w:r w:rsidRPr="006A605C">
        <w:rPr>
          <w:b/>
          <w:bCs/>
        </w:rPr>
        <w:t>euse</w:t>
      </w:r>
      <w:r w:rsidRPr="006A605C">
        <w:t xml:space="preserve">: </w:t>
      </w:r>
      <w:r>
        <w:rPr>
          <w:rStyle w:val="Heading4Char"/>
          <w:i w:val="0"/>
          <w:color w:val="auto"/>
        </w:rPr>
        <w:t>The</w:t>
      </w:r>
      <w:r w:rsidRPr="00F93CCE">
        <w:rPr>
          <w:rStyle w:val="Heading4Char"/>
          <w:i w:val="0"/>
          <w:color w:val="auto"/>
        </w:rPr>
        <w:t xml:space="preserve"> </w:t>
      </w:r>
      <w:r>
        <w:rPr>
          <w:rStyle w:val="Heading4Char"/>
          <w:i w:val="0"/>
          <w:color w:val="auto"/>
        </w:rPr>
        <w:t>Guidelines</w:t>
      </w:r>
      <w:r w:rsidRPr="00F93CCE">
        <w:rPr>
          <w:rStyle w:val="Heading4Char"/>
          <w:i w:val="0"/>
          <w:color w:val="auto"/>
        </w:rPr>
        <w:t xml:space="preserve"> support </w:t>
      </w:r>
      <w:r>
        <w:rPr>
          <w:rStyle w:val="Heading4Char"/>
          <w:i w:val="0"/>
          <w:color w:val="auto"/>
        </w:rPr>
        <w:t>a ‘</w:t>
      </w:r>
      <w:r w:rsidRPr="00F93CCE">
        <w:rPr>
          <w:rStyle w:val="Heading4Char"/>
          <w:i w:val="0"/>
          <w:color w:val="auto"/>
        </w:rPr>
        <w:t>collect once, use many times</w:t>
      </w:r>
      <w:r>
        <w:rPr>
          <w:rStyle w:val="Heading4Char"/>
          <w:i w:val="0"/>
          <w:color w:val="auto"/>
        </w:rPr>
        <w:t>’ principle for data. W</w:t>
      </w:r>
      <w:r w:rsidRPr="00F93CCE">
        <w:rPr>
          <w:rStyle w:val="Heading4Char"/>
          <w:i w:val="0"/>
          <w:color w:val="auto"/>
        </w:rPr>
        <w:t>here possible</w:t>
      </w:r>
      <w:r>
        <w:rPr>
          <w:rStyle w:val="Heading4Char"/>
          <w:i w:val="0"/>
          <w:color w:val="auto"/>
        </w:rPr>
        <w:t xml:space="preserve">, the Guidelines support </w:t>
      </w:r>
      <w:r w:rsidRPr="00F93CCE">
        <w:rPr>
          <w:rStyle w:val="Heading4Char"/>
          <w:i w:val="0"/>
          <w:color w:val="auto"/>
        </w:rPr>
        <w:t>data used in</w:t>
      </w:r>
      <w:r>
        <w:rPr>
          <w:rStyle w:val="Heading4Char"/>
          <w:i w:val="0"/>
          <w:color w:val="auto"/>
        </w:rPr>
        <w:t xml:space="preserve"> </w:t>
      </w:r>
      <w:r w:rsidRPr="00F93CCE">
        <w:rPr>
          <w:rStyle w:val="Heading4Char"/>
          <w:i w:val="0"/>
          <w:color w:val="auto"/>
        </w:rPr>
        <w:t>farm</w:t>
      </w:r>
      <w:r w:rsidR="00CE5337">
        <w:rPr>
          <w:rStyle w:val="Heading4Char"/>
          <w:i w:val="0"/>
          <w:color w:val="auto"/>
        </w:rPr>
        <w:t>, fishery or forestry</w:t>
      </w:r>
      <w:r w:rsidRPr="00F93CCE">
        <w:rPr>
          <w:rStyle w:val="Heading4Char"/>
          <w:i w:val="0"/>
          <w:color w:val="auto"/>
        </w:rPr>
        <w:t xml:space="preserve"> management </w:t>
      </w:r>
      <w:r>
        <w:rPr>
          <w:rStyle w:val="Heading4Char"/>
          <w:i w:val="0"/>
          <w:color w:val="auto"/>
        </w:rPr>
        <w:t>to be</w:t>
      </w:r>
      <w:r w:rsidRPr="00F93CCE">
        <w:rPr>
          <w:rStyle w:val="Heading4Char"/>
          <w:i w:val="0"/>
          <w:color w:val="auto"/>
        </w:rPr>
        <w:t xml:space="preserve"> </w:t>
      </w:r>
      <w:r>
        <w:rPr>
          <w:rStyle w:val="Heading4Char"/>
          <w:i w:val="0"/>
          <w:color w:val="auto"/>
        </w:rPr>
        <w:t>re-</w:t>
      </w:r>
      <w:r w:rsidRPr="00F93CCE">
        <w:rPr>
          <w:rStyle w:val="Heading4Char"/>
          <w:i w:val="0"/>
          <w:color w:val="auto"/>
        </w:rPr>
        <w:t>use</w:t>
      </w:r>
      <w:r>
        <w:rPr>
          <w:rStyle w:val="Heading4Char"/>
          <w:i w:val="0"/>
          <w:color w:val="auto"/>
        </w:rPr>
        <w:t>d</w:t>
      </w:r>
      <w:r w:rsidRPr="00F93CCE">
        <w:rPr>
          <w:rStyle w:val="Heading4Char"/>
          <w:i w:val="0"/>
          <w:color w:val="auto"/>
        </w:rPr>
        <w:t xml:space="preserve"> for GHG estimation.</w:t>
      </w:r>
      <w:r>
        <w:rPr>
          <w:rStyle w:val="Heading4Char"/>
          <w:i w:val="0"/>
          <w:color w:val="auto"/>
        </w:rPr>
        <w:t xml:space="preserve"> </w:t>
      </w:r>
    </w:p>
    <w:p w14:paraId="508F5116" w14:textId="265FA627" w:rsidR="001E62B2" w:rsidRDefault="001E62B2" w:rsidP="001E62B2">
      <w:pPr>
        <w:rPr>
          <w:rFonts w:ascii="Aptos" w:eastAsia="Aptos" w:hAnsi="Aptos" w:cs="Aptos"/>
        </w:rPr>
      </w:pPr>
      <w:r w:rsidRPr="2E0322B4">
        <w:rPr>
          <w:rFonts w:ascii="Aptos" w:eastAsia="Aptos" w:hAnsi="Aptos" w:cs="Aptos"/>
        </w:rPr>
        <w:t>The Guidelines will be reviewed annually and updated as needed to respond to new research findings, changes in NGA methods, and user experience</w:t>
      </w:r>
      <w:r>
        <w:rPr>
          <w:rFonts w:ascii="Aptos" w:eastAsia="Aptos" w:hAnsi="Aptos" w:cs="Aptos"/>
        </w:rPr>
        <w:t>.</w:t>
      </w:r>
      <w:r w:rsidR="00D5028D">
        <w:rPr>
          <w:rFonts w:ascii="Aptos" w:eastAsia="Aptos" w:hAnsi="Aptos" w:cs="Aptos"/>
        </w:rPr>
        <w:t xml:space="preserve"> </w:t>
      </w:r>
    </w:p>
    <w:p w14:paraId="2526A27E" w14:textId="77777777" w:rsidR="001E62B2" w:rsidRDefault="001E62B2" w:rsidP="001E62B2">
      <w:pPr>
        <w:pStyle w:val="Style4"/>
        <w:ind w:left="432"/>
      </w:pPr>
      <w:bookmarkStart w:id="21" w:name="_Toc225269947"/>
      <w:r w:rsidRPr="00BF4601">
        <w:t>Using</w:t>
      </w:r>
      <w:r>
        <w:t xml:space="preserve"> the Guidelines</w:t>
      </w:r>
      <w:bookmarkEnd w:id="21"/>
      <w:r>
        <w:t xml:space="preserve"> </w:t>
      </w:r>
    </w:p>
    <w:p w14:paraId="00B2CE6F" w14:textId="1D70A7B2" w:rsidR="004E3AF2" w:rsidRDefault="001E62B2" w:rsidP="00AA6B13">
      <w:r>
        <w:t>The Guidelines provide principles and requirements for designing, developing, managing and reporting entity-level GHG inventories. They include requirements and guidance for determining organisational and reporting boundaries, estimating an entity’s GHG emissions and removals, and preparing and reporting an entity’s GHG inventory</w:t>
      </w:r>
      <w:r w:rsidRPr="00780EB0">
        <w:t xml:space="preserve"> </w:t>
      </w:r>
      <w:r>
        <w:t>and assessing data quality</w:t>
      </w:r>
      <w:r w:rsidR="005B5B38">
        <w:t>.</w:t>
      </w:r>
      <w:r w:rsidR="004B469B">
        <w:t xml:space="preserve"> </w:t>
      </w:r>
      <w:r w:rsidR="00587F41">
        <w:t>The Guidelines also provide guidance on calculat</w:t>
      </w:r>
      <w:r w:rsidR="00935983">
        <w:t xml:space="preserve">ing </w:t>
      </w:r>
      <w:r w:rsidR="00587F41">
        <w:t>the</w:t>
      </w:r>
      <w:r w:rsidR="004B469B">
        <w:t xml:space="preserve"> </w:t>
      </w:r>
      <w:r w:rsidR="0012111B">
        <w:t>emissions intensity</w:t>
      </w:r>
      <w:r w:rsidR="00404050">
        <w:t xml:space="preserve"> </w:t>
      </w:r>
      <w:r w:rsidR="004B469B">
        <w:t>of products using the</w:t>
      </w:r>
      <w:r w:rsidR="0067565D">
        <w:t>ir</w:t>
      </w:r>
      <w:r w:rsidR="004B469B">
        <w:t xml:space="preserve"> entity-inventory data as a foundation.</w:t>
      </w:r>
    </w:p>
    <w:p w14:paraId="1E5F52FE" w14:textId="0A77ECAA" w:rsidR="0067565D" w:rsidRDefault="0067565D" w:rsidP="00AA6B13">
      <w:r w:rsidRPr="0067565D">
        <w:t>AFF entities should use a GHG emissions calculator that acknowledges either its use of AIA</w:t>
      </w:r>
      <w:r w:rsidR="00A40704">
        <w:t>’s</w:t>
      </w:r>
      <w:r w:rsidRPr="0067565D">
        <w:t xml:space="preserve"> Environmental Accounting Platform Open-Source Code or its integration with AIA’s API. Such calculators will lead AFF entities through the following steps to estimate GHG emissions and removals. AIA’s open-source code and API align with the methods outlined in these Guidelines.</w:t>
      </w:r>
    </w:p>
    <w:tbl>
      <w:tblPr>
        <w:tblStyle w:val="TableGrid"/>
        <w:tblW w:w="0" w:type="auto"/>
        <w:tblInd w:w="0" w:type="dxa"/>
        <w:tblBorders>
          <w:top w:val="single" w:sz="4" w:space="0" w:color="auto"/>
          <w:left w:val="single" w:sz="4" w:space="0" w:color="auto"/>
          <w:bottom w:val="single" w:sz="4" w:space="0" w:color="auto"/>
          <w:right w:val="single" w:sz="4" w:space="0" w:color="auto"/>
        </w:tblBorders>
        <w:shd w:val="clear" w:color="auto" w:fill="D9F2D0" w:themeFill="accent6" w:themeFillTint="33"/>
        <w:tblLook w:val="04A0" w:firstRow="1" w:lastRow="0" w:firstColumn="1" w:lastColumn="0" w:noHBand="0" w:noVBand="1"/>
      </w:tblPr>
      <w:tblGrid>
        <w:gridCol w:w="9016"/>
      </w:tblGrid>
      <w:tr w:rsidR="004B2E65" w14:paraId="51D61D51" w14:textId="77777777" w:rsidTr="00CD0056">
        <w:trPr>
          <w:trHeight w:val="123"/>
        </w:trPr>
        <w:tc>
          <w:tcPr>
            <w:tcW w:w="9026" w:type="dxa"/>
            <w:shd w:val="clear" w:color="auto" w:fill="D9F2D0" w:themeFill="accent6" w:themeFillTint="33"/>
          </w:tcPr>
          <w:p w14:paraId="3D7C3D81" w14:textId="26A0633F" w:rsidR="00E32847" w:rsidRPr="00EE300B" w:rsidRDefault="00E32847" w:rsidP="00AA6B13">
            <w:pPr>
              <w:rPr>
                <w:b/>
              </w:rPr>
            </w:pPr>
            <w:r w:rsidRPr="00EE300B">
              <w:rPr>
                <w:b/>
              </w:rPr>
              <w:t>Question</w:t>
            </w:r>
            <w:r w:rsidR="00F67BA4">
              <w:rPr>
                <w:b/>
              </w:rPr>
              <w:t xml:space="preserve">: </w:t>
            </w:r>
            <w:r w:rsidR="00DD7873">
              <w:rPr>
                <w:b/>
              </w:rPr>
              <w:t xml:space="preserve">Usability of Guidelines </w:t>
            </w:r>
          </w:p>
          <w:p w14:paraId="70A1EF52" w14:textId="5DB98960" w:rsidR="00E32847" w:rsidRDefault="0048530A" w:rsidP="00AA6B13">
            <w:r w:rsidRPr="0048530A">
              <w:t xml:space="preserve">While </w:t>
            </w:r>
            <w:r w:rsidR="006305B6">
              <w:t>for many producers</w:t>
            </w:r>
            <w:r w:rsidRPr="0048530A">
              <w:t xml:space="preserve"> the Guidelines may not serve as a</w:t>
            </w:r>
            <w:r>
              <w:t>n easy</w:t>
            </w:r>
            <w:r w:rsidRPr="0048530A">
              <w:t xml:space="preserve"> entry point </w:t>
            </w:r>
            <w:r>
              <w:t xml:space="preserve">to </w:t>
            </w:r>
            <w:r w:rsidR="000375C2">
              <w:t xml:space="preserve">GHG </w:t>
            </w:r>
            <w:r>
              <w:t>emissions estimation</w:t>
            </w:r>
            <w:r w:rsidRPr="0048530A">
              <w:t xml:space="preserve">, </w:t>
            </w:r>
            <w:r w:rsidR="00186035">
              <w:t>producers</w:t>
            </w:r>
            <w:r w:rsidRPr="0048530A">
              <w:t xml:space="preserve"> </w:t>
            </w:r>
            <w:r w:rsidR="007528C7">
              <w:t>will be able to</w:t>
            </w:r>
            <w:r w:rsidRPr="0048530A">
              <w:t xml:space="preserve"> implement </w:t>
            </w:r>
            <w:r w:rsidR="00186035">
              <w:t xml:space="preserve">the Guidelines by </w:t>
            </w:r>
            <w:r w:rsidRPr="0048530A">
              <w:t>using GHG emissions calculators aligned with the AIA EAP open-source code or API.</w:t>
            </w:r>
          </w:p>
          <w:p w14:paraId="79615FD4" w14:textId="77777777" w:rsidR="00F97889" w:rsidRDefault="00F97889" w:rsidP="00F97889"/>
          <w:p w14:paraId="76345CB9" w14:textId="21B4B0C5" w:rsidR="00F67BA4" w:rsidRDefault="00F97889" w:rsidP="00F97889">
            <w:r w:rsidRPr="00F97889">
              <w:rPr>
                <w:b/>
                <w:bCs/>
              </w:rPr>
              <w:t>1</w:t>
            </w:r>
            <w:r w:rsidR="007E7CCD">
              <w:rPr>
                <w:b/>
                <w:bCs/>
              </w:rPr>
              <w:t>A</w:t>
            </w:r>
            <w:r>
              <w:t xml:space="preserve"> </w:t>
            </w:r>
            <w:r w:rsidR="00462E63" w:rsidRPr="00462E63">
              <w:t xml:space="preserve">What features or supporting materials </w:t>
            </w:r>
            <w:r w:rsidR="005336A8">
              <w:t>would</w:t>
            </w:r>
            <w:r w:rsidR="00462E63" w:rsidRPr="00462E63">
              <w:t xml:space="preserve"> help users apply the Guidelines?</w:t>
            </w:r>
          </w:p>
        </w:tc>
      </w:tr>
    </w:tbl>
    <w:p w14:paraId="76DC0AEA" w14:textId="77777777" w:rsidR="004B2E65" w:rsidRDefault="004B2E65" w:rsidP="006475C3">
      <w:pPr>
        <w:spacing w:after="0" w:line="240" w:lineRule="auto"/>
      </w:pPr>
    </w:p>
    <w:p w14:paraId="38EC8A43" w14:textId="11438AD1" w:rsidR="001E62B2" w:rsidRDefault="001E62B2" w:rsidP="006475C3">
      <w:pPr>
        <w:pStyle w:val="Style3"/>
        <w:spacing w:before="0" w:after="0" w:line="240" w:lineRule="auto"/>
        <w:ind w:left="567" w:hanging="567"/>
      </w:pPr>
      <w:bookmarkStart w:id="22" w:name="_Toc225269948"/>
      <w:r>
        <w:t xml:space="preserve">Format </w:t>
      </w:r>
      <w:r w:rsidRPr="00A14F2B">
        <w:t>of</w:t>
      </w:r>
      <w:r>
        <w:t xml:space="preserve"> the Guidelines</w:t>
      </w:r>
      <w:bookmarkEnd w:id="22"/>
      <w:r>
        <w:t xml:space="preserve"> </w:t>
      </w:r>
    </w:p>
    <w:p w14:paraId="6580FC23" w14:textId="0E268107" w:rsidR="001E62B2" w:rsidRDefault="001E62B2" w:rsidP="001E62B2">
      <w:r>
        <w:t xml:space="preserve">The </w:t>
      </w:r>
      <w:r w:rsidRPr="00BC71AE">
        <w:t>Guidelines comprise</w:t>
      </w:r>
      <w:r w:rsidR="00111E91">
        <w:t xml:space="preserve"> the following </w:t>
      </w:r>
      <w:r>
        <w:t xml:space="preserve">complementary </w:t>
      </w:r>
      <w:r w:rsidRPr="00BC71AE">
        <w:t>documents</w:t>
      </w:r>
      <w:r>
        <w:t>.</w:t>
      </w:r>
      <w:r w:rsidRPr="00BC71AE">
        <w:t xml:space="preserve"> </w:t>
      </w:r>
    </w:p>
    <w:p w14:paraId="2055B5B7" w14:textId="77777777" w:rsidR="001E62B2" w:rsidRDefault="001E62B2" w:rsidP="00076B9B">
      <w:pPr>
        <w:pStyle w:val="ListParagraph"/>
        <w:numPr>
          <w:ilvl w:val="0"/>
          <w:numId w:val="16"/>
        </w:numPr>
      </w:pPr>
      <w:r>
        <w:t xml:space="preserve">The </w:t>
      </w:r>
      <w:r w:rsidRPr="00845076">
        <w:rPr>
          <w:b/>
          <w:bCs/>
        </w:rPr>
        <w:t>Common Requirements Framework</w:t>
      </w:r>
      <w:r>
        <w:t xml:space="preserve"> (this document) which provides the key principles, definitions and concepts for producing a GHG inventory. It provides requirements for, and high-level guidance on, establishing boundaries, selecting calculation approaches to estimate GHG emissions and removals, assessing data quality and reporting.</w:t>
      </w:r>
    </w:p>
    <w:p w14:paraId="1328EFA5" w14:textId="20628BFD" w:rsidR="001E62B2" w:rsidRDefault="001E62B2" w:rsidP="00076B9B">
      <w:pPr>
        <w:pStyle w:val="ListParagraph"/>
        <w:numPr>
          <w:ilvl w:val="0"/>
          <w:numId w:val="16"/>
        </w:numPr>
      </w:pPr>
      <w:r w:rsidRPr="00845076">
        <w:rPr>
          <w:b/>
          <w:bCs/>
        </w:rPr>
        <w:t>Methodological Guidance</w:t>
      </w:r>
      <w:r>
        <w:t xml:space="preserve"> which provides the specific equations, data sources, and calculation protocols needed to estimate emissions in a consistent and verifiable way</w:t>
      </w:r>
      <w:r w:rsidR="003C38E9">
        <w:t xml:space="preserve"> for production emissions as well as</w:t>
      </w:r>
      <w:r w:rsidR="00111E91">
        <w:t xml:space="preserve"> Land Use, Land Use Change and Forestry</w:t>
      </w:r>
    </w:p>
    <w:p w14:paraId="247E4F54" w14:textId="77777777" w:rsidR="001E62B2" w:rsidRDefault="001E62B2" w:rsidP="001E62B2">
      <w:pPr>
        <w:pStyle w:val="Heading4"/>
        <w:numPr>
          <w:ilvl w:val="0"/>
          <w:numId w:val="0"/>
        </w:numPr>
        <w:ind w:left="864" w:hanging="864"/>
      </w:pPr>
      <w:r>
        <w:t xml:space="preserve">Use of terminology in the Guidelines  </w:t>
      </w:r>
    </w:p>
    <w:p w14:paraId="1CB620CF" w14:textId="1E54AFD4" w:rsidR="001E62B2" w:rsidRDefault="000D5740" w:rsidP="001E62B2">
      <w:pPr>
        <w:rPr>
          <w:rFonts w:ascii="Aptos" w:eastAsia="Aptos" w:hAnsi="Aptos" w:cs="Aptos"/>
        </w:rPr>
      </w:pPr>
      <w:r>
        <w:rPr>
          <w:rFonts w:ascii="Aptos" w:eastAsia="Aptos" w:hAnsi="Aptos" w:cs="Aptos"/>
        </w:rPr>
        <w:t>T</w:t>
      </w:r>
      <w:r w:rsidR="001E62B2" w:rsidRPr="00080E86">
        <w:rPr>
          <w:rFonts w:ascii="Aptos" w:eastAsia="Aptos" w:hAnsi="Aptos" w:cs="Aptos"/>
        </w:rPr>
        <w:t xml:space="preserve">he Guidelines </w:t>
      </w:r>
      <w:r w:rsidR="003E5647">
        <w:rPr>
          <w:rFonts w:ascii="Aptos" w:eastAsia="Aptos" w:hAnsi="Aptos" w:cs="Aptos"/>
        </w:rPr>
        <w:t>use the following terminology in</w:t>
      </w:r>
      <w:r w:rsidR="001E62B2" w:rsidRPr="00080E86">
        <w:rPr>
          <w:rFonts w:ascii="Aptos" w:eastAsia="Aptos" w:hAnsi="Aptos" w:cs="Aptos"/>
        </w:rPr>
        <w:t xml:space="preserve"> specif</w:t>
      </w:r>
      <w:r w:rsidR="001E62B2">
        <w:rPr>
          <w:rFonts w:ascii="Aptos" w:eastAsia="Aptos" w:hAnsi="Aptos" w:cs="Aptos"/>
        </w:rPr>
        <w:t>y</w:t>
      </w:r>
      <w:r w:rsidR="003E5647">
        <w:rPr>
          <w:rFonts w:ascii="Aptos" w:eastAsia="Aptos" w:hAnsi="Aptos" w:cs="Aptos"/>
        </w:rPr>
        <w:t>ing</w:t>
      </w:r>
      <w:r w:rsidR="001E62B2" w:rsidRPr="00080E86">
        <w:rPr>
          <w:rFonts w:ascii="Aptos" w:eastAsia="Aptos" w:hAnsi="Aptos" w:cs="Aptos"/>
        </w:rPr>
        <w:t xml:space="preserve"> requirements that need to be followed to claim compliance with the Guidelines</w:t>
      </w:r>
      <w:r w:rsidR="00E337C7">
        <w:rPr>
          <w:rFonts w:ascii="Aptos" w:eastAsia="Aptos" w:hAnsi="Aptos" w:cs="Aptos"/>
        </w:rPr>
        <w:t>.</w:t>
      </w:r>
      <w:r w:rsidR="001E62B2">
        <w:rPr>
          <w:rFonts w:ascii="Aptos" w:eastAsia="Aptos" w:hAnsi="Aptos" w:cs="Aptos"/>
        </w:rPr>
        <w:t xml:space="preserve"> </w:t>
      </w:r>
    </w:p>
    <w:p w14:paraId="12157021" w14:textId="3417E92A" w:rsidR="001E62B2" w:rsidRDefault="001E62B2" w:rsidP="00076B9B">
      <w:pPr>
        <w:pStyle w:val="ListParagraph"/>
        <w:numPr>
          <w:ilvl w:val="0"/>
          <w:numId w:val="16"/>
        </w:numPr>
        <w:rPr>
          <w:rFonts w:ascii="Aptos" w:eastAsia="Aptos" w:hAnsi="Aptos" w:cs="Aptos"/>
        </w:rPr>
      </w:pPr>
      <w:r>
        <w:t>‘Shall’ indicates what is necessary to meet the minimum requirements of these Guidelines</w:t>
      </w:r>
      <w:r w:rsidR="00E337C7">
        <w:t>.</w:t>
      </w:r>
    </w:p>
    <w:p w14:paraId="5B7B6E0A" w14:textId="7BE95510" w:rsidR="001E62B2" w:rsidRDefault="001E62B2" w:rsidP="00076B9B">
      <w:pPr>
        <w:pStyle w:val="ListParagraph"/>
        <w:numPr>
          <w:ilvl w:val="0"/>
          <w:numId w:val="16"/>
        </w:numPr>
        <w:rPr>
          <w:rFonts w:ascii="Aptos" w:eastAsia="Aptos" w:hAnsi="Aptos" w:cs="Aptos"/>
        </w:rPr>
      </w:pPr>
      <w:r>
        <w:t>‘Should’ indicates a recommendation</w:t>
      </w:r>
      <w:r w:rsidR="00E337C7">
        <w:t>.</w:t>
      </w:r>
      <w:r>
        <w:t xml:space="preserve"> </w:t>
      </w:r>
    </w:p>
    <w:p w14:paraId="29395D7C" w14:textId="77777777" w:rsidR="001E62B2" w:rsidRDefault="001E62B2" w:rsidP="00076B9B">
      <w:pPr>
        <w:pStyle w:val="ListParagraph"/>
        <w:numPr>
          <w:ilvl w:val="0"/>
          <w:numId w:val="16"/>
        </w:numPr>
        <w:rPr>
          <w:rFonts w:ascii="Aptos" w:eastAsia="Aptos" w:hAnsi="Aptos" w:cs="Aptos"/>
        </w:rPr>
      </w:pPr>
      <w:r>
        <w:t>‘May’ indicates</w:t>
      </w:r>
      <w:r w:rsidDel="00014A24">
        <w:t xml:space="preserve"> </w:t>
      </w:r>
      <w:r>
        <w:t>an optional aspect.</w:t>
      </w:r>
    </w:p>
    <w:p w14:paraId="18C42E73" w14:textId="0BEFDD95" w:rsidR="001E62B2" w:rsidRDefault="001E62B2" w:rsidP="001E62B2">
      <w:pPr>
        <w:pStyle w:val="Heading4"/>
        <w:numPr>
          <w:ilvl w:val="0"/>
          <w:numId w:val="0"/>
        </w:numPr>
        <w:ind w:left="864" w:hanging="864"/>
      </w:pPr>
      <w:r>
        <w:lastRenderedPageBreak/>
        <w:t xml:space="preserve">Comparison with GHG Protocol and International Standards Organization (ISO) Rules </w:t>
      </w:r>
    </w:p>
    <w:p w14:paraId="3936A16F" w14:textId="3C7E7761" w:rsidR="001E62B2" w:rsidRDefault="001E62B2" w:rsidP="001E62B2">
      <w:pPr>
        <w:spacing w:after="0" w:line="240" w:lineRule="auto"/>
      </w:pPr>
      <w:r>
        <w:t>Tables and footnotes are included throughout the Common Requirements Framework to indicate how each topic is treated by the GHG Protocol</w:t>
      </w:r>
      <w:r w:rsidR="005E631E">
        <w:t xml:space="preserve"> Initiative</w:t>
      </w:r>
      <w:r w:rsidR="005D5F05">
        <w:t xml:space="preserve"> Standards</w:t>
      </w:r>
      <w:r>
        <w:t xml:space="preserve"> and ISO</w:t>
      </w:r>
      <w:r w:rsidR="000B33DE">
        <w:t xml:space="preserve"> </w:t>
      </w:r>
      <w:r w:rsidR="005D5F05">
        <w:t>S</w:t>
      </w:r>
      <w:r w:rsidR="000B33DE">
        <w:t>tandards</w:t>
      </w:r>
      <w:r>
        <w:t xml:space="preserve">. </w:t>
      </w:r>
    </w:p>
    <w:p w14:paraId="7FDBE6E1" w14:textId="77777777" w:rsidR="001E62B2" w:rsidRDefault="001E62B2" w:rsidP="00BE68D0">
      <w:pPr>
        <w:pStyle w:val="Style3"/>
        <w:ind w:left="567" w:hanging="567"/>
      </w:pPr>
      <w:bookmarkStart w:id="23" w:name="_Toc225269949"/>
      <w:r>
        <w:t>Emissions Scopes</w:t>
      </w:r>
      <w:bookmarkEnd w:id="23"/>
    </w:p>
    <w:p w14:paraId="3235317D" w14:textId="77777777" w:rsidR="001E62B2" w:rsidRPr="00C7742B" w:rsidRDefault="001E62B2" w:rsidP="001E62B2">
      <w:pPr>
        <w:spacing w:line="257" w:lineRule="auto"/>
        <w:rPr>
          <w:rFonts w:ascii="Aptos" w:eastAsia="Aptos" w:hAnsi="Aptos" w:cs="Aptos"/>
        </w:rPr>
      </w:pPr>
      <w:r>
        <w:rPr>
          <w:rFonts w:ascii="Aptos" w:eastAsia="Aptos" w:hAnsi="Aptos" w:cs="Aptos"/>
        </w:rPr>
        <w:t xml:space="preserve">Under the Guidelines, </w:t>
      </w:r>
      <w:r w:rsidRPr="002609E6">
        <w:rPr>
          <w:rFonts w:ascii="Aptos" w:eastAsia="Aptos" w:hAnsi="Aptos" w:cs="Aptos"/>
        </w:rPr>
        <w:t>GHG emission</w:t>
      </w:r>
      <w:r>
        <w:rPr>
          <w:rFonts w:ascii="Aptos" w:eastAsia="Aptos" w:hAnsi="Aptos" w:cs="Aptos"/>
        </w:rPr>
        <w:t xml:space="preserve">s sources and sinks are </w:t>
      </w:r>
      <w:r w:rsidRPr="002609E6">
        <w:rPr>
          <w:rFonts w:ascii="Aptos" w:eastAsia="Aptos" w:hAnsi="Aptos" w:cs="Aptos"/>
        </w:rPr>
        <w:t>categoris</w:t>
      </w:r>
      <w:r>
        <w:rPr>
          <w:rFonts w:ascii="Aptos" w:eastAsia="Aptos" w:hAnsi="Aptos" w:cs="Aptos"/>
        </w:rPr>
        <w:t>ed</w:t>
      </w:r>
      <w:r w:rsidRPr="003E75F0">
        <w:rPr>
          <w:rFonts w:ascii="Aptos" w:eastAsia="Aptos" w:hAnsi="Aptos" w:cs="Aptos"/>
        </w:rPr>
        <w:t xml:space="preserve"> </w:t>
      </w:r>
      <w:r>
        <w:rPr>
          <w:rFonts w:ascii="Aptos" w:eastAsia="Aptos" w:hAnsi="Aptos" w:cs="Aptos"/>
        </w:rPr>
        <w:t>as</w:t>
      </w:r>
      <w:r w:rsidRPr="003E75F0">
        <w:rPr>
          <w:rFonts w:ascii="Aptos" w:eastAsia="Aptos" w:hAnsi="Aptos" w:cs="Aptos"/>
        </w:rPr>
        <w:t xml:space="preserve"> direct (Scope 1) and indirect (Scope 2 and 3)</w:t>
      </w:r>
      <w:r>
        <w:rPr>
          <w:rStyle w:val="FootnoteReference"/>
          <w:rFonts w:ascii="Aptos" w:eastAsia="Aptos" w:hAnsi="Aptos" w:cs="Aptos"/>
        </w:rPr>
        <w:footnoteReference w:id="4"/>
      </w:r>
      <w:r>
        <w:rPr>
          <w:rFonts w:ascii="Aptos" w:eastAsia="Aptos" w:hAnsi="Aptos" w:cs="Aptos"/>
        </w:rPr>
        <w:t>:</w:t>
      </w:r>
    </w:p>
    <w:p w14:paraId="3DB843AE" w14:textId="23D34BFD" w:rsidR="001E62B2" w:rsidRPr="00CA11E4" w:rsidRDefault="001E62B2" w:rsidP="00076B9B">
      <w:pPr>
        <w:numPr>
          <w:ilvl w:val="0"/>
          <w:numId w:val="23"/>
        </w:numPr>
      </w:pPr>
      <w:r w:rsidRPr="00CA11E4">
        <w:rPr>
          <w:b/>
          <w:bCs/>
        </w:rPr>
        <w:t>Scope 1 emissions</w:t>
      </w:r>
      <w:r w:rsidRPr="00CA11E4">
        <w:t xml:space="preserve"> are </w:t>
      </w:r>
      <w:r w:rsidRPr="00CA11E4">
        <w:rPr>
          <w:i/>
          <w:iCs/>
        </w:rPr>
        <w:t>direct emissions</w:t>
      </w:r>
      <w:r w:rsidRPr="009138F7">
        <w:rPr>
          <w:i/>
        </w:rPr>
        <w:t xml:space="preserve"> or removals</w:t>
      </w:r>
      <w:r>
        <w:t xml:space="preserve"> </w:t>
      </w:r>
      <w:r w:rsidRPr="00CA11E4">
        <w:t xml:space="preserve">from sources owned or controlled by the entity (e.g. </w:t>
      </w:r>
      <w:r w:rsidR="009A5A76">
        <w:t>f</w:t>
      </w:r>
      <w:r w:rsidRPr="00CA11E4">
        <w:t>rom livestock</w:t>
      </w:r>
      <w:r w:rsidR="009B7610">
        <w:t xml:space="preserve">, </w:t>
      </w:r>
      <w:r w:rsidR="009B7610" w:rsidRPr="00CA11E4">
        <w:t xml:space="preserve">fuel combustion, </w:t>
      </w:r>
      <w:r w:rsidR="009B7610" w:rsidRPr="009B7610">
        <w:t>on-site refrigeration</w:t>
      </w:r>
      <w:r w:rsidRPr="00CA11E4">
        <w:t>).</w:t>
      </w:r>
    </w:p>
    <w:p w14:paraId="610937AF" w14:textId="3F4768EE" w:rsidR="001E62B2" w:rsidRPr="00CA11E4" w:rsidRDefault="001E62B2" w:rsidP="00076B9B">
      <w:pPr>
        <w:numPr>
          <w:ilvl w:val="0"/>
          <w:numId w:val="23"/>
        </w:numPr>
      </w:pPr>
      <w:r w:rsidRPr="00CA11E4">
        <w:rPr>
          <w:b/>
          <w:bCs/>
        </w:rPr>
        <w:t>Scope 2 emissions</w:t>
      </w:r>
      <w:r w:rsidRPr="00CA11E4">
        <w:t xml:space="preserve"> are </w:t>
      </w:r>
      <w:r w:rsidRPr="00CA11E4">
        <w:rPr>
          <w:i/>
          <w:iCs/>
        </w:rPr>
        <w:t>indirect emissions</w:t>
      </w:r>
      <w:r w:rsidRPr="00CA11E4">
        <w:t xml:space="preserve"> from the generation of purchased energy</w:t>
      </w:r>
      <w:r w:rsidR="00650E66">
        <w:t xml:space="preserve">, </w:t>
      </w:r>
      <w:r w:rsidR="00650E66" w:rsidRPr="00650E66">
        <w:t>such as electricity, steam, heat, or cooling</w:t>
      </w:r>
      <w:r w:rsidRPr="00CA11E4">
        <w:t xml:space="preserve"> consumed by the entity (e.g. emissions from the power station producing purchased electricity).</w:t>
      </w:r>
    </w:p>
    <w:p w14:paraId="39AA2DBC" w14:textId="31915691" w:rsidR="001E62B2" w:rsidRDefault="001E62B2" w:rsidP="00076B9B">
      <w:pPr>
        <w:numPr>
          <w:ilvl w:val="0"/>
          <w:numId w:val="23"/>
        </w:numPr>
      </w:pPr>
      <w:r w:rsidRPr="00CA11E4">
        <w:rPr>
          <w:b/>
          <w:bCs/>
        </w:rPr>
        <w:t>Scope 3 emissions</w:t>
      </w:r>
      <w:r w:rsidRPr="00CA11E4">
        <w:t xml:space="preserve"> are </w:t>
      </w:r>
      <w:r w:rsidRPr="00CA11E4">
        <w:rPr>
          <w:i/>
          <w:iCs/>
        </w:rPr>
        <w:t>other indirect emissions</w:t>
      </w:r>
      <w:r w:rsidRPr="00CA11E4">
        <w:t xml:space="preserve"> that occur in the value chain of the entity, both upstream and downstream. These arise from activities not owned or controlled by the entity but related to its operations (e.g. emissions associated with the production of </w:t>
      </w:r>
      <w:r w:rsidR="005064FE" w:rsidRPr="005064FE">
        <w:t xml:space="preserve">purchased feed, </w:t>
      </w:r>
      <w:r w:rsidR="002F620D">
        <w:t xml:space="preserve">fertiliser, </w:t>
      </w:r>
      <w:r w:rsidR="005064FE" w:rsidRPr="005064FE">
        <w:t>packaging, freight transport of inputs</w:t>
      </w:r>
      <w:r w:rsidRPr="00CA11E4">
        <w:t>).</w:t>
      </w:r>
    </w:p>
    <w:p w14:paraId="0B0D0667" w14:textId="75FCCA7F" w:rsidR="001E62B2" w:rsidRPr="00BE68D0" w:rsidDel="00B64992" w:rsidRDefault="001E62B2" w:rsidP="00BE68D0">
      <w:pPr>
        <w:pStyle w:val="Style3"/>
        <w:ind w:left="567" w:hanging="567"/>
      </w:pPr>
      <w:bookmarkStart w:id="24" w:name="_Toc211591428"/>
      <w:bookmarkStart w:id="25" w:name="_Toc212120106"/>
      <w:bookmarkStart w:id="26" w:name="_Toc212120260"/>
      <w:bookmarkStart w:id="27" w:name="_Toc212131406"/>
      <w:bookmarkStart w:id="28" w:name="_Toc225269950"/>
      <w:bookmarkEnd w:id="24"/>
      <w:bookmarkEnd w:id="25"/>
      <w:bookmarkEnd w:id="26"/>
      <w:bookmarkEnd w:id="27"/>
      <w:r>
        <w:t>Coverage and limitations of the Guidelines</w:t>
      </w:r>
      <w:bookmarkEnd w:id="28"/>
      <w:r w:rsidRPr="00BE68D0" w:rsidDel="00B64992">
        <w:t xml:space="preserve"> </w:t>
      </w:r>
    </w:p>
    <w:p w14:paraId="0667296D" w14:textId="460E0BB1" w:rsidR="00B64992" w:rsidRDefault="004501D7" w:rsidP="00632B95">
      <w:pPr>
        <w:pStyle w:val="Heading3"/>
        <w:numPr>
          <w:ilvl w:val="0"/>
          <w:numId w:val="0"/>
        </w:numPr>
      </w:pPr>
      <w:r>
        <w:t>S</w:t>
      </w:r>
      <w:r w:rsidR="006C7150">
        <w:t>ystems boundary</w:t>
      </w:r>
    </w:p>
    <w:p w14:paraId="356F4A96" w14:textId="100592C1" w:rsidR="00BE0AA8" w:rsidRDefault="00BE0AA8" w:rsidP="00BE0AA8">
      <w:pPr>
        <w:tabs>
          <w:tab w:val="left" w:pos="142"/>
        </w:tabs>
      </w:pPr>
      <w:r>
        <w:t xml:space="preserve">The Guidelines </w:t>
      </w:r>
      <w:r w:rsidR="00F44EF4">
        <w:t xml:space="preserve">primarily </w:t>
      </w:r>
      <w:r>
        <w:t>focus</w:t>
      </w:r>
      <w:r w:rsidR="00AF18A9">
        <w:t xml:space="preserve"> </w:t>
      </w:r>
      <w:r>
        <w:t>on</w:t>
      </w:r>
      <w:r w:rsidR="00982C15">
        <w:t xml:space="preserve"> providing methods for estimating </w:t>
      </w:r>
      <w:r w:rsidR="00E95990">
        <w:t xml:space="preserve">annual </w:t>
      </w:r>
      <w:r w:rsidR="009230FB">
        <w:t>‘</w:t>
      </w:r>
      <w:r>
        <w:t>cradle-to-gate</w:t>
      </w:r>
      <w:r w:rsidR="009230FB">
        <w:t>’</w:t>
      </w:r>
      <w:r w:rsidR="0079706C">
        <w:t xml:space="preserve"> </w:t>
      </w:r>
      <w:r w:rsidR="001C58B8">
        <w:t xml:space="preserve">emissions for </w:t>
      </w:r>
      <w:r w:rsidR="0072419B">
        <w:t xml:space="preserve">different </w:t>
      </w:r>
      <w:r w:rsidR="001C58B8">
        <w:t xml:space="preserve">AFF </w:t>
      </w:r>
      <w:r w:rsidR="0072419B">
        <w:t>production systems</w:t>
      </w:r>
      <w:r w:rsidR="0079706C">
        <w:t>, based on their entity GHG inventory</w:t>
      </w:r>
      <w:r w:rsidR="00CB5944">
        <w:t>, and includes</w:t>
      </w:r>
      <w:r w:rsidR="00CB5944" w:rsidRPr="00E95990" w:rsidDel="00B64992">
        <w:rPr>
          <w:rFonts w:ascii="Aptos" w:eastAsia="Aptos" w:hAnsi="Aptos" w:cs="Aptos"/>
        </w:rPr>
        <w:t xml:space="preserve"> </w:t>
      </w:r>
      <w:r w:rsidR="00CB5944" w:rsidRPr="0007497C" w:rsidDel="00B64992">
        <w:rPr>
          <w:rFonts w:ascii="Aptos" w:eastAsia="Aptos" w:hAnsi="Aptos" w:cs="Aptos"/>
        </w:rPr>
        <w:t xml:space="preserve">Scope 1 and 2 emissions and removals </w:t>
      </w:r>
      <w:r w:rsidR="00CB5944">
        <w:rPr>
          <w:rFonts w:ascii="Aptos" w:eastAsia="Aptos" w:hAnsi="Aptos" w:cs="Aptos"/>
        </w:rPr>
        <w:t>and relevant Scope 3 emissions</w:t>
      </w:r>
      <w:r w:rsidR="00CB5944">
        <w:t>.</w:t>
      </w:r>
      <w:r w:rsidR="0079706C">
        <w:t xml:space="preserve"> </w:t>
      </w:r>
      <w:r>
        <w:t>T</w:t>
      </w:r>
      <w:r w:rsidRPr="00D848D0">
        <w:t>he ‘</w:t>
      </w:r>
      <w:r w:rsidR="00A4313D">
        <w:t>cradle-to-</w:t>
      </w:r>
      <w:r w:rsidRPr="00D848D0">
        <w:t xml:space="preserve">gate’ </w:t>
      </w:r>
      <w:r w:rsidR="00A4313D">
        <w:t xml:space="preserve">boundary in these Guidelines </w:t>
      </w:r>
      <w:r w:rsidRPr="00D848D0">
        <w:t>refers to the point immediately after primary production</w:t>
      </w:r>
      <w:r w:rsidR="003F4C63">
        <w:t xml:space="preserve"> </w:t>
      </w:r>
      <w:r w:rsidR="001C68E3">
        <w:t>–</w:t>
      </w:r>
      <w:r w:rsidR="003F4C63" w:rsidDel="00B53149">
        <w:t xml:space="preserve"> </w:t>
      </w:r>
      <w:r w:rsidRPr="00D848D0">
        <w:t>such as the ‘farm</w:t>
      </w:r>
      <w:r w:rsidR="005247D7">
        <w:t>-</w:t>
      </w:r>
      <w:r w:rsidRPr="00D848D0">
        <w:t>gate’, ‘point</w:t>
      </w:r>
      <w:r w:rsidR="00CB5944">
        <w:t>-</w:t>
      </w:r>
      <w:r w:rsidRPr="00D848D0">
        <w:t>of</w:t>
      </w:r>
      <w:r w:rsidR="00CB5944">
        <w:t>-</w:t>
      </w:r>
      <w:r w:rsidRPr="00D848D0">
        <w:t>harvesting’ or ‘point</w:t>
      </w:r>
      <w:r w:rsidR="00CB5944">
        <w:t>-</w:t>
      </w:r>
      <w:r w:rsidRPr="00D848D0">
        <w:t>of</w:t>
      </w:r>
      <w:r w:rsidR="00CB5944">
        <w:t>-</w:t>
      </w:r>
      <w:r w:rsidRPr="00D848D0">
        <w:t>landing’</w:t>
      </w:r>
      <w:r>
        <w:t xml:space="preserve">. </w:t>
      </w:r>
      <w:r w:rsidR="0084341E">
        <w:t xml:space="preserve">See Appendix A for sector-specific descriptions of </w:t>
      </w:r>
      <w:r w:rsidR="00A4313D">
        <w:t xml:space="preserve">cradle-to-gate </w:t>
      </w:r>
      <w:r w:rsidR="0084341E">
        <w:t>boundaries</w:t>
      </w:r>
      <w:r w:rsidR="00CB5944">
        <w:t>.</w:t>
      </w:r>
    </w:p>
    <w:p w14:paraId="246CABBF" w14:textId="6C235A5B" w:rsidR="007D27E2" w:rsidRDefault="007D27E2" w:rsidP="00BE0AA8">
      <w:pPr>
        <w:tabs>
          <w:tab w:val="left" w:pos="142"/>
        </w:tabs>
      </w:pPr>
      <w:r w:rsidRPr="007D27E2">
        <w:t xml:space="preserve">Some entities that undertake value-added processing within their operations (e.g. producing wine from grapes, cheese from milk, timber milling, or cooking prawns), or that have significant post-production storage, transport, or distribution activities, may choose to apply either a cradle-to-factory-gate boundary or a cradle-to-distribution-gate boundary. </w:t>
      </w:r>
      <w:r w:rsidR="00AD503B" w:rsidRPr="00AD503B">
        <w:t>The cradle-to-distribution-gate boundary encompasses all emissions, including post-production logistics, up to the point where the product enters</w:t>
      </w:r>
      <w:r w:rsidR="00AD503B">
        <w:t xml:space="preserve"> the</w:t>
      </w:r>
      <w:r w:rsidR="00AD503B" w:rsidRPr="00AD503B">
        <w:t xml:space="preserve"> distribution </w:t>
      </w:r>
      <w:r w:rsidR="00AD503B">
        <w:t xml:space="preserve">system </w:t>
      </w:r>
      <w:r w:rsidR="00AD503B" w:rsidRPr="00AD503B">
        <w:t xml:space="preserve">outside the producer’s financial or operational control </w:t>
      </w:r>
      <w:r w:rsidRPr="007D27E2">
        <w:t>(see Figure 1).</w:t>
      </w:r>
      <w:r>
        <w:t xml:space="preserve"> </w:t>
      </w:r>
      <w:r w:rsidR="00AD503B">
        <w:t>Note, t</w:t>
      </w:r>
      <w:r>
        <w:t xml:space="preserve">he transfer of product to customers </w:t>
      </w:r>
      <w:r w:rsidR="00AD503B">
        <w:t xml:space="preserve">or distribution </w:t>
      </w:r>
      <w:r>
        <w:t xml:space="preserve">may </w:t>
      </w:r>
      <w:r w:rsidR="00AD503B">
        <w:t xml:space="preserve">also </w:t>
      </w:r>
      <w:r>
        <w:t xml:space="preserve">occur at the </w:t>
      </w:r>
      <w:r w:rsidR="00AD503B">
        <w:t>farm</w:t>
      </w:r>
      <w:r w:rsidR="005E6260">
        <w:t>-</w:t>
      </w:r>
      <w:r w:rsidR="00A46625">
        <w:t xml:space="preserve">gate </w:t>
      </w:r>
      <w:r w:rsidR="00AD503B">
        <w:t>or factory</w:t>
      </w:r>
      <w:r w:rsidR="005E6260">
        <w:t>-</w:t>
      </w:r>
      <w:r w:rsidR="00AD503B">
        <w:t>gate</w:t>
      </w:r>
      <w:r>
        <w:t>.</w:t>
      </w:r>
    </w:p>
    <w:p w14:paraId="64F2D8EA" w14:textId="241FC079" w:rsidR="00357A7B" w:rsidRDefault="00FF7C02">
      <w:pPr>
        <w:rPr>
          <w:rFonts w:ascii="Aptos" w:eastAsia="Aptos" w:hAnsi="Aptos" w:cs="Aptos"/>
        </w:rPr>
      </w:pPr>
      <w:r>
        <w:t xml:space="preserve">The Methodological Guidance </w:t>
      </w:r>
      <w:r w:rsidR="00A35357">
        <w:t xml:space="preserve">(Chapter 2, Section 2.13) </w:t>
      </w:r>
      <w:r>
        <w:t xml:space="preserve">provides generic </w:t>
      </w:r>
      <w:r w:rsidR="00A35357">
        <w:t>guidance</w:t>
      </w:r>
      <w:r>
        <w:t xml:space="preserve"> </w:t>
      </w:r>
      <w:r w:rsidR="004F1C3D">
        <w:t xml:space="preserve">for estimating </w:t>
      </w:r>
      <w:r w:rsidR="00375487">
        <w:t xml:space="preserve">the emissions occurring after the </w:t>
      </w:r>
      <w:r w:rsidR="00900638">
        <w:t>cradle-to-</w:t>
      </w:r>
      <w:r w:rsidR="009B047D">
        <w:t xml:space="preserve"> </w:t>
      </w:r>
      <w:r w:rsidR="00375487">
        <w:t xml:space="preserve">gate </w:t>
      </w:r>
      <w:r w:rsidR="00A97FEE">
        <w:t xml:space="preserve">production system </w:t>
      </w:r>
      <w:r w:rsidR="00273508">
        <w:t>(as per Figure 1)</w:t>
      </w:r>
      <w:r w:rsidR="000B22A1">
        <w:t xml:space="preserve"> </w:t>
      </w:r>
      <w:r w:rsidR="00375487">
        <w:t>including, storage, processing and packaging</w:t>
      </w:r>
      <w:r w:rsidR="00E661E8">
        <w:t xml:space="preserve"> </w:t>
      </w:r>
      <w:r w:rsidR="00232D38">
        <w:t xml:space="preserve">undertaken </w:t>
      </w:r>
      <w:r w:rsidR="00E66CF0">
        <w:t>within the</w:t>
      </w:r>
      <w:r w:rsidR="00232D38">
        <w:t xml:space="preserve"> entity</w:t>
      </w:r>
      <w:r w:rsidR="00E66CF0">
        <w:t xml:space="preserve">’s operations and </w:t>
      </w:r>
      <w:r w:rsidR="00D353F0">
        <w:t>transport</w:t>
      </w:r>
      <w:r w:rsidR="00346606">
        <w:t>ation</w:t>
      </w:r>
      <w:r w:rsidR="00D353F0">
        <w:t xml:space="preserve"> and distribution</w:t>
      </w:r>
      <w:r w:rsidR="00734CFF">
        <w:t xml:space="preserve"> (</w:t>
      </w:r>
      <w:r w:rsidR="001A608E">
        <w:t xml:space="preserve">both </w:t>
      </w:r>
      <w:r w:rsidR="004D6AD5">
        <w:t>S</w:t>
      </w:r>
      <w:r w:rsidR="00734CFF">
        <w:t xml:space="preserve">cope 1 and upstream </w:t>
      </w:r>
      <w:r w:rsidR="004D6AD5">
        <w:t>S</w:t>
      </w:r>
      <w:r w:rsidR="00734CFF">
        <w:t>cope 3)</w:t>
      </w:r>
      <w:r w:rsidR="004F22E5">
        <w:t>.</w:t>
      </w:r>
      <w:r w:rsidR="008D5DFD">
        <w:t xml:space="preserve"> </w:t>
      </w:r>
      <w:r w:rsidR="00A703F3">
        <w:rPr>
          <w:rFonts w:ascii="Aptos" w:eastAsia="Aptos" w:hAnsi="Aptos" w:cs="Aptos"/>
        </w:rPr>
        <w:t>T</w:t>
      </w:r>
      <w:r w:rsidR="00A1502A" w:rsidRPr="005D1DC4">
        <w:rPr>
          <w:rFonts w:ascii="Aptos" w:eastAsia="Aptos" w:hAnsi="Aptos" w:cs="Aptos"/>
        </w:rPr>
        <w:t xml:space="preserve">he Guidelines </w:t>
      </w:r>
      <w:r w:rsidR="007C16B2">
        <w:rPr>
          <w:rFonts w:ascii="Aptos" w:eastAsia="Aptos" w:hAnsi="Aptos" w:cs="Aptos"/>
        </w:rPr>
        <w:t>do</w:t>
      </w:r>
      <w:r w:rsidR="00A1502A" w:rsidRPr="005D1DC4">
        <w:rPr>
          <w:rFonts w:ascii="Aptos" w:eastAsia="Aptos" w:hAnsi="Aptos" w:cs="Aptos"/>
        </w:rPr>
        <w:t xml:space="preserve"> not provid</w:t>
      </w:r>
      <w:r w:rsidR="00A1502A" w:rsidRPr="001E1B5E">
        <w:rPr>
          <w:rFonts w:ascii="Aptos" w:eastAsia="Aptos" w:hAnsi="Aptos" w:cs="Aptos"/>
        </w:rPr>
        <w:t>e</w:t>
      </w:r>
      <w:r w:rsidR="00A1502A">
        <w:rPr>
          <w:rFonts w:ascii="Aptos" w:eastAsia="Aptos" w:hAnsi="Aptos" w:cs="Aptos"/>
        </w:rPr>
        <w:t xml:space="preserve"> </w:t>
      </w:r>
      <w:r w:rsidR="00A1502A" w:rsidRPr="000E0983">
        <w:rPr>
          <w:rFonts w:ascii="Aptos" w:eastAsia="Aptos" w:hAnsi="Aptos" w:cs="Aptos"/>
        </w:rPr>
        <w:t>methods</w:t>
      </w:r>
      <w:r w:rsidR="00A1502A" w:rsidRPr="005D1DC4">
        <w:rPr>
          <w:rFonts w:ascii="Aptos" w:eastAsia="Aptos" w:hAnsi="Aptos" w:cs="Aptos"/>
        </w:rPr>
        <w:t xml:space="preserve"> </w:t>
      </w:r>
      <w:r w:rsidR="00253D10">
        <w:rPr>
          <w:rFonts w:ascii="Aptos" w:eastAsia="Aptos" w:hAnsi="Aptos" w:cs="Aptos"/>
        </w:rPr>
        <w:t>for all</w:t>
      </w:r>
      <w:r w:rsidR="007C16B2">
        <w:rPr>
          <w:rFonts w:ascii="Aptos" w:eastAsia="Aptos" w:hAnsi="Aptos" w:cs="Aptos"/>
        </w:rPr>
        <w:t xml:space="preserve"> possible</w:t>
      </w:r>
      <w:r w:rsidR="00253D10">
        <w:rPr>
          <w:rFonts w:ascii="Aptos" w:eastAsia="Aptos" w:hAnsi="Aptos" w:cs="Aptos"/>
        </w:rPr>
        <w:t xml:space="preserve"> post</w:t>
      </w:r>
      <w:r w:rsidR="009012D9">
        <w:rPr>
          <w:rFonts w:ascii="Aptos" w:eastAsia="Aptos" w:hAnsi="Aptos" w:cs="Aptos"/>
        </w:rPr>
        <w:t>-production</w:t>
      </w:r>
      <w:r w:rsidR="00253D10">
        <w:rPr>
          <w:rFonts w:ascii="Aptos" w:eastAsia="Aptos" w:hAnsi="Aptos" w:cs="Aptos"/>
        </w:rPr>
        <w:t xml:space="preserve"> </w:t>
      </w:r>
      <w:r w:rsidR="006E6973">
        <w:rPr>
          <w:rFonts w:ascii="Aptos" w:eastAsia="Aptos" w:hAnsi="Aptos" w:cs="Aptos"/>
        </w:rPr>
        <w:t xml:space="preserve">emissions </w:t>
      </w:r>
      <w:r w:rsidR="00253D10">
        <w:rPr>
          <w:rFonts w:ascii="Aptos" w:eastAsia="Aptos" w:hAnsi="Aptos" w:cs="Aptos"/>
        </w:rPr>
        <w:t>activi</w:t>
      </w:r>
      <w:r w:rsidR="007C16B2">
        <w:rPr>
          <w:rFonts w:ascii="Aptos" w:eastAsia="Aptos" w:hAnsi="Aptos" w:cs="Aptos"/>
        </w:rPr>
        <w:t>ties</w:t>
      </w:r>
      <w:r w:rsidR="00567F5B">
        <w:rPr>
          <w:rFonts w:ascii="Aptos" w:eastAsia="Aptos" w:hAnsi="Aptos" w:cs="Aptos"/>
        </w:rPr>
        <w:t>. Entities who wish to apply</w:t>
      </w:r>
      <w:r w:rsidR="00BB0228">
        <w:rPr>
          <w:rFonts w:ascii="Aptos" w:eastAsia="Aptos" w:hAnsi="Aptos" w:cs="Aptos"/>
        </w:rPr>
        <w:t xml:space="preserve"> a beyond </w:t>
      </w:r>
      <w:r w:rsidR="00A73177">
        <w:rPr>
          <w:rFonts w:ascii="Aptos" w:eastAsia="Aptos" w:hAnsi="Aptos" w:cs="Aptos"/>
        </w:rPr>
        <w:t xml:space="preserve">production </w:t>
      </w:r>
      <w:r w:rsidR="00BB0228">
        <w:rPr>
          <w:rFonts w:ascii="Aptos" w:eastAsia="Aptos" w:hAnsi="Aptos" w:cs="Aptos"/>
        </w:rPr>
        <w:t>‘</w:t>
      </w:r>
      <w:r w:rsidR="00900638">
        <w:rPr>
          <w:rFonts w:ascii="Aptos" w:eastAsia="Aptos" w:hAnsi="Aptos" w:cs="Aptos"/>
        </w:rPr>
        <w:t>cradle-to-</w:t>
      </w:r>
      <w:r w:rsidR="00BB0228">
        <w:rPr>
          <w:rFonts w:ascii="Aptos" w:eastAsia="Aptos" w:hAnsi="Aptos" w:cs="Aptos"/>
        </w:rPr>
        <w:t>gate’ system boundary</w:t>
      </w:r>
      <w:r w:rsidR="00A4313D">
        <w:rPr>
          <w:rFonts w:ascii="Aptos" w:eastAsia="Aptos" w:hAnsi="Aptos" w:cs="Aptos"/>
        </w:rPr>
        <w:t xml:space="preserve"> might</w:t>
      </w:r>
      <w:r w:rsidR="00BB0228">
        <w:rPr>
          <w:rFonts w:ascii="Aptos" w:eastAsia="Aptos" w:hAnsi="Aptos" w:cs="Aptos"/>
        </w:rPr>
        <w:t xml:space="preserve"> </w:t>
      </w:r>
      <w:r w:rsidR="00A1502A">
        <w:rPr>
          <w:rFonts w:ascii="Aptos" w:eastAsia="Aptos" w:hAnsi="Aptos" w:cs="Aptos"/>
        </w:rPr>
        <w:t xml:space="preserve">need to refer to </w:t>
      </w:r>
      <w:r w:rsidR="00900638">
        <w:rPr>
          <w:rFonts w:ascii="Aptos" w:eastAsia="Aptos" w:hAnsi="Aptos" w:cs="Aptos"/>
        </w:rPr>
        <w:t xml:space="preserve">other </w:t>
      </w:r>
      <w:r w:rsidR="00A1502A">
        <w:rPr>
          <w:rFonts w:ascii="Aptos" w:eastAsia="Aptos" w:hAnsi="Aptos" w:cs="Aptos"/>
        </w:rPr>
        <w:lastRenderedPageBreak/>
        <w:t xml:space="preserve">methods (e.g. </w:t>
      </w:r>
      <w:hyperlink r:id="rId42" w:history="1">
        <w:r w:rsidR="00FF4968" w:rsidRPr="000E0351">
          <w:rPr>
            <w:rStyle w:val="Hyperlink"/>
            <w:rFonts w:ascii="Aptos" w:eastAsia="Aptos" w:hAnsi="Aptos" w:cs="Aptos"/>
          </w:rPr>
          <w:t xml:space="preserve">National Greenhouse and Energy Reporting </w:t>
        </w:r>
        <w:r w:rsidR="00FF4968">
          <w:rPr>
            <w:rStyle w:val="Hyperlink"/>
            <w:rFonts w:ascii="Aptos" w:eastAsia="Aptos" w:hAnsi="Aptos" w:cs="Aptos"/>
          </w:rPr>
          <w:t>s</w:t>
        </w:r>
        <w:r w:rsidR="00FF4968" w:rsidRPr="000E0351">
          <w:rPr>
            <w:rStyle w:val="Hyperlink"/>
            <w:rFonts w:ascii="Aptos" w:eastAsia="Aptos" w:hAnsi="Aptos" w:cs="Aptos"/>
          </w:rPr>
          <w:t>cheme</w:t>
        </w:r>
      </w:hyperlink>
      <w:r w:rsidR="00A1502A">
        <w:rPr>
          <w:rFonts w:ascii="Aptos" w:eastAsia="Aptos" w:hAnsi="Aptos" w:cs="Aptos"/>
        </w:rPr>
        <w:t>)</w:t>
      </w:r>
      <w:r w:rsidR="00A97FEE">
        <w:rPr>
          <w:rFonts w:ascii="Aptos" w:eastAsia="Aptos" w:hAnsi="Aptos" w:cs="Aptos"/>
        </w:rPr>
        <w:t xml:space="preserve">, </w:t>
      </w:r>
      <w:r w:rsidR="007D7B72">
        <w:rPr>
          <w:rFonts w:ascii="Aptos" w:eastAsia="Aptos" w:hAnsi="Aptos" w:cs="Aptos"/>
        </w:rPr>
        <w:t xml:space="preserve">or </w:t>
      </w:r>
      <w:r w:rsidR="00900638">
        <w:rPr>
          <w:rFonts w:ascii="Aptos" w:eastAsia="Aptos" w:hAnsi="Aptos" w:cs="Aptos"/>
        </w:rPr>
        <w:t>source Scope 3 emissions factors</w:t>
      </w:r>
      <w:r w:rsidR="00A97FEE">
        <w:rPr>
          <w:rFonts w:ascii="Aptos" w:eastAsia="Aptos" w:hAnsi="Aptos" w:cs="Aptos"/>
        </w:rPr>
        <w:t xml:space="preserve"> from suppliers or</w:t>
      </w:r>
      <w:r w:rsidR="00900638">
        <w:rPr>
          <w:rFonts w:ascii="Aptos" w:eastAsia="Aptos" w:hAnsi="Aptos" w:cs="Aptos"/>
        </w:rPr>
        <w:t xml:space="preserve"> </w:t>
      </w:r>
      <w:r w:rsidR="00501E9D">
        <w:rPr>
          <w:rFonts w:ascii="Aptos" w:eastAsia="Aptos" w:hAnsi="Aptos" w:cs="Aptos"/>
        </w:rPr>
        <w:t>national and international database</w:t>
      </w:r>
      <w:r w:rsidR="00351EFA">
        <w:rPr>
          <w:rFonts w:ascii="Aptos" w:eastAsia="Aptos" w:hAnsi="Aptos" w:cs="Aptos"/>
        </w:rPr>
        <w:t>s</w:t>
      </w:r>
      <w:r w:rsidR="00A97FEE">
        <w:rPr>
          <w:rFonts w:ascii="Aptos" w:eastAsia="Aptos" w:hAnsi="Aptos" w:cs="Aptos"/>
        </w:rPr>
        <w:t xml:space="preserve">. </w:t>
      </w:r>
    </w:p>
    <w:p w14:paraId="69EDB642" w14:textId="77777777" w:rsidR="00CA19A2" w:rsidRDefault="00342015" w:rsidP="00342015">
      <w:pPr>
        <w:rPr>
          <w:rFonts w:ascii="Aptos" w:eastAsia="Aptos" w:hAnsi="Aptos" w:cs="Aptos"/>
          <w:b/>
          <w:bCs/>
        </w:rPr>
      </w:pPr>
      <w:r w:rsidRPr="00342015">
        <w:rPr>
          <w:rFonts w:ascii="Aptos" w:eastAsia="Aptos" w:hAnsi="Aptos" w:cs="Aptos"/>
          <w:b/>
          <w:bCs/>
        </w:rPr>
        <w:t xml:space="preserve">Figure </w:t>
      </w:r>
      <w:r w:rsidR="00357A7B">
        <w:rPr>
          <w:rFonts w:ascii="Aptos" w:eastAsia="Aptos" w:hAnsi="Aptos" w:cs="Aptos"/>
          <w:b/>
          <w:bCs/>
        </w:rPr>
        <w:t>1</w:t>
      </w:r>
      <w:r w:rsidRPr="00342015">
        <w:rPr>
          <w:rFonts w:ascii="Aptos" w:eastAsia="Aptos" w:hAnsi="Aptos" w:cs="Aptos"/>
          <w:b/>
          <w:bCs/>
        </w:rPr>
        <w:t xml:space="preserve"> Systems boundaries applied in the Guidelines</w:t>
      </w:r>
    </w:p>
    <w:p w14:paraId="47287923" w14:textId="429832AB" w:rsidR="00342015" w:rsidRPr="00342015" w:rsidDel="00E948C3" w:rsidRDefault="00BE370D" w:rsidP="00342015">
      <w:pPr>
        <w:rPr>
          <w:rFonts w:ascii="Aptos" w:eastAsia="Aptos" w:hAnsi="Aptos" w:cs="Aptos"/>
          <w:b/>
          <w:bCs/>
        </w:rPr>
      </w:pPr>
      <w:r>
        <w:rPr>
          <w:noProof/>
        </w:rPr>
        <w:drawing>
          <wp:inline distT="0" distB="0" distL="0" distR="0" wp14:anchorId="1ABA33A7" wp14:editId="50753683">
            <wp:extent cx="5731510" cy="3597275"/>
            <wp:effectExtent l="0" t="0" r="2540" b="3175"/>
            <wp:docPr id="1806597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97527" name=""/>
                    <pic:cNvPicPr/>
                  </pic:nvPicPr>
                  <pic:blipFill>
                    <a:blip r:embed="rId43"/>
                    <a:stretch>
                      <a:fillRect/>
                    </a:stretch>
                  </pic:blipFill>
                  <pic:spPr>
                    <a:xfrm>
                      <a:off x="0" y="0"/>
                      <a:ext cx="5731510" cy="3597275"/>
                    </a:xfrm>
                    <a:prstGeom prst="rect">
                      <a:avLst/>
                    </a:prstGeom>
                  </pic:spPr>
                </pic:pic>
              </a:graphicData>
            </a:graphic>
          </wp:inline>
        </w:drawing>
      </w:r>
    </w:p>
    <w:p w14:paraId="23D3AA73" w14:textId="01942416" w:rsidR="007C75D0" w:rsidRPr="00BE370D" w:rsidRDefault="00B27AD2" w:rsidP="00BE370D">
      <w:pPr>
        <w:rPr>
          <w:sz w:val="18"/>
          <w:szCs w:val="18"/>
        </w:rPr>
      </w:pPr>
      <w:r w:rsidRPr="00240A2F">
        <w:rPr>
          <w:sz w:val="18"/>
          <w:szCs w:val="18"/>
        </w:rPr>
        <w:t>(</w:t>
      </w:r>
      <w:r w:rsidR="00110EF4" w:rsidRPr="00240A2F">
        <w:rPr>
          <w:sz w:val="18"/>
          <w:szCs w:val="18"/>
        </w:rPr>
        <w:t>A</w:t>
      </w:r>
      <w:r w:rsidRPr="00240A2F">
        <w:rPr>
          <w:sz w:val="18"/>
          <w:szCs w:val="18"/>
        </w:rPr>
        <w:t xml:space="preserve">dapted from </w:t>
      </w:r>
      <w:r w:rsidR="00110EF4" w:rsidRPr="00240A2F">
        <w:rPr>
          <w:sz w:val="18"/>
          <w:szCs w:val="18"/>
        </w:rPr>
        <w:t>Sevenster et al. 2023)</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F2D0" w:themeFill="accent6" w:themeFillTint="33"/>
        <w:tblLook w:val="04A0" w:firstRow="1" w:lastRow="0" w:firstColumn="1" w:lastColumn="0" w:noHBand="0" w:noVBand="1"/>
      </w:tblPr>
      <w:tblGrid>
        <w:gridCol w:w="9016"/>
      </w:tblGrid>
      <w:tr w:rsidR="00811B25" w14:paraId="4DE9CF6F" w14:textId="77777777" w:rsidTr="00CC1DF2">
        <w:tc>
          <w:tcPr>
            <w:tcW w:w="9026" w:type="dxa"/>
            <w:shd w:val="clear" w:color="auto" w:fill="D9F2D0" w:themeFill="accent6" w:themeFillTint="33"/>
          </w:tcPr>
          <w:p w14:paraId="678E0F37" w14:textId="29AED1E0" w:rsidR="002E5FBD" w:rsidRPr="002E5FBD" w:rsidRDefault="00DA5E66" w:rsidP="00DA5E66">
            <w:pPr>
              <w:rPr>
                <w:b/>
                <w:bCs/>
              </w:rPr>
            </w:pPr>
            <w:r w:rsidRPr="002E5FBD">
              <w:rPr>
                <w:b/>
                <w:bCs/>
              </w:rPr>
              <w:t>Question</w:t>
            </w:r>
            <w:r w:rsidR="002E5FBD">
              <w:rPr>
                <w:b/>
                <w:bCs/>
              </w:rPr>
              <w:t>s</w:t>
            </w:r>
            <w:r w:rsidR="002E5FBD" w:rsidRPr="002E5FBD">
              <w:rPr>
                <w:b/>
                <w:bCs/>
              </w:rPr>
              <w:t xml:space="preserve">: </w:t>
            </w:r>
            <w:r w:rsidRPr="002E5FBD">
              <w:rPr>
                <w:b/>
                <w:bCs/>
              </w:rPr>
              <w:t>Systems boundaries</w:t>
            </w:r>
          </w:p>
          <w:p w14:paraId="78C31750" w14:textId="2F415B28" w:rsidR="002E5FBD" w:rsidRDefault="002E5FBD" w:rsidP="00DA5E66">
            <w:r w:rsidRPr="002E5FBD">
              <w:rPr>
                <w:b/>
                <w:bCs/>
              </w:rPr>
              <w:t>2</w:t>
            </w:r>
            <w:r w:rsidR="00DB619E">
              <w:rPr>
                <w:b/>
                <w:bCs/>
              </w:rPr>
              <w:t>A</w:t>
            </w:r>
            <w:r>
              <w:t xml:space="preserve"> </w:t>
            </w:r>
            <w:r w:rsidR="00DA5E66">
              <w:t xml:space="preserve">Do the systems boundaries outlined in Figure 1 make sense for </w:t>
            </w:r>
            <w:r w:rsidR="00450B68">
              <w:t xml:space="preserve">AFF entities? </w:t>
            </w:r>
          </w:p>
          <w:p w14:paraId="30412309" w14:textId="77C90978" w:rsidR="00DA5E66" w:rsidRPr="00DA5E66" w:rsidRDefault="002E5FBD" w:rsidP="00CC1DF2">
            <w:r w:rsidRPr="002E5FBD">
              <w:rPr>
                <w:b/>
                <w:bCs/>
              </w:rPr>
              <w:t>2</w:t>
            </w:r>
            <w:r w:rsidR="00DB619E">
              <w:rPr>
                <w:b/>
                <w:bCs/>
              </w:rPr>
              <w:t>B</w:t>
            </w:r>
            <w:r>
              <w:t xml:space="preserve"> </w:t>
            </w:r>
            <w:r w:rsidR="00450B68">
              <w:t xml:space="preserve">Should the ‘cradle-to-gate’ be renamed to avoid confusion with the subsequent gates? If so, what name should it be given? </w:t>
            </w:r>
          </w:p>
        </w:tc>
      </w:tr>
    </w:tbl>
    <w:p w14:paraId="0DBB486E" w14:textId="22F502AD" w:rsidR="001E62B2" w:rsidRPr="00535A71" w:rsidRDefault="001E62B2" w:rsidP="00EF5C21">
      <w:pPr>
        <w:pStyle w:val="Heading3"/>
        <w:numPr>
          <w:ilvl w:val="0"/>
          <w:numId w:val="0"/>
        </w:numPr>
      </w:pPr>
      <w:r w:rsidRPr="00535A71">
        <w:t xml:space="preserve">Scope 3 </w:t>
      </w:r>
      <w:r w:rsidR="007028E7">
        <w:t xml:space="preserve">emissions source </w:t>
      </w:r>
      <w:r>
        <w:t>categories</w:t>
      </w:r>
    </w:p>
    <w:p w14:paraId="76395181" w14:textId="3C388586" w:rsidR="00D16D4D" w:rsidRDefault="00D16D4D" w:rsidP="009B59B4">
      <w:pPr>
        <w:rPr>
          <w:rFonts w:ascii="Aptos" w:eastAsia="Aptos" w:hAnsi="Aptos" w:cs="Aptos"/>
        </w:rPr>
      </w:pPr>
      <w:r w:rsidRPr="00D16D4D">
        <w:rPr>
          <w:rFonts w:ascii="Aptos" w:eastAsia="Aptos" w:hAnsi="Aptos" w:cs="Aptos"/>
        </w:rPr>
        <w:t xml:space="preserve">The Scope 3 methods </w:t>
      </w:r>
      <w:r w:rsidR="00372A8B">
        <w:rPr>
          <w:rFonts w:ascii="Aptos" w:eastAsia="Aptos" w:hAnsi="Aptos" w:cs="Aptos"/>
        </w:rPr>
        <w:t xml:space="preserve">provide by the </w:t>
      </w:r>
      <w:r w:rsidRPr="00D16D4D">
        <w:rPr>
          <w:rFonts w:ascii="Aptos" w:eastAsia="Aptos" w:hAnsi="Aptos" w:cs="Aptos"/>
        </w:rPr>
        <w:t>Guid</w:t>
      </w:r>
      <w:r w:rsidR="00372A8B">
        <w:rPr>
          <w:rFonts w:ascii="Aptos" w:eastAsia="Aptos" w:hAnsi="Aptos" w:cs="Aptos"/>
        </w:rPr>
        <w:t>elines</w:t>
      </w:r>
      <w:r w:rsidRPr="00D16D4D">
        <w:rPr>
          <w:rFonts w:ascii="Aptos" w:eastAsia="Aptos" w:hAnsi="Aptos" w:cs="Aptos"/>
        </w:rPr>
        <w:t xml:space="preserve"> </w:t>
      </w:r>
      <w:r w:rsidR="00D039B3">
        <w:rPr>
          <w:rFonts w:ascii="Aptos" w:eastAsia="Aptos" w:hAnsi="Aptos" w:cs="Aptos"/>
        </w:rPr>
        <w:t>(Table 1)</w:t>
      </w:r>
      <w:r w:rsidRPr="00D16D4D">
        <w:rPr>
          <w:rFonts w:ascii="Aptos" w:eastAsia="Aptos" w:hAnsi="Aptos" w:cs="Aptos"/>
        </w:rPr>
        <w:t xml:space="preserve"> rely on publicly available</w:t>
      </w:r>
      <w:r w:rsidR="00B30FEC">
        <w:rPr>
          <w:rFonts w:ascii="Aptos" w:eastAsia="Aptos" w:hAnsi="Aptos" w:cs="Aptos"/>
        </w:rPr>
        <w:t>,</w:t>
      </w:r>
      <w:r w:rsidRPr="00D16D4D">
        <w:rPr>
          <w:rFonts w:ascii="Aptos" w:eastAsia="Aptos" w:hAnsi="Aptos" w:cs="Aptos"/>
        </w:rPr>
        <w:t xml:space="preserve"> default emission factors sourced from published literature and the Australian Life Cycle Inventory Database Initiative Carbon Emissions Factors (</w:t>
      </w:r>
      <w:hyperlink r:id="rId44" w:history="1">
        <w:hyperlink r:id="rId45" w:history="1">
          <w:r w:rsidRPr="00337A4F">
            <w:rPr>
              <w:rStyle w:val="Hyperlink"/>
              <w:rFonts w:ascii="Aptos" w:eastAsia="Aptos" w:hAnsi="Aptos" w:cs="Aptos"/>
            </w:rPr>
            <w:t>AusLCI CEF</w:t>
          </w:r>
        </w:hyperlink>
      </w:hyperlink>
      <w:r w:rsidRPr="00D16D4D">
        <w:rPr>
          <w:rFonts w:ascii="Aptos" w:eastAsia="Aptos" w:hAnsi="Aptos" w:cs="Aptos"/>
        </w:rPr>
        <w:t xml:space="preserve">), which are free from licensing restrictions. Where emission factors are not publicly available, and/or where Scope 3 categories fall outside the system boundary defined in Figure 1, methods are not provided. As a result, the Guidance does not currently include methods for </w:t>
      </w:r>
      <w:r w:rsidR="00C13AC5">
        <w:rPr>
          <w:rFonts w:ascii="Aptos" w:eastAsia="Aptos" w:hAnsi="Aptos" w:cs="Aptos"/>
        </w:rPr>
        <w:t>all</w:t>
      </w:r>
      <w:r w:rsidRPr="00D16D4D">
        <w:rPr>
          <w:rFonts w:ascii="Aptos" w:eastAsia="Aptos" w:hAnsi="Aptos" w:cs="Aptos"/>
        </w:rPr>
        <w:t xml:space="preserve"> Scope 3 categories, such as capital goods, business travel</w:t>
      </w:r>
      <w:r w:rsidR="00C13AC5">
        <w:rPr>
          <w:rFonts w:ascii="Aptos" w:eastAsia="Aptos" w:hAnsi="Aptos" w:cs="Aptos"/>
        </w:rPr>
        <w:t xml:space="preserve"> or </w:t>
      </w:r>
      <w:r w:rsidRPr="00D16D4D">
        <w:rPr>
          <w:rFonts w:ascii="Aptos" w:eastAsia="Aptos" w:hAnsi="Aptos" w:cs="Aptos"/>
        </w:rPr>
        <w:t>employee commuting</w:t>
      </w:r>
      <w:r w:rsidR="00C13AC5">
        <w:rPr>
          <w:rFonts w:ascii="Aptos" w:eastAsia="Aptos" w:hAnsi="Aptos" w:cs="Aptos"/>
        </w:rPr>
        <w:t>.</w:t>
      </w:r>
      <w:r w:rsidR="00E413EF">
        <w:rPr>
          <w:rFonts w:ascii="Aptos" w:eastAsia="Aptos" w:hAnsi="Aptos" w:cs="Aptos"/>
        </w:rPr>
        <w:t xml:space="preserve"> Downstream Scope 3 emissions associated with product-use, end-of-life treatment and transport and distribution to end consumers are not within the scope of these Guidelines and are excluded.</w:t>
      </w:r>
      <w:r w:rsidR="00464D62">
        <w:rPr>
          <w:rFonts w:ascii="Aptos" w:eastAsia="Aptos" w:hAnsi="Aptos" w:cs="Aptos"/>
        </w:rPr>
        <w:t xml:space="preserve"> See Table 1. </w:t>
      </w:r>
    </w:p>
    <w:p w14:paraId="7AEAC1CC" w14:textId="096FE4B1" w:rsidR="003638F2" w:rsidRDefault="009B59B4" w:rsidP="001E62B2">
      <w:pPr>
        <w:rPr>
          <w:rFonts w:ascii="Aptos" w:eastAsia="Aptos" w:hAnsi="Aptos" w:cs="Aptos"/>
        </w:rPr>
      </w:pPr>
      <w:r w:rsidRPr="009B59B4">
        <w:rPr>
          <w:rFonts w:ascii="Aptos" w:eastAsia="Aptos" w:hAnsi="Aptos" w:cs="Aptos"/>
        </w:rPr>
        <w:t xml:space="preserve">Where </w:t>
      </w:r>
      <w:r w:rsidR="001A0BC5">
        <w:rPr>
          <w:rFonts w:ascii="Aptos" w:eastAsia="Aptos" w:hAnsi="Aptos" w:cs="Aptos"/>
        </w:rPr>
        <w:t xml:space="preserve">additional </w:t>
      </w:r>
      <w:r w:rsidRPr="009B59B4">
        <w:rPr>
          <w:rFonts w:ascii="Aptos" w:eastAsia="Aptos" w:hAnsi="Aptos" w:cs="Aptos"/>
        </w:rPr>
        <w:t xml:space="preserve"> categories or sources are </w:t>
      </w:r>
      <w:r w:rsidR="00BE4976">
        <w:rPr>
          <w:rFonts w:ascii="Aptos" w:eastAsia="Aptos" w:hAnsi="Aptos" w:cs="Aptos"/>
        </w:rPr>
        <w:t xml:space="preserve">assessed as being </w:t>
      </w:r>
      <w:r w:rsidRPr="009B59B4">
        <w:rPr>
          <w:rFonts w:ascii="Aptos" w:eastAsia="Aptos" w:hAnsi="Aptos" w:cs="Aptos"/>
        </w:rPr>
        <w:t xml:space="preserve">relevant and material to an entity’s inventory, emissions </w:t>
      </w:r>
      <w:r w:rsidR="00F74350">
        <w:rPr>
          <w:rFonts w:ascii="Aptos" w:eastAsia="Aptos" w:hAnsi="Aptos" w:cs="Aptos"/>
        </w:rPr>
        <w:t xml:space="preserve">may </w:t>
      </w:r>
      <w:r w:rsidRPr="009B59B4">
        <w:rPr>
          <w:rFonts w:ascii="Aptos" w:eastAsia="Aptos" w:hAnsi="Aptos" w:cs="Aptos"/>
        </w:rPr>
        <w:t xml:space="preserve"> be estimated using emission factors from reputable national and international databases </w:t>
      </w:r>
      <w:r w:rsidR="001E62B2">
        <w:rPr>
          <w:rFonts w:ascii="Aptos" w:eastAsia="Aptos" w:hAnsi="Aptos" w:cs="Aptos"/>
        </w:rPr>
        <w:t>(e.g.</w:t>
      </w:r>
      <w:r w:rsidR="001E62B2" w:rsidDel="00B00A8B">
        <w:rPr>
          <w:rFonts w:ascii="Aptos" w:eastAsia="Aptos" w:hAnsi="Aptos" w:cs="Aptos"/>
        </w:rPr>
        <w:t xml:space="preserve"> </w:t>
      </w:r>
      <w:hyperlink r:id="rId46" w:history="1">
        <w:r w:rsidR="001E62B2" w:rsidRPr="00427D14">
          <w:rPr>
            <w:rStyle w:val="Hyperlink"/>
            <w:rFonts w:ascii="Aptos" w:eastAsia="Aptos" w:hAnsi="Aptos" w:cs="Aptos"/>
          </w:rPr>
          <w:t>Ecoinvent</w:t>
        </w:r>
      </w:hyperlink>
      <w:r w:rsidR="00170AED">
        <w:t xml:space="preserve">; </w:t>
      </w:r>
      <w:hyperlink r:id="rId47" w:history="1">
        <w:hyperlink r:id="rId48" w:history="1">
          <w:r w:rsidR="00170AED" w:rsidRPr="00B66436">
            <w:rPr>
              <w:rStyle w:val="Hyperlink"/>
            </w:rPr>
            <w:t>UK Department of Environment</w:t>
          </w:r>
          <w:r w:rsidR="008E009F" w:rsidRPr="00B66436">
            <w:rPr>
              <w:rStyle w:val="Hyperlink"/>
            </w:rPr>
            <w:t>, Food and Rural Affairs Emissions Factors</w:t>
          </w:r>
        </w:hyperlink>
      </w:hyperlink>
      <w:r w:rsidR="001E62B2">
        <w:rPr>
          <w:rFonts w:ascii="Aptos" w:eastAsia="Aptos" w:hAnsi="Aptos" w:cs="Aptos"/>
        </w:rPr>
        <w:t>)</w:t>
      </w:r>
      <w:r w:rsidR="00137695">
        <w:rPr>
          <w:rFonts w:ascii="Aptos" w:eastAsia="Aptos" w:hAnsi="Aptos" w:cs="Aptos"/>
        </w:rPr>
        <w:t>, or from</w:t>
      </w:r>
      <w:r w:rsidR="00850B00">
        <w:rPr>
          <w:rFonts w:ascii="Aptos" w:eastAsia="Aptos" w:hAnsi="Aptos" w:cs="Aptos"/>
        </w:rPr>
        <w:t xml:space="preserve"> </w:t>
      </w:r>
      <w:r w:rsidR="00A06DCA">
        <w:rPr>
          <w:rFonts w:ascii="Aptos" w:eastAsia="Aptos" w:hAnsi="Aptos" w:cs="Aptos"/>
        </w:rPr>
        <w:t xml:space="preserve">third-party </w:t>
      </w:r>
      <w:r w:rsidR="00051222">
        <w:rPr>
          <w:rFonts w:ascii="Aptos" w:eastAsia="Aptos" w:hAnsi="Aptos" w:cs="Aptos"/>
        </w:rPr>
        <w:t xml:space="preserve">verified </w:t>
      </w:r>
      <w:r w:rsidR="00A06DCA">
        <w:rPr>
          <w:rFonts w:ascii="Aptos" w:eastAsia="Aptos" w:hAnsi="Aptos" w:cs="Aptos"/>
        </w:rPr>
        <w:t>supplier</w:t>
      </w:r>
      <w:r w:rsidR="00C13AC5">
        <w:rPr>
          <w:rFonts w:ascii="Aptos" w:eastAsia="Aptos" w:hAnsi="Aptos" w:cs="Aptos"/>
        </w:rPr>
        <w:t xml:space="preserve"> data</w:t>
      </w:r>
      <w:r w:rsidR="008C3050">
        <w:rPr>
          <w:rStyle w:val="FootnoteReference"/>
          <w:rFonts w:ascii="Aptos" w:eastAsia="Aptos" w:hAnsi="Aptos" w:cs="Aptos"/>
        </w:rPr>
        <w:footnoteReference w:id="5"/>
      </w:r>
      <w:r w:rsidR="008708B4">
        <w:rPr>
          <w:rFonts w:ascii="Aptos" w:eastAsia="Aptos" w:hAnsi="Aptos" w:cs="Aptos"/>
        </w:rPr>
        <w:t>.</w:t>
      </w:r>
    </w:p>
    <w:p w14:paraId="0F666408" w14:textId="2B6AF028" w:rsidR="001E62B2" w:rsidRPr="00CD296C" w:rsidRDefault="001E62B2" w:rsidP="001E62B2">
      <w:pPr>
        <w:rPr>
          <w:rFonts w:ascii="Aptos" w:eastAsia="Aptos" w:hAnsi="Aptos" w:cs="Aptos"/>
        </w:rPr>
      </w:pPr>
      <w:r w:rsidRPr="002526AB">
        <w:rPr>
          <w:rFonts w:ascii="Aptos Narrow" w:eastAsia="Times New Roman" w:hAnsi="Aptos Narrow" w:cs="Times New Roman"/>
          <w:b/>
          <w:bCs/>
          <w:color w:val="000000"/>
          <w:kern w:val="0"/>
          <w:lang w:eastAsia="en-AU"/>
          <w14:ligatures w14:val="none"/>
        </w:rPr>
        <w:lastRenderedPageBreak/>
        <w:t xml:space="preserve">Table 1: Scope 3 </w:t>
      </w:r>
      <w:r w:rsidR="002126E6">
        <w:rPr>
          <w:rFonts w:ascii="Aptos Narrow" w:eastAsia="Times New Roman" w:hAnsi="Aptos Narrow" w:cs="Times New Roman"/>
          <w:b/>
          <w:bCs/>
          <w:color w:val="000000"/>
          <w:kern w:val="0"/>
          <w:lang w:eastAsia="en-AU"/>
          <w14:ligatures w14:val="none"/>
        </w:rPr>
        <w:t xml:space="preserve">emissions source </w:t>
      </w:r>
      <w:r>
        <w:rPr>
          <w:rFonts w:ascii="Aptos Narrow" w:eastAsia="Times New Roman" w:hAnsi="Aptos Narrow" w:cs="Times New Roman"/>
          <w:b/>
          <w:bCs/>
          <w:color w:val="000000"/>
          <w:kern w:val="0"/>
          <w:lang w:eastAsia="en-AU"/>
          <w14:ligatures w14:val="none"/>
        </w:rPr>
        <w:t>c</w:t>
      </w:r>
      <w:r w:rsidRPr="002526AB">
        <w:rPr>
          <w:rFonts w:ascii="Aptos Narrow" w:eastAsia="Times New Roman" w:hAnsi="Aptos Narrow" w:cs="Times New Roman"/>
          <w:b/>
          <w:bCs/>
          <w:color w:val="000000"/>
          <w:kern w:val="0"/>
          <w:lang w:eastAsia="en-AU"/>
          <w14:ligatures w14:val="none"/>
        </w:rPr>
        <w:t>ategories</w:t>
      </w:r>
      <w:r w:rsidR="005E7554">
        <w:rPr>
          <w:rFonts w:ascii="Aptos Narrow" w:eastAsia="Times New Roman" w:hAnsi="Aptos Narrow" w:cs="Times New Roman"/>
          <w:b/>
          <w:bCs/>
          <w:color w:val="000000"/>
          <w:kern w:val="0"/>
          <w:lang w:eastAsia="en-AU"/>
          <w14:ligatures w14:val="none"/>
        </w:rPr>
        <w:t xml:space="preserve"> currently included in Guidelines</w:t>
      </w:r>
      <w:r w:rsidR="00B56776">
        <w:rPr>
          <w:rFonts w:ascii="Aptos Narrow" w:eastAsia="Times New Roman" w:hAnsi="Aptos Narrow" w:cs="Times New Roman"/>
          <w:b/>
          <w:bCs/>
          <w:color w:val="000000"/>
          <w:kern w:val="0"/>
          <w:lang w:eastAsia="en-AU"/>
          <w14:ligatures w14:val="none"/>
        </w:rPr>
        <w:t>*</w:t>
      </w:r>
      <w:r w:rsidR="005E7554">
        <w:rPr>
          <w:rFonts w:ascii="Aptos Narrow" w:eastAsia="Times New Roman" w:hAnsi="Aptos Narrow" w:cs="Times New Roman"/>
          <w:b/>
          <w:bCs/>
          <w:color w:val="000000"/>
          <w:kern w:val="0"/>
          <w:lang w:eastAsia="en-AU"/>
          <w14:ligatures w14:val="none"/>
        </w:rPr>
        <w:t xml:space="preserve"> </w:t>
      </w: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3673"/>
      </w:tblGrid>
      <w:tr w:rsidR="001E62B2" w:rsidRPr="002526AB" w14:paraId="4EB07C95" w14:textId="77777777">
        <w:trPr>
          <w:trHeight w:val="290"/>
        </w:trPr>
        <w:tc>
          <w:tcPr>
            <w:tcW w:w="3693" w:type="dxa"/>
            <w:shd w:val="clear" w:color="000000" w:fill="E8E8E8"/>
            <w:noWrap/>
            <w:vAlign w:val="bottom"/>
            <w:hideMark/>
          </w:tcPr>
          <w:p w14:paraId="66185128" w14:textId="3B2F9DF6" w:rsidR="001E62B2" w:rsidRPr="002526AB" w:rsidRDefault="00C328A6">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 xml:space="preserve">Method </w:t>
            </w:r>
            <w:r w:rsidR="00012ED2">
              <w:rPr>
                <w:rFonts w:ascii="Aptos Narrow" w:eastAsia="Times New Roman" w:hAnsi="Aptos Narrow" w:cs="Times New Roman"/>
                <w:b/>
                <w:bCs/>
                <w:color w:val="000000"/>
                <w:kern w:val="0"/>
                <w:lang w:eastAsia="en-AU"/>
                <w14:ligatures w14:val="none"/>
              </w:rPr>
              <w:t>i</w:t>
            </w:r>
            <w:r w:rsidR="001E62B2" w:rsidRPr="002526AB">
              <w:rPr>
                <w:rFonts w:ascii="Aptos Narrow" w:eastAsia="Times New Roman" w:hAnsi="Aptos Narrow" w:cs="Times New Roman"/>
                <w:b/>
                <w:bCs/>
                <w:color w:val="000000"/>
                <w:kern w:val="0"/>
                <w:lang w:eastAsia="en-AU"/>
                <w14:ligatures w14:val="none"/>
              </w:rPr>
              <w:t>ncluded</w:t>
            </w:r>
          </w:p>
        </w:tc>
        <w:tc>
          <w:tcPr>
            <w:tcW w:w="3673" w:type="dxa"/>
            <w:shd w:val="clear" w:color="000000" w:fill="E8E8E8"/>
            <w:noWrap/>
            <w:vAlign w:val="bottom"/>
            <w:hideMark/>
          </w:tcPr>
          <w:p w14:paraId="4DEE6BF5" w14:textId="697A1791" w:rsidR="001E62B2" w:rsidRPr="002526AB" w:rsidRDefault="002F4ED8" w:rsidP="00F23272">
            <w:pPr>
              <w:spacing w:after="0" w:line="240" w:lineRule="auto"/>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M</w:t>
            </w:r>
            <w:r w:rsidR="00C918E8">
              <w:rPr>
                <w:rFonts w:ascii="Aptos Narrow" w:eastAsia="Times New Roman" w:hAnsi="Aptos Narrow" w:cs="Times New Roman"/>
                <w:b/>
                <w:bCs/>
                <w:color w:val="000000"/>
                <w:kern w:val="0"/>
                <w:lang w:eastAsia="en-AU"/>
                <w14:ligatures w14:val="none"/>
              </w:rPr>
              <w:t>ethod not provided</w:t>
            </w:r>
          </w:p>
        </w:tc>
      </w:tr>
      <w:tr w:rsidR="001E62B2" w:rsidRPr="002526AB" w14:paraId="45D926E1" w14:textId="77777777">
        <w:trPr>
          <w:trHeight w:val="290"/>
        </w:trPr>
        <w:tc>
          <w:tcPr>
            <w:tcW w:w="7366" w:type="dxa"/>
            <w:gridSpan w:val="2"/>
            <w:shd w:val="clear" w:color="000000" w:fill="DAE9F8"/>
            <w:noWrap/>
            <w:vAlign w:val="bottom"/>
            <w:hideMark/>
          </w:tcPr>
          <w:p w14:paraId="63A82D27" w14:textId="77777777" w:rsidR="001E62B2" w:rsidRPr="002526AB"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2526AB">
              <w:rPr>
                <w:rFonts w:ascii="Aptos Narrow" w:eastAsia="Times New Roman" w:hAnsi="Aptos Narrow" w:cs="Times New Roman"/>
                <w:b/>
                <w:bCs/>
                <w:color w:val="000000"/>
                <w:kern w:val="0"/>
                <w:lang w:eastAsia="en-AU"/>
                <w14:ligatures w14:val="none"/>
              </w:rPr>
              <w:t>Upstream</w:t>
            </w:r>
          </w:p>
        </w:tc>
      </w:tr>
      <w:tr w:rsidR="001E62B2" w:rsidRPr="002526AB" w14:paraId="398E8E12" w14:textId="77777777">
        <w:trPr>
          <w:trHeight w:val="290"/>
        </w:trPr>
        <w:tc>
          <w:tcPr>
            <w:tcW w:w="3693" w:type="dxa"/>
            <w:noWrap/>
            <w:vAlign w:val="bottom"/>
            <w:hideMark/>
          </w:tcPr>
          <w:p w14:paraId="36B56D4A" w14:textId="77777777" w:rsidR="001E62B2" w:rsidRPr="002526AB" w:rsidRDefault="001E62B2">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1.Purchased goods and services</w:t>
            </w:r>
          </w:p>
        </w:tc>
        <w:tc>
          <w:tcPr>
            <w:tcW w:w="3673" w:type="dxa"/>
            <w:noWrap/>
            <w:vAlign w:val="bottom"/>
            <w:hideMark/>
          </w:tcPr>
          <w:p w14:paraId="692E8AC5" w14:textId="77777777" w:rsidR="001E62B2" w:rsidRPr="002526AB" w:rsidRDefault="001E62B2">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 xml:space="preserve">2. Capital goods </w:t>
            </w:r>
          </w:p>
        </w:tc>
      </w:tr>
      <w:tr w:rsidR="00795778" w:rsidRPr="002526AB" w14:paraId="0127F4E7" w14:textId="77777777">
        <w:trPr>
          <w:trHeight w:val="290"/>
        </w:trPr>
        <w:tc>
          <w:tcPr>
            <w:tcW w:w="3693" w:type="dxa"/>
            <w:noWrap/>
            <w:vAlign w:val="bottom"/>
            <w:hideMark/>
          </w:tcPr>
          <w:p w14:paraId="2CED0E99" w14:textId="77777777" w:rsidR="00795778" w:rsidRPr="002526AB" w:rsidRDefault="00795778" w:rsidP="00795778">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 xml:space="preserve">3.Fuel and energy related activities </w:t>
            </w:r>
          </w:p>
        </w:tc>
        <w:tc>
          <w:tcPr>
            <w:tcW w:w="3673" w:type="dxa"/>
            <w:noWrap/>
            <w:vAlign w:val="bottom"/>
            <w:hideMark/>
          </w:tcPr>
          <w:p w14:paraId="1D55D70E" w14:textId="544CDEA5" w:rsidR="00795778" w:rsidRPr="002526AB" w:rsidRDefault="00795778" w:rsidP="00795778">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6. Business travel</w:t>
            </w:r>
          </w:p>
        </w:tc>
      </w:tr>
      <w:tr w:rsidR="00795778" w:rsidRPr="002526AB" w14:paraId="6F9D111E" w14:textId="77777777" w:rsidTr="00F23272">
        <w:trPr>
          <w:trHeight w:val="290"/>
        </w:trPr>
        <w:tc>
          <w:tcPr>
            <w:tcW w:w="3693" w:type="dxa"/>
            <w:noWrap/>
            <w:vAlign w:val="bottom"/>
          </w:tcPr>
          <w:p w14:paraId="74EAF9F6" w14:textId="233D5DDA" w:rsidR="00795778" w:rsidRPr="002526AB" w:rsidRDefault="00795778" w:rsidP="00795778">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4. Transportation and distribution</w:t>
            </w:r>
            <w:r w:rsidR="007513E7">
              <w:rPr>
                <w:rStyle w:val="FootnoteReference"/>
                <w:rFonts w:ascii="Aptos Narrow" w:eastAsia="Times New Roman" w:hAnsi="Aptos Narrow" w:cs="Times New Roman"/>
                <w:color w:val="000000"/>
                <w:kern w:val="0"/>
                <w:lang w:eastAsia="en-AU"/>
                <w14:ligatures w14:val="none"/>
              </w:rPr>
              <w:footnoteReference w:id="6"/>
            </w:r>
          </w:p>
        </w:tc>
        <w:tc>
          <w:tcPr>
            <w:tcW w:w="3673" w:type="dxa"/>
            <w:noWrap/>
            <w:vAlign w:val="bottom"/>
          </w:tcPr>
          <w:p w14:paraId="75844D79" w14:textId="3CE9C063" w:rsidR="00795778" w:rsidRPr="002526AB" w:rsidRDefault="00795778" w:rsidP="00795778">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7. Employee commuting</w:t>
            </w:r>
          </w:p>
        </w:tc>
      </w:tr>
      <w:tr w:rsidR="00795778" w:rsidRPr="002526AB" w14:paraId="44991A11" w14:textId="77777777" w:rsidTr="00F23272">
        <w:trPr>
          <w:trHeight w:val="290"/>
        </w:trPr>
        <w:tc>
          <w:tcPr>
            <w:tcW w:w="3693" w:type="dxa"/>
            <w:noWrap/>
            <w:vAlign w:val="bottom"/>
            <w:hideMark/>
          </w:tcPr>
          <w:p w14:paraId="77A696F8" w14:textId="171F64AC" w:rsidR="00795778" w:rsidRPr="002526AB" w:rsidRDefault="00795778" w:rsidP="00795778">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 xml:space="preserve">5. Waste generated in operations </w:t>
            </w:r>
          </w:p>
        </w:tc>
        <w:tc>
          <w:tcPr>
            <w:tcW w:w="3673" w:type="dxa"/>
            <w:noWrap/>
            <w:vAlign w:val="bottom"/>
          </w:tcPr>
          <w:p w14:paraId="4CFA97A9" w14:textId="76A769FA" w:rsidR="00795778" w:rsidRPr="002526AB" w:rsidRDefault="00795778" w:rsidP="00795778">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8. Leased assets</w:t>
            </w:r>
            <w:r w:rsidR="000D2FAA">
              <w:rPr>
                <w:rStyle w:val="FootnoteReference"/>
                <w:rFonts w:ascii="Aptos Narrow" w:eastAsia="Times New Roman" w:hAnsi="Aptos Narrow" w:cs="Times New Roman"/>
                <w:color w:val="000000"/>
                <w:kern w:val="0"/>
                <w:lang w:eastAsia="en-AU"/>
                <w14:ligatures w14:val="none"/>
              </w:rPr>
              <w:footnoteReference w:id="7"/>
            </w:r>
            <w:r w:rsidRPr="002526AB">
              <w:rPr>
                <w:rFonts w:ascii="Aptos Narrow" w:eastAsia="Times New Roman" w:hAnsi="Aptos Narrow" w:cs="Times New Roman"/>
                <w:color w:val="000000"/>
                <w:kern w:val="0"/>
                <w:lang w:eastAsia="en-AU"/>
                <w14:ligatures w14:val="none"/>
              </w:rPr>
              <w:t xml:space="preserve"> </w:t>
            </w:r>
          </w:p>
        </w:tc>
      </w:tr>
      <w:tr w:rsidR="00795778" w:rsidRPr="002526AB" w14:paraId="65FFD507" w14:textId="77777777" w:rsidTr="00F23272">
        <w:trPr>
          <w:trHeight w:val="290"/>
        </w:trPr>
        <w:tc>
          <w:tcPr>
            <w:tcW w:w="3693" w:type="dxa"/>
            <w:noWrap/>
            <w:vAlign w:val="bottom"/>
            <w:hideMark/>
          </w:tcPr>
          <w:p w14:paraId="4089D8B0" w14:textId="6769A911" w:rsidR="00795778" w:rsidRPr="002526AB" w:rsidRDefault="00795778" w:rsidP="00795778">
            <w:pPr>
              <w:spacing w:after="0" w:line="240" w:lineRule="auto"/>
              <w:rPr>
                <w:rFonts w:ascii="Aptos Narrow" w:eastAsia="Times New Roman" w:hAnsi="Aptos Narrow" w:cs="Times New Roman"/>
                <w:color w:val="000000"/>
                <w:kern w:val="0"/>
                <w:lang w:eastAsia="en-AU"/>
                <w14:ligatures w14:val="none"/>
              </w:rPr>
            </w:pPr>
          </w:p>
        </w:tc>
        <w:tc>
          <w:tcPr>
            <w:tcW w:w="3673" w:type="dxa"/>
            <w:noWrap/>
            <w:vAlign w:val="bottom"/>
          </w:tcPr>
          <w:p w14:paraId="034AC1F7" w14:textId="439A6991" w:rsidR="00795778" w:rsidRPr="002526AB" w:rsidRDefault="00795778" w:rsidP="00795778">
            <w:pPr>
              <w:spacing w:after="0" w:line="240" w:lineRule="auto"/>
              <w:rPr>
                <w:rFonts w:ascii="Aptos Narrow" w:eastAsia="Times New Roman" w:hAnsi="Aptos Narrow" w:cs="Times New Roman"/>
                <w:color w:val="000000"/>
                <w:kern w:val="0"/>
                <w:lang w:eastAsia="en-AU"/>
                <w14:ligatures w14:val="none"/>
              </w:rPr>
            </w:pPr>
          </w:p>
        </w:tc>
      </w:tr>
      <w:tr w:rsidR="00795778" w:rsidRPr="002526AB" w14:paraId="64EEEF49" w14:textId="77777777">
        <w:trPr>
          <w:trHeight w:val="290"/>
        </w:trPr>
        <w:tc>
          <w:tcPr>
            <w:tcW w:w="7366" w:type="dxa"/>
            <w:gridSpan w:val="2"/>
            <w:shd w:val="clear" w:color="000000" w:fill="DAE9F8"/>
            <w:noWrap/>
            <w:vAlign w:val="bottom"/>
            <w:hideMark/>
          </w:tcPr>
          <w:p w14:paraId="229C6582" w14:textId="77777777" w:rsidR="00795778" w:rsidRPr="002526AB" w:rsidRDefault="00795778" w:rsidP="00795778">
            <w:pPr>
              <w:spacing w:after="0" w:line="240" w:lineRule="auto"/>
              <w:jc w:val="center"/>
              <w:rPr>
                <w:rFonts w:ascii="Aptos Narrow" w:eastAsia="Times New Roman" w:hAnsi="Aptos Narrow" w:cs="Times New Roman"/>
                <w:b/>
                <w:bCs/>
                <w:color w:val="000000"/>
                <w:kern w:val="0"/>
                <w:lang w:eastAsia="en-AU"/>
                <w14:ligatures w14:val="none"/>
              </w:rPr>
            </w:pPr>
            <w:r w:rsidRPr="002526AB">
              <w:rPr>
                <w:rFonts w:ascii="Aptos Narrow" w:eastAsia="Times New Roman" w:hAnsi="Aptos Narrow" w:cs="Times New Roman"/>
                <w:b/>
                <w:bCs/>
                <w:color w:val="000000"/>
                <w:kern w:val="0"/>
                <w:lang w:eastAsia="en-AU"/>
                <w14:ligatures w14:val="none"/>
              </w:rPr>
              <w:t>Downstream</w:t>
            </w:r>
          </w:p>
        </w:tc>
      </w:tr>
      <w:tr w:rsidR="00795778" w:rsidRPr="002526AB" w14:paraId="6CF9644A" w14:textId="77777777">
        <w:trPr>
          <w:trHeight w:val="290"/>
        </w:trPr>
        <w:tc>
          <w:tcPr>
            <w:tcW w:w="3693" w:type="dxa"/>
            <w:noWrap/>
            <w:vAlign w:val="bottom"/>
            <w:hideMark/>
          </w:tcPr>
          <w:p w14:paraId="3D5EB32A" w14:textId="5B87CF5C" w:rsidR="00795778" w:rsidRPr="002526AB" w:rsidRDefault="00795778" w:rsidP="00795778">
            <w:pPr>
              <w:spacing w:after="0" w:line="240" w:lineRule="auto"/>
              <w:rPr>
                <w:rFonts w:ascii="Aptos Narrow" w:eastAsia="Times New Roman" w:hAnsi="Aptos Narrow" w:cs="Times New Roman"/>
                <w:color w:val="000000"/>
                <w:kern w:val="0"/>
                <w:lang w:eastAsia="en-AU"/>
                <w14:ligatures w14:val="none"/>
              </w:rPr>
            </w:pPr>
          </w:p>
        </w:tc>
        <w:tc>
          <w:tcPr>
            <w:tcW w:w="3673" w:type="dxa"/>
            <w:noWrap/>
            <w:vAlign w:val="bottom"/>
            <w:hideMark/>
          </w:tcPr>
          <w:p w14:paraId="750C1E75" w14:textId="77777777" w:rsidR="00795778" w:rsidRPr="002526AB" w:rsidRDefault="00795778" w:rsidP="00795778">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9. Transportation and distribution</w:t>
            </w:r>
          </w:p>
        </w:tc>
      </w:tr>
      <w:tr w:rsidR="00795778" w:rsidRPr="002526AB" w14:paraId="464C20D2" w14:textId="77777777">
        <w:trPr>
          <w:trHeight w:val="290"/>
        </w:trPr>
        <w:tc>
          <w:tcPr>
            <w:tcW w:w="3693" w:type="dxa"/>
            <w:vMerge w:val="restart"/>
            <w:shd w:val="clear" w:color="000000" w:fill="E8E8E8"/>
            <w:noWrap/>
            <w:vAlign w:val="bottom"/>
            <w:hideMark/>
          </w:tcPr>
          <w:p w14:paraId="36895967" w14:textId="77777777" w:rsidR="00795778" w:rsidRPr="002526AB" w:rsidRDefault="00795778" w:rsidP="00795778">
            <w:pPr>
              <w:spacing w:after="0" w:line="240" w:lineRule="auto"/>
              <w:jc w:val="center"/>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 </w:t>
            </w:r>
          </w:p>
        </w:tc>
        <w:tc>
          <w:tcPr>
            <w:tcW w:w="3673" w:type="dxa"/>
            <w:noWrap/>
            <w:vAlign w:val="bottom"/>
            <w:hideMark/>
          </w:tcPr>
          <w:p w14:paraId="4E379B42" w14:textId="77777777" w:rsidR="00795778" w:rsidRPr="002526AB" w:rsidRDefault="00795778" w:rsidP="00795778">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10. Processing of sold products</w:t>
            </w:r>
          </w:p>
        </w:tc>
      </w:tr>
      <w:tr w:rsidR="00795778" w:rsidRPr="002526AB" w14:paraId="6C8769D2" w14:textId="77777777">
        <w:trPr>
          <w:trHeight w:val="290"/>
        </w:trPr>
        <w:tc>
          <w:tcPr>
            <w:tcW w:w="3693" w:type="dxa"/>
            <w:vMerge/>
            <w:vAlign w:val="center"/>
            <w:hideMark/>
          </w:tcPr>
          <w:p w14:paraId="7193FD11" w14:textId="77777777" w:rsidR="00795778" w:rsidRPr="002526AB" w:rsidRDefault="00795778" w:rsidP="00795778">
            <w:pPr>
              <w:spacing w:after="0" w:line="240" w:lineRule="auto"/>
              <w:rPr>
                <w:rFonts w:ascii="Aptos Narrow" w:eastAsia="Times New Roman" w:hAnsi="Aptos Narrow" w:cs="Times New Roman"/>
                <w:color w:val="000000"/>
                <w:kern w:val="0"/>
                <w:lang w:eastAsia="en-AU"/>
                <w14:ligatures w14:val="none"/>
              </w:rPr>
            </w:pPr>
          </w:p>
        </w:tc>
        <w:tc>
          <w:tcPr>
            <w:tcW w:w="3673" w:type="dxa"/>
            <w:noWrap/>
            <w:vAlign w:val="bottom"/>
            <w:hideMark/>
          </w:tcPr>
          <w:p w14:paraId="55605AC7" w14:textId="77777777" w:rsidR="00795778" w:rsidRPr="002526AB" w:rsidRDefault="00795778" w:rsidP="00795778">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11. Use of sold products</w:t>
            </w:r>
          </w:p>
        </w:tc>
      </w:tr>
      <w:tr w:rsidR="00795778" w:rsidRPr="002526AB" w14:paraId="66E941A3" w14:textId="77777777">
        <w:trPr>
          <w:trHeight w:val="290"/>
        </w:trPr>
        <w:tc>
          <w:tcPr>
            <w:tcW w:w="3693" w:type="dxa"/>
            <w:vMerge/>
            <w:vAlign w:val="center"/>
            <w:hideMark/>
          </w:tcPr>
          <w:p w14:paraId="21F37BDA" w14:textId="77777777" w:rsidR="00795778" w:rsidRPr="002526AB" w:rsidRDefault="00795778" w:rsidP="00795778">
            <w:pPr>
              <w:spacing w:after="0" w:line="240" w:lineRule="auto"/>
              <w:rPr>
                <w:rFonts w:ascii="Aptos Narrow" w:eastAsia="Times New Roman" w:hAnsi="Aptos Narrow" w:cs="Times New Roman"/>
                <w:color w:val="000000"/>
                <w:kern w:val="0"/>
                <w:lang w:eastAsia="en-AU"/>
                <w14:ligatures w14:val="none"/>
              </w:rPr>
            </w:pPr>
          </w:p>
        </w:tc>
        <w:tc>
          <w:tcPr>
            <w:tcW w:w="3673" w:type="dxa"/>
            <w:noWrap/>
            <w:vAlign w:val="bottom"/>
            <w:hideMark/>
          </w:tcPr>
          <w:p w14:paraId="14E316AA" w14:textId="77777777" w:rsidR="00795778" w:rsidRPr="002526AB" w:rsidRDefault="00795778" w:rsidP="00795778">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12. End-of-life treatment of sold products</w:t>
            </w:r>
          </w:p>
        </w:tc>
      </w:tr>
      <w:tr w:rsidR="00795778" w:rsidRPr="002526AB" w14:paraId="4F17A066" w14:textId="77777777">
        <w:trPr>
          <w:trHeight w:val="290"/>
        </w:trPr>
        <w:tc>
          <w:tcPr>
            <w:tcW w:w="3693" w:type="dxa"/>
            <w:vMerge/>
            <w:vAlign w:val="center"/>
            <w:hideMark/>
          </w:tcPr>
          <w:p w14:paraId="1D87E7CD" w14:textId="77777777" w:rsidR="00795778" w:rsidRPr="002526AB" w:rsidRDefault="00795778" w:rsidP="00795778">
            <w:pPr>
              <w:spacing w:after="0" w:line="240" w:lineRule="auto"/>
              <w:rPr>
                <w:rFonts w:ascii="Aptos Narrow" w:eastAsia="Times New Roman" w:hAnsi="Aptos Narrow" w:cs="Times New Roman"/>
                <w:color w:val="000000"/>
                <w:kern w:val="0"/>
                <w:lang w:eastAsia="en-AU"/>
                <w14:ligatures w14:val="none"/>
              </w:rPr>
            </w:pPr>
          </w:p>
        </w:tc>
        <w:tc>
          <w:tcPr>
            <w:tcW w:w="3673" w:type="dxa"/>
            <w:noWrap/>
            <w:vAlign w:val="bottom"/>
            <w:hideMark/>
          </w:tcPr>
          <w:p w14:paraId="01D4784C" w14:textId="0505E0C6" w:rsidR="00795778" w:rsidRPr="002526AB" w:rsidRDefault="00795778" w:rsidP="00795778">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13. Downstream leased assets</w:t>
            </w:r>
            <w:r w:rsidR="0083184C" w:rsidRPr="00167BA6">
              <w:rPr>
                <w:rFonts w:ascii="Aptos Narrow" w:eastAsia="Times New Roman" w:hAnsi="Aptos Narrow" w:cs="Times New Roman"/>
                <w:color w:val="000000"/>
                <w:kern w:val="0"/>
                <w:vertAlign w:val="superscript"/>
                <w:lang w:eastAsia="en-AU"/>
                <w14:ligatures w14:val="none"/>
              </w:rPr>
              <w:t>4</w:t>
            </w:r>
            <w:r w:rsidRPr="00167BA6">
              <w:rPr>
                <w:rFonts w:ascii="Aptos Narrow" w:eastAsia="Times New Roman" w:hAnsi="Aptos Narrow" w:cs="Times New Roman"/>
                <w:color w:val="000000"/>
                <w:kern w:val="0"/>
                <w:vertAlign w:val="superscript"/>
                <w:lang w:eastAsia="en-AU"/>
                <w14:ligatures w14:val="none"/>
              </w:rPr>
              <w:t xml:space="preserve"> </w:t>
            </w:r>
          </w:p>
        </w:tc>
      </w:tr>
      <w:tr w:rsidR="00795778" w:rsidRPr="002526AB" w14:paraId="3693E796" w14:textId="77777777">
        <w:trPr>
          <w:trHeight w:val="290"/>
        </w:trPr>
        <w:tc>
          <w:tcPr>
            <w:tcW w:w="3693" w:type="dxa"/>
            <w:vMerge/>
            <w:vAlign w:val="center"/>
            <w:hideMark/>
          </w:tcPr>
          <w:p w14:paraId="58714A03" w14:textId="77777777" w:rsidR="00795778" w:rsidRPr="002526AB" w:rsidRDefault="00795778" w:rsidP="00795778">
            <w:pPr>
              <w:spacing w:after="0" w:line="240" w:lineRule="auto"/>
              <w:rPr>
                <w:rFonts w:ascii="Aptos Narrow" w:eastAsia="Times New Roman" w:hAnsi="Aptos Narrow" w:cs="Times New Roman"/>
                <w:color w:val="000000"/>
                <w:kern w:val="0"/>
                <w:lang w:eastAsia="en-AU"/>
                <w14:ligatures w14:val="none"/>
              </w:rPr>
            </w:pPr>
          </w:p>
        </w:tc>
        <w:tc>
          <w:tcPr>
            <w:tcW w:w="3673" w:type="dxa"/>
            <w:noWrap/>
            <w:vAlign w:val="bottom"/>
            <w:hideMark/>
          </w:tcPr>
          <w:p w14:paraId="0D314795" w14:textId="77777777" w:rsidR="00795778" w:rsidRPr="002526AB" w:rsidRDefault="00795778" w:rsidP="00795778">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14. Franchises</w:t>
            </w:r>
          </w:p>
        </w:tc>
      </w:tr>
      <w:tr w:rsidR="00795778" w:rsidRPr="002526AB" w14:paraId="58D22967" w14:textId="77777777">
        <w:trPr>
          <w:trHeight w:val="290"/>
        </w:trPr>
        <w:tc>
          <w:tcPr>
            <w:tcW w:w="3693" w:type="dxa"/>
            <w:vMerge/>
            <w:vAlign w:val="center"/>
            <w:hideMark/>
          </w:tcPr>
          <w:p w14:paraId="632831C4" w14:textId="77777777" w:rsidR="00795778" w:rsidRPr="002526AB" w:rsidRDefault="00795778" w:rsidP="00795778">
            <w:pPr>
              <w:spacing w:after="0" w:line="240" w:lineRule="auto"/>
              <w:rPr>
                <w:rFonts w:ascii="Aptos Narrow" w:eastAsia="Times New Roman" w:hAnsi="Aptos Narrow" w:cs="Times New Roman"/>
                <w:color w:val="000000"/>
                <w:kern w:val="0"/>
                <w:lang w:eastAsia="en-AU"/>
                <w14:ligatures w14:val="none"/>
              </w:rPr>
            </w:pPr>
          </w:p>
        </w:tc>
        <w:tc>
          <w:tcPr>
            <w:tcW w:w="3673" w:type="dxa"/>
            <w:noWrap/>
            <w:vAlign w:val="bottom"/>
            <w:hideMark/>
          </w:tcPr>
          <w:p w14:paraId="180A28F6" w14:textId="77777777" w:rsidR="00795778" w:rsidRPr="002526AB" w:rsidRDefault="00795778" w:rsidP="00795778">
            <w:pPr>
              <w:spacing w:after="0" w:line="240" w:lineRule="auto"/>
              <w:rPr>
                <w:rFonts w:ascii="Aptos Narrow" w:eastAsia="Times New Roman" w:hAnsi="Aptos Narrow" w:cs="Times New Roman"/>
                <w:color w:val="000000"/>
                <w:kern w:val="0"/>
                <w:lang w:eastAsia="en-AU"/>
                <w14:ligatures w14:val="none"/>
              </w:rPr>
            </w:pPr>
            <w:r w:rsidRPr="002526AB">
              <w:rPr>
                <w:rFonts w:ascii="Aptos Narrow" w:eastAsia="Times New Roman" w:hAnsi="Aptos Narrow" w:cs="Times New Roman"/>
                <w:color w:val="000000"/>
                <w:kern w:val="0"/>
                <w:lang w:eastAsia="en-AU"/>
                <w14:ligatures w14:val="none"/>
              </w:rPr>
              <w:t>15. Investments</w:t>
            </w:r>
          </w:p>
        </w:tc>
      </w:tr>
    </w:tbl>
    <w:p w14:paraId="6E90DC49" w14:textId="793481E8" w:rsidR="00B56776" w:rsidRPr="00F74A7C" w:rsidRDefault="00B56776" w:rsidP="00F74A7C">
      <w:pPr>
        <w:rPr>
          <w:rFonts w:ascii="Aptos" w:eastAsia="Aptos" w:hAnsi="Aptos" w:cs="Aptos"/>
          <w:sz w:val="16"/>
          <w:szCs w:val="16"/>
        </w:rPr>
      </w:pPr>
      <w:r w:rsidRPr="00F74A7C">
        <w:rPr>
          <w:rFonts w:ascii="Aptos Narrow" w:eastAsia="Times New Roman" w:hAnsi="Aptos Narrow" w:cs="Times New Roman"/>
          <w:color w:val="000000"/>
          <w:kern w:val="0"/>
          <w:sz w:val="16"/>
          <w:szCs w:val="16"/>
          <w:lang w:eastAsia="en-AU"/>
          <w14:ligatures w14:val="none"/>
        </w:rPr>
        <w:t>*</w:t>
      </w:r>
      <w:r w:rsidR="00275271" w:rsidRPr="00F74A7C">
        <w:rPr>
          <w:rFonts w:ascii="Aptos Narrow" w:eastAsia="Times New Roman" w:hAnsi="Aptos Narrow" w:cs="Times New Roman"/>
          <w:color w:val="000000"/>
          <w:kern w:val="0"/>
          <w:sz w:val="16"/>
          <w:szCs w:val="16"/>
          <w:lang w:eastAsia="en-AU"/>
          <w14:ligatures w14:val="none"/>
        </w:rPr>
        <w:t xml:space="preserve">Categories numbered and listed as per GHG Protocol Value Chain (Scope 3) Standard </w:t>
      </w:r>
    </w:p>
    <w:p w14:paraId="2312F04E" w14:textId="522B9F73" w:rsidR="001E62B2" w:rsidRPr="00AD348B" w:rsidRDefault="001E62B2" w:rsidP="001E62B2">
      <w:pPr>
        <w:pStyle w:val="Heading3"/>
        <w:numPr>
          <w:ilvl w:val="0"/>
          <w:numId w:val="0"/>
        </w:numPr>
        <w:ind w:left="720" w:hanging="720"/>
      </w:pPr>
      <w:r w:rsidRPr="00AD348B">
        <w:t>Land use, land use change and forestry (LULUCF)</w:t>
      </w:r>
    </w:p>
    <w:p w14:paraId="2899B4A2" w14:textId="63AF170A" w:rsidR="001E62B2" w:rsidRDefault="001E62B2" w:rsidP="001E62B2">
      <w:pPr>
        <w:rPr>
          <w:rFonts w:ascii="Aptos" w:eastAsia="Aptos" w:hAnsi="Aptos" w:cs="Aptos"/>
        </w:rPr>
      </w:pPr>
      <w:r>
        <w:rPr>
          <w:rFonts w:ascii="Aptos" w:eastAsia="Aptos" w:hAnsi="Aptos" w:cs="Aptos"/>
        </w:rPr>
        <w:t xml:space="preserve">For </w:t>
      </w:r>
      <w:r w:rsidR="009D6DEE">
        <w:rPr>
          <w:rFonts w:ascii="Aptos" w:eastAsia="Aptos" w:hAnsi="Aptos" w:cs="Aptos"/>
        </w:rPr>
        <w:t xml:space="preserve">land use, </w:t>
      </w:r>
      <w:r w:rsidRPr="0007497C" w:rsidDel="00C67FE0">
        <w:rPr>
          <w:rFonts w:ascii="Aptos" w:eastAsia="Aptos" w:hAnsi="Aptos" w:cs="Aptos"/>
        </w:rPr>
        <w:t>land use change and forestry (LULUCF) related activities</w:t>
      </w:r>
      <w:r w:rsidDel="00C67FE0">
        <w:rPr>
          <w:rFonts w:ascii="Aptos" w:eastAsia="Aptos" w:hAnsi="Aptos" w:cs="Aptos"/>
        </w:rPr>
        <w:t>,</w:t>
      </w:r>
      <w:r w:rsidRPr="0007497C" w:rsidDel="00C67FE0">
        <w:rPr>
          <w:rFonts w:ascii="Aptos" w:eastAsia="Aptos" w:hAnsi="Aptos" w:cs="Aptos"/>
        </w:rPr>
        <w:t xml:space="preserve"> </w:t>
      </w:r>
      <w:r w:rsidR="009636DA">
        <w:rPr>
          <w:rFonts w:ascii="Aptos" w:eastAsia="Aptos" w:hAnsi="Aptos" w:cs="Aptos"/>
        </w:rPr>
        <w:t>the Guid</w:t>
      </w:r>
      <w:r w:rsidR="00A77898">
        <w:rPr>
          <w:rFonts w:ascii="Aptos" w:eastAsia="Aptos" w:hAnsi="Aptos" w:cs="Aptos"/>
        </w:rPr>
        <w:t>elines</w:t>
      </w:r>
      <w:r w:rsidR="009636DA">
        <w:rPr>
          <w:rFonts w:ascii="Aptos" w:eastAsia="Aptos" w:hAnsi="Aptos" w:cs="Aptos"/>
        </w:rPr>
        <w:t xml:space="preserve"> provide </w:t>
      </w:r>
      <w:r>
        <w:rPr>
          <w:rFonts w:ascii="Aptos" w:eastAsia="Aptos" w:hAnsi="Aptos" w:cs="Aptos"/>
        </w:rPr>
        <w:t xml:space="preserve">methods </w:t>
      </w:r>
      <w:r w:rsidRPr="0007497C" w:rsidDel="00C67FE0">
        <w:rPr>
          <w:rFonts w:ascii="Aptos" w:eastAsia="Aptos" w:hAnsi="Aptos" w:cs="Aptos"/>
        </w:rPr>
        <w:t>for</w:t>
      </w:r>
      <w:r w:rsidRPr="0007497C">
        <w:rPr>
          <w:rFonts w:ascii="Aptos" w:eastAsia="Aptos" w:hAnsi="Aptos" w:cs="Aptos"/>
        </w:rPr>
        <w:t xml:space="preserve"> </w:t>
      </w:r>
      <w:r w:rsidR="00370038">
        <w:rPr>
          <w:rFonts w:ascii="Aptos" w:eastAsia="Aptos" w:hAnsi="Aptos" w:cs="Aptos"/>
        </w:rPr>
        <w:t>land clearing</w:t>
      </w:r>
      <w:r w:rsidR="0025023C">
        <w:rPr>
          <w:rFonts w:ascii="Aptos" w:eastAsia="Aptos" w:hAnsi="Aptos" w:cs="Aptos"/>
        </w:rPr>
        <w:t xml:space="preserve"> </w:t>
      </w:r>
      <w:r w:rsidR="008E071C" w:rsidRPr="0007497C" w:rsidDel="00C67FE0">
        <w:rPr>
          <w:rFonts w:ascii="Aptos" w:eastAsia="Aptos" w:hAnsi="Aptos" w:cs="Aptos"/>
        </w:rPr>
        <w:t>(including impacts on soil carbon)</w:t>
      </w:r>
      <w:r w:rsidR="00370038">
        <w:rPr>
          <w:rFonts w:ascii="Aptos" w:eastAsia="Aptos" w:hAnsi="Aptos" w:cs="Aptos"/>
        </w:rPr>
        <w:t xml:space="preserve">, </w:t>
      </w:r>
      <w:r w:rsidR="00016996">
        <w:rPr>
          <w:rFonts w:ascii="Aptos" w:eastAsia="Aptos" w:hAnsi="Aptos" w:cs="Aptos"/>
        </w:rPr>
        <w:t>establishment of plan</w:t>
      </w:r>
      <w:r w:rsidR="00A44047">
        <w:rPr>
          <w:rFonts w:ascii="Aptos" w:eastAsia="Aptos" w:hAnsi="Aptos" w:cs="Aptos"/>
        </w:rPr>
        <w:t>t</w:t>
      </w:r>
      <w:r w:rsidR="00016996">
        <w:rPr>
          <w:rFonts w:ascii="Aptos" w:eastAsia="Aptos" w:hAnsi="Aptos" w:cs="Aptos"/>
        </w:rPr>
        <w:t>ations</w:t>
      </w:r>
      <w:r w:rsidR="008E071C">
        <w:rPr>
          <w:rFonts w:ascii="Aptos" w:eastAsia="Aptos" w:hAnsi="Aptos" w:cs="Aptos"/>
        </w:rPr>
        <w:t>,</w:t>
      </w:r>
      <w:r w:rsidRPr="0007497C" w:rsidDel="00C67FE0">
        <w:rPr>
          <w:rFonts w:ascii="Aptos" w:eastAsia="Aptos" w:hAnsi="Aptos" w:cs="Aptos"/>
        </w:rPr>
        <w:t xml:space="preserve"> </w:t>
      </w:r>
      <w:r w:rsidR="0023709D">
        <w:rPr>
          <w:rFonts w:ascii="Aptos" w:eastAsia="Aptos" w:hAnsi="Aptos" w:cs="Aptos"/>
        </w:rPr>
        <w:t>revegetation</w:t>
      </w:r>
      <w:r w:rsidR="008E071C">
        <w:rPr>
          <w:rFonts w:ascii="Aptos" w:eastAsia="Aptos" w:hAnsi="Aptos" w:cs="Aptos"/>
        </w:rPr>
        <w:t xml:space="preserve"> </w:t>
      </w:r>
      <w:r w:rsidR="0023709D">
        <w:rPr>
          <w:rFonts w:ascii="Aptos" w:eastAsia="Aptos" w:hAnsi="Aptos" w:cs="Aptos"/>
        </w:rPr>
        <w:t>and</w:t>
      </w:r>
      <w:r w:rsidRPr="0007497C" w:rsidDel="00C67FE0">
        <w:rPr>
          <w:rFonts w:ascii="Aptos" w:eastAsia="Aptos" w:hAnsi="Aptos" w:cs="Aptos"/>
        </w:rPr>
        <w:t xml:space="preserve"> </w:t>
      </w:r>
      <w:r w:rsidRPr="572BDDF9">
        <w:rPr>
          <w:rFonts w:ascii="Aptos" w:eastAsia="Aptos" w:hAnsi="Aptos" w:cs="Aptos"/>
        </w:rPr>
        <w:t xml:space="preserve">human-induced regeneration, </w:t>
      </w:r>
      <w:r w:rsidRPr="0007497C" w:rsidDel="00C67FE0">
        <w:rPr>
          <w:rFonts w:ascii="Aptos" w:eastAsia="Aptos" w:hAnsi="Aptos" w:cs="Aptos"/>
        </w:rPr>
        <w:t xml:space="preserve">savanna </w:t>
      </w:r>
      <w:r>
        <w:rPr>
          <w:rFonts w:ascii="Aptos" w:eastAsia="Aptos" w:hAnsi="Aptos" w:cs="Aptos"/>
        </w:rPr>
        <w:t>fire management</w:t>
      </w:r>
      <w:r w:rsidR="00811AF5">
        <w:rPr>
          <w:rFonts w:ascii="Aptos" w:eastAsia="Aptos" w:hAnsi="Aptos" w:cs="Aptos"/>
        </w:rPr>
        <w:t xml:space="preserve"> and perennial woody crops</w:t>
      </w:r>
      <w:r w:rsidRPr="0007497C" w:rsidDel="00C67FE0">
        <w:rPr>
          <w:rFonts w:ascii="Aptos" w:eastAsia="Aptos" w:hAnsi="Aptos" w:cs="Aptos"/>
        </w:rPr>
        <w:t>.</w:t>
      </w:r>
      <w:r>
        <w:rPr>
          <w:rFonts w:ascii="Aptos" w:eastAsia="Aptos" w:hAnsi="Aptos" w:cs="Aptos"/>
        </w:rPr>
        <w:t xml:space="preserve"> These are not the only activities that </w:t>
      </w:r>
      <w:r w:rsidR="004A73E9">
        <w:rPr>
          <w:rFonts w:ascii="Aptos" w:eastAsia="Aptos" w:hAnsi="Aptos" w:cs="Aptos"/>
        </w:rPr>
        <w:t>can</w:t>
      </w:r>
      <w:r>
        <w:rPr>
          <w:rFonts w:ascii="Aptos" w:eastAsia="Aptos" w:hAnsi="Aptos" w:cs="Aptos"/>
        </w:rPr>
        <w:t xml:space="preserve"> </w:t>
      </w:r>
      <w:r w:rsidR="00303DAB">
        <w:rPr>
          <w:rFonts w:ascii="Aptos" w:eastAsia="Aptos" w:hAnsi="Aptos" w:cs="Aptos"/>
        </w:rPr>
        <w:t>affect</w:t>
      </w:r>
      <w:r>
        <w:rPr>
          <w:rFonts w:ascii="Aptos" w:eastAsia="Aptos" w:hAnsi="Aptos" w:cs="Aptos"/>
        </w:rPr>
        <w:t xml:space="preserve"> the carbon stocks relevant to LULUCF. M</w:t>
      </w:r>
      <w:r w:rsidRPr="0007497C" w:rsidDel="00C67FE0">
        <w:rPr>
          <w:rFonts w:ascii="Aptos" w:eastAsia="Aptos" w:hAnsi="Aptos" w:cs="Aptos"/>
        </w:rPr>
        <w:t>ethods for other LULUCF activities</w:t>
      </w:r>
      <w:r>
        <w:rPr>
          <w:rFonts w:ascii="Aptos" w:eastAsia="Aptos" w:hAnsi="Aptos" w:cs="Aptos"/>
        </w:rPr>
        <w:t xml:space="preserve">, including </w:t>
      </w:r>
      <w:r w:rsidRPr="572BDDF9">
        <w:rPr>
          <w:rFonts w:ascii="Aptos" w:eastAsia="Aptos" w:hAnsi="Aptos" w:cs="Aptos"/>
        </w:rPr>
        <w:t xml:space="preserve">soil management, </w:t>
      </w:r>
      <w:r w:rsidRPr="0007497C" w:rsidDel="00C67FE0">
        <w:rPr>
          <w:rFonts w:ascii="Aptos" w:eastAsia="Aptos" w:hAnsi="Aptos" w:cs="Aptos"/>
        </w:rPr>
        <w:t>are subject to further development.</w:t>
      </w:r>
      <w:r w:rsidR="00FA366C">
        <w:rPr>
          <w:rFonts w:ascii="Aptos" w:eastAsia="Aptos" w:hAnsi="Aptos" w:cs="Aptos"/>
        </w:rPr>
        <w:t xml:space="preserve"> </w:t>
      </w:r>
      <w:r w:rsidR="00917DD4">
        <w:rPr>
          <w:rFonts w:ascii="Aptos" w:eastAsia="Aptos" w:hAnsi="Aptos" w:cs="Aptos"/>
        </w:rPr>
        <w:t xml:space="preserve">Entities seeking to </w:t>
      </w:r>
      <w:r w:rsidR="00B95307">
        <w:rPr>
          <w:rFonts w:ascii="Aptos" w:eastAsia="Aptos" w:hAnsi="Aptos" w:cs="Aptos"/>
        </w:rPr>
        <w:t>report on these</w:t>
      </w:r>
      <w:r w:rsidR="00917DD4">
        <w:rPr>
          <w:rFonts w:ascii="Aptos" w:eastAsia="Aptos" w:hAnsi="Aptos" w:cs="Aptos"/>
        </w:rPr>
        <w:t xml:space="preserve"> activities may use Method 3 approaches that meet the criteria outlined in Appendix D</w:t>
      </w:r>
      <w:r w:rsidR="00384004">
        <w:rPr>
          <w:rFonts w:ascii="Aptos" w:eastAsia="Aptos" w:hAnsi="Aptos" w:cs="Aptos"/>
        </w:rPr>
        <w:t>.</w:t>
      </w:r>
      <w:r w:rsidR="00FA366C">
        <w:rPr>
          <w:rFonts w:ascii="Aptos" w:eastAsia="Aptos" w:hAnsi="Aptos" w:cs="Aptos"/>
        </w:rPr>
        <w:t xml:space="preserve"> </w:t>
      </w:r>
      <w:r w:rsidR="00E43826">
        <w:rPr>
          <w:rFonts w:ascii="Aptos" w:eastAsia="Aptos" w:hAnsi="Aptos" w:cs="Aptos"/>
        </w:rPr>
        <w:t>See Section 6.1 for more information</w:t>
      </w:r>
      <w:r w:rsidR="00DC709D">
        <w:rPr>
          <w:rFonts w:ascii="Aptos" w:eastAsia="Aptos" w:hAnsi="Aptos" w:cs="Aptos"/>
        </w:rPr>
        <w:t xml:space="preserve"> on Method 3 approaches</w:t>
      </w:r>
      <w:r w:rsidR="00E43826">
        <w:rPr>
          <w:rFonts w:ascii="Aptos" w:eastAsia="Aptos" w:hAnsi="Aptos" w:cs="Aptos"/>
        </w:rPr>
        <w:t xml:space="preserve">. </w:t>
      </w:r>
      <w:r w:rsidR="00FA366C">
        <w:rPr>
          <w:rFonts w:ascii="Aptos" w:eastAsia="Aptos" w:hAnsi="Aptos" w:cs="Aptos"/>
        </w:rPr>
        <w:t>Some</w:t>
      </w:r>
      <w:r w:rsidR="0037063B" w:rsidDel="009928E0">
        <w:rPr>
          <w:rFonts w:ascii="Aptos" w:eastAsia="Aptos" w:hAnsi="Aptos" w:cs="Aptos"/>
        </w:rPr>
        <w:t xml:space="preserve"> </w:t>
      </w:r>
      <w:r w:rsidR="009B1682">
        <w:rPr>
          <w:rFonts w:ascii="Aptos" w:eastAsia="Aptos" w:hAnsi="Aptos" w:cs="Aptos"/>
        </w:rPr>
        <w:t>changes in carbon storage</w:t>
      </w:r>
      <w:r w:rsidR="009928E0">
        <w:rPr>
          <w:rFonts w:ascii="Aptos" w:eastAsia="Aptos" w:hAnsi="Aptos" w:cs="Aptos"/>
        </w:rPr>
        <w:t xml:space="preserve"> </w:t>
      </w:r>
      <w:r w:rsidR="0042751B">
        <w:rPr>
          <w:rFonts w:ascii="Aptos" w:eastAsia="Aptos" w:hAnsi="Aptos" w:cs="Aptos"/>
        </w:rPr>
        <w:t xml:space="preserve">without evidence that they are caused by changes in management </w:t>
      </w:r>
      <w:r w:rsidR="009928E0">
        <w:rPr>
          <w:rFonts w:ascii="Aptos" w:eastAsia="Aptos" w:hAnsi="Aptos" w:cs="Aptos"/>
        </w:rPr>
        <w:t>such as in</w:t>
      </w:r>
      <w:r w:rsidR="008F1BBC" w:rsidDel="009928E0">
        <w:rPr>
          <w:rFonts w:ascii="Aptos" w:eastAsia="Aptos" w:hAnsi="Aptos" w:cs="Aptos"/>
        </w:rPr>
        <w:t xml:space="preserve"> </w:t>
      </w:r>
      <w:r w:rsidR="00FA366C">
        <w:rPr>
          <w:rFonts w:ascii="Aptos" w:eastAsia="Aptos" w:hAnsi="Aptos" w:cs="Aptos"/>
        </w:rPr>
        <w:t>remnant vegetation</w:t>
      </w:r>
      <w:r w:rsidR="003658BC">
        <w:rPr>
          <w:rFonts w:ascii="Aptos" w:eastAsia="Aptos" w:hAnsi="Aptos" w:cs="Aptos"/>
        </w:rPr>
        <w:t xml:space="preserve">, or </w:t>
      </w:r>
      <w:r w:rsidR="00917DD4">
        <w:rPr>
          <w:rFonts w:ascii="Aptos" w:eastAsia="Aptos" w:hAnsi="Aptos" w:cs="Aptos"/>
        </w:rPr>
        <w:t>woody thickening</w:t>
      </w:r>
      <w:r w:rsidR="007021BA">
        <w:rPr>
          <w:rFonts w:ascii="Aptos" w:eastAsia="Aptos" w:hAnsi="Aptos" w:cs="Aptos"/>
        </w:rPr>
        <w:t>,</w:t>
      </w:r>
      <w:r w:rsidR="008F73C5">
        <w:rPr>
          <w:rFonts w:ascii="Aptos" w:eastAsia="Aptos" w:hAnsi="Aptos" w:cs="Aptos"/>
        </w:rPr>
        <w:t xml:space="preserve"> are considered outside the scope of the </w:t>
      </w:r>
      <w:r w:rsidR="004C07FF">
        <w:rPr>
          <w:rFonts w:ascii="Aptos" w:eastAsia="Aptos" w:hAnsi="Aptos" w:cs="Aptos"/>
        </w:rPr>
        <w:t>Guidelines</w:t>
      </w:r>
      <w:r w:rsidR="00101509">
        <w:rPr>
          <w:rFonts w:ascii="Aptos" w:eastAsia="Aptos" w:hAnsi="Aptos" w:cs="Aptos"/>
        </w:rPr>
        <w:t>.</w:t>
      </w:r>
      <w:r w:rsidR="00B23A30" w:rsidDel="000A785A">
        <w:rPr>
          <w:rFonts w:ascii="Aptos" w:eastAsia="Aptos" w:hAnsi="Aptos" w:cs="Aptos"/>
        </w:rPr>
        <w:t xml:space="preserve"> </w:t>
      </w:r>
    </w:p>
    <w:p w14:paraId="1D33574D" w14:textId="5A325620" w:rsidR="001E62B2" w:rsidRPr="00AF4230" w:rsidRDefault="001E62B2" w:rsidP="001E62B2">
      <w:pPr>
        <w:pStyle w:val="Heading3"/>
        <w:numPr>
          <w:ilvl w:val="0"/>
          <w:numId w:val="0"/>
        </w:numPr>
        <w:ind w:left="720" w:hanging="720"/>
      </w:pPr>
      <w:r w:rsidRPr="00AF4230">
        <w:t>Product</w:t>
      </w:r>
      <w:r w:rsidR="00570123">
        <w:t xml:space="preserve"> emission</w:t>
      </w:r>
      <w:r w:rsidR="00AD2A00">
        <w:t>s</w:t>
      </w:r>
      <w:r w:rsidR="00570123">
        <w:t xml:space="preserve"> intensit</w:t>
      </w:r>
      <w:r w:rsidR="00AD2A00">
        <w:t>y</w:t>
      </w:r>
      <w:r w:rsidRPr="00AF4230">
        <w:t xml:space="preserve"> </w:t>
      </w:r>
    </w:p>
    <w:p w14:paraId="09C886F4" w14:textId="22F4963D" w:rsidR="007A159E" w:rsidRDefault="001E62B2" w:rsidP="001E62B2">
      <w:r>
        <w:t xml:space="preserve">The Guidelines provide requirements and guidance for estimating </w:t>
      </w:r>
      <w:r w:rsidR="00312F0A">
        <w:t xml:space="preserve">a cradle-to-gate </w:t>
      </w:r>
      <w:r w:rsidR="00A818FD">
        <w:t xml:space="preserve">product </w:t>
      </w:r>
      <w:r w:rsidR="00570123">
        <w:t xml:space="preserve">emissions intensity </w:t>
      </w:r>
      <w:r w:rsidR="00F42478">
        <w:t xml:space="preserve">primarily </w:t>
      </w:r>
      <w:r w:rsidR="00000980">
        <w:t xml:space="preserve">using entity inventory data </w:t>
      </w:r>
      <w:r w:rsidR="00A818FD">
        <w:t>t</w:t>
      </w:r>
      <w:r w:rsidR="003837E4">
        <w:t xml:space="preserve">hat </w:t>
      </w:r>
      <w:r w:rsidR="00AD37C9" w:rsidRPr="00AA1089">
        <w:t>can be used</w:t>
      </w:r>
      <w:r w:rsidR="001236A7">
        <w:t xml:space="preserve"> </w:t>
      </w:r>
      <w:r w:rsidR="00AD37C9" w:rsidRPr="00AA1089">
        <w:t xml:space="preserve">for </w:t>
      </w:r>
      <w:r w:rsidR="00AD37C9" w:rsidRPr="00AA1089" w:rsidDel="00EB5472">
        <w:t xml:space="preserve">tracking improvements and </w:t>
      </w:r>
      <w:r w:rsidR="00AD37C9" w:rsidRPr="00AA1089">
        <w:t>business-to-business communication</w:t>
      </w:r>
      <w:r w:rsidR="003837E4" w:rsidRPr="003837E4">
        <w:t xml:space="preserve"> </w:t>
      </w:r>
      <w:r w:rsidR="003837E4">
        <w:t>(see</w:t>
      </w:r>
      <w:r w:rsidR="003837E4" w:rsidRPr="000903B7">
        <w:t xml:space="preserve"> Chapter 1</w:t>
      </w:r>
      <w:r w:rsidR="00DD2F72">
        <w:t>0</w:t>
      </w:r>
      <w:r w:rsidR="003837E4">
        <w:t>).</w:t>
      </w:r>
      <w:r w:rsidR="00834109">
        <w:t xml:space="preserve"> </w:t>
      </w:r>
    </w:p>
    <w:p w14:paraId="495F2721" w14:textId="054CA1AF" w:rsidR="001E62B2" w:rsidRPr="00C96FAB" w:rsidRDefault="00AA1089" w:rsidP="001E62B2">
      <w:pPr>
        <w:rPr>
          <w:rFonts w:eastAsiaTheme="minorEastAsia"/>
        </w:rPr>
      </w:pPr>
      <w:r w:rsidRPr="00AA1089">
        <w:t xml:space="preserve">The </w:t>
      </w:r>
      <w:r w:rsidR="00A032CB">
        <w:t xml:space="preserve">estimates of </w:t>
      </w:r>
      <w:r w:rsidRPr="00AA1089">
        <w:t>product emissions intensity</w:t>
      </w:r>
      <w:r w:rsidR="00A032CB">
        <w:t xml:space="preserve"> </w:t>
      </w:r>
      <w:r w:rsidR="00C45011">
        <w:t xml:space="preserve">calculated </w:t>
      </w:r>
      <w:r w:rsidRPr="00AA1089">
        <w:t>using these Guidelines</w:t>
      </w:r>
      <w:r w:rsidR="00640929">
        <w:t xml:space="preserve"> </w:t>
      </w:r>
      <w:r w:rsidR="005A636E">
        <w:t>do</w:t>
      </w:r>
      <w:r w:rsidR="00640929">
        <w:t xml:space="preserve"> not </w:t>
      </w:r>
      <w:r w:rsidR="005A636E">
        <w:t>provide</w:t>
      </w:r>
      <w:r w:rsidR="00640929">
        <w:t xml:space="preserve"> </w:t>
      </w:r>
      <w:r w:rsidRPr="00AA1089">
        <w:t>a full product carbon footprint (cradle-to-grave)</w:t>
      </w:r>
      <w:r w:rsidR="00640929">
        <w:t xml:space="preserve"> </w:t>
      </w:r>
      <w:r w:rsidR="00D52597">
        <w:t xml:space="preserve">lifecycle </w:t>
      </w:r>
      <w:r w:rsidR="00640929">
        <w:t xml:space="preserve">assessment. </w:t>
      </w:r>
      <w:r w:rsidR="007165AC">
        <w:t xml:space="preserve">The </w:t>
      </w:r>
      <w:r w:rsidR="00BA1B8C">
        <w:t>estimates</w:t>
      </w:r>
      <w:r w:rsidR="007165AC">
        <w:t xml:space="preserve"> produced using these Guidelines are </w:t>
      </w:r>
      <w:r w:rsidR="00640929">
        <w:t xml:space="preserve">not suitable for applications such </w:t>
      </w:r>
      <w:r w:rsidRPr="00AA1089">
        <w:t>as eco-labelling or carbon neutrality claims. Entities should ensure the estimation method and documentation meet the requirements of specific programs or external stakeholders</w:t>
      </w:r>
      <w:r w:rsidR="00DC7F5D">
        <w:t>.</w:t>
      </w:r>
      <w:r w:rsidR="005806ED">
        <w:t xml:space="preserve"> </w:t>
      </w:r>
    </w:p>
    <w:p w14:paraId="626D0596" w14:textId="77777777" w:rsidR="001E62B2" w:rsidRPr="00706902" w:rsidRDefault="001E62B2" w:rsidP="001E62B2">
      <w:pPr>
        <w:pStyle w:val="Heading3"/>
        <w:numPr>
          <w:ilvl w:val="0"/>
          <w:numId w:val="0"/>
        </w:numPr>
        <w:ind w:left="720" w:hanging="720"/>
        <w:rPr>
          <w:rFonts w:eastAsiaTheme="minorEastAsia"/>
        </w:rPr>
      </w:pPr>
      <w:r>
        <w:lastRenderedPageBreak/>
        <w:t xml:space="preserve">Carbon crediting </w:t>
      </w:r>
      <w:r w:rsidRPr="00706902">
        <w:rPr>
          <w:rFonts w:eastAsiaTheme="minorEastAsia"/>
        </w:rPr>
        <w:t xml:space="preserve">projects </w:t>
      </w:r>
    </w:p>
    <w:p w14:paraId="0B7C3B37" w14:textId="7100E687" w:rsidR="001E62B2" w:rsidRDefault="001E62B2" w:rsidP="001E62B2">
      <w:pPr>
        <w:spacing w:line="257" w:lineRule="auto"/>
        <w:rPr>
          <w:rFonts w:ascii="Aptos" w:eastAsia="Aptos" w:hAnsi="Aptos" w:cs="Aptos"/>
        </w:rPr>
      </w:pPr>
      <w:r w:rsidRPr="74DF7CB8" w:rsidDel="00706902">
        <w:rPr>
          <w:rFonts w:ascii="Aptos" w:eastAsia="Aptos" w:hAnsi="Aptos" w:cs="Aptos"/>
        </w:rPr>
        <w:t xml:space="preserve">The </w:t>
      </w:r>
      <w:r w:rsidRPr="74DF7CB8" w:rsidDel="002D5EFE">
        <w:rPr>
          <w:rFonts w:ascii="Aptos" w:eastAsia="Aptos" w:hAnsi="Aptos" w:cs="Aptos"/>
        </w:rPr>
        <w:t>G</w:t>
      </w:r>
      <w:r w:rsidRPr="74DF7CB8" w:rsidDel="00AD0E17">
        <w:rPr>
          <w:rFonts w:ascii="Aptos" w:eastAsia="Aptos" w:hAnsi="Aptos" w:cs="Aptos"/>
        </w:rPr>
        <w:t>uidelines</w:t>
      </w:r>
      <w:r w:rsidRPr="74DF7CB8" w:rsidDel="00706902">
        <w:rPr>
          <w:rFonts w:ascii="Aptos" w:eastAsia="Aptos" w:hAnsi="Aptos" w:cs="Aptos"/>
        </w:rPr>
        <w:t xml:space="preserve"> are not intended to provide </w:t>
      </w:r>
      <w:r w:rsidRPr="74DF7CB8" w:rsidDel="00544FE0">
        <w:rPr>
          <w:rFonts w:ascii="Aptos" w:eastAsia="Aptos" w:hAnsi="Aptos" w:cs="Aptos"/>
        </w:rPr>
        <w:t xml:space="preserve">accounting </w:t>
      </w:r>
      <w:r w:rsidRPr="74DF7CB8" w:rsidDel="00706902">
        <w:rPr>
          <w:rFonts w:ascii="Aptos" w:eastAsia="Aptos" w:hAnsi="Aptos" w:cs="Aptos"/>
        </w:rPr>
        <w:t xml:space="preserve">methods </w:t>
      </w:r>
      <w:r w:rsidRPr="74DF7CB8" w:rsidDel="00264187">
        <w:rPr>
          <w:rFonts w:ascii="Aptos" w:eastAsia="Aptos" w:hAnsi="Aptos" w:cs="Aptos"/>
        </w:rPr>
        <w:t xml:space="preserve">for </w:t>
      </w:r>
      <w:r w:rsidRPr="74DF7CB8" w:rsidDel="00C552EA">
        <w:rPr>
          <w:rFonts w:ascii="Aptos" w:eastAsia="Aptos" w:hAnsi="Aptos" w:cs="Aptos"/>
        </w:rPr>
        <w:t xml:space="preserve">carbon crediting </w:t>
      </w:r>
      <w:r w:rsidRPr="74DF7CB8" w:rsidDel="00EE5610">
        <w:rPr>
          <w:rFonts w:ascii="Aptos" w:eastAsia="Aptos" w:hAnsi="Aptos" w:cs="Aptos"/>
        </w:rPr>
        <w:t>project</w:t>
      </w:r>
      <w:r w:rsidRPr="74DF7CB8" w:rsidDel="00C552EA">
        <w:rPr>
          <w:rFonts w:ascii="Aptos" w:eastAsia="Aptos" w:hAnsi="Aptos" w:cs="Aptos"/>
        </w:rPr>
        <w:t>s</w:t>
      </w:r>
      <w:r w:rsidRPr="74DF7CB8" w:rsidDel="00EE5610">
        <w:rPr>
          <w:rFonts w:ascii="Aptos" w:eastAsia="Aptos" w:hAnsi="Aptos" w:cs="Aptos"/>
        </w:rPr>
        <w:t xml:space="preserve">. </w:t>
      </w:r>
      <w:r w:rsidRPr="74DF7CB8" w:rsidDel="0075772F">
        <w:rPr>
          <w:rFonts w:ascii="Aptos" w:eastAsia="Aptos" w:hAnsi="Aptos" w:cs="Aptos"/>
        </w:rPr>
        <w:t xml:space="preserve">GHG </w:t>
      </w:r>
      <w:r>
        <w:rPr>
          <w:rFonts w:ascii="Aptos" w:eastAsia="Aptos" w:hAnsi="Aptos" w:cs="Aptos"/>
        </w:rPr>
        <w:t>a</w:t>
      </w:r>
      <w:r w:rsidRPr="74DF7CB8" w:rsidDel="00A51C71">
        <w:rPr>
          <w:rFonts w:ascii="Aptos" w:eastAsia="Aptos" w:hAnsi="Aptos" w:cs="Aptos"/>
        </w:rPr>
        <w:t xml:space="preserve">ccounting </w:t>
      </w:r>
      <w:r>
        <w:rPr>
          <w:rFonts w:ascii="Aptos" w:eastAsia="Aptos" w:hAnsi="Aptos" w:cs="Aptos"/>
        </w:rPr>
        <w:t>provisions in</w:t>
      </w:r>
      <w:r w:rsidRPr="74DF7CB8" w:rsidDel="009C1193">
        <w:rPr>
          <w:rFonts w:ascii="Aptos" w:eastAsia="Aptos" w:hAnsi="Aptos" w:cs="Aptos"/>
        </w:rPr>
        <w:t xml:space="preserve"> </w:t>
      </w:r>
      <w:r w:rsidRPr="74DF7CB8" w:rsidDel="00706902">
        <w:rPr>
          <w:rFonts w:ascii="Aptos" w:eastAsia="Aptos" w:hAnsi="Aptos" w:cs="Aptos"/>
        </w:rPr>
        <w:t xml:space="preserve">carbon </w:t>
      </w:r>
      <w:r w:rsidRPr="74DF7CB8" w:rsidDel="00F70EC2">
        <w:rPr>
          <w:rFonts w:ascii="Aptos" w:eastAsia="Aptos" w:hAnsi="Aptos" w:cs="Aptos"/>
        </w:rPr>
        <w:t xml:space="preserve">crediting </w:t>
      </w:r>
      <w:r>
        <w:rPr>
          <w:rFonts w:ascii="Aptos" w:eastAsia="Aptos" w:hAnsi="Aptos" w:cs="Aptos"/>
        </w:rPr>
        <w:t>schemes</w:t>
      </w:r>
      <w:r w:rsidRPr="74DF7CB8" w:rsidDel="006B7BFF">
        <w:rPr>
          <w:rFonts w:ascii="Aptos" w:eastAsia="Aptos" w:hAnsi="Aptos" w:cs="Aptos"/>
        </w:rPr>
        <w:t xml:space="preserve"> </w:t>
      </w:r>
      <w:r>
        <w:rPr>
          <w:rFonts w:ascii="Aptos" w:eastAsia="Aptos" w:hAnsi="Aptos" w:cs="Aptos"/>
        </w:rPr>
        <w:t xml:space="preserve">commonly include </w:t>
      </w:r>
      <w:r w:rsidRPr="74DF7CB8" w:rsidDel="00F70EC2">
        <w:rPr>
          <w:rFonts w:ascii="Aptos" w:eastAsia="Aptos" w:hAnsi="Aptos" w:cs="Aptos"/>
        </w:rPr>
        <w:t>scheme</w:t>
      </w:r>
      <w:r>
        <w:rPr>
          <w:rFonts w:ascii="Aptos" w:eastAsia="Aptos" w:hAnsi="Aptos" w:cs="Aptos"/>
        </w:rPr>
        <w:t>-</w:t>
      </w:r>
      <w:r w:rsidRPr="74DF7CB8" w:rsidDel="002D2004">
        <w:rPr>
          <w:rFonts w:ascii="Aptos" w:eastAsia="Aptos" w:hAnsi="Aptos" w:cs="Aptos"/>
        </w:rPr>
        <w:t>specific</w:t>
      </w:r>
      <w:r w:rsidRPr="74DF7CB8" w:rsidDel="006B7BFF">
        <w:rPr>
          <w:rFonts w:ascii="Aptos" w:eastAsia="Aptos" w:hAnsi="Aptos" w:cs="Aptos"/>
        </w:rPr>
        <w:t xml:space="preserve"> requirements</w:t>
      </w:r>
      <w:r>
        <w:rPr>
          <w:rFonts w:ascii="Aptos" w:eastAsia="Aptos" w:hAnsi="Aptos" w:cs="Aptos"/>
        </w:rPr>
        <w:t>, for example</w:t>
      </w:r>
      <w:r w:rsidRPr="74DF7CB8" w:rsidDel="006B7BFF">
        <w:rPr>
          <w:rFonts w:ascii="Aptos" w:eastAsia="Aptos" w:hAnsi="Aptos" w:cs="Aptos"/>
        </w:rPr>
        <w:t xml:space="preserve"> around additionality,</w:t>
      </w:r>
      <w:r w:rsidRPr="74DF7CB8" w:rsidDel="00CF42DE">
        <w:rPr>
          <w:rFonts w:ascii="Aptos" w:eastAsia="Aptos" w:hAnsi="Aptos" w:cs="Aptos"/>
        </w:rPr>
        <w:t xml:space="preserve"> baselines</w:t>
      </w:r>
      <w:r>
        <w:rPr>
          <w:rFonts w:ascii="Aptos" w:eastAsia="Aptos" w:hAnsi="Aptos" w:cs="Aptos"/>
        </w:rPr>
        <w:t>,</w:t>
      </w:r>
      <w:r w:rsidRPr="00DD470E">
        <w:rPr>
          <w:rFonts w:ascii="Aptos" w:eastAsia="Aptos" w:hAnsi="Aptos" w:cs="Aptos"/>
        </w:rPr>
        <w:t xml:space="preserve"> </w:t>
      </w:r>
      <w:r>
        <w:rPr>
          <w:rFonts w:ascii="Aptos" w:eastAsia="Aptos" w:hAnsi="Aptos" w:cs="Aptos"/>
        </w:rPr>
        <w:t>permanence</w:t>
      </w:r>
      <w:r w:rsidRPr="74DF7CB8" w:rsidDel="00CF42DE">
        <w:rPr>
          <w:rFonts w:ascii="Aptos" w:eastAsia="Aptos" w:hAnsi="Aptos" w:cs="Aptos"/>
        </w:rPr>
        <w:t xml:space="preserve"> </w:t>
      </w:r>
      <w:r>
        <w:rPr>
          <w:rFonts w:ascii="Aptos" w:eastAsia="Aptos" w:hAnsi="Aptos" w:cs="Aptos"/>
        </w:rPr>
        <w:t>and</w:t>
      </w:r>
      <w:r w:rsidRPr="74DF7CB8" w:rsidDel="00CF42DE">
        <w:rPr>
          <w:rFonts w:ascii="Aptos" w:eastAsia="Aptos" w:hAnsi="Aptos" w:cs="Aptos"/>
        </w:rPr>
        <w:t xml:space="preserve"> discount factors</w:t>
      </w:r>
      <w:r>
        <w:rPr>
          <w:rFonts w:ascii="Aptos" w:eastAsia="Aptos" w:hAnsi="Aptos" w:cs="Aptos"/>
        </w:rPr>
        <w:t>. These accounting requirements are distinct from emissions estimation and reporting</w:t>
      </w:r>
      <w:r w:rsidRPr="74DF7CB8" w:rsidDel="000574F0">
        <w:rPr>
          <w:rFonts w:ascii="Aptos" w:eastAsia="Aptos" w:hAnsi="Aptos" w:cs="Aptos"/>
        </w:rPr>
        <w:t>.</w:t>
      </w:r>
      <w:r>
        <w:rPr>
          <w:rFonts w:ascii="Aptos" w:eastAsia="Aptos" w:hAnsi="Aptos" w:cs="Aptos"/>
        </w:rPr>
        <w:t xml:space="preserve"> See Chapter 9.</w:t>
      </w:r>
      <w:r w:rsidR="00AF7B4D">
        <w:rPr>
          <w:rFonts w:ascii="Aptos" w:eastAsia="Aptos" w:hAnsi="Aptos" w:cs="Aptos"/>
        </w:rPr>
        <w:t>6</w:t>
      </w:r>
      <w:r>
        <w:rPr>
          <w:rFonts w:ascii="Aptos" w:eastAsia="Aptos" w:hAnsi="Aptos" w:cs="Aptos"/>
        </w:rPr>
        <w:t xml:space="preserve"> for details on treatment of carbon credits within inventories.</w:t>
      </w:r>
    </w:p>
    <w:p w14:paraId="0DA244DA" w14:textId="168EC12A" w:rsidR="003D2F38" w:rsidRPr="00612956" w:rsidRDefault="003D2F38" w:rsidP="00612956">
      <w:pPr>
        <w:pStyle w:val="Heading3"/>
        <w:numPr>
          <w:ilvl w:val="0"/>
          <w:numId w:val="0"/>
        </w:numPr>
        <w:ind w:left="720" w:hanging="720"/>
      </w:pPr>
      <w:r w:rsidRPr="00612956">
        <w:t>Indirect land use change</w:t>
      </w:r>
      <w:r w:rsidR="004941EA" w:rsidRPr="00612956">
        <w:t xml:space="preserve"> </w:t>
      </w:r>
    </w:p>
    <w:p w14:paraId="7142B866" w14:textId="4C598C84" w:rsidR="003D2F38" w:rsidRDefault="004941EA" w:rsidP="00751584">
      <w:r>
        <w:t>Indirect land use change (</w:t>
      </w:r>
      <w:proofErr w:type="spellStart"/>
      <w:r w:rsidR="00DD5F44">
        <w:t>iLUC</w:t>
      </w:r>
      <w:proofErr w:type="spellEnd"/>
      <w:r w:rsidR="00DD5F44">
        <w:t xml:space="preserve">) </w:t>
      </w:r>
      <w:r w:rsidR="00AB4E0D">
        <w:t>occurs when production of the product of interest displaces production of another product, and the demand for the displaced product leads to land use change elsewhere</w:t>
      </w:r>
      <w:r w:rsidR="003D2F38">
        <w:t>.</w:t>
      </w:r>
      <w:r w:rsidR="00F953B6">
        <w:t xml:space="preserve"> </w:t>
      </w:r>
      <w:r w:rsidR="002C2A1D">
        <w:t>These Guidelines do not cover e</w:t>
      </w:r>
      <w:r w:rsidR="00FE7B95">
        <w:t>stimat</w:t>
      </w:r>
      <w:r w:rsidR="00BA7F00">
        <w:t>ion</w:t>
      </w:r>
      <w:r w:rsidR="00FE7B95">
        <w:t xml:space="preserve"> of </w:t>
      </w:r>
      <w:proofErr w:type="spellStart"/>
      <w:r w:rsidR="00FE7B95">
        <w:t>iLUC</w:t>
      </w:r>
      <w:proofErr w:type="spellEnd"/>
      <w:r w:rsidR="008D6829">
        <w:t>.</w:t>
      </w:r>
    </w:p>
    <w:tbl>
      <w:tblPr>
        <w:tblStyle w:val="TableGrid"/>
        <w:tblW w:w="0" w:type="auto"/>
        <w:tblInd w:w="0" w:type="dxa"/>
        <w:tblBorders>
          <w:top w:val="single" w:sz="4" w:space="0" w:color="auto"/>
          <w:left w:val="single" w:sz="4" w:space="0" w:color="auto"/>
          <w:bottom w:val="single" w:sz="4" w:space="0" w:color="auto"/>
          <w:right w:val="single" w:sz="4" w:space="0" w:color="auto"/>
        </w:tblBorders>
        <w:shd w:val="clear" w:color="auto" w:fill="D9F2D0" w:themeFill="accent6" w:themeFillTint="33"/>
        <w:tblLook w:val="04A0" w:firstRow="1" w:lastRow="0" w:firstColumn="1" w:lastColumn="0" w:noHBand="0" w:noVBand="1"/>
      </w:tblPr>
      <w:tblGrid>
        <w:gridCol w:w="9016"/>
      </w:tblGrid>
      <w:tr w:rsidR="00EB4E70" w14:paraId="2154B78D" w14:textId="77777777" w:rsidTr="00410673">
        <w:tc>
          <w:tcPr>
            <w:tcW w:w="9026" w:type="dxa"/>
            <w:shd w:val="clear" w:color="auto" w:fill="D9F2D0" w:themeFill="accent6" w:themeFillTint="33"/>
          </w:tcPr>
          <w:p w14:paraId="2FB8DD7A" w14:textId="5288B807" w:rsidR="001002E7" w:rsidRDefault="00BA1C4E" w:rsidP="00751584">
            <w:pPr>
              <w:rPr>
                <w:b/>
                <w:bCs/>
              </w:rPr>
            </w:pPr>
            <w:r w:rsidRPr="00D7070A">
              <w:rPr>
                <w:b/>
                <w:bCs/>
              </w:rPr>
              <w:t>Question</w:t>
            </w:r>
            <w:r w:rsidR="001E5DA7">
              <w:rPr>
                <w:b/>
                <w:bCs/>
              </w:rPr>
              <w:t>s</w:t>
            </w:r>
            <w:r w:rsidR="008B347F">
              <w:rPr>
                <w:b/>
                <w:bCs/>
              </w:rPr>
              <w:t>: Indirect Land Use Change</w:t>
            </w:r>
            <w:r w:rsidR="00F8167D">
              <w:rPr>
                <w:b/>
                <w:bCs/>
              </w:rPr>
              <w:t xml:space="preserve"> (</w:t>
            </w:r>
            <w:proofErr w:type="spellStart"/>
            <w:r w:rsidR="00F8167D">
              <w:rPr>
                <w:b/>
                <w:bCs/>
              </w:rPr>
              <w:t>iLUC</w:t>
            </w:r>
            <w:proofErr w:type="spellEnd"/>
            <w:r w:rsidR="00F8167D">
              <w:rPr>
                <w:b/>
                <w:bCs/>
              </w:rPr>
              <w:t>)</w:t>
            </w:r>
          </w:p>
          <w:p w14:paraId="17442506" w14:textId="1E5F22D3" w:rsidR="00E27194" w:rsidRDefault="00E27194" w:rsidP="00751584">
            <w:r>
              <w:t xml:space="preserve">Quantifying </w:t>
            </w:r>
            <w:proofErr w:type="spellStart"/>
            <w:r w:rsidRPr="00E27194">
              <w:t>iLUC</w:t>
            </w:r>
            <w:proofErr w:type="spellEnd"/>
            <w:r w:rsidRPr="00E27194">
              <w:t xml:space="preserve"> is</w:t>
            </w:r>
            <w:r w:rsidR="00964A8F">
              <w:t xml:space="preserve"> </w:t>
            </w:r>
            <w:r w:rsidRPr="00E27194">
              <w:t xml:space="preserve">complex </w:t>
            </w:r>
            <w:r w:rsidR="00964A8F">
              <w:t xml:space="preserve">and subject to a high degree of uncertainty. It </w:t>
            </w:r>
            <w:r w:rsidRPr="00E27194">
              <w:t xml:space="preserve">depends on global land-use dynamics, economic interactions, and long-term carbon fluxes, making attribution to a single entity challenging. For this reason, most accounting standards, including the GHG Protocol </w:t>
            </w:r>
            <w:r>
              <w:t xml:space="preserve">Land Sector and Removals Guidance </w:t>
            </w:r>
            <w:r w:rsidRPr="00E27194">
              <w:t xml:space="preserve">and ISO 14067 treat </w:t>
            </w:r>
            <w:r w:rsidR="00964A8F">
              <w:t xml:space="preserve">estimation of </w:t>
            </w:r>
            <w:proofErr w:type="spellStart"/>
            <w:r w:rsidRPr="00E27194">
              <w:t>iLUC</w:t>
            </w:r>
            <w:proofErr w:type="spellEnd"/>
            <w:r w:rsidRPr="00E27194">
              <w:t xml:space="preserve"> as optional</w:t>
            </w:r>
            <w:r>
              <w:t xml:space="preserve">, </w:t>
            </w:r>
            <w:r w:rsidRPr="00E27194">
              <w:t>rather than a required component of entity-level emissions inventories</w:t>
            </w:r>
            <w:r>
              <w:t xml:space="preserve">. </w:t>
            </w:r>
          </w:p>
          <w:p w14:paraId="10E977D6" w14:textId="77777777" w:rsidR="00BA1C4E" w:rsidRDefault="00BA1C4E" w:rsidP="00751584"/>
          <w:p w14:paraId="0330312D" w14:textId="77777777" w:rsidR="006E3537" w:rsidRDefault="008B347F" w:rsidP="00751584">
            <w:r>
              <w:rPr>
                <w:b/>
                <w:bCs/>
              </w:rPr>
              <w:t>2</w:t>
            </w:r>
            <w:r w:rsidR="00DB619E">
              <w:rPr>
                <w:b/>
                <w:bCs/>
              </w:rPr>
              <w:t>C</w:t>
            </w:r>
            <w:r>
              <w:t xml:space="preserve"> </w:t>
            </w:r>
            <w:r w:rsidR="00BA1C4E">
              <w:t>S</w:t>
            </w:r>
            <w:r w:rsidR="00BA1C4E" w:rsidRPr="00BA1C4E">
              <w:t xml:space="preserve">hould </w:t>
            </w:r>
            <w:r w:rsidR="00BA171D">
              <w:t>the Guidelines</w:t>
            </w:r>
            <w:r w:rsidR="00BA1C4E" w:rsidRPr="00BA1C4E">
              <w:t xml:space="preserve"> include guidance on quantifying </w:t>
            </w:r>
            <w:proofErr w:type="spellStart"/>
            <w:r w:rsidR="00BA1C4E" w:rsidRPr="00BA1C4E">
              <w:t>iLUC</w:t>
            </w:r>
            <w:proofErr w:type="spellEnd"/>
            <w:r w:rsidR="00BA1C4E" w:rsidRPr="00BA1C4E">
              <w:t xml:space="preserve">? </w:t>
            </w:r>
          </w:p>
          <w:p w14:paraId="421B0327" w14:textId="5415CE1F" w:rsidR="00DB6E59" w:rsidRDefault="006E3537" w:rsidP="00751584">
            <w:r w:rsidRPr="006E3537">
              <w:rPr>
                <w:b/>
                <w:bCs/>
              </w:rPr>
              <w:t>2D</w:t>
            </w:r>
            <w:r>
              <w:t xml:space="preserve"> </w:t>
            </w:r>
            <w:r w:rsidR="00DB6E59">
              <w:t xml:space="preserve">If yes, why? </w:t>
            </w:r>
            <w:r w:rsidR="003D15B5">
              <w:t xml:space="preserve">What method </w:t>
            </w:r>
            <w:r w:rsidR="00BF3C8D">
              <w:t>would you recommend and should it be mandatory or optional?</w:t>
            </w:r>
          </w:p>
        </w:tc>
      </w:tr>
    </w:tbl>
    <w:p w14:paraId="071E2E3C" w14:textId="744CEFD1" w:rsidR="00DC2E93" w:rsidRPr="00DC2E93" w:rsidRDefault="00DC2E93" w:rsidP="00612956">
      <w:pPr>
        <w:pStyle w:val="Heading3"/>
        <w:numPr>
          <w:ilvl w:val="0"/>
          <w:numId w:val="0"/>
        </w:numPr>
        <w:ind w:left="720" w:hanging="720"/>
      </w:pPr>
      <w:r w:rsidRPr="00DC2E93">
        <w:t xml:space="preserve">Climate-Related Disclosure </w:t>
      </w:r>
    </w:p>
    <w:p w14:paraId="13332627" w14:textId="007744D7" w:rsidR="001E63FA" w:rsidRDefault="005D67B9">
      <w:r w:rsidRPr="005D67B9">
        <w:t>Entities that are required</w:t>
      </w:r>
      <w:r w:rsidR="00DC2E93" w:rsidRPr="00DC2E93">
        <w:t xml:space="preserve"> to </w:t>
      </w:r>
      <w:r w:rsidRPr="005D67B9">
        <w:t>prepare</w:t>
      </w:r>
      <w:r w:rsidR="00DC2E93" w:rsidRPr="00DC2E93">
        <w:t xml:space="preserve"> </w:t>
      </w:r>
      <w:r w:rsidR="00B82F60" w:rsidRPr="001C4D32">
        <w:t>climate</w:t>
      </w:r>
      <w:r w:rsidRPr="005D67B9">
        <w:rPr>
          <w:rFonts w:ascii="Cambria Math" w:hAnsi="Cambria Math" w:cs="Cambria Math"/>
        </w:rPr>
        <w:t>‑</w:t>
      </w:r>
      <w:r w:rsidR="00B82F60" w:rsidRPr="001C4D32">
        <w:t xml:space="preserve">related disclosures </w:t>
      </w:r>
      <w:r w:rsidR="00DC2E93" w:rsidRPr="00DC2E93">
        <w:t xml:space="preserve">under </w:t>
      </w:r>
      <w:r w:rsidR="00875CFC" w:rsidRPr="001C4D32">
        <w:t xml:space="preserve">the </w:t>
      </w:r>
      <w:r w:rsidR="00875CFC" w:rsidRPr="001C4D32">
        <w:rPr>
          <w:i/>
        </w:rPr>
        <w:t xml:space="preserve">Corporations Act </w:t>
      </w:r>
      <w:r w:rsidR="00B9117C" w:rsidRPr="001C4D32">
        <w:rPr>
          <w:i/>
        </w:rPr>
        <w:t>2001</w:t>
      </w:r>
      <w:r w:rsidRPr="005D67B9">
        <w:t xml:space="preserve"> must comply with </w:t>
      </w:r>
      <w:r w:rsidR="00282826" w:rsidRPr="001C4D32">
        <w:t>t</w:t>
      </w:r>
      <w:r w:rsidR="00DC2E93" w:rsidRPr="001C4D32">
        <w:t xml:space="preserve">he </w:t>
      </w:r>
      <w:r w:rsidRPr="005D67B9">
        <w:t>specific reporting</w:t>
      </w:r>
      <w:r w:rsidR="00DC2E93" w:rsidRPr="00DC2E93">
        <w:t xml:space="preserve"> requirements set out in </w:t>
      </w:r>
      <w:r w:rsidRPr="005D67B9">
        <w:t>Climate</w:t>
      </w:r>
      <w:r w:rsidRPr="005D67B9">
        <w:rPr>
          <w:rFonts w:ascii="Cambria Math" w:hAnsi="Cambria Math" w:cs="Cambria Math"/>
        </w:rPr>
        <w:t>‑</w:t>
      </w:r>
      <w:r w:rsidRPr="005D67B9">
        <w:t>related</w:t>
      </w:r>
      <w:r w:rsidRPr="005D67B9" w:rsidDel="008222A6">
        <w:t xml:space="preserve"> </w:t>
      </w:r>
      <w:r w:rsidRPr="005D67B9">
        <w:t>Disclosures</w:t>
      </w:r>
      <w:r w:rsidR="00AA16D7">
        <w:t xml:space="preserve"> </w:t>
      </w:r>
      <w:r w:rsidR="00AA16D7" w:rsidRPr="00DC2E93">
        <w:t>AASB S2</w:t>
      </w:r>
      <w:r w:rsidR="008222A6">
        <w:t xml:space="preserve"> (AASB S2)</w:t>
      </w:r>
      <w:r w:rsidRPr="005D67B9">
        <w:t xml:space="preserve">. </w:t>
      </w:r>
      <w:r w:rsidR="003A3D5E" w:rsidRPr="003A3D5E">
        <w:t xml:space="preserve">An entity applying AASB S2 must ensure that it complies with the specific requirements set out in AASB S2. While the Guidelines </w:t>
      </w:r>
      <w:r w:rsidR="004A3742">
        <w:t>will</w:t>
      </w:r>
      <w:r w:rsidR="003A3D5E" w:rsidRPr="003A3D5E">
        <w:t xml:space="preserve"> assist entities in quantifying their GHG emissions, they do not replace or modify the mandatory requirements in AASB S2.</w:t>
      </w:r>
      <w:r w:rsidR="001E63FA">
        <w:br w:type="page"/>
      </w:r>
    </w:p>
    <w:p w14:paraId="7C77DAA4" w14:textId="77777777" w:rsidR="001E62B2" w:rsidRPr="002F1A41" w:rsidRDefault="001E62B2" w:rsidP="00BE68D0">
      <w:pPr>
        <w:pStyle w:val="Style3"/>
        <w:ind w:left="567" w:hanging="567"/>
      </w:pPr>
      <w:bookmarkStart w:id="29" w:name="_Toc225269951"/>
      <w:r w:rsidRPr="002F1A41">
        <w:lastRenderedPageBreak/>
        <w:t>Steps to develop a GHG inventory</w:t>
      </w:r>
      <w:bookmarkEnd w:id="29"/>
      <w:r w:rsidRPr="002F1A41">
        <w:t xml:space="preserve"> </w:t>
      </w:r>
    </w:p>
    <w:p w14:paraId="1D0BC1A9" w14:textId="57BE9903" w:rsidR="001E62B2" w:rsidRDefault="001E62B2" w:rsidP="001E62B2">
      <w:r>
        <w:t xml:space="preserve">The Common Requirements Framework guides entities through the steps needed to produce high quality and reliable inventories. </w:t>
      </w:r>
    </w:p>
    <w:p w14:paraId="67114270" w14:textId="4FBE2FD5" w:rsidR="001E62B2" w:rsidRDefault="002767D0" w:rsidP="001E62B2">
      <w:r>
        <w:rPr>
          <w:noProof/>
        </w:rPr>
        <w:drawing>
          <wp:inline distT="0" distB="0" distL="0" distR="0" wp14:anchorId="1CE22B8D" wp14:editId="3209BF63">
            <wp:extent cx="5835650" cy="7991853"/>
            <wp:effectExtent l="0" t="0" r="0" b="9525"/>
            <wp:docPr id="1902916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16699" name=""/>
                    <pic:cNvPicPr/>
                  </pic:nvPicPr>
                  <pic:blipFill>
                    <a:blip r:embed="rId49"/>
                    <a:stretch>
                      <a:fillRect/>
                    </a:stretch>
                  </pic:blipFill>
                  <pic:spPr>
                    <a:xfrm>
                      <a:off x="0" y="0"/>
                      <a:ext cx="5843816" cy="8003037"/>
                    </a:xfrm>
                    <a:prstGeom prst="rect">
                      <a:avLst/>
                    </a:prstGeom>
                  </pic:spPr>
                </pic:pic>
              </a:graphicData>
            </a:graphic>
          </wp:inline>
        </w:drawing>
      </w:r>
    </w:p>
    <w:p w14:paraId="1C2EBEEC" w14:textId="77777777" w:rsidR="001E62B2" w:rsidRPr="006E6DF9" w:rsidRDefault="001E62B2" w:rsidP="001E62B2">
      <w:pPr>
        <w:pStyle w:val="Style4"/>
        <w:ind w:left="432"/>
      </w:pPr>
      <w:bookmarkStart w:id="30" w:name="_Ref208682127"/>
      <w:bookmarkStart w:id="31" w:name="_Toc225269952"/>
      <w:r w:rsidRPr="006E6DF9">
        <w:lastRenderedPageBreak/>
        <w:t>Principles for GHG inventories</w:t>
      </w:r>
      <w:bookmarkEnd w:id="30"/>
      <w:bookmarkEnd w:id="31"/>
    </w:p>
    <w:p w14:paraId="485F1D5B" w14:textId="77777777" w:rsidR="001E62B2" w:rsidRDefault="001E62B2" w:rsidP="001E62B2">
      <w:pPr>
        <w:rPr>
          <w:rFonts w:ascii="Aptos" w:eastAsia="Aptos" w:hAnsi="Aptos" w:cs="Aptos"/>
        </w:rPr>
      </w:pPr>
      <w:r>
        <w:t>A common set of principles underpins the preparation of GHG inventories to ensure they represent a true and fair account of an entity’s emissions and removals. To produce a reliable and high-quality inventory it is best practice to consider all principles.</w:t>
      </w:r>
    </w:p>
    <w:p w14:paraId="03F5F9B0" w14:textId="394A8FCA" w:rsidR="001E62B2" w:rsidRPr="00A770A0" w:rsidRDefault="001E62B2" w:rsidP="001E62B2">
      <w:r>
        <w:t xml:space="preserve">The principles below are in alignment with </w:t>
      </w:r>
      <w:r w:rsidR="00620978">
        <w:t xml:space="preserve">the </w:t>
      </w:r>
      <w:r>
        <w:t xml:space="preserve">GHG Protocol and ISO </w:t>
      </w:r>
      <w:r w:rsidR="00A3330A">
        <w:t>s</w:t>
      </w:r>
      <w:r>
        <w:t xml:space="preserve">tandards. </w:t>
      </w:r>
    </w:p>
    <w:p w14:paraId="0E788F4F" w14:textId="77777777" w:rsidR="001E62B2" w:rsidRPr="003B7531" w:rsidRDefault="001E62B2" w:rsidP="001E62B2">
      <w:pPr>
        <w:spacing w:after="0" w:line="240" w:lineRule="auto"/>
        <w:rPr>
          <w:rFonts w:ascii="Aptos" w:eastAsia="Aptos" w:hAnsi="Aptos" w:cs="Aptos"/>
        </w:rPr>
      </w:pPr>
      <w:r w:rsidRPr="1AF8F8DA">
        <w:rPr>
          <w:i/>
          <w:color w:val="0F4761" w:themeColor="accent1" w:themeShade="BF"/>
        </w:rPr>
        <w:t>Relevance</w:t>
      </w:r>
    </w:p>
    <w:p w14:paraId="421E9048" w14:textId="0BFCEBFB" w:rsidR="001E62B2" w:rsidRDefault="001E62B2" w:rsidP="001E62B2">
      <w:pPr>
        <w:spacing w:after="0" w:line="240" w:lineRule="auto"/>
        <w:rPr>
          <w:rFonts w:ascii="Aptos" w:eastAsia="Aptos" w:hAnsi="Aptos" w:cs="Aptos"/>
        </w:rPr>
      </w:pPr>
      <w:r>
        <w:t xml:space="preserve">Ensure the GHG inventory appropriately represents the GHG emissions and removals of the entity and serves the decision-making needs of end-users </w:t>
      </w:r>
      <w:r w:rsidR="007F22A3">
        <w:t>–</w:t>
      </w:r>
      <w:r>
        <w:t xml:space="preserve"> both internal and external to the entity.</w:t>
      </w:r>
    </w:p>
    <w:p w14:paraId="2991F80B" w14:textId="77777777" w:rsidR="001E62B2" w:rsidRDefault="001E62B2" w:rsidP="001E62B2">
      <w:pPr>
        <w:spacing w:after="0" w:line="240" w:lineRule="auto"/>
        <w:rPr>
          <w:i/>
          <w:color w:val="0F4761" w:themeColor="accent1" w:themeShade="BF"/>
        </w:rPr>
      </w:pPr>
    </w:p>
    <w:p w14:paraId="5FE58853" w14:textId="77777777" w:rsidR="001E62B2" w:rsidRPr="003B7531" w:rsidRDefault="001E62B2" w:rsidP="001E62B2">
      <w:pPr>
        <w:spacing w:after="0" w:line="240" w:lineRule="auto"/>
        <w:rPr>
          <w:rFonts w:ascii="Aptos" w:eastAsia="Aptos" w:hAnsi="Aptos" w:cs="Aptos"/>
        </w:rPr>
      </w:pPr>
      <w:r w:rsidRPr="1AF8F8DA">
        <w:rPr>
          <w:i/>
          <w:color w:val="0F4761" w:themeColor="accent1" w:themeShade="BF"/>
        </w:rPr>
        <w:t>Completeness</w:t>
      </w:r>
    </w:p>
    <w:p w14:paraId="03ABB930" w14:textId="77777777" w:rsidR="001E62B2" w:rsidRDefault="001E62B2" w:rsidP="001E62B2">
      <w:pPr>
        <w:spacing w:after="0" w:line="240" w:lineRule="auto"/>
      </w:pPr>
      <w:r>
        <w:t>Include all GHG emission and removals within the chosen inventory boundary to the extent practicable and relevant to the purpose of the inventory. Disclose and justify any specific exclusions.</w:t>
      </w:r>
    </w:p>
    <w:p w14:paraId="6DEC2287" w14:textId="77777777" w:rsidR="001E62B2" w:rsidRDefault="001E62B2" w:rsidP="001E62B2">
      <w:pPr>
        <w:spacing w:after="0" w:line="240" w:lineRule="auto"/>
        <w:rPr>
          <w:rFonts w:ascii="Aptos" w:eastAsia="Aptos" w:hAnsi="Aptos" w:cs="Aptos"/>
        </w:rPr>
      </w:pPr>
    </w:p>
    <w:p w14:paraId="16F588CF" w14:textId="77777777" w:rsidR="001E62B2" w:rsidRPr="003B7531" w:rsidRDefault="001E62B2" w:rsidP="001E62B2">
      <w:pPr>
        <w:spacing w:after="0" w:line="240" w:lineRule="auto"/>
        <w:rPr>
          <w:rFonts w:ascii="Aptos" w:eastAsia="Aptos" w:hAnsi="Aptos" w:cs="Aptos"/>
        </w:rPr>
      </w:pPr>
      <w:r w:rsidRPr="1AF8F8DA">
        <w:rPr>
          <w:i/>
          <w:color w:val="0F4761" w:themeColor="accent1" w:themeShade="BF"/>
        </w:rPr>
        <w:t>Consistency</w:t>
      </w:r>
    </w:p>
    <w:p w14:paraId="648E391A" w14:textId="77777777" w:rsidR="001E62B2" w:rsidRPr="008F7F5D" w:rsidRDefault="001E62B2" w:rsidP="001E62B2">
      <w:pPr>
        <w:spacing w:after="0" w:line="240" w:lineRule="auto"/>
        <w:rPr>
          <w:rFonts w:ascii="Aptos" w:eastAsia="Aptos" w:hAnsi="Aptos" w:cs="Aptos"/>
        </w:rPr>
      </w:pPr>
      <w:r>
        <w:t>Use consistent methodologies to allow for meaningful comparisons of emissions and removals over time. Transparently document any changes to the data, inventory boundary, estimation methods, or any other relevant factors in the time series.</w:t>
      </w:r>
    </w:p>
    <w:p w14:paraId="3F31745C" w14:textId="77777777" w:rsidR="001E62B2" w:rsidRDefault="001E62B2" w:rsidP="001E62B2">
      <w:pPr>
        <w:spacing w:after="0" w:line="240" w:lineRule="auto"/>
        <w:rPr>
          <w:i/>
          <w:color w:val="0F4761" w:themeColor="accent1" w:themeShade="BF"/>
        </w:rPr>
      </w:pPr>
    </w:p>
    <w:p w14:paraId="6749C60F" w14:textId="77777777" w:rsidR="001E62B2" w:rsidRPr="003B7531" w:rsidRDefault="001E62B2" w:rsidP="001E62B2">
      <w:pPr>
        <w:spacing w:after="0" w:line="240" w:lineRule="auto"/>
        <w:rPr>
          <w:rFonts w:ascii="Aptos" w:eastAsia="Aptos" w:hAnsi="Aptos" w:cs="Aptos"/>
        </w:rPr>
      </w:pPr>
      <w:r w:rsidRPr="1AF8F8DA">
        <w:rPr>
          <w:i/>
          <w:color w:val="0F4761" w:themeColor="accent1" w:themeShade="BF"/>
        </w:rPr>
        <w:t>Accuracy</w:t>
      </w:r>
    </w:p>
    <w:p w14:paraId="14402915" w14:textId="00F5BFA0" w:rsidR="001E62B2" w:rsidRDefault="001E62B2" w:rsidP="001E62B2">
      <w:pPr>
        <w:spacing w:after="0" w:line="240" w:lineRule="auto"/>
        <w:rPr>
          <w:rFonts w:ascii="Aptos" w:eastAsia="Aptos" w:hAnsi="Aptos" w:cs="Aptos"/>
        </w:rPr>
      </w:pPr>
      <w:r>
        <w:t xml:space="preserve">Use the best available data and methods </w:t>
      </w:r>
      <w:r w:rsidRPr="005850E9">
        <w:t>to ensure GHG emissions and removal estimates are unbiased</w:t>
      </w:r>
      <w:r w:rsidR="001F402D">
        <w:t xml:space="preserve">, </w:t>
      </w:r>
      <w:r w:rsidRPr="005850E9">
        <w:t>uncertainties are reduce</w:t>
      </w:r>
      <w:r>
        <w:t>d</w:t>
      </w:r>
      <w:r w:rsidRPr="005850E9">
        <w:t xml:space="preserve"> as far as practicable</w:t>
      </w:r>
      <w:r>
        <w:t xml:space="preserve">, and </w:t>
      </w:r>
      <w:r w:rsidR="00AC2692">
        <w:t xml:space="preserve">double counting is avoided </w:t>
      </w:r>
      <w:r w:rsidR="007F22A3">
        <w:t>–</w:t>
      </w:r>
      <w:r w:rsidR="00862AE8">
        <w:t xml:space="preserve"> </w:t>
      </w:r>
      <w:r w:rsidDel="005850E9">
        <w:t xml:space="preserve">to </w:t>
      </w:r>
      <w:r w:rsidRPr="00080423">
        <w:t xml:space="preserve">achieve sufficient accuracy to enable users to make decisions with assurance </w:t>
      </w:r>
      <w:r w:rsidRPr="00BA68FF">
        <w:t>as to the integrity of the reported information.</w:t>
      </w:r>
      <w:r w:rsidR="00645A3E">
        <w:t xml:space="preserve"> </w:t>
      </w:r>
    </w:p>
    <w:p w14:paraId="7C74D93A" w14:textId="77777777" w:rsidR="001E62B2" w:rsidRDefault="001E62B2" w:rsidP="001E62B2">
      <w:pPr>
        <w:spacing w:after="0" w:line="240" w:lineRule="auto"/>
        <w:rPr>
          <w:i/>
          <w:color w:val="0F4761" w:themeColor="accent1" w:themeShade="BF"/>
        </w:rPr>
      </w:pPr>
    </w:p>
    <w:p w14:paraId="29BE74AB" w14:textId="77777777" w:rsidR="001E62B2" w:rsidRPr="003B7531" w:rsidRDefault="001E62B2" w:rsidP="001E62B2">
      <w:pPr>
        <w:spacing w:after="0" w:line="240" w:lineRule="auto"/>
        <w:rPr>
          <w:i/>
          <w:color w:val="0F4761" w:themeColor="accent1" w:themeShade="BF"/>
        </w:rPr>
      </w:pPr>
      <w:r w:rsidRPr="1AF8F8DA">
        <w:rPr>
          <w:i/>
          <w:color w:val="0F4761" w:themeColor="accent1" w:themeShade="BF"/>
        </w:rPr>
        <w:t>Transparency</w:t>
      </w:r>
    </w:p>
    <w:p w14:paraId="0A8E7B7F" w14:textId="77777777" w:rsidR="001E62B2" w:rsidRDefault="001E62B2" w:rsidP="001E62B2">
      <w:pPr>
        <w:spacing w:after="0" w:line="240" w:lineRule="auto"/>
      </w:pPr>
      <w:r>
        <w:t xml:space="preserve">Ensure all methods, data sources, assumptions, and decisions used in the inventory are clearly documented and explained.  </w:t>
      </w:r>
    </w:p>
    <w:p w14:paraId="17247388" w14:textId="77777777" w:rsidR="001E62B2" w:rsidRDefault="001E62B2" w:rsidP="001E62B2">
      <w:pPr>
        <w:pStyle w:val="Heading1"/>
        <w:ind w:left="431" w:hanging="431"/>
      </w:pPr>
      <w:bookmarkStart w:id="32" w:name="_Defining_the_goal"/>
      <w:bookmarkStart w:id="33" w:name="_Ref208765123"/>
      <w:bookmarkStart w:id="34" w:name="_Toc225269953"/>
      <w:bookmarkStart w:id="35" w:name="DefiningGoal"/>
      <w:bookmarkEnd w:id="32"/>
      <w:r>
        <w:t>Defining the goal of a GHG inventory</w:t>
      </w:r>
      <w:bookmarkEnd w:id="33"/>
      <w:bookmarkEnd w:id="34"/>
    </w:p>
    <w:bookmarkEnd w:id="35"/>
    <w:p w14:paraId="6C70EB51" w14:textId="77777777" w:rsidR="001E62B2" w:rsidRDefault="001E62B2" w:rsidP="001E62B2">
      <w:r>
        <w:t xml:space="preserve">Before developing a GHG inventory, an entity should </w:t>
      </w:r>
      <w:r w:rsidDel="0ABDCC27">
        <w:t xml:space="preserve">first </w:t>
      </w:r>
      <w:r>
        <w:t xml:space="preserve">define its intended goal or goals, as these will shape the estimation and reporting requirements. In many cases the inventory will need to be designed to serve multiple goals. For example, it could be used to: </w:t>
      </w:r>
    </w:p>
    <w:p w14:paraId="43006422" w14:textId="7EC1CF2D" w:rsidR="001E62B2" w:rsidRDefault="001E62B2" w:rsidP="001E62B2">
      <w:pPr>
        <w:pStyle w:val="ListParagraph"/>
        <w:numPr>
          <w:ilvl w:val="0"/>
          <w:numId w:val="2"/>
        </w:numPr>
      </w:pPr>
      <w:r>
        <w:t xml:space="preserve">inform farm management, business planning and mitigation action planning </w:t>
      </w:r>
    </w:p>
    <w:p w14:paraId="010E40CD" w14:textId="336D5878" w:rsidR="001E62B2" w:rsidRDefault="001E62B2" w:rsidP="001E62B2">
      <w:pPr>
        <w:pStyle w:val="ListParagraph"/>
        <w:numPr>
          <w:ilvl w:val="0"/>
          <w:numId w:val="2"/>
        </w:numPr>
      </w:pPr>
      <w:r>
        <w:t>comply with regulatory obligations such as</w:t>
      </w:r>
      <w:r w:rsidR="00B6102F">
        <w:t xml:space="preserve"> </w:t>
      </w:r>
      <w:r w:rsidR="00297836">
        <w:t xml:space="preserve">Climate-related Disclosure </w:t>
      </w:r>
    </w:p>
    <w:p w14:paraId="1AD8A0C9" w14:textId="7D38A2D7" w:rsidR="001E62B2" w:rsidRDefault="001E62B2" w:rsidP="001E62B2">
      <w:pPr>
        <w:pStyle w:val="ListParagraph"/>
        <w:numPr>
          <w:ilvl w:val="0"/>
          <w:numId w:val="2"/>
        </w:numPr>
      </w:pPr>
      <w:r>
        <w:t xml:space="preserve">fulfil supply chain or industry reporting </w:t>
      </w:r>
      <w:r w:rsidR="00E22DB0">
        <w:t xml:space="preserve">requests or </w:t>
      </w:r>
      <w:r>
        <w:t xml:space="preserve">requirements including:  </w:t>
      </w:r>
    </w:p>
    <w:p w14:paraId="039D0E39" w14:textId="77777777" w:rsidR="001E62B2" w:rsidRDefault="001E62B2" w:rsidP="001E62B2">
      <w:pPr>
        <w:pStyle w:val="ListParagraph"/>
        <w:numPr>
          <w:ilvl w:val="1"/>
          <w:numId w:val="2"/>
        </w:numPr>
      </w:pPr>
      <w:r>
        <w:t>domestic or international market access requirements</w:t>
      </w:r>
    </w:p>
    <w:p w14:paraId="3B375F76" w14:textId="77777777" w:rsidR="001E62B2" w:rsidRDefault="001E62B2" w:rsidP="001E62B2">
      <w:pPr>
        <w:pStyle w:val="ListParagraph"/>
        <w:numPr>
          <w:ilvl w:val="1"/>
          <w:numId w:val="2"/>
        </w:numPr>
      </w:pPr>
      <w:r>
        <w:t xml:space="preserve">reporting under the </w:t>
      </w:r>
      <w:hyperlink r:id="rId50" w:history="1">
        <w:r w:rsidRPr="00A55FB2">
          <w:rPr>
            <w:rStyle w:val="Hyperlink"/>
          </w:rPr>
          <w:t>Science-Based Targets Initiative</w:t>
        </w:r>
      </w:hyperlink>
      <w:r>
        <w:t xml:space="preserve"> (SBTi) </w:t>
      </w:r>
    </w:p>
    <w:p w14:paraId="5655FD48" w14:textId="77777777" w:rsidR="001E62B2" w:rsidRDefault="001E62B2" w:rsidP="001E62B2">
      <w:pPr>
        <w:pStyle w:val="ListParagraph"/>
        <w:numPr>
          <w:ilvl w:val="1"/>
          <w:numId w:val="2"/>
        </w:numPr>
      </w:pPr>
      <w:r>
        <w:t>contributions to industry-level emissions targets</w:t>
      </w:r>
    </w:p>
    <w:p w14:paraId="3BE2995C" w14:textId="77777777" w:rsidR="001E62B2" w:rsidRDefault="001E62B2" w:rsidP="001E62B2">
      <w:pPr>
        <w:pStyle w:val="ListParagraph"/>
        <w:numPr>
          <w:ilvl w:val="1"/>
          <w:numId w:val="2"/>
        </w:numPr>
      </w:pPr>
      <w:r>
        <w:t>participation in certification schemes</w:t>
      </w:r>
    </w:p>
    <w:p w14:paraId="7F222EF7" w14:textId="152E1C0F" w:rsidR="001E62B2" w:rsidRDefault="001E62B2" w:rsidP="001E62B2">
      <w:pPr>
        <w:pStyle w:val="ListParagraph"/>
        <w:numPr>
          <w:ilvl w:val="0"/>
          <w:numId w:val="2"/>
        </w:numPr>
      </w:pPr>
      <w:r>
        <w:t xml:space="preserve">align with financial services sector </w:t>
      </w:r>
      <w:r w:rsidR="00D5785F">
        <w:t>initiatives</w:t>
      </w:r>
      <w:r>
        <w:t xml:space="preserve">, such as the </w:t>
      </w:r>
      <w:hyperlink r:id="rId51" w:history="1">
        <w:r w:rsidRPr="00854CAE">
          <w:rPr>
            <w:rStyle w:val="Hyperlink"/>
          </w:rPr>
          <w:t>Australian Sustainable Finance Taxonomy</w:t>
        </w:r>
      </w:hyperlink>
      <w:r>
        <w:t xml:space="preserve">. </w:t>
      </w:r>
    </w:p>
    <w:p w14:paraId="5D70C40C" w14:textId="3628101C" w:rsidR="001E62B2" w:rsidRDefault="001E62B2" w:rsidP="001E62B2">
      <w:r>
        <w:t xml:space="preserve">These different goals </w:t>
      </w:r>
      <w:r w:rsidR="00544AC8">
        <w:t>can</w:t>
      </w:r>
      <w:r w:rsidR="00DD6E80">
        <w:t xml:space="preserve"> </w:t>
      </w:r>
      <w:r>
        <w:t xml:space="preserve">lead to different requirements for estimation and reporting. Key considerations include: </w:t>
      </w:r>
    </w:p>
    <w:p w14:paraId="4A1DE630" w14:textId="738F33B1" w:rsidR="001E62B2" w:rsidRDefault="004F3912" w:rsidP="001E62B2">
      <w:pPr>
        <w:pStyle w:val="ListParagraph"/>
        <w:numPr>
          <w:ilvl w:val="0"/>
          <w:numId w:val="2"/>
        </w:numPr>
      </w:pPr>
      <w:r>
        <w:rPr>
          <w:b/>
          <w:bCs/>
        </w:rPr>
        <w:lastRenderedPageBreak/>
        <w:t>Estimate</w:t>
      </w:r>
      <w:r w:rsidR="001E62B2" w:rsidRPr="3C7A7EA5">
        <w:rPr>
          <w:b/>
          <w:bCs/>
        </w:rPr>
        <w:t xml:space="preserve"> type</w:t>
      </w:r>
      <w:r w:rsidR="001E62B2">
        <w:t xml:space="preserve">: whether the aim is to produce an entity-level inventory or to assess the emissions intensity for </w:t>
      </w:r>
      <w:r w:rsidR="007513E7">
        <w:t>products</w:t>
      </w:r>
      <w:r w:rsidR="00626DB4">
        <w:t>.</w:t>
      </w:r>
      <w:r w:rsidR="007513E7">
        <w:t xml:space="preserve"> </w:t>
      </w:r>
      <w:r w:rsidR="001E62B2">
        <w:t xml:space="preserve">  </w:t>
      </w:r>
    </w:p>
    <w:p w14:paraId="78149381" w14:textId="77777777" w:rsidR="001E62B2" w:rsidRDefault="001E62B2" w:rsidP="001E62B2">
      <w:pPr>
        <w:pStyle w:val="ListParagraph"/>
        <w:numPr>
          <w:ilvl w:val="0"/>
          <w:numId w:val="2"/>
        </w:numPr>
      </w:pPr>
      <w:r w:rsidRPr="1AF8F8DA">
        <w:rPr>
          <w:rFonts w:ascii="Aptos" w:eastAsia="Aptos" w:hAnsi="Aptos" w:cs="Aptos"/>
          <w:b/>
        </w:rPr>
        <w:t>Scope 3 emissions coverage</w:t>
      </w:r>
      <w:r w:rsidRPr="24F6915C">
        <w:rPr>
          <w:rFonts w:ascii="Aptos" w:eastAsia="Aptos" w:hAnsi="Aptos" w:cs="Aptos"/>
        </w:rPr>
        <w:t>: the extent to which indirect emissions (e.g. upstream and downstream) are included and whether this is optional or mandatory</w:t>
      </w:r>
      <w:r>
        <w:rPr>
          <w:rFonts w:ascii="Aptos" w:eastAsia="Aptos" w:hAnsi="Aptos" w:cs="Aptos"/>
        </w:rPr>
        <w:t>.</w:t>
      </w:r>
      <w:r w:rsidRPr="24F6915C">
        <w:rPr>
          <w:rFonts w:ascii="Aptos" w:eastAsia="Aptos" w:hAnsi="Aptos" w:cs="Aptos"/>
        </w:rPr>
        <w:t xml:space="preserve"> </w:t>
      </w:r>
    </w:p>
    <w:p w14:paraId="486BB46C" w14:textId="286857EC" w:rsidR="001E62B2" w:rsidRDefault="001E62B2" w:rsidP="001E62B2">
      <w:pPr>
        <w:pStyle w:val="ListParagraph"/>
        <w:numPr>
          <w:ilvl w:val="0"/>
          <w:numId w:val="2"/>
        </w:numPr>
      </w:pPr>
      <w:r w:rsidRPr="3C7A7EA5">
        <w:rPr>
          <w:b/>
          <w:bCs/>
        </w:rPr>
        <w:t>Estimation method</w:t>
      </w:r>
      <w:r>
        <w:t xml:space="preserve">: the methods that will be used in estimation </w:t>
      </w:r>
      <w:r w:rsidR="00F26266">
        <w:t>–</w:t>
      </w:r>
      <w:r>
        <w:t xml:space="preserve"> from simple methods using default data through to methods that demand more detailed farm specific data.</w:t>
      </w:r>
    </w:p>
    <w:p w14:paraId="66F5771D" w14:textId="4601B786" w:rsidR="001E62B2" w:rsidRDefault="001E62B2" w:rsidP="001E62B2">
      <w:pPr>
        <w:pStyle w:val="ListParagraph"/>
        <w:numPr>
          <w:ilvl w:val="0"/>
          <w:numId w:val="2"/>
        </w:numPr>
      </w:pPr>
      <w:r w:rsidRPr="3C7A7EA5">
        <w:rPr>
          <w:b/>
          <w:bCs/>
        </w:rPr>
        <w:t xml:space="preserve">Estimation </w:t>
      </w:r>
      <w:r>
        <w:rPr>
          <w:b/>
          <w:bCs/>
        </w:rPr>
        <w:t xml:space="preserve">/ reporting </w:t>
      </w:r>
      <w:r w:rsidRPr="3C7A7EA5">
        <w:rPr>
          <w:b/>
          <w:bCs/>
        </w:rPr>
        <w:t>period</w:t>
      </w:r>
      <w:r>
        <w:t xml:space="preserve">: the period over which emissions are estimated and reported </w:t>
      </w:r>
      <w:r w:rsidR="00F26266">
        <w:t>–</w:t>
      </w:r>
      <w:r>
        <w:t xml:space="preserve"> this could be annual (calendar or financial year).</w:t>
      </w:r>
    </w:p>
    <w:p w14:paraId="71E7723E" w14:textId="77777777" w:rsidR="001E62B2" w:rsidRDefault="001E62B2" w:rsidP="001E62B2">
      <w:pPr>
        <w:pStyle w:val="ListParagraph"/>
        <w:numPr>
          <w:ilvl w:val="0"/>
          <w:numId w:val="2"/>
        </w:numPr>
      </w:pPr>
      <w:r w:rsidRPr="3C7A7EA5">
        <w:rPr>
          <w:b/>
          <w:bCs/>
        </w:rPr>
        <w:t>Base</w:t>
      </w:r>
      <w:r>
        <w:rPr>
          <w:b/>
          <w:bCs/>
        </w:rPr>
        <w:t xml:space="preserve"> year / period</w:t>
      </w:r>
      <w:r>
        <w:t xml:space="preserve">: whether a base year / period needs to be established for tracking progress. </w:t>
      </w:r>
    </w:p>
    <w:p w14:paraId="5716A524" w14:textId="6A6914C2" w:rsidR="001E62B2" w:rsidRDefault="001E62B2" w:rsidP="001E62B2">
      <w:pPr>
        <w:pStyle w:val="ListParagraph"/>
        <w:numPr>
          <w:ilvl w:val="0"/>
          <w:numId w:val="2"/>
        </w:numPr>
      </w:pPr>
      <w:r w:rsidRPr="3C7A7EA5">
        <w:rPr>
          <w:b/>
          <w:bCs/>
        </w:rPr>
        <w:t>Data quality, documentation, and verification</w:t>
      </w:r>
      <w:r>
        <w:t>: requirements for transparency, traceability, and assurance. For example, inventories intended for verification or assurance</w:t>
      </w:r>
      <w:r w:rsidDel="0054538F">
        <w:t xml:space="preserve"> </w:t>
      </w:r>
      <w:r>
        <w:t>m</w:t>
      </w:r>
      <w:r w:rsidR="000E4D5A">
        <w:t>ight</w:t>
      </w:r>
      <w:r>
        <w:t xml:space="preserve"> require higher-resolution data and more comprehensive documentation.</w:t>
      </w:r>
    </w:p>
    <w:p w14:paraId="1ACA3038" w14:textId="77777777" w:rsidR="001E62B2" w:rsidRDefault="001E62B2" w:rsidP="001E62B2">
      <w:r>
        <w:t xml:space="preserve">To ensure development of an appropriate inventory to address a given goal, the questions at Table 2 are worth considering. </w:t>
      </w:r>
    </w:p>
    <w:p w14:paraId="59A89B86" w14:textId="77777777" w:rsidR="001E62B2" w:rsidRDefault="001E62B2" w:rsidP="001E62B2">
      <w:r w:rsidRPr="00940C3D">
        <w:rPr>
          <w:rFonts w:ascii="Aptos Narrow" w:eastAsia="Times New Roman" w:hAnsi="Aptos Narrow" w:cs="Times New Roman"/>
          <w:b/>
          <w:bCs/>
          <w:color w:val="000000"/>
          <w:kern w:val="0"/>
          <w:lang w:eastAsia="en-AU"/>
          <w14:ligatures w14:val="none"/>
        </w:rPr>
        <w:t>Table 2</w:t>
      </w:r>
      <w:r>
        <w:rPr>
          <w:rFonts w:ascii="Aptos Narrow" w:eastAsia="Times New Roman" w:hAnsi="Aptos Narrow" w:cs="Times New Roman"/>
          <w:b/>
          <w:bCs/>
          <w:color w:val="000000"/>
          <w:kern w:val="0"/>
          <w:lang w:eastAsia="en-AU"/>
          <w14:ligatures w14:val="none"/>
        </w:rPr>
        <w:t>:</w:t>
      </w:r>
      <w:r w:rsidRPr="00940C3D">
        <w:rPr>
          <w:rFonts w:ascii="Aptos Narrow" w:eastAsia="Times New Roman" w:hAnsi="Aptos Narrow" w:cs="Times New Roman"/>
          <w:b/>
          <w:bCs/>
          <w:color w:val="000000"/>
          <w:kern w:val="0"/>
          <w:lang w:eastAsia="en-AU"/>
          <w14:ligatures w14:val="none"/>
        </w:rPr>
        <w:t xml:space="preserve"> Defining the </w:t>
      </w:r>
      <w:r>
        <w:rPr>
          <w:rFonts w:ascii="Aptos Narrow" w:eastAsia="Times New Roman" w:hAnsi="Aptos Narrow" w:cs="Times New Roman"/>
          <w:b/>
          <w:bCs/>
          <w:color w:val="000000"/>
          <w:kern w:val="0"/>
          <w:lang w:eastAsia="en-AU"/>
          <w14:ligatures w14:val="none"/>
        </w:rPr>
        <w:t>g</w:t>
      </w:r>
      <w:r w:rsidRPr="00940C3D">
        <w:rPr>
          <w:rFonts w:ascii="Aptos Narrow" w:eastAsia="Times New Roman" w:hAnsi="Aptos Narrow" w:cs="Times New Roman"/>
          <w:b/>
          <w:bCs/>
          <w:color w:val="000000"/>
          <w:kern w:val="0"/>
          <w:lang w:eastAsia="en-AU"/>
          <w14:ligatures w14:val="none"/>
        </w:rPr>
        <w:t xml:space="preserve">oal of an </w:t>
      </w:r>
      <w:r>
        <w:rPr>
          <w:rFonts w:ascii="Aptos Narrow" w:eastAsia="Times New Roman" w:hAnsi="Aptos Narrow" w:cs="Times New Roman"/>
          <w:b/>
          <w:bCs/>
          <w:color w:val="000000"/>
          <w:kern w:val="0"/>
          <w:lang w:eastAsia="en-AU"/>
          <w14:ligatures w14:val="none"/>
        </w:rPr>
        <w:t>i</w:t>
      </w:r>
      <w:r w:rsidRPr="00940C3D">
        <w:rPr>
          <w:rFonts w:ascii="Aptos Narrow" w:eastAsia="Times New Roman" w:hAnsi="Aptos Narrow" w:cs="Times New Roman"/>
          <w:b/>
          <w:bCs/>
          <w:color w:val="000000"/>
          <w:kern w:val="0"/>
          <w:lang w:eastAsia="en-AU"/>
          <w14:ligatures w14:val="none"/>
        </w:rPr>
        <w:t>nventory</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598"/>
        <w:gridCol w:w="6520"/>
      </w:tblGrid>
      <w:tr w:rsidR="001E62B2" w:rsidRPr="00940C3D" w14:paraId="040DF131" w14:textId="77777777" w:rsidTr="20C26CE9">
        <w:trPr>
          <w:trHeight w:val="600"/>
          <w:tblHeader/>
        </w:trPr>
        <w:tc>
          <w:tcPr>
            <w:tcW w:w="1642" w:type="dxa"/>
            <w:shd w:val="clear" w:color="auto" w:fill="E8E8E8" w:themeFill="background2"/>
            <w:vAlign w:val="center"/>
            <w:hideMark/>
          </w:tcPr>
          <w:p w14:paraId="346352F3" w14:textId="77777777" w:rsidR="001E62B2" w:rsidRPr="00940C3D"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940C3D">
              <w:rPr>
                <w:rFonts w:ascii="Aptos Narrow" w:eastAsia="Times New Roman" w:hAnsi="Aptos Narrow" w:cs="Times New Roman"/>
                <w:b/>
                <w:bCs/>
                <w:color w:val="000000"/>
                <w:kern w:val="0"/>
                <w:lang w:eastAsia="en-AU"/>
                <w14:ligatures w14:val="none"/>
              </w:rPr>
              <w:t>Questions</w:t>
            </w:r>
          </w:p>
        </w:tc>
        <w:tc>
          <w:tcPr>
            <w:tcW w:w="1598" w:type="dxa"/>
            <w:shd w:val="clear" w:color="auto" w:fill="E8E8E8" w:themeFill="background2"/>
            <w:vAlign w:val="center"/>
            <w:hideMark/>
          </w:tcPr>
          <w:p w14:paraId="61720400" w14:textId="77777777" w:rsidR="001E62B2" w:rsidRPr="00940C3D"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940C3D">
              <w:rPr>
                <w:rFonts w:ascii="Aptos Narrow" w:eastAsia="Times New Roman" w:hAnsi="Aptos Narrow" w:cs="Times New Roman"/>
                <w:b/>
                <w:bCs/>
                <w:color w:val="000000"/>
                <w:kern w:val="0"/>
                <w:lang w:eastAsia="en-AU"/>
                <w14:ligatures w14:val="none"/>
              </w:rPr>
              <w:t xml:space="preserve">Example </w:t>
            </w:r>
            <w:r>
              <w:rPr>
                <w:rFonts w:ascii="Aptos Narrow" w:eastAsia="Times New Roman" w:hAnsi="Aptos Narrow" w:cs="Times New Roman"/>
                <w:b/>
                <w:bCs/>
                <w:color w:val="000000"/>
                <w:kern w:val="0"/>
                <w:lang w:eastAsia="en-AU"/>
                <w14:ligatures w14:val="none"/>
              </w:rPr>
              <w:t>a</w:t>
            </w:r>
            <w:r w:rsidRPr="00940C3D">
              <w:rPr>
                <w:rFonts w:ascii="Aptos Narrow" w:eastAsia="Times New Roman" w:hAnsi="Aptos Narrow" w:cs="Times New Roman"/>
                <w:b/>
                <w:bCs/>
                <w:color w:val="000000"/>
                <w:kern w:val="0"/>
                <w:lang w:eastAsia="en-AU"/>
                <w14:ligatures w14:val="none"/>
              </w:rPr>
              <w:t>nswers</w:t>
            </w:r>
          </w:p>
        </w:tc>
        <w:tc>
          <w:tcPr>
            <w:tcW w:w="6520" w:type="dxa"/>
            <w:shd w:val="clear" w:color="auto" w:fill="E8E8E8" w:themeFill="background2"/>
            <w:vAlign w:val="center"/>
            <w:hideMark/>
          </w:tcPr>
          <w:p w14:paraId="6E105807" w14:textId="77777777" w:rsidR="001E62B2" w:rsidRPr="00940C3D"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940C3D">
              <w:rPr>
                <w:rFonts w:ascii="Aptos Narrow" w:eastAsia="Times New Roman" w:hAnsi="Aptos Narrow" w:cs="Times New Roman"/>
                <w:b/>
                <w:bCs/>
                <w:color w:val="000000"/>
                <w:kern w:val="0"/>
                <w:lang w:eastAsia="en-AU"/>
                <w14:ligatures w14:val="none"/>
              </w:rPr>
              <w:t>Actions or Considerations (</w:t>
            </w:r>
            <w:r>
              <w:rPr>
                <w:rFonts w:ascii="Aptos Narrow" w:eastAsia="Times New Roman" w:hAnsi="Aptos Narrow" w:cs="Times New Roman"/>
                <w:b/>
                <w:bCs/>
                <w:color w:val="000000"/>
                <w:kern w:val="0"/>
                <w:lang w:eastAsia="en-AU"/>
                <w14:ligatures w14:val="none"/>
              </w:rPr>
              <w:t>d</w:t>
            </w:r>
            <w:r w:rsidRPr="00940C3D">
              <w:rPr>
                <w:rFonts w:ascii="Aptos Narrow" w:eastAsia="Times New Roman" w:hAnsi="Aptos Narrow" w:cs="Times New Roman"/>
                <w:b/>
                <w:bCs/>
                <w:color w:val="000000"/>
                <w:kern w:val="0"/>
                <w:lang w:eastAsia="en-AU"/>
                <w14:ligatures w14:val="none"/>
              </w:rPr>
              <w:t xml:space="preserve">epending on </w:t>
            </w:r>
            <w:r>
              <w:rPr>
                <w:rFonts w:ascii="Aptos Narrow" w:eastAsia="Times New Roman" w:hAnsi="Aptos Narrow" w:cs="Times New Roman"/>
                <w:b/>
                <w:bCs/>
                <w:color w:val="000000"/>
                <w:kern w:val="0"/>
                <w:lang w:eastAsia="en-AU"/>
                <w14:ligatures w14:val="none"/>
              </w:rPr>
              <w:t>g</w:t>
            </w:r>
            <w:r w:rsidRPr="00940C3D">
              <w:rPr>
                <w:rFonts w:ascii="Aptos Narrow" w:eastAsia="Times New Roman" w:hAnsi="Aptos Narrow" w:cs="Times New Roman"/>
                <w:b/>
                <w:bCs/>
                <w:color w:val="000000"/>
                <w:kern w:val="0"/>
                <w:lang w:eastAsia="en-AU"/>
                <w14:ligatures w14:val="none"/>
              </w:rPr>
              <w:t>oal)</w:t>
            </w:r>
          </w:p>
        </w:tc>
      </w:tr>
      <w:tr w:rsidR="001E62B2" w:rsidRPr="00940C3D" w14:paraId="37AC14BB" w14:textId="77777777">
        <w:trPr>
          <w:trHeight w:val="2540"/>
        </w:trPr>
        <w:tc>
          <w:tcPr>
            <w:tcW w:w="1642" w:type="dxa"/>
            <w:vMerge w:val="restart"/>
            <w:vAlign w:val="center"/>
            <w:hideMark/>
          </w:tcPr>
          <w:p w14:paraId="25EAA6F7" w14:textId="77777777" w:rsidR="001E62B2" w:rsidRPr="00940C3D"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940C3D">
              <w:rPr>
                <w:rFonts w:ascii="Aptos Narrow" w:eastAsia="Times New Roman" w:hAnsi="Aptos Narrow" w:cs="Times New Roman"/>
                <w:b/>
                <w:bCs/>
                <w:color w:val="000000"/>
                <w:kern w:val="0"/>
                <w:lang w:eastAsia="en-AU"/>
                <w14:ligatures w14:val="none"/>
              </w:rPr>
              <w:t>What is / are the primary goal(s)?</w:t>
            </w:r>
          </w:p>
        </w:tc>
        <w:tc>
          <w:tcPr>
            <w:tcW w:w="1598" w:type="dxa"/>
            <w:vAlign w:val="center"/>
            <w:hideMark/>
          </w:tcPr>
          <w:p w14:paraId="3614141E" w14:textId="77777777" w:rsidR="001E62B2" w:rsidRPr="00940C3D" w:rsidRDefault="001E62B2">
            <w:pPr>
              <w:spacing w:after="0" w:line="240" w:lineRule="auto"/>
              <w:jc w:val="center"/>
              <w:rPr>
                <w:rFonts w:ascii="Aptos Narrow" w:eastAsia="Times New Roman" w:hAnsi="Aptos Narrow" w:cs="Times New Roman"/>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t>Farm planning</w:t>
            </w:r>
          </w:p>
        </w:tc>
        <w:tc>
          <w:tcPr>
            <w:tcW w:w="6520" w:type="dxa"/>
            <w:hideMark/>
          </w:tcPr>
          <w:p w14:paraId="3B549A31" w14:textId="77777777" w:rsidR="001E62B2" w:rsidRPr="00940C3D" w:rsidRDefault="001E62B2">
            <w:pPr>
              <w:spacing w:after="0" w:line="240" w:lineRule="auto"/>
              <w:rPr>
                <w:rFonts w:ascii="Aptos Narrow" w:eastAsia="Times New Roman" w:hAnsi="Aptos Narrow" w:cs="Times New Roman"/>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t xml:space="preserve">Follow the </w:t>
            </w:r>
            <w:r w:rsidRPr="00940C3D">
              <w:rPr>
                <w:rFonts w:ascii="Aptos Narrow" w:eastAsia="Times New Roman" w:hAnsi="Aptos Narrow" w:cs="Times New Roman"/>
                <w:b/>
                <w:bCs/>
                <w:color w:val="000000"/>
                <w:kern w:val="0"/>
                <w:lang w:eastAsia="en-AU"/>
                <w14:ligatures w14:val="none"/>
              </w:rPr>
              <w:t>Common Requirements Framework</w:t>
            </w:r>
            <w:r w:rsidRPr="00940C3D">
              <w:rPr>
                <w:rFonts w:ascii="Aptos Narrow" w:eastAsia="Times New Roman" w:hAnsi="Aptos Narrow" w:cs="Times New Roman"/>
                <w:color w:val="000000"/>
                <w:kern w:val="0"/>
                <w:lang w:eastAsia="en-AU"/>
                <w14:ligatures w14:val="none"/>
              </w:rPr>
              <w:t xml:space="preserve"> to define the core requirements for producing an inventory.  </w:t>
            </w:r>
            <w:r w:rsidRPr="00940C3D">
              <w:rPr>
                <w:rFonts w:ascii="Aptos Narrow" w:eastAsia="Times New Roman" w:hAnsi="Aptos Narrow" w:cs="Times New Roman"/>
                <w:color w:val="000000"/>
                <w:kern w:val="0"/>
                <w:lang w:eastAsia="en-AU"/>
                <w14:ligatures w14:val="none"/>
              </w:rPr>
              <w:br/>
            </w:r>
            <w:r w:rsidRPr="00940C3D">
              <w:rPr>
                <w:rFonts w:ascii="Aptos Narrow" w:eastAsia="Times New Roman" w:hAnsi="Aptos Narrow" w:cs="Times New Roman"/>
                <w:color w:val="000000"/>
                <w:kern w:val="0"/>
                <w:lang w:eastAsia="en-AU"/>
                <w14:ligatures w14:val="none"/>
              </w:rPr>
              <w:br/>
              <w:t>Consult industry specific guidance</w:t>
            </w:r>
            <w:r>
              <w:rPr>
                <w:rFonts w:ascii="Aptos Narrow" w:eastAsia="Times New Roman" w:hAnsi="Aptos Narrow" w:cs="Times New Roman"/>
                <w:color w:val="000000"/>
                <w:kern w:val="0"/>
                <w:lang w:eastAsia="en-AU"/>
                <w14:ligatures w14:val="none"/>
              </w:rPr>
              <w:t xml:space="preserve"> and use GHG calculators</w:t>
            </w:r>
            <w:r w:rsidRPr="00940C3D">
              <w:rPr>
                <w:rFonts w:ascii="Aptos Narrow" w:eastAsia="Times New Roman" w:hAnsi="Aptos Narrow" w:cs="Times New Roman"/>
                <w:color w:val="000000"/>
                <w:kern w:val="0"/>
                <w:lang w:eastAsia="en-AU"/>
                <w14:ligatures w14:val="none"/>
              </w:rPr>
              <w:t xml:space="preserve"> available through Rural and Regional Development Corporations (RDCs), including for information on emissions reduction strategies. </w:t>
            </w:r>
            <w:r w:rsidRPr="00940C3D">
              <w:rPr>
                <w:rFonts w:ascii="Aptos Narrow" w:eastAsia="Times New Roman" w:hAnsi="Aptos Narrow" w:cs="Times New Roman"/>
                <w:color w:val="000000"/>
                <w:kern w:val="0"/>
                <w:lang w:eastAsia="en-AU"/>
                <w14:ligatures w14:val="none"/>
              </w:rPr>
              <w:br/>
            </w:r>
            <w:r w:rsidRPr="00940C3D">
              <w:rPr>
                <w:rFonts w:ascii="Aptos Narrow" w:eastAsia="Times New Roman" w:hAnsi="Aptos Narrow" w:cs="Times New Roman"/>
                <w:color w:val="000000"/>
                <w:kern w:val="0"/>
                <w:lang w:eastAsia="en-AU"/>
                <w14:ligatures w14:val="none"/>
              </w:rPr>
              <w:br/>
              <w:t xml:space="preserve">Focus on identifying key emission sources and opportunities for mitigation within operations and improving data management. </w:t>
            </w:r>
          </w:p>
        </w:tc>
      </w:tr>
      <w:tr w:rsidR="001E62B2" w:rsidRPr="00940C3D" w14:paraId="55ACF928" w14:textId="77777777">
        <w:trPr>
          <w:trHeight w:val="920"/>
        </w:trPr>
        <w:tc>
          <w:tcPr>
            <w:tcW w:w="1642" w:type="dxa"/>
            <w:vMerge/>
            <w:vAlign w:val="center"/>
            <w:hideMark/>
          </w:tcPr>
          <w:p w14:paraId="5FA415FC" w14:textId="77777777" w:rsidR="001E62B2" w:rsidRPr="00940C3D" w:rsidRDefault="001E62B2">
            <w:pPr>
              <w:spacing w:after="0" w:line="240" w:lineRule="auto"/>
              <w:rPr>
                <w:rFonts w:ascii="Aptos Narrow" w:eastAsia="Times New Roman" w:hAnsi="Aptos Narrow" w:cs="Times New Roman"/>
                <w:b/>
                <w:bCs/>
                <w:color w:val="000000"/>
                <w:kern w:val="0"/>
                <w:lang w:eastAsia="en-AU"/>
                <w14:ligatures w14:val="none"/>
              </w:rPr>
            </w:pPr>
          </w:p>
        </w:tc>
        <w:tc>
          <w:tcPr>
            <w:tcW w:w="1598" w:type="dxa"/>
            <w:vAlign w:val="center"/>
            <w:hideMark/>
          </w:tcPr>
          <w:p w14:paraId="34EC4C66" w14:textId="77777777" w:rsidR="001E62B2" w:rsidRPr="00940C3D" w:rsidRDefault="001E62B2">
            <w:pPr>
              <w:spacing w:after="0" w:line="240" w:lineRule="auto"/>
              <w:jc w:val="center"/>
              <w:rPr>
                <w:rFonts w:ascii="Aptos Narrow" w:eastAsia="Times New Roman" w:hAnsi="Aptos Narrow" w:cs="Times New Roman"/>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t>Climate-related financial disclosure</w:t>
            </w:r>
          </w:p>
        </w:tc>
        <w:tc>
          <w:tcPr>
            <w:tcW w:w="6520" w:type="dxa"/>
            <w:vAlign w:val="center"/>
            <w:hideMark/>
          </w:tcPr>
          <w:p w14:paraId="683BB573" w14:textId="7554E328" w:rsidR="001E62B2" w:rsidRPr="00940C3D" w:rsidRDefault="001E62B2">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 xml:space="preserve">Requires reporting of scope 1, 2 and both upstream and downstream Scope 3. Check </w:t>
            </w:r>
            <w:hyperlink r:id="rId52" w:history="1">
              <w:hyperlink r:id="rId53" w:history="1">
                <w:hyperlink r:id="rId54" w:history="1">
                  <w:hyperlink r:id="rId55" w:history="1">
                    <w:r w:rsidRPr="007D6E74">
                      <w:rPr>
                        <w:rStyle w:val="Hyperlink"/>
                        <w:rFonts w:ascii="Aptos Narrow" w:eastAsia="Times New Roman" w:hAnsi="Aptos Narrow" w:cs="Times New Roman"/>
                        <w:kern w:val="0"/>
                        <w:lang w:eastAsia="en-AU"/>
                        <w14:ligatures w14:val="none"/>
                      </w:rPr>
                      <w:t>AASB S2</w:t>
                    </w:r>
                  </w:hyperlink>
                </w:hyperlink>
              </w:hyperlink>
            </w:hyperlink>
            <w:r>
              <w:rPr>
                <w:rFonts w:ascii="Aptos Narrow" w:eastAsia="Times New Roman" w:hAnsi="Aptos Narrow" w:cs="Times New Roman"/>
                <w:color w:val="000000"/>
                <w:kern w:val="0"/>
                <w:lang w:eastAsia="en-AU"/>
                <w14:ligatures w14:val="none"/>
              </w:rPr>
              <w:t xml:space="preserve"> for requirements. </w:t>
            </w:r>
          </w:p>
        </w:tc>
      </w:tr>
      <w:tr w:rsidR="001E62B2" w:rsidRPr="00940C3D" w14:paraId="7F2CECDE" w14:textId="77777777">
        <w:trPr>
          <w:trHeight w:val="1120"/>
        </w:trPr>
        <w:tc>
          <w:tcPr>
            <w:tcW w:w="1642" w:type="dxa"/>
            <w:vMerge/>
            <w:vAlign w:val="center"/>
            <w:hideMark/>
          </w:tcPr>
          <w:p w14:paraId="67DF6173" w14:textId="77777777" w:rsidR="001E62B2" w:rsidRPr="00940C3D" w:rsidRDefault="001E62B2">
            <w:pPr>
              <w:spacing w:after="0" w:line="240" w:lineRule="auto"/>
              <w:rPr>
                <w:rFonts w:ascii="Aptos Narrow" w:eastAsia="Times New Roman" w:hAnsi="Aptos Narrow" w:cs="Times New Roman"/>
                <w:b/>
                <w:bCs/>
                <w:color w:val="000000"/>
                <w:kern w:val="0"/>
                <w:lang w:eastAsia="en-AU"/>
                <w14:ligatures w14:val="none"/>
              </w:rPr>
            </w:pPr>
          </w:p>
        </w:tc>
        <w:tc>
          <w:tcPr>
            <w:tcW w:w="1598" w:type="dxa"/>
            <w:vAlign w:val="center"/>
            <w:hideMark/>
          </w:tcPr>
          <w:p w14:paraId="7FAA6485" w14:textId="77777777" w:rsidR="001E62B2" w:rsidRPr="00940C3D" w:rsidRDefault="001E62B2">
            <w:pPr>
              <w:spacing w:after="0" w:line="240" w:lineRule="auto"/>
              <w:jc w:val="center"/>
              <w:rPr>
                <w:rFonts w:ascii="Aptos Narrow" w:eastAsia="Times New Roman" w:hAnsi="Aptos Narrow" w:cs="Times New Roman"/>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t>Supply chain o</w:t>
            </w:r>
            <w:r>
              <w:rPr>
                <w:rFonts w:ascii="Aptos Narrow" w:eastAsia="Times New Roman" w:hAnsi="Aptos Narrow" w:cs="Times New Roman"/>
                <w:color w:val="000000"/>
                <w:kern w:val="0"/>
                <w:lang w:eastAsia="en-AU"/>
                <w14:ligatures w14:val="none"/>
              </w:rPr>
              <w:t>r</w:t>
            </w:r>
            <w:r w:rsidRPr="00940C3D">
              <w:rPr>
                <w:rFonts w:ascii="Aptos Narrow" w:eastAsia="Times New Roman" w:hAnsi="Aptos Narrow" w:cs="Times New Roman"/>
                <w:color w:val="000000"/>
                <w:kern w:val="0"/>
                <w:lang w:eastAsia="en-AU"/>
                <w14:ligatures w14:val="none"/>
              </w:rPr>
              <w:t xml:space="preserve"> financial services reporting requirements</w:t>
            </w:r>
          </w:p>
        </w:tc>
        <w:tc>
          <w:tcPr>
            <w:tcW w:w="6520" w:type="dxa"/>
            <w:vAlign w:val="center"/>
            <w:hideMark/>
          </w:tcPr>
          <w:p w14:paraId="46DF4A29" w14:textId="77777777" w:rsidR="001E62B2" w:rsidRPr="00940C3D" w:rsidRDefault="001E62B2">
            <w:pPr>
              <w:spacing w:after="0" w:line="240" w:lineRule="auto"/>
              <w:rPr>
                <w:rFonts w:ascii="Aptos Narrow" w:eastAsia="Times New Roman" w:hAnsi="Aptos Narrow" w:cs="Times New Roman"/>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t xml:space="preserve">Check third party data and reporting requirements, including </w:t>
            </w:r>
            <w:r>
              <w:rPr>
                <w:rFonts w:ascii="Aptos Narrow" w:eastAsia="Times New Roman" w:hAnsi="Aptos Narrow" w:cs="Times New Roman"/>
                <w:color w:val="000000"/>
                <w:kern w:val="0"/>
                <w:lang w:eastAsia="en-AU"/>
                <w14:ligatures w14:val="none"/>
              </w:rPr>
              <w:t>required Scope 3 reporting categories and</w:t>
            </w:r>
            <w:r w:rsidRPr="00940C3D">
              <w:rPr>
                <w:rFonts w:ascii="Aptos Narrow" w:eastAsia="Times New Roman" w:hAnsi="Aptos Narrow" w:cs="Times New Roman"/>
                <w:color w:val="000000"/>
                <w:kern w:val="0"/>
                <w:lang w:eastAsia="en-AU"/>
                <w14:ligatures w14:val="none"/>
              </w:rPr>
              <w:t xml:space="preserve"> any specific traceability systems compliance.</w:t>
            </w:r>
          </w:p>
        </w:tc>
      </w:tr>
      <w:tr w:rsidR="001E62B2" w:rsidRPr="00940C3D" w14:paraId="49AE95E8" w14:textId="77777777">
        <w:trPr>
          <w:trHeight w:val="600"/>
        </w:trPr>
        <w:tc>
          <w:tcPr>
            <w:tcW w:w="1642" w:type="dxa"/>
            <w:vMerge w:val="restart"/>
            <w:vAlign w:val="center"/>
            <w:hideMark/>
          </w:tcPr>
          <w:p w14:paraId="79880904" w14:textId="368D8686" w:rsidR="001E62B2" w:rsidRPr="00940C3D" w:rsidRDefault="00A119CF">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 xml:space="preserve">Are you producing an entity inventory or undertaking a product emissions intensity assessment? </w:t>
            </w:r>
          </w:p>
        </w:tc>
        <w:tc>
          <w:tcPr>
            <w:tcW w:w="1598" w:type="dxa"/>
            <w:vAlign w:val="center"/>
            <w:hideMark/>
          </w:tcPr>
          <w:p w14:paraId="72CECEC5" w14:textId="77777777" w:rsidR="001E62B2" w:rsidRPr="00940C3D" w:rsidRDefault="001E62B2">
            <w:pPr>
              <w:spacing w:after="0" w:line="240" w:lineRule="auto"/>
              <w:jc w:val="center"/>
              <w:rPr>
                <w:rFonts w:ascii="Aptos Narrow" w:eastAsia="Times New Roman" w:hAnsi="Aptos Narrow" w:cs="Times New Roman"/>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t>Entity inventory</w:t>
            </w:r>
          </w:p>
        </w:tc>
        <w:tc>
          <w:tcPr>
            <w:tcW w:w="6520" w:type="dxa"/>
            <w:vAlign w:val="center"/>
            <w:hideMark/>
          </w:tcPr>
          <w:p w14:paraId="02DF4033" w14:textId="77777777" w:rsidR="001E62B2" w:rsidRPr="00940C3D" w:rsidRDefault="001E62B2">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 xml:space="preserve">Follow the </w:t>
            </w:r>
            <w:r w:rsidRPr="00EF2DFE">
              <w:rPr>
                <w:rFonts w:ascii="Aptos Narrow" w:eastAsia="Times New Roman" w:hAnsi="Aptos Narrow" w:cs="Times New Roman"/>
                <w:b/>
                <w:bCs/>
                <w:color w:val="000000"/>
                <w:kern w:val="0"/>
                <w:lang w:eastAsia="en-AU"/>
                <w14:ligatures w14:val="none"/>
              </w:rPr>
              <w:t>Common Requirements Framework</w:t>
            </w:r>
            <w:r>
              <w:rPr>
                <w:rFonts w:ascii="Aptos Narrow" w:eastAsia="Times New Roman" w:hAnsi="Aptos Narrow" w:cs="Times New Roman"/>
                <w:b/>
                <w:bCs/>
                <w:color w:val="000000"/>
                <w:kern w:val="0"/>
                <w:lang w:eastAsia="en-AU"/>
                <w14:ligatures w14:val="none"/>
              </w:rPr>
              <w:t xml:space="preserve"> (Chapters 1 -1 0)</w:t>
            </w:r>
            <w:r w:rsidRPr="00EF2DFE">
              <w:rPr>
                <w:rFonts w:ascii="Aptos Narrow" w:eastAsia="Times New Roman" w:hAnsi="Aptos Narrow" w:cs="Times New Roman"/>
                <w:b/>
                <w:bCs/>
                <w:color w:val="000000"/>
                <w:kern w:val="0"/>
                <w:lang w:eastAsia="en-AU"/>
                <w14:ligatures w14:val="none"/>
              </w:rPr>
              <w:t>.</w:t>
            </w:r>
            <w:r>
              <w:rPr>
                <w:rFonts w:ascii="Aptos Narrow" w:eastAsia="Times New Roman" w:hAnsi="Aptos Narrow" w:cs="Times New Roman"/>
                <w:color w:val="000000"/>
                <w:kern w:val="0"/>
                <w:lang w:eastAsia="en-AU"/>
                <w14:ligatures w14:val="none"/>
              </w:rPr>
              <w:t xml:space="preserve"> </w:t>
            </w:r>
            <w:r w:rsidRPr="00940C3D">
              <w:rPr>
                <w:rFonts w:ascii="Aptos Narrow" w:eastAsia="Times New Roman" w:hAnsi="Aptos Narrow" w:cs="Times New Roman"/>
                <w:color w:val="000000"/>
                <w:kern w:val="0"/>
                <w:lang w:eastAsia="en-AU"/>
                <w14:ligatures w14:val="none"/>
              </w:rPr>
              <w:t xml:space="preserve"> </w:t>
            </w:r>
          </w:p>
        </w:tc>
      </w:tr>
      <w:tr w:rsidR="001E62B2" w:rsidRPr="00940C3D" w14:paraId="24803CB1" w14:textId="77777777">
        <w:trPr>
          <w:trHeight w:val="920"/>
        </w:trPr>
        <w:tc>
          <w:tcPr>
            <w:tcW w:w="1642" w:type="dxa"/>
            <w:vMerge/>
            <w:vAlign w:val="center"/>
            <w:hideMark/>
          </w:tcPr>
          <w:p w14:paraId="49B9B3A9" w14:textId="77777777" w:rsidR="001E62B2" w:rsidRPr="00940C3D" w:rsidRDefault="001E62B2">
            <w:pPr>
              <w:spacing w:after="0" w:line="240" w:lineRule="auto"/>
              <w:rPr>
                <w:rFonts w:ascii="Aptos Narrow" w:eastAsia="Times New Roman" w:hAnsi="Aptos Narrow" w:cs="Times New Roman"/>
                <w:b/>
                <w:bCs/>
                <w:color w:val="000000"/>
                <w:kern w:val="0"/>
                <w:lang w:eastAsia="en-AU"/>
                <w14:ligatures w14:val="none"/>
              </w:rPr>
            </w:pPr>
          </w:p>
        </w:tc>
        <w:tc>
          <w:tcPr>
            <w:tcW w:w="1598" w:type="dxa"/>
            <w:vAlign w:val="center"/>
            <w:hideMark/>
          </w:tcPr>
          <w:p w14:paraId="742E24B8" w14:textId="581B04C9" w:rsidR="001E62B2" w:rsidRPr="004E07C3" w:rsidRDefault="001E62B2">
            <w:pPr>
              <w:spacing w:after="0" w:line="240" w:lineRule="auto"/>
              <w:jc w:val="center"/>
              <w:rPr>
                <w:rFonts w:ascii="Aptos Narrow" w:eastAsia="Times New Roman" w:hAnsi="Aptos Narrow" w:cs="Times New Roman"/>
                <w:color w:val="000000"/>
                <w:kern w:val="0"/>
                <w:lang w:eastAsia="en-AU"/>
                <w14:ligatures w14:val="none"/>
              </w:rPr>
            </w:pPr>
            <w:r w:rsidRPr="004E07C3">
              <w:rPr>
                <w:rFonts w:ascii="Aptos Narrow" w:eastAsia="Times New Roman" w:hAnsi="Aptos Narrow" w:cs="Times New Roman"/>
                <w:color w:val="000000"/>
                <w:kern w:val="0"/>
                <w:lang w:eastAsia="en-AU"/>
                <w14:ligatures w14:val="none"/>
              </w:rPr>
              <w:t xml:space="preserve">Product emissions </w:t>
            </w:r>
            <w:r w:rsidR="00A119CF">
              <w:rPr>
                <w:rFonts w:ascii="Aptos Narrow" w:eastAsia="Times New Roman" w:hAnsi="Aptos Narrow" w:cs="Times New Roman"/>
                <w:color w:val="000000"/>
                <w:kern w:val="0"/>
                <w:lang w:eastAsia="en-AU"/>
                <w14:ligatures w14:val="none"/>
              </w:rPr>
              <w:t>intensity</w:t>
            </w:r>
          </w:p>
        </w:tc>
        <w:tc>
          <w:tcPr>
            <w:tcW w:w="6520" w:type="dxa"/>
            <w:vAlign w:val="center"/>
            <w:hideMark/>
          </w:tcPr>
          <w:p w14:paraId="2943AE3E" w14:textId="76B7A2E0" w:rsidR="001E62B2" w:rsidRPr="00E3191C" w:rsidRDefault="009456DD" w:rsidP="00A64E05">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Consider whether</w:t>
            </w:r>
            <w:r w:rsidR="00734C44">
              <w:rPr>
                <w:rFonts w:ascii="Aptos Narrow" w:eastAsia="Times New Roman" w:hAnsi="Aptos Narrow" w:cs="Times New Roman"/>
                <w:color w:val="000000"/>
                <w:kern w:val="0"/>
                <w:lang w:eastAsia="en-AU"/>
                <w14:ligatures w14:val="none"/>
              </w:rPr>
              <w:t xml:space="preserve"> input data </w:t>
            </w:r>
            <w:r w:rsidR="00113D0E">
              <w:rPr>
                <w:rFonts w:ascii="Aptos Narrow" w:eastAsia="Times New Roman" w:hAnsi="Aptos Narrow" w:cs="Times New Roman"/>
                <w:color w:val="000000"/>
                <w:kern w:val="0"/>
                <w:lang w:eastAsia="en-AU"/>
                <w14:ligatures w14:val="none"/>
              </w:rPr>
              <w:t>need</w:t>
            </w:r>
            <w:r w:rsidR="00A64E05">
              <w:rPr>
                <w:rFonts w:ascii="Aptos Narrow" w:eastAsia="Times New Roman" w:hAnsi="Aptos Narrow" w:cs="Times New Roman"/>
                <w:color w:val="000000"/>
                <w:kern w:val="0"/>
                <w:lang w:eastAsia="en-AU"/>
                <w14:ligatures w14:val="none"/>
              </w:rPr>
              <w:t xml:space="preserve"> to</w:t>
            </w:r>
            <w:r w:rsidR="00532828">
              <w:rPr>
                <w:rFonts w:ascii="Aptos Narrow" w:eastAsia="Times New Roman" w:hAnsi="Aptos Narrow" w:cs="Times New Roman"/>
                <w:color w:val="000000"/>
                <w:kern w:val="0"/>
                <w:lang w:eastAsia="en-AU"/>
                <w14:ligatures w14:val="none"/>
              </w:rPr>
              <w:t xml:space="preserve"> be</w:t>
            </w:r>
            <w:r w:rsidR="00A64E05">
              <w:rPr>
                <w:rFonts w:ascii="Aptos Narrow" w:eastAsia="Times New Roman" w:hAnsi="Aptos Narrow" w:cs="Times New Roman"/>
                <w:color w:val="000000"/>
                <w:kern w:val="0"/>
                <w:lang w:eastAsia="en-AU"/>
                <w14:ligatures w14:val="none"/>
              </w:rPr>
              <w:t xml:space="preserve"> collected </w:t>
            </w:r>
            <w:r w:rsidR="00734C44">
              <w:rPr>
                <w:rFonts w:ascii="Aptos Narrow" w:eastAsia="Times New Roman" w:hAnsi="Aptos Narrow" w:cs="Times New Roman"/>
                <w:color w:val="000000"/>
                <w:kern w:val="0"/>
                <w:lang w:eastAsia="en-AU"/>
                <w14:ligatures w14:val="none"/>
              </w:rPr>
              <w:t xml:space="preserve">and </w:t>
            </w:r>
            <w:r w:rsidR="0008672E">
              <w:rPr>
                <w:rFonts w:ascii="Aptos Narrow" w:eastAsia="Times New Roman" w:hAnsi="Aptos Narrow" w:cs="Times New Roman"/>
                <w:color w:val="000000"/>
                <w:kern w:val="0"/>
                <w:lang w:eastAsia="en-AU"/>
                <w14:ligatures w14:val="none"/>
              </w:rPr>
              <w:t>emission</w:t>
            </w:r>
            <w:r w:rsidR="00A64E05">
              <w:rPr>
                <w:rFonts w:ascii="Aptos Narrow" w:eastAsia="Times New Roman" w:hAnsi="Aptos Narrow" w:cs="Times New Roman"/>
                <w:color w:val="000000"/>
                <w:kern w:val="0"/>
                <w:lang w:eastAsia="en-AU"/>
                <w14:ligatures w14:val="none"/>
              </w:rPr>
              <w:t>s</w:t>
            </w:r>
            <w:r w:rsidR="0008672E">
              <w:rPr>
                <w:rFonts w:ascii="Aptos Narrow" w:eastAsia="Times New Roman" w:hAnsi="Aptos Narrow" w:cs="Times New Roman"/>
                <w:color w:val="000000"/>
                <w:kern w:val="0"/>
                <w:lang w:eastAsia="en-AU"/>
                <w14:ligatures w14:val="none"/>
              </w:rPr>
              <w:t xml:space="preserve"> estimate</w:t>
            </w:r>
            <w:r w:rsidR="00A64E05">
              <w:rPr>
                <w:rFonts w:ascii="Aptos Narrow" w:eastAsia="Times New Roman" w:hAnsi="Aptos Narrow" w:cs="Times New Roman"/>
                <w:color w:val="000000"/>
                <w:kern w:val="0"/>
                <w:lang w:eastAsia="en-AU"/>
                <w14:ligatures w14:val="none"/>
              </w:rPr>
              <w:t>d</w:t>
            </w:r>
            <w:r w:rsidR="0008672E">
              <w:rPr>
                <w:rFonts w:ascii="Aptos Narrow" w:eastAsia="Times New Roman" w:hAnsi="Aptos Narrow" w:cs="Times New Roman"/>
                <w:color w:val="000000"/>
                <w:kern w:val="0"/>
                <w:lang w:eastAsia="en-AU"/>
                <w14:ligatures w14:val="none"/>
              </w:rPr>
              <w:t xml:space="preserve"> at more granular level </w:t>
            </w:r>
            <w:r w:rsidR="00C62C0C">
              <w:rPr>
                <w:rFonts w:ascii="Aptos Narrow" w:eastAsia="Times New Roman" w:hAnsi="Aptos Narrow" w:cs="Times New Roman"/>
                <w:color w:val="000000"/>
                <w:kern w:val="0"/>
                <w:lang w:eastAsia="en-AU"/>
                <w14:ligatures w14:val="none"/>
              </w:rPr>
              <w:t>to support a</w:t>
            </w:r>
            <w:r w:rsidR="009C24D1">
              <w:rPr>
                <w:rFonts w:ascii="Aptos Narrow" w:eastAsia="Times New Roman" w:hAnsi="Aptos Narrow" w:cs="Times New Roman"/>
                <w:color w:val="000000"/>
                <w:kern w:val="0"/>
                <w:lang w:eastAsia="en-AU"/>
                <w14:ligatures w14:val="none"/>
              </w:rPr>
              <w:t xml:space="preserve">ssignment </w:t>
            </w:r>
            <w:r w:rsidR="00C62C0C">
              <w:rPr>
                <w:rFonts w:ascii="Aptos Narrow" w:eastAsia="Times New Roman" w:hAnsi="Aptos Narrow" w:cs="Times New Roman"/>
                <w:color w:val="000000"/>
                <w:kern w:val="0"/>
                <w:lang w:eastAsia="en-AU"/>
                <w14:ligatures w14:val="none"/>
              </w:rPr>
              <w:t>of emissions</w:t>
            </w:r>
            <w:r w:rsidR="00734C44">
              <w:rPr>
                <w:rFonts w:ascii="Aptos Narrow" w:eastAsia="Times New Roman" w:hAnsi="Aptos Narrow" w:cs="Times New Roman"/>
                <w:color w:val="000000"/>
                <w:kern w:val="0"/>
                <w:lang w:eastAsia="en-AU"/>
                <w14:ligatures w14:val="none"/>
              </w:rPr>
              <w:t xml:space="preserve"> to different products</w:t>
            </w:r>
            <w:r w:rsidR="00A64E05">
              <w:rPr>
                <w:rFonts w:ascii="Aptos Narrow" w:eastAsia="Times New Roman" w:hAnsi="Aptos Narrow" w:cs="Times New Roman"/>
                <w:color w:val="000000"/>
                <w:kern w:val="0"/>
                <w:lang w:eastAsia="en-AU"/>
                <w14:ligatures w14:val="none"/>
              </w:rPr>
              <w:t xml:space="preserve">. </w:t>
            </w:r>
            <w:r w:rsidR="00880C22">
              <w:rPr>
                <w:rFonts w:ascii="Aptos Narrow" w:eastAsia="Times New Roman" w:hAnsi="Aptos Narrow" w:cs="Times New Roman"/>
                <w:color w:val="000000"/>
                <w:kern w:val="0"/>
                <w:lang w:eastAsia="en-AU"/>
                <w14:ligatures w14:val="none"/>
              </w:rPr>
              <w:t xml:space="preserve">Refer to </w:t>
            </w:r>
            <w:r w:rsidR="001E62B2" w:rsidRPr="00E3191C">
              <w:rPr>
                <w:rFonts w:ascii="Aptos Narrow" w:eastAsia="Times New Roman" w:hAnsi="Aptos Narrow" w:cs="Times New Roman"/>
                <w:b/>
                <w:bCs/>
                <w:color w:val="000000"/>
                <w:kern w:val="0"/>
                <w:lang w:eastAsia="en-AU"/>
                <w14:ligatures w14:val="none"/>
              </w:rPr>
              <w:t>Chapter 1</w:t>
            </w:r>
            <w:r w:rsidR="00DD2F72">
              <w:rPr>
                <w:rFonts w:ascii="Aptos Narrow" w:eastAsia="Times New Roman" w:hAnsi="Aptos Narrow" w:cs="Times New Roman"/>
                <w:b/>
                <w:bCs/>
                <w:color w:val="000000"/>
                <w:kern w:val="0"/>
                <w:lang w:eastAsia="en-AU"/>
                <w14:ligatures w14:val="none"/>
              </w:rPr>
              <w:t>0</w:t>
            </w:r>
            <w:r w:rsidR="00C00B7F">
              <w:rPr>
                <w:rFonts w:ascii="Aptos Narrow" w:eastAsia="Times New Roman" w:hAnsi="Aptos Narrow" w:cs="Times New Roman"/>
                <w:b/>
                <w:bCs/>
                <w:color w:val="000000"/>
                <w:kern w:val="0"/>
                <w:lang w:eastAsia="en-AU"/>
                <w14:ligatures w14:val="none"/>
              </w:rPr>
              <w:t xml:space="preserve"> </w:t>
            </w:r>
            <w:r w:rsidR="00C00B7F" w:rsidRPr="00E3191C">
              <w:rPr>
                <w:rFonts w:ascii="Aptos Narrow" w:eastAsia="Times New Roman" w:hAnsi="Aptos Narrow" w:cs="Times New Roman"/>
                <w:color w:val="000000"/>
                <w:kern w:val="0"/>
                <w:lang w:eastAsia="en-AU"/>
                <w14:ligatures w14:val="none"/>
              </w:rPr>
              <w:t>for detailed guidance.</w:t>
            </w:r>
            <w:r w:rsidR="00C00B7F">
              <w:rPr>
                <w:rFonts w:ascii="Aptos Narrow" w:eastAsia="Times New Roman" w:hAnsi="Aptos Narrow" w:cs="Times New Roman"/>
                <w:b/>
                <w:bCs/>
                <w:color w:val="000000"/>
                <w:kern w:val="0"/>
                <w:lang w:eastAsia="en-AU"/>
                <w14:ligatures w14:val="none"/>
              </w:rPr>
              <w:t xml:space="preserve"> </w:t>
            </w:r>
          </w:p>
        </w:tc>
      </w:tr>
      <w:tr w:rsidR="001E62B2" w:rsidRPr="00940C3D" w14:paraId="02CC5981" w14:textId="77777777">
        <w:trPr>
          <w:trHeight w:val="640"/>
        </w:trPr>
        <w:tc>
          <w:tcPr>
            <w:tcW w:w="1642" w:type="dxa"/>
            <w:vMerge w:val="restart"/>
            <w:vAlign w:val="center"/>
            <w:hideMark/>
          </w:tcPr>
          <w:p w14:paraId="66A526AB" w14:textId="77777777" w:rsidR="001E62B2" w:rsidRPr="00940C3D"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940C3D">
              <w:rPr>
                <w:rFonts w:ascii="Aptos Narrow" w:eastAsia="Times New Roman" w:hAnsi="Aptos Narrow" w:cs="Times New Roman"/>
                <w:b/>
                <w:bCs/>
                <w:color w:val="000000"/>
                <w:kern w:val="0"/>
                <w:lang w:eastAsia="en-AU"/>
                <w14:ligatures w14:val="none"/>
              </w:rPr>
              <w:t xml:space="preserve">Will you be communicating </w:t>
            </w:r>
            <w:r w:rsidRPr="00940C3D">
              <w:rPr>
                <w:rFonts w:ascii="Aptos Narrow" w:eastAsia="Times New Roman" w:hAnsi="Aptos Narrow" w:cs="Times New Roman"/>
                <w:b/>
                <w:bCs/>
                <w:color w:val="000000"/>
                <w:kern w:val="0"/>
                <w:lang w:eastAsia="en-AU"/>
                <w14:ligatures w14:val="none"/>
              </w:rPr>
              <w:lastRenderedPageBreak/>
              <w:t>results to anyone outside of your entity?</w:t>
            </w:r>
          </w:p>
        </w:tc>
        <w:tc>
          <w:tcPr>
            <w:tcW w:w="1598" w:type="dxa"/>
            <w:vAlign w:val="center"/>
            <w:hideMark/>
          </w:tcPr>
          <w:p w14:paraId="68C95C30" w14:textId="77777777" w:rsidR="001E62B2" w:rsidRPr="00940C3D" w:rsidRDefault="001E62B2">
            <w:pPr>
              <w:spacing w:after="0" w:line="240" w:lineRule="auto"/>
              <w:jc w:val="center"/>
              <w:rPr>
                <w:rFonts w:ascii="Aptos Narrow" w:eastAsia="Times New Roman" w:hAnsi="Aptos Narrow" w:cs="Times New Roman"/>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lastRenderedPageBreak/>
              <w:t>Customers</w:t>
            </w:r>
          </w:p>
        </w:tc>
        <w:tc>
          <w:tcPr>
            <w:tcW w:w="6520" w:type="dxa"/>
            <w:hideMark/>
          </w:tcPr>
          <w:p w14:paraId="0FE29720" w14:textId="331ABBC3" w:rsidR="001E62B2" w:rsidRPr="00940C3D" w:rsidRDefault="001E62B2">
            <w:pPr>
              <w:spacing w:after="0" w:line="240" w:lineRule="auto"/>
              <w:rPr>
                <w:rFonts w:ascii="Aptos Narrow" w:eastAsia="Times New Roman" w:hAnsi="Aptos Narrow" w:cs="Times New Roman"/>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t>If external communication is intended, use the standard templates at</w:t>
            </w:r>
            <w:r w:rsidRPr="00940C3D">
              <w:rPr>
                <w:rFonts w:ascii="Aptos Narrow" w:eastAsia="Times New Roman" w:hAnsi="Aptos Narrow" w:cs="Times New Roman"/>
                <w:b/>
                <w:bCs/>
                <w:color w:val="000000"/>
                <w:kern w:val="0"/>
                <w:lang w:eastAsia="en-AU"/>
                <w14:ligatures w14:val="none"/>
              </w:rPr>
              <w:t xml:space="preserve"> Appendix </w:t>
            </w:r>
            <w:r w:rsidR="00371F06">
              <w:rPr>
                <w:rFonts w:ascii="Aptos Narrow" w:eastAsia="Times New Roman" w:hAnsi="Aptos Narrow" w:cs="Times New Roman"/>
                <w:b/>
                <w:bCs/>
                <w:color w:val="000000"/>
                <w:kern w:val="0"/>
                <w:lang w:eastAsia="en-AU"/>
                <w14:ligatures w14:val="none"/>
              </w:rPr>
              <w:t>E and F</w:t>
            </w:r>
            <w:r w:rsidRPr="00940C3D">
              <w:rPr>
                <w:rFonts w:ascii="Aptos Narrow" w:eastAsia="Times New Roman" w:hAnsi="Aptos Narrow" w:cs="Times New Roman"/>
                <w:color w:val="000000"/>
                <w:kern w:val="0"/>
                <w:lang w:eastAsia="en-AU"/>
                <w14:ligatures w14:val="none"/>
              </w:rPr>
              <w:t xml:space="preserve"> and / or apply any other required reporting standards</w:t>
            </w:r>
            <w:r>
              <w:rPr>
                <w:rFonts w:ascii="Aptos Narrow" w:eastAsia="Times New Roman" w:hAnsi="Aptos Narrow" w:cs="Times New Roman"/>
                <w:color w:val="000000"/>
                <w:kern w:val="0"/>
                <w:lang w:eastAsia="en-AU"/>
                <w14:ligatures w14:val="none"/>
              </w:rPr>
              <w:t>.</w:t>
            </w:r>
          </w:p>
        </w:tc>
      </w:tr>
      <w:tr w:rsidR="001E62B2" w:rsidRPr="00940C3D" w14:paraId="30161145" w14:textId="77777777">
        <w:trPr>
          <w:trHeight w:val="1100"/>
        </w:trPr>
        <w:tc>
          <w:tcPr>
            <w:tcW w:w="1642" w:type="dxa"/>
            <w:vMerge/>
            <w:vAlign w:val="center"/>
            <w:hideMark/>
          </w:tcPr>
          <w:p w14:paraId="74926A26" w14:textId="77777777" w:rsidR="001E62B2" w:rsidRPr="00940C3D" w:rsidRDefault="001E62B2">
            <w:pPr>
              <w:spacing w:after="0" w:line="240" w:lineRule="auto"/>
              <w:rPr>
                <w:rFonts w:ascii="Aptos Narrow" w:eastAsia="Times New Roman" w:hAnsi="Aptos Narrow" w:cs="Times New Roman"/>
                <w:b/>
                <w:bCs/>
                <w:color w:val="000000"/>
                <w:kern w:val="0"/>
                <w:lang w:eastAsia="en-AU"/>
                <w14:ligatures w14:val="none"/>
              </w:rPr>
            </w:pPr>
          </w:p>
        </w:tc>
        <w:tc>
          <w:tcPr>
            <w:tcW w:w="1598" w:type="dxa"/>
            <w:vAlign w:val="center"/>
            <w:hideMark/>
          </w:tcPr>
          <w:p w14:paraId="2FFF2E2B" w14:textId="77777777" w:rsidR="001E62B2" w:rsidRPr="00940C3D" w:rsidRDefault="001E62B2">
            <w:pPr>
              <w:spacing w:after="0" w:line="240" w:lineRule="auto"/>
              <w:jc w:val="center"/>
              <w:rPr>
                <w:rFonts w:ascii="Aptos Narrow" w:eastAsia="Times New Roman" w:hAnsi="Aptos Narrow" w:cs="Times New Roman"/>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t>Certifiers or regulators</w:t>
            </w:r>
          </w:p>
        </w:tc>
        <w:tc>
          <w:tcPr>
            <w:tcW w:w="6520" w:type="dxa"/>
            <w:vAlign w:val="center"/>
            <w:hideMark/>
          </w:tcPr>
          <w:p w14:paraId="6B9AE37D" w14:textId="64AD7D71" w:rsidR="001E62B2" w:rsidRPr="00940C3D" w:rsidRDefault="001E62B2">
            <w:pPr>
              <w:spacing w:after="0" w:line="240" w:lineRule="auto"/>
              <w:rPr>
                <w:rFonts w:ascii="Aptos Narrow" w:eastAsia="Times New Roman" w:hAnsi="Aptos Narrow" w:cs="Times New Roman"/>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t xml:space="preserve">If required for certification or regulation, follow documentation requirements at </w:t>
            </w:r>
            <w:r w:rsidRPr="00940C3D">
              <w:rPr>
                <w:rFonts w:ascii="Aptos Narrow" w:eastAsia="Times New Roman" w:hAnsi="Aptos Narrow" w:cs="Times New Roman"/>
                <w:b/>
                <w:bCs/>
                <w:color w:val="000000"/>
                <w:kern w:val="0"/>
                <w:lang w:eastAsia="en-AU"/>
                <w14:ligatures w14:val="none"/>
              </w:rPr>
              <w:t>Chapter 1</w:t>
            </w:r>
            <w:r w:rsidR="00371F06">
              <w:rPr>
                <w:rFonts w:ascii="Aptos Narrow" w:eastAsia="Times New Roman" w:hAnsi="Aptos Narrow" w:cs="Times New Roman"/>
                <w:b/>
                <w:bCs/>
                <w:color w:val="000000"/>
                <w:kern w:val="0"/>
                <w:lang w:eastAsia="en-AU"/>
                <w14:ligatures w14:val="none"/>
              </w:rPr>
              <w:t>1</w:t>
            </w:r>
            <w:r w:rsidRPr="00940C3D">
              <w:rPr>
                <w:rFonts w:ascii="Aptos Narrow" w:eastAsia="Times New Roman" w:hAnsi="Aptos Narrow" w:cs="Times New Roman"/>
                <w:color w:val="000000"/>
                <w:kern w:val="0"/>
                <w:lang w:eastAsia="en-AU"/>
                <w14:ligatures w14:val="none"/>
              </w:rPr>
              <w:t xml:space="preserve"> to ensure supporting documentation</w:t>
            </w:r>
            <w:r>
              <w:rPr>
                <w:rFonts w:ascii="Aptos Narrow" w:eastAsia="Times New Roman" w:hAnsi="Aptos Narrow" w:cs="Times New Roman"/>
                <w:color w:val="000000"/>
                <w:kern w:val="0"/>
                <w:lang w:eastAsia="en-AU"/>
                <w14:ligatures w14:val="none"/>
              </w:rPr>
              <w:t xml:space="preserve"> is in order.</w:t>
            </w:r>
            <w:r w:rsidRPr="00940C3D">
              <w:rPr>
                <w:rFonts w:ascii="Aptos Narrow" w:eastAsia="Times New Roman" w:hAnsi="Aptos Narrow" w:cs="Times New Roman"/>
                <w:color w:val="000000"/>
                <w:kern w:val="0"/>
                <w:lang w:eastAsia="en-AU"/>
                <w14:ligatures w14:val="none"/>
              </w:rPr>
              <w:t xml:space="preserve"> </w:t>
            </w:r>
          </w:p>
        </w:tc>
      </w:tr>
      <w:tr w:rsidR="001E62B2" w:rsidRPr="00940C3D" w14:paraId="6C690AA8" w14:textId="77777777">
        <w:trPr>
          <w:trHeight w:val="1450"/>
        </w:trPr>
        <w:tc>
          <w:tcPr>
            <w:tcW w:w="1642" w:type="dxa"/>
            <w:vAlign w:val="center"/>
            <w:hideMark/>
          </w:tcPr>
          <w:p w14:paraId="59A15C68" w14:textId="77777777" w:rsidR="001E62B2" w:rsidRPr="00940C3D"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940C3D">
              <w:rPr>
                <w:rFonts w:ascii="Aptos Narrow" w:eastAsia="Times New Roman" w:hAnsi="Aptos Narrow" w:cs="Times New Roman"/>
                <w:b/>
                <w:bCs/>
                <w:color w:val="000000"/>
                <w:kern w:val="0"/>
                <w:lang w:eastAsia="en-AU"/>
                <w14:ligatures w14:val="none"/>
              </w:rPr>
              <w:t>Are there standards or frameworks you need to align with?</w:t>
            </w:r>
          </w:p>
        </w:tc>
        <w:tc>
          <w:tcPr>
            <w:tcW w:w="1598" w:type="dxa"/>
            <w:vAlign w:val="center"/>
            <w:hideMark/>
          </w:tcPr>
          <w:p w14:paraId="1E62E18B" w14:textId="6A1238C7" w:rsidR="001E62B2" w:rsidRPr="00940C3D" w:rsidRDefault="001E62B2">
            <w:pPr>
              <w:spacing w:after="0" w:line="240" w:lineRule="auto"/>
              <w:jc w:val="center"/>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 xml:space="preserve">E.g. </w:t>
            </w:r>
            <w:r w:rsidR="00581E22">
              <w:rPr>
                <w:rFonts w:ascii="Aptos Narrow" w:eastAsia="Times New Roman" w:hAnsi="Aptos Narrow" w:cs="Times New Roman"/>
                <w:color w:val="000000"/>
                <w:kern w:val="0"/>
                <w:lang w:eastAsia="en-AU"/>
                <w14:ligatures w14:val="none"/>
              </w:rPr>
              <w:t>t</w:t>
            </w:r>
            <w:r w:rsidRPr="00940C3D">
              <w:rPr>
                <w:rFonts w:ascii="Aptos Narrow" w:eastAsia="Times New Roman" w:hAnsi="Aptos Narrow" w:cs="Times New Roman"/>
                <w:color w:val="000000"/>
                <w:kern w:val="0"/>
                <w:lang w:eastAsia="en-AU"/>
                <w14:ligatures w14:val="none"/>
              </w:rPr>
              <w:t xml:space="preserve">he Guidelines; </w:t>
            </w:r>
            <w:hyperlink r:id="rId56" w:history="1">
              <w:hyperlink r:id="rId57" w:history="1">
                <w:r w:rsidRPr="001C55D0">
                  <w:rPr>
                    <w:rStyle w:val="Hyperlink"/>
                    <w:rFonts w:ascii="Aptos Narrow" w:eastAsia="Times New Roman" w:hAnsi="Aptos Narrow" w:cs="Times New Roman"/>
                    <w:kern w:val="0"/>
                    <w:lang w:eastAsia="en-AU"/>
                    <w14:ligatures w14:val="none"/>
                  </w:rPr>
                  <w:t>GHG Protocol</w:t>
                </w:r>
              </w:hyperlink>
              <w:r w:rsidR="006C71DE" w:rsidRPr="001C55D0">
                <w:rPr>
                  <w:rStyle w:val="Hyperlink"/>
                  <w:rFonts w:ascii="Aptos Narrow" w:eastAsia="Times New Roman" w:hAnsi="Aptos Narrow" w:cs="Times New Roman"/>
                  <w:kern w:val="0"/>
                  <w:lang w:eastAsia="en-AU"/>
                  <w14:ligatures w14:val="none"/>
                </w:rPr>
                <w:t xml:space="preserve"> standards</w:t>
              </w:r>
            </w:hyperlink>
            <w:r w:rsidRPr="00940C3D">
              <w:rPr>
                <w:rFonts w:ascii="Aptos Narrow" w:eastAsia="Times New Roman" w:hAnsi="Aptos Narrow" w:cs="Times New Roman"/>
                <w:color w:val="000000"/>
                <w:kern w:val="0"/>
                <w:lang w:eastAsia="en-AU"/>
                <w14:ligatures w14:val="none"/>
              </w:rPr>
              <w:t xml:space="preserve">; </w:t>
            </w:r>
            <w:hyperlink r:id="rId58" w:history="1">
              <w:r w:rsidRPr="006C71DE">
                <w:rPr>
                  <w:rStyle w:val="Hyperlink"/>
                  <w:rFonts w:ascii="Aptos Narrow" w:eastAsia="Times New Roman" w:hAnsi="Aptos Narrow" w:cs="Times New Roman"/>
                  <w:kern w:val="0"/>
                  <w:lang w:eastAsia="en-AU"/>
                  <w14:ligatures w14:val="none"/>
                </w:rPr>
                <w:t>ISO 14064</w:t>
              </w:r>
            </w:hyperlink>
            <w:r w:rsidRPr="00940C3D">
              <w:rPr>
                <w:rFonts w:ascii="Aptos Narrow" w:eastAsia="Times New Roman" w:hAnsi="Aptos Narrow" w:cs="Times New Roman"/>
                <w:color w:val="000000"/>
                <w:kern w:val="0"/>
                <w:lang w:eastAsia="en-AU"/>
                <w14:ligatures w14:val="none"/>
              </w:rPr>
              <w:t xml:space="preserve">; </w:t>
            </w:r>
            <w:hyperlink r:id="rId59" w:history="1">
              <w:hyperlink r:id="rId60" w:history="1">
                <w:r w:rsidRPr="00FA668A">
                  <w:rPr>
                    <w:rStyle w:val="Hyperlink"/>
                    <w:rFonts w:ascii="Aptos Narrow" w:eastAsia="Times New Roman" w:hAnsi="Aptos Narrow" w:cs="Times New Roman"/>
                    <w:kern w:val="0"/>
                    <w:lang w:eastAsia="en-AU"/>
                    <w14:ligatures w14:val="none"/>
                  </w:rPr>
                  <w:t>AASB S2</w:t>
                </w:r>
              </w:hyperlink>
            </w:hyperlink>
          </w:p>
        </w:tc>
        <w:tc>
          <w:tcPr>
            <w:tcW w:w="6520" w:type="dxa"/>
            <w:vAlign w:val="center"/>
            <w:hideMark/>
          </w:tcPr>
          <w:p w14:paraId="52734A37" w14:textId="17F92C93" w:rsidR="001E62B2" w:rsidRPr="000675FD" w:rsidRDefault="001E62B2">
            <w:pPr>
              <w:spacing w:after="0" w:line="240" w:lineRule="auto"/>
              <w:rPr>
                <w:rFonts w:ascii="Aptos Narrow" w:eastAsia="Times New Roman" w:hAnsi="Aptos Narrow" w:cs="Times New Roman"/>
                <w:b/>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t xml:space="preserve">Map </w:t>
            </w:r>
            <w:r w:rsidR="0032217E">
              <w:rPr>
                <w:rFonts w:ascii="Aptos Narrow" w:eastAsia="Times New Roman" w:hAnsi="Aptos Narrow" w:cs="Times New Roman"/>
                <w:color w:val="000000"/>
                <w:kern w:val="0"/>
                <w:lang w:eastAsia="en-AU"/>
                <w14:ligatures w14:val="none"/>
              </w:rPr>
              <w:t xml:space="preserve">the </w:t>
            </w:r>
            <w:r w:rsidRPr="00940C3D">
              <w:rPr>
                <w:rFonts w:ascii="Aptos Narrow" w:eastAsia="Times New Roman" w:hAnsi="Aptos Narrow" w:cs="Times New Roman"/>
                <w:color w:val="000000"/>
                <w:kern w:val="0"/>
                <w:lang w:eastAsia="en-AU"/>
                <w14:ligatures w14:val="none"/>
              </w:rPr>
              <w:t>Guidelines or other standards</w:t>
            </w:r>
            <w:r w:rsidR="00C966C2">
              <w:rPr>
                <w:rFonts w:ascii="Aptos Narrow" w:eastAsia="Times New Roman" w:hAnsi="Aptos Narrow" w:cs="Times New Roman"/>
                <w:color w:val="000000"/>
                <w:kern w:val="0"/>
                <w:lang w:eastAsia="en-AU"/>
                <w14:ligatures w14:val="none"/>
              </w:rPr>
              <w:t>’</w:t>
            </w:r>
            <w:r w:rsidRPr="00940C3D">
              <w:rPr>
                <w:rFonts w:ascii="Aptos Narrow" w:eastAsia="Times New Roman" w:hAnsi="Aptos Narrow" w:cs="Times New Roman"/>
                <w:color w:val="000000"/>
                <w:kern w:val="0"/>
                <w:lang w:eastAsia="en-AU"/>
                <w14:ligatures w14:val="none"/>
              </w:rPr>
              <w:t xml:space="preserve"> requirements to your inventory design</w:t>
            </w:r>
            <w:r>
              <w:rPr>
                <w:rFonts w:ascii="Aptos Narrow" w:eastAsia="Times New Roman" w:hAnsi="Aptos Narrow" w:cs="Times New Roman"/>
                <w:color w:val="000000"/>
                <w:kern w:val="0"/>
                <w:lang w:eastAsia="en-AU"/>
                <w14:ligatures w14:val="none"/>
              </w:rPr>
              <w:t>. Read the cues throughout these Guidelines to support conformance</w:t>
            </w:r>
            <w:r w:rsidR="005145AA">
              <w:rPr>
                <w:rFonts w:ascii="Aptos Narrow" w:eastAsia="Times New Roman" w:hAnsi="Aptos Narrow" w:cs="Times New Roman"/>
                <w:color w:val="000000"/>
                <w:kern w:val="0"/>
                <w:lang w:eastAsia="en-AU"/>
                <w14:ligatures w14:val="none"/>
              </w:rPr>
              <w:t>.</w:t>
            </w:r>
            <w:r w:rsidRPr="000675FD">
              <w:rPr>
                <w:rFonts w:ascii="Aptos Narrow" w:eastAsia="Times New Roman" w:hAnsi="Aptos Narrow" w:cs="Times New Roman"/>
                <w:b/>
                <w:color w:val="000000"/>
                <w:kern w:val="0"/>
                <w:lang w:eastAsia="en-AU"/>
                <w14:ligatures w14:val="none"/>
              </w:rPr>
              <w:t xml:space="preserve"> </w:t>
            </w:r>
          </w:p>
          <w:p w14:paraId="2BF30D14" w14:textId="77777777" w:rsidR="001E62B2" w:rsidRDefault="001E62B2">
            <w:pPr>
              <w:spacing w:after="0" w:line="240" w:lineRule="auto"/>
              <w:rPr>
                <w:rFonts w:ascii="Aptos Narrow" w:eastAsia="Times New Roman" w:hAnsi="Aptos Narrow" w:cs="Times New Roman"/>
                <w:color w:val="000000"/>
                <w:kern w:val="0"/>
                <w:lang w:eastAsia="en-AU"/>
                <w14:ligatures w14:val="none"/>
              </w:rPr>
            </w:pPr>
          </w:p>
          <w:p w14:paraId="26497DBA" w14:textId="77777777" w:rsidR="001E62B2" w:rsidRPr="00940C3D" w:rsidRDefault="001E62B2">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 xml:space="preserve">Regardless of the standard or framework being applied, it should be applied consistently to all elements of inventory design.  </w:t>
            </w:r>
          </w:p>
        </w:tc>
      </w:tr>
      <w:tr w:rsidR="001E62B2" w:rsidRPr="00940C3D" w14:paraId="5231AB00" w14:textId="77777777">
        <w:trPr>
          <w:trHeight w:val="1092"/>
        </w:trPr>
        <w:tc>
          <w:tcPr>
            <w:tcW w:w="1642" w:type="dxa"/>
            <w:vAlign w:val="center"/>
            <w:hideMark/>
          </w:tcPr>
          <w:p w14:paraId="14CAB0D1" w14:textId="77777777" w:rsidR="001E62B2" w:rsidRPr="00940C3D" w:rsidRDefault="001E62B2">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 xml:space="preserve">Are you trying to track your emissions over time? </w:t>
            </w:r>
          </w:p>
        </w:tc>
        <w:tc>
          <w:tcPr>
            <w:tcW w:w="1598" w:type="dxa"/>
            <w:vAlign w:val="center"/>
            <w:hideMark/>
          </w:tcPr>
          <w:p w14:paraId="3EEDF70D" w14:textId="77777777" w:rsidR="001E62B2" w:rsidRDefault="001E62B2">
            <w:pPr>
              <w:spacing w:after="0" w:line="240" w:lineRule="auto"/>
              <w:jc w:val="center"/>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 xml:space="preserve">Yes  </w:t>
            </w:r>
          </w:p>
          <w:p w14:paraId="4A2B7F3F" w14:textId="77777777" w:rsidR="001E62B2" w:rsidRDefault="001E62B2">
            <w:pPr>
              <w:spacing w:after="0" w:line="240" w:lineRule="auto"/>
              <w:jc w:val="center"/>
              <w:rPr>
                <w:rFonts w:ascii="Aptos Narrow" w:eastAsia="Times New Roman" w:hAnsi="Aptos Narrow" w:cs="Times New Roman"/>
                <w:color w:val="000000"/>
                <w:kern w:val="0"/>
                <w:lang w:eastAsia="en-AU"/>
                <w14:ligatures w14:val="none"/>
              </w:rPr>
            </w:pPr>
          </w:p>
          <w:p w14:paraId="01BD5F58" w14:textId="77777777" w:rsidR="001E62B2" w:rsidRPr="00940C3D" w:rsidRDefault="001E62B2">
            <w:pPr>
              <w:spacing w:after="0" w:line="240" w:lineRule="auto"/>
              <w:jc w:val="center"/>
              <w:rPr>
                <w:rFonts w:ascii="Aptos Narrow" w:eastAsia="Times New Roman" w:hAnsi="Aptos Narrow" w:cs="Times New Roman"/>
                <w:color w:val="000000"/>
                <w:kern w:val="0"/>
                <w:lang w:eastAsia="en-AU"/>
                <w14:ligatures w14:val="none"/>
              </w:rPr>
            </w:pPr>
          </w:p>
        </w:tc>
        <w:tc>
          <w:tcPr>
            <w:tcW w:w="6520" w:type="dxa"/>
            <w:vAlign w:val="center"/>
            <w:hideMark/>
          </w:tcPr>
          <w:p w14:paraId="58FF6312" w14:textId="77777777" w:rsidR="001E62B2" w:rsidRDefault="001E62B2">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 xml:space="preserve">Determine if you will use a single-year or multi-year base period.  </w:t>
            </w:r>
          </w:p>
          <w:p w14:paraId="58889AE8" w14:textId="77777777" w:rsidR="001E62B2" w:rsidRPr="00940C3D" w:rsidRDefault="001E62B2">
            <w:pPr>
              <w:spacing w:after="0" w:line="240" w:lineRule="auto"/>
              <w:rPr>
                <w:rFonts w:ascii="Aptos Narrow" w:eastAsia="Times New Roman" w:hAnsi="Aptos Narrow" w:cs="Times New Roman"/>
                <w:color w:val="000000"/>
                <w:kern w:val="0"/>
                <w:lang w:eastAsia="en-AU"/>
                <w14:ligatures w14:val="none"/>
              </w:rPr>
            </w:pPr>
            <w:r w:rsidRPr="00940C3D">
              <w:rPr>
                <w:rFonts w:ascii="Aptos Narrow" w:eastAsia="Times New Roman" w:hAnsi="Aptos Narrow" w:cs="Times New Roman"/>
                <w:color w:val="000000"/>
                <w:kern w:val="0"/>
                <w:lang w:eastAsia="en-AU"/>
                <w14:ligatures w14:val="none"/>
              </w:rPr>
              <w:t xml:space="preserve">Apply the Guidelines rules for calculating base years as set out in </w:t>
            </w:r>
            <w:r w:rsidRPr="00940C3D">
              <w:rPr>
                <w:rFonts w:ascii="Aptos Narrow" w:eastAsia="Times New Roman" w:hAnsi="Aptos Narrow" w:cs="Times New Roman"/>
                <w:b/>
                <w:bCs/>
                <w:color w:val="000000"/>
                <w:kern w:val="0"/>
                <w:lang w:eastAsia="en-AU"/>
                <w14:ligatures w14:val="none"/>
              </w:rPr>
              <w:t>Chapter 7</w:t>
            </w:r>
            <w:r w:rsidRPr="00940C3D">
              <w:rPr>
                <w:rFonts w:ascii="Aptos Narrow" w:eastAsia="Times New Roman" w:hAnsi="Aptos Narrow" w:cs="Times New Roman"/>
                <w:color w:val="000000"/>
                <w:kern w:val="0"/>
                <w:lang w:eastAsia="en-AU"/>
                <w14:ligatures w14:val="none"/>
              </w:rPr>
              <w:t xml:space="preserve">. </w:t>
            </w:r>
          </w:p>
          <w:p w14:paraId="0BABA04F" w14:textId="77777777" w:rsidR="001E62B2" w:rsidRPr="00940C3D" w:rsidRDefault="001E62B2">
            <w:pPr>
              <w:spacing w:after="0" w:line="240" w:lineRule="auto"/>
              <w:rPr>
                <w:rFonts w:ascii="Aptos Narrow" w:eastAsia="Times New Roman" w:hAnsi="Aptos Narrow" w:cs="Times New Roman"/>
                <w:color w:val="000000"/>
                <w:kern w:val="0"/>
                <w:lang w:eastAsia="en-AU"/>
                <w14:ligatures w14:val="none"/>
              </w:rPr>
            </w:pPr>
          </w:p>
        </w:tc>
      </w:tr>
    </w:tbl>
    <w:p w14:paraId="1F0FF001" w14:textId="7D0F5DAA" w:rsidR="001E62B2" w:rsidRDefault="001E62B2" w:rsidP="001E62B2">
      <w:pPr>
        <w:pStyle w:val="Heading1"/>
        <w:spacing w:before="120"/>
        <w:ind w:left="431" w:hanging="431"/>
      </w:pPr>
      <w:bookmarkStart w:id="36" w:name="_Defining_boundaries"/>
      <w:bookmarkStart w:id="37" w:name="_Toc225269954"/>
      <w:bookmarkEnd w:id="36"/>
      <w:r>
        <w:t>Defining boundaries</w:t>
      </w:r>
      <w:bookmarkEnd w:id="37"/>
      <w:r>
        <w:t xml:space="preserve"> </w:t>
      </w:r>
    </w:p>
    <w:p w14:paraId="417728B6" w14:textId="1F65E28A" w:rsidR="001E62B2" w:rsidRDefault="001E62B2" w:rsidP="001E62B2">
      <w:r w:rsidRPr="563A535C">
        <w:rPr>
          <w:rFonts w:ascii="Aptos" w:eastAsia="Aptos" w:hAnsi="Aptos" w:cs="Aptos"/>
        </w:rPr>
        <w:t xml:space="preserve">The </w:t>
      </w:r>
      <w:r w:rsidRPr="1AF8F8DA">
        <w:rPr>
          <w:rFonts w:ascii="Aptos" w:eastAsia="Aptos" w:hAnsi="Aptos" w:cs="Aptos"/>
        </w:rPr>
        <w:t>next</w:t>
      </w:r>
      <w:r w:rsidRPr="563A535C">
        <w:rPr>
          <w:rFonts w:ascii="Aptos" w:eastAsia="Aptos" w:hAnsi="Aptos" w:cs="Aptos"/>
        </w:rPr>
        <w:t xml:space="preserve"> step in developing an </w:t>
      </w:r>
      <w:r w:rsidR="00775EAF">
        <w:rPr>
          <w:rFonts w:ascii="Aptos" w:eastAsia="Aptos" w:hAnsi="Aptos" w:cs="Aptos"/>
        </w:rPr>
        <w:t xml:space="preserve">entity-level </w:t>
      </w:r>
      <w:r>
        <w:rPr>
          <w:rFonts w:ascii="Aptos" w:eastAsia="Aptos" w:hAnsi="Aptos" w:cs="Aptos"/>
        </w:rPr>
        <w:t>GHG</w:t>
      </w:r>
      <w:r w:rsidRPr="563A535C">
        <w:rPr>
          <w:rFonts w:ascii="Aptos" w:eastAsia="Aptos" w:hAnsi="Aptos" w:cs="Aptos"/>
        </w:rPr>
        <w:t xml:space="preserve"> inventory is to define the organisational and reporting boundaries of the entity. These boundaries determine which </w:t>
      </w:r>
      <w:r>
        <w:rPr>
          <w:rFonts w:ascii="Aptos" w:eastAsia="Aptos" w:hAnsi="Aptos" w:cs="Aptos"/>
        </w:rPr>
        <w:t xml:space="preserve">emissions </w:t>
      </w:r>
      <w:r w:rsidRPr="563A535C">
        <w:rPr>
          <w:rFonts w:ascii="Aptos" w:eastAsia="Aptos" w:hAnsi="Aptos" w:cs="Aptos"/>
        </w:rPr>
        <w:t>sources</w:t>
      </w:r>
      <w:r>
        <w:rPr>
          <w:rFonts w:ascii="Aptos" w:eastAsia="Aptos" w:hAnsi="Aptos" w:cs="Aptos"/>
        </w:rPr>
        <w:t xml:space="preserve"> and sinks</w:t>
      </w:r>
      <w:r w:rsidRPr="563A535C">
        <w:rPr>
          <w:rFonts w:ascii="Aptos" w:eastAsia="Aptos" w:hAnsi="Aptos" w:cs="Aptos"/>
        </w:rPr>
        <w:t xml:space="preserve"> shall be included in the inventory</w:t>
      </w:r>
      <w:r>
        <w:t xml:space="preserve">. </w:t>
      </w:r>
    </w:p>
    <w:p w14:paraId="13619980" w14:textId="77777777" w:rsidR="001E62B2" w:rsidRPr="00B3294E" w:rsidRDefault="001E62B2" w:rsidP="00BE68D0">
      <w:pPr>
        <w:pStyle w:val="Style3"/>
        <w:ind w:left="567" w:hanging="567"/>
      </w:pPr>
      <w:bookmarkStart w:id="38" w:name="_Toc216365490"/>
      <w:bookmarkStart w:id="39" w:name="_Toc216365576"/>
      <w:bookmarkStart w:id="40" w:name="_Toc216448947"/>
      <w:bookmarkStart w:id="41" w:name="_Toc216958028"/>
      <w:bookmarkStart w:id="42" w:name="_Toc225269955"/>
      <w:bookmarkStart w:id="43" w:name="OrgBoundary"/>
      <w:bookmarkEnd w:id="38"/>
      <w:bookmarkEnd w:id="39"/>
      <w:bookmarkEnd w:id="40"/>
      <w:bookmarkEnd w:id="41"/>
      <w:r w:rsidRPr="00B3294E">
        <w:t>Organisational boundary</w:t>
      </w:r>
      <w:bookmarkEnd w:id="42"/>
    </w:p>
    <w:bookmarkEnd w:id="43"/>
    <w:p w14:paraId="224A6CA3" w14:textId="0CEAC919" w:rsidR="001E62B2" w:rsidRDefault="001E62B2" w:rsidP="001E62B2">
      <w:pPr>
        <w:rPr>
          <w:rFonts w:eastAsiaTheme="minorEastAsia"/>
        </w:rPr>
      </w:pPr>
      <w:r w:rsidRPr="008C68C9">
        <w:rPr>
          <w:rFonts w:eastAsiaTheme="minorEastAsia"/>
        </w:rPr>
        <w:t xml:space="preserve">The organisational boundary identifies the activities or facilities over which the entity has control. In the context of AFF production this can include land controlled by the entity and facilities such as dairies, packing sheds and cool rooms. </w:t>
      </w:r>
    </w:p>
    <w:p w14:paraId="208CA33B" w14:textId="298A67A3" w:rsidR="000F1A14" w:rsidRPr="008C68C9" w:rsidRDefault="000F1A14" w:rsidP="001E62B2">
      <w:pPr>
        <w:rPr>
          <w:rFonts w:eastAsiaTheme="minorEastAsia"/>
        </w:rPr>
      </w:pPr>
      <w:r w:rsidRPr="000F1A14">
        <w:rPr>
          <w:rFonts w:eastAsiaTheme="minorEastAsia"/>
        </w:rPr>
        <w:t>The organisational boundary reflects an entity’s ownership and control structure and is represented through different consolidation approaches</w:t>
      </w:r>
      <w:r w:rsidR="00877400">
        <w:rPr>
          <w:rFonts w:eastAsiaTheme="minorEastAsia"/>
        </w:rPr>
        <w:t>.</w:t>
      </w:r>
    </w:p>
    <w:p w14:paraId="1C367857" w14:textId="6B3FAA73" w:rsidR="001E62B2" w:rsidRPr="008C68C9" w:rsidRDefault="001E62B2" w:rsidP="001E62B2">
      <w:pPr>
        <w:rPr>
          <w:rFonts w:eastAsiaTheme="minorEastAsia"/>
        </w:rPr>
      </w:pPr>
      <w:r w:rsidRPr="008C68C9">
        <w:rPr>
          <w:rFonts w:eastAsiaTheme="minorEastAsia"/>
        </w:rPr>
        <w:t>The entity shall apply a consolidation approach</w:t>
      </w:r>
      <w:r w:rsidR="008D352D">
        <w:rPr>
          <w:rFonts w:eastAsiaTheme="minorEastAsia"/>
        </w:rPr>
        <w:t xml:space="preserve"> based on </w:t>
      </w:r>
      <w:r w:rsidR="009447C0">
        <w:rPr>
          <w:rFonts w:eastAsiaTheme="minorEastAsia"/>
        </w:rPr>
        <w:t>the following</w:t>
      </w:r>
      <w:r w:rsidRPr="008C68C9">
        <w:rPr>
          <w:rFonts w:eastAsiaTheme="minorEastAsia"/>
        </w:rPr>
        <w:t>:</w:t>
      </w:r>
    </w:p>
    <w:p w14:paraId="70B37440" w14:textId="77777777" w:rsidR="001E62B2" w:rsidRDefault="001E62B2" w:rsidP="00076B9B">
      <w:pPr>
        <w:numPr>
          <w:ilvl w:val="0"/>
          <w:numId w:val="21"/>
        </w:numPr>
        <w:spacing w:after="0" w:line="240" w:lineRule="auto"/>
      </w:pPr>
      <w:r w:rsidRPr="000A4A2B">
        <w:t>Operational control</w:t>
      </w:r>
    </w:p>
    <w:p w14:paraId="2F7FA281" w14:textId="77777777" w:rsidR="001E62B2" w:rsidRPr="000A4A2B" w:rsidRDefault="001E62B2" w:rsidP="00076B9B">
      <w:pPr>
        <w:numPr>
          <w:ilvl w:val="0"/>
          <w:numId w:val="21"/>
        </w:numPr>
        <w:spacing w:after="0" w:line="240" w:lineRule="auto"/>
      </w:pPr>
      <w:r w:rsidRPr="000A4A2B">
        <w:t>Financial control</w:t>
      </w:r>
    </w:p>
    <w:p w14:paraId="4E89EE07" w14:textId="77777777" w:rsidR="001E62B2" w:rsidRDefault="001E62B2" w:rsidP="00076B9B">
      <w:pPr>
        <w:pStyle w:val="ListParagraph"/>
        <w:numPr>
          <w:ilvl w:val="0"/>
          <w:numId w:val="16"/>
        </w:numPr>
      </w:pPr>
      <w:r w:rsidRPr="000A4A2B">
        <w:t xml:space="preserve">Equity </w:t>
      </w:r>
      <w:r>
        <w:t>s</w:t>
      </w:r>
      <w:r w:rsidRPr="000A4A2B">
        <w:t>har</w:t>
      </w:r>
      <w:r>
        <w:t xml:space="preserve">e. </w:t>
      </w:r>
    </w:p>
    <w:p w14:paraId="1C7D611B" w14:textId="5B9A84E0" w:rsidR="001E62B2" w:rsidRPr="008C68C9" w:rsidRDefault="001E62B2" w:rsidP="001E62B2">
      <w:pPr>
        <w:rPr>
          <w:rFonts w:eastAsiaTheme="minorEastAsia"/>
        </w:rPr>
      </w:pPr>
      <w:r w:rsidRPr="008C68C9">
        <w:rPr>
          <w:rFonts w:eastAsiaTheme="minorEastAsia"/>
        </w:rPr>
        <w:t xml:space="preserve">The choice of consolidation approach - or combination of approaches </w:t>
      </w:r>
      <w:r w:rsidR="00187ECA">
        <w:t>–</w:t>
      </w:r>
      <w:r w:rsidRPr="008C68C9">
        <w:rPr>
          <w:rFonts w:eastAsiaTheme="minorEastAsia"/>
        </w:rPr>
        <w:t xml:space="preserve"> depends on the purpose of the inventory (e.g. specific reporting requirements). The consolidation approach reflects how the entity exercises ownership and control across its financial, legal, and operational arrangements for the purposes of emissions estimation.</w:t>
      </w:r>
    </w:p>
    <w:p w14:paraId="11030521" w14:textId="080BB579" w:rsidR="001E62B2" w:rsidRDefault="001E62B2" w:rsidP="001E62B2">
      <w:pPr>
        <w:rPr>
          <w:rFonts w:eastAsiaTheme="minorEastAsia"/>
        </w:rPr>
      </w:pPr>
      <w:r w:rsidRPr="008C68C9">
        <w:rPr>
          <w:rFonts w:eastAsiaTheme="minorEastAsia"/>
        </w:rPr>
        <w:t>When a facility is owned or controlled by several entities</w:t>
      </w:r>
      <w:r w:rsidR="000A18DB">
        <w:rPr>
          <w:rFonts w:eastAsiaTheme="minorEastAsia"/>
        </w:rPr>
        <w:t xml:space="preserve"> (such as a co-operative)</w:t>
      </w:r>
      <w:r w:rsidRPr="008C68C9">
        <w:rPr>
          <w:rFonts w:eastAsiaTheme="minorEastAsia"/>
        </w:rPr>
        <w:t xml:space="preserve">, these entities should adopt the same consolidation approach for that facility. The entity </w:t>
      </w:r>
      <w:r w:rsidRPr="00ED3FF1">
        <w:rPr>
          <w:rFonts w:eastAsiaTheme="minorEastAsia"/>
        </w:rPr>
        <w:t>shall</w:t>
      </w:r>
      <w:r w:rsidRPr="008C68C9">
        <w:rPr>
          <w:rFonts w:eastAsiaTheme="minorEastAsia"/>
        </w:rPr>
        <w:t xml:space="preserve"> document and report which consolidation approach it applies.</w:t>
      </w:r>
    </w:p>
    <w:p w14:paraId="33F3397D" w14:textId="25A818BC" w:rsidR="00C0027B" w:rsidRPr="008C68C9" w:rsidRDefault="00C0027B" w:rsidP="001E62B2">
      <w:pPr>
        <w:rPr>
          <w:rFonts w:eastAsiaTheme="minorEastAsia"/>
        </w:rPr>
      </w:pPr>
      <w:r>
        <w:rPr>
          <w:rFonts w:eastAsiaTheme="minorEastAsia"/>
        </w:rPr>
        <w:t xml:space="preserve">The Guidelines do not make specific </w:t>
      </w:r>
      <w:r w:rsidRPr="00C0027B">
        <w:rPr>
          <w:rFonts w:eastAsiaTheme="minorEastAsia"/>
        </w:rPr>
        <w:t xml:space="preserve">recommendations about which consolidation approach </w:t>
      </w:r>
      <w:r w:rsidR="000831FF">
        <w:rPr>
          <w:rFonts w:eastAsiaTheme="minorEastAsia"/>
        </w:rPr>
        <w:t>an entity</w:t>
      </w:r>
      <w:r w:rsidRPr="00C0027B">
        <w:rPr>
          <w:rFonts w:eastAsiaTheme="minorEastAsia"/>
        </w:rPr>
        <w:t xml:space="preserve"> should use</w:t>
      </w:r>
      <w:r w:rsidR="007E2167">
        <w:rPr>
          <w:rFonts w:eastAsiaTheme="minorEastAsia"/>
        </w:rPr>
        <w:t>;</w:t>
      </w:r>
      <w:r w:rsidRPr="00C0027B">
        <w:rPr>
          <w:rFonts w:eastAsiaTheme="minorEastAsia"/>
        </w:rPr>
        <w:t xml:space="preserve"> rathe</w:t>
      </w:r>
      <w:r>
        <w:rPr>
          <w:rFonts w:eastAsiaTheme="minorEastAsia"/>
        </w:rPr>
        <w:t>r</w:t>
      </w:r>
      <w:r w:rsidRPr="00C0027B">
        <w:rPr>
          <w:rFonts w:eastAsiaTheme="minorEastAsia"/>
        </w:rPr>
        <w:t xml:space="preserve"> entities will need to consider a range of factors when selecting an approach and that selection should be based on the reporting entity’s business goals</w:t>
      </w:r>
      <w:r>
        <w:rPr>
          <w:rFonts w:eastAsiaTheme="minorEastAsia"/>
        </w:rPr>
        <w:t>.</w:t>
      </w:r>
    </w:p>
    <w:p w14:paraId="3BE87EEE" w14:textId="77777777" w:rsidR="001E62B2" w:rsidRPr="005D536E" w:rsidRDefault="001E62B2" w:rsidP="001E62B2">
      <w:pPr>
        <w:pStyle w:val="Heading3"/>
        <w:numPr>
          <w:ilvl w:val="0"/>
          <w:numId w:val="0"/>
        </w:numPr>
        <w:ind w:left="720" w:hanging="720"/>
      </w:pPr>
      <w:r w:rsidRPr="005D536E">
        <w:lastRenderedPageBreak/>
        <w:t xml:space="preserve">Operational </w:t>
      </w:r>
      <w:r>
        <w:t>c</w:t>
      </w:r>
      <w:r w:rsidRPr="005D536E">
        <w:t xml:space="preserve">ontrol </w:t>
      </w:r>
      <w:r>
        <w:t>a</w:t>
      </w:r>
      <w:r w:rsidRPr="005D536E">
        <w:t xml:space="preserve">pproach </w:t>
      </w:r>
    </w:p>
    <w:p w14:paraId="615A5649" w14:textId="77777777" w:rsidR="001E62B2" w:rsidRDefault="001E62B2" w:rsidP="001E62B2">
      <w:r w:rsidRPr="00FA5A86">
        <w:t xml:space="preserve">An entity </w:t>
      </w:r>
      <w:r>
        <w:t>has</w:t>
      </w:r>
      <w:r w:rsidRPr="00FA5A86">
        <w:t xml:space="preserve"> </w:t>
      </w:r>
      <w:r w:rsidRPr="00FA5A86">
        <w:rPr>
          <w:i/>
          <w:iCs/>
        </w:rPr>
        <w:t>operational control</w:t>
      </w:r>
      <w:r w:rsidRPr="00FA5A86">
        <w:t xml:space="preserve"> if it has full authority to introduce and implement </w:t>
      </w:r>
      <w:r>
        <w:t xml:space="preserve">its </w:t>
      </w:r>
      <w:r w:rsidRPr="00FA5A86">
        <w:t>operating policies</w:t>
      </w:r>
      <w:r>
        <w:t>,</w:t>
      </w:r>
      <w:r w:rsidRPr="00FA5A86">
        <w:t xml:space="preserve"> including those related to environmental</w:t>
      </w:r>
      <w:r>
        <w:t xml:space="preserve"> </w:t>
      </w:r>
      <w:r w:rsidRPr="00FA5A86">
        <w:t>performance</w:t>
      </w:r>
      <w:r>
        <w:t>, health and safety, and day-to-day management of activities. This control exists</w:t>
      </w:r>
      <w:r w:rsidRPr="00FA5A86">
        <w:t xml:space="preserve"> even if </w:t>
      </w:r>
      <w:r>
        <w:t>the entity</w:t>
      </w:r>
      <w:r w:rsidRPr="00FA5A86">
        <w:t xml:space="preserve"> does not have financial control or full ownership</w:t>
      </w:r>
      <w:r>
        <w:t xml:space="preserve"> of the operations.</w:t>
      </w:r>
    </w:p>
    <w:p w14:paraId="61AD28F3" w14:textId="77777777" w:rsidR="001E62B2" w:rsidRDefault="001E62B2" w:rsidP="00076B9B">
      <w:pPr>
        <w:pStyle w:val="ListParagraph"/>
        <w:numPr>
          <w:ilvl w:val="0"/>
          <w:numId w:val="9"/>
        </w:numPr>
        <w:rPr>
          <w:i/>
          <w:iCs/>
        </w:rPr>
      </w:pPr>
      <w:r>
        <w:t>It excludes facilities or assets where the entity does not have the ability to direct day-to-day operations</w:t>
      </w:r>
      <w:r w:rsidRPr="1AF8F8DA">
        <w:rPr>
          <w:i/>
          <w:iCs/>
        </w:rPr>
        <w:t xml:space="preserve">, </w:t>
      </w:r>
      <w:r w:rsidRPr="1AF8F8DA">
        <w:t>even if it has an ownership stake.</w:t>
      </w:r>
      <w:r w:rsidRPr="1AF8F8DA">
        <w:rPr>
          <w:i/>
          <w:iCs/>
        </w:rPr>
        <w:t xml:space="preserve"> </w:t>
      </w:r>
    </w:p>
    <w:p w14:paraId="4B08EAD6" w14:textId="77777777" w:rsidR="001E62B2" w:rsidRPr="00BE277C" w:rsidRDefault="001E62B2" w:rsidP="00076B9B">
      <w:pPr>
        <w:pStyle w:val="ListParagraph"/>
        <w:numPr>
          <w:ilvl w:val="0"/>
          <w:numId w:val="9"/>
        </w:numPr>
        <w:rPr>
          <w:i/>
        </w:rPr>
      </w:pPr>
      <w:r>
        <w:t xml:space="preserve">The entity reports all material emissions and removals from operations under its </w:t>
      </w:r>
      <w:r w:rsidRPr="725854BD">
        <w:rPr>
          <w:i/>
          <w:iCs/>
        </w:rPr>
        <w:t>operational control</w:t>
      </w:r>
      <w:r>
        <w:rPr>
          <w:i/>
          <w:iCs/>
        </w:rPr>
        <w:t>.</w:t>
      </w:r>
    </w:p>
    <w:p w14:paraId="3B968D9A" w14:textId="77777777" w:rsidR="001E62B2" w:rsidRDefault="001E62B2" w:rsidP="001E62B2">
      <w:pPr>
        <w:pStyle w:val="Heading3"/>
        <w:numPr>
          <w:ilvl w:val="0"/>
          <w:numId w:val="0"/>
        </w:numPr>
        <w:ind w:left="720" w:hanging="720"/>
      </w:pPr>
      <w:r w:rsidRPr="00594F1A">
        <w:t xml:space="preserve">Financial </w:t>
      </w:r>
      <w:r>
        <w:t>c</w:t>
      </w:r>
      <w:r w:rsidRPr="00594F1A">
        <w:t xml:space="preserve">ontrol </w:t>
      </w:r>
      <w:r>
        <w:t>a</w:t>
      </w:r>
      <w:r w:rsidRPr="00594F1A">
        <w:t>pproach</w:t>
      </w:r>
    </w:p>
    <w:p w14:paraId="19C31B53" w14:textId="77777777" w:rsidR="001E62B2" w:rsidRDefault="001E62B2" w:rsidP="001E62B2">
      <w:r>
        <w:t xml:space="preserve">An entity has </w:t>
      </w:r>
      <w:r w:rsidRPr="009C0221">
        <w:rPr>
          <w:i/>
          <w:iCs/>
        </w:rPr>
        <w:t>financial control</w:t>
      </w:r>
      <w:r>
        <w:t xml:space="preserve"> if it can direct</w:t>
      </w:r>
      <w:r w:rsidRPr="1AF8F8DA">
        <w:rPr>
          <w:i/>
        </w:rPr>
        <w:t xml:space="preserve"> </w:t>
      </w:r>
      <w:r>
        <w:t xml:space="preserve">the financial and operating policies of the operation, with a view to gaining economic benefit. </w:t>
      </w:r>
    </w:p>
    <w:p w14:paraId="6CFBF27A" w14:textId="77777777" w:rsidR="001E62B2" w:rsidRDefault="001E62B2" w:rsidP="00076B9B">
      <w:pPr>
        <w:pStyle w:val="ListParagraph"/>
        <w:numPr>
          <w:ilvl w:val="0"/>
          <w:numId w:val="9"/>
        </w:numPr>
      </w:pPr>
      <w:r w:rsidRPr="1AF8F8DA">
        <w:t>This applies even if the entity does not have the ability to direct day-to-day operations</w:t>
      </w:r>
      <w:r w:rsidRPr="1AF8F8DA">
        <w:rPr>
          <w:i/>
          <w:iCs/>
        </w:rPr>
        <w:t xml:space="preserve">, </w:t>
      </w:r>
      <w:r w:rsidRPr="1AF8F8DA">
        <w:t>or the operations are not fully owned by the entity.</w:t>
      </w:r>
    </w:p>
    <w:p w14:paraId="18921C6C" w14:textId="77777777" w:rsidR="001E62B2" w:rsidRPr="003C34FC" w:rsidRDefault="001E62B2" w:rsidP="00076B9B">
      <w:pPr>
        <w:pStyle w:val="ListParagraph"/>
        <w:numPr>
          <w:ilvl w:val="0"/>
          <w:numId w:val="9"/>
        </w:numPr>
        <w:rPr>
          <w:i/>
        </w:rPr>
      </w:pPr>
      <w:r>
        <w:t xml:space="preserve">The entity reports </w:t>
      </w:r>
      <w:r w:rsidRPr="008D1157">
        <w:t xml:space="preserve">all </w:t>
      </w:r>
      <w:r>
        <w:t xml:space="preserve">material emissions and removals from operations under its </w:t>
      </w:r>
      <w:r w:rsidRPr="1AF8F8DA">
        <w:rPr>
          <w:i/>
          <w:iCs/>
        </w:rPr>
        <w:t>financial control</w:t>
      </w:r>
      <w:r>
        <w:rPr>
          <w:i/>
          <w:iCs/>
        </w:rPr>
        <w:t>.</w:t>
      </w:r>
    </w:p>
    <w:p w14:paraId="4CC12057" w14:textId="77777777" w:rsidR="001E62B2" w:rsidRDefault="001E62B2" w:rsidP="001E62B2">
      <w:pPr>
        <w:pStyle w:val="Heading3"/>
        <w:numPr>
          <w:ilvl w:val="0"/>
          <w:numId w:val="0"/>
        </w:numPr>
        <w:ind w:left="720" w:hanging="720"/>
      </w:pPr>
      <w:r w:rsidRPr="00CC18A9">
        <w:t xml:space="preserve">Equity share </w:t>
      </w:r>
      <w:r>
        <w:t xml:space="preserve">approach </w:t>
      </w:r>
    </w:p>
    <w:p w14:paraId="28027C67" w14:textId="77777777" w:rsidR="001E62B2" w:rsidRDefault="001E62B2" w:rsidP="001E62B2">
      <w:r>
        <w:t xml:space="preserve">Under the equity share approach, an entity reports emissions and removals in proportion to its ownership interests in the operations. This reflects the entity’s economic interest, rather than operational or financial control. </w:t>
      </w:r>
    </w:p>
    <w:p w14:paraId="026B4A3F" w14:textId="77777777" w:rsidR="001E62B2" w:rsidRDefault="001E62B2" w:rsidP="00076B9B">
      <w:pPr>
        <w:pStyle w:val="ListParagraph"/>
        <w:numPr>
          <w:ilvl w:val="0"/>
          <w:numId w:val="9"/>
        </w:numPr>
      </w:pPr>
      <w:r>
        <w:t>If it owns 40% of a joint venture or partnership, it reports 40% of the emissions from that operation</w:t>
      </w:r>
    </w:p>
    <w:p w14:paraId="690C09A8" w14:textId="77777777" w:rsidR="001E62B2" w:rsidRDefault="001E62B2" w:rsidP="00076B9B">
      <w:pPr>
        <w:pStyle w:val="ListParagraph"/>
        <w:numPr>
          <w:ilvl w:val="0"/>
          <w:numId w:val="9"/>
        </w:numPr>
      </w:pPr>
      <w:r>
        <w:t>If the entity owns 100% of the operations it reports</w:t>
      </w:r>
      <w:r w:rsidRPr="004536F6">
        <w:rPr>
          <w:i/>
        </w:rPr>
        <w:t xml:space="preserve"> </w:t>
      </w:r>
      <w:r w:rsidRPr="008D1157">
        <w:t xml:space="preserve">all </w:t>
      </w:r>
      <w:r>
        <w:t xml:space="preserve">material emissions and removals associated with those operations. </w:t>
      </w:r>
    </w:p>
    <w:p w14:paraId="35757F16" w14:textId="03461F43" w:rsidR="001E62B2" w:rsidRDefault="001E62B2" w:rsidP="001E62B2">
      <w:r>
        <w:t xml:space="preserve">More guidance on consolidation approaches is supplied at </w:t>
      </w:r>
      <w:r w:rsidRPr="007F2C35">
        <w:rPr>
          <w:b/>
          <w:bCs/>
        </w:rPr>
        <w:t xml:space="preserve">Appendix </w:t>
      </w:r>
      <w:r w:rsidR="00371F06">
        <w:rPr>
          <w:b/>
          <w:bCs/>
        </w:rPr>
        <w:t>B</w:t>
      </w:r>
      <w:r w:rsidRPr="007F2C35">
        <w:rPr>
          <w:b/>
          <w:bCs/>
        </w:rPr>
        <w:t>.</w:t>
      </w:r>
      <w:r>
        <w:t xml:space="preserve">  </w:t>
      </w:r>
    </w:p>
    <w:p w14:paraId="779944A2" w14:textId="7F4482BE" w:rsidR="001E62B2" w:rsidRDefault="001E62B2" w:rsidP="001E62B2">
      <w:r>
        <w:rPr>
          <w:rFonts w:ascii="Aptos Narrow" w:eastAsia="Times New Roman" w:hAnsi="Aptos Narrow" w:cs="Times New Roman"/>
          <w:b/>
          <w:bCs/>
          <w:color w:val="000000"/>
          <w:kern w:val="0"/>
          <w:lang w:eastAsia="en-AU"/>
          <w14:ligatures w14:val="none"/>
        </w:rPr>
        <w:t xml:space="preserve">Table 3: </w:t>
      </w:r>
      <w:r w:rsidRPr="00F65B23">
        <w:rPr>
          <w:rFonts w:ascii="Aptos Narrow" w:eastAsia="Times New Roman" w:hAnsi="Aptos Narrow" w:cs="Times New Roman"/>
          <w:b/>
          <w:bCs/>
          <w:color w:val="000000"/>
          <w:kern w:val="0"/>
          <w:lang w:eastAsia="en-AU"/>
          <w14:ligatures w14:val="none"/>
        </w:rPr>
        <w:t xml:space="preserve">GHG Protocol </w:t>
      </w:r>
      <w:r w:rsidR="00B14A66">
        <w:rPr>
          <w:rFonts w:ascii="Aptos Narrow" w:eastAsia="Times New Roman" w:hAnsi="Aptos Narrow" w:cs="Times New Roman"/>
          <w:b/>
          <w:bCs/>
          <w:color w:val="000000"/>
          <w:kern w:val="0"/>
          <w:lang w:eastAsia="en-AU"/>
          <w14:ligatures w14:val="none"/>
        </w:rPr>
        <w:t xml:space="preserve">Corporate Standard </w:t>
      </w:r>
      <w:r w:rsidRPr="00F65B23">
        <w:rPr>
          <w:rFonts w:ascii="Aptos Narrow" w:eastAsia="Times New Roman" w:hAnsi="Aptos Narrow" w:cs="Times New Roman"/>
          <w:b/>
          <w:bCs/>
          <w:color w:val="000000"/>
          <w:kern w:val="0"/>
          <w:lang w:eastAsia="en-AU"/>
          <w14:ligatures w14:val="none"/>
        </w:rPr>
        <w:t>and ISO 14064</w:t>
      </w:r>
      <w:r>
        <w:rPr>
          <w:rFonts w:ascii="Aptos Narrow" w:eastAsia="Times New Roman" w:hAnsi="Aptos Narrow" w:cs="Times New Roman"/>
          <w:b/>
          <w:bCs/>
          <w:color w:val="000000"/>
          <w:kern w:val="0"/>
          <w:lang w:eastAsia="en-AU"/>
          <w14:ligatures w14:val="none"/>
        </w:rPr>
        <w:t>-1:2018 rules for consolidation</w:t>
      </w:r>
      <w:r w:rsidRPr="00F65B23" w:rsidDel="00233F7D">
        <w:rPr>
          <w:rFonts w:ascii="Aptos Narrow" w:eastAsia="Times New Roman" w:hAnsi="Aptos Narrow" w:cs="Times New Roman"/>
          <w:b/>
          <w:bCs/>
          <w:color w:val="000000"/>
          <w:kern w:val="0"/>
          <w:lang w:eastAsia="en-AU"/>
          <w14:ligatures w14:val="none"/>
        </w:rPr>
        <w:t xml:space="preserve"> approach</w:t>
      </w: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5070"/>
      </w:tblGrid>
      <w:tr w:rsidR="001E62B2" w:rsidRPr="00F65B23" w14:paraId="37F54426" w14:textId="77777777">
        <w:trPr>
          <w:trHeight w:val="290"/>
          <w:tblHeader/>
        </w:trPr>
        <w:tc>
          <w:tcPr>
            <w:tcW w:w="4524" w:type="dxa"/>
            <w:shd w:val="clear" w:color="auto" w:fill="E8E8E8" w:themeFill="background2"/>
            <w:vAlign w:val="center"/>
            <w:hideMark/>
          </w:tcPr>
          <w:p w14:paraId="4DEAEC4B" w14:textId="157AA5F2" w:rsidR="001E62B2" w:rsidRPr="00F65B23" w:rsidRDefault="001E62B2">
            <w:pPr>
              <w:spacing w:after="0" w:line="240" w:lineRule="auto"/>
              <w:jc w:val="center"/>
              <w:rPr>
                <w:rFonts w:ascii="Aptos Narrow" w:eastAsia="Times New Roman" w:hAnsi="Aptos Narrow" w:cs="Times New Roman"/>
                <w:b/>
                <w:bCs/>
                <w:color w:val="000000"/>
                <w:kern w:val="0"/>
                <w:lang w:eastAsia="en-AU"/>
                <w14:ligatures w14:val="none"/>
              </w:rPr>
            </w:pPr>
            <w:bookmarkStart w:id="44" w:name="_Hlk208742466"/>
            <w:r w:rsidRPr="00F65B23">
              <w:rPr>
                <w:rFonts w:ascii="Aptos Narrow" w:eastAsia="Times New Roman" w:hAnsi="Aptos Narrow" w:cs="Times New Roman"/>
                <w:b/>
                <w:bCs/>
                <w:color w:val="000000"/>
                <w:kern w:val="0"/>
                <w:lang w:eastAsia="en-AU"/>
                <w14:ligatures w14:val="none"/>
              </w:rPr>
              <w:t>GHG Protocol</w:t>
            </w:r>
            <w:r w:rsidR="00A17555">
              <w:rPr>
                <w:rFonts w:ascii="Aptos Narrow" w:eastAsia="Times New Roman" w:hAnsi="Aptos Narrow" w:cs="Times New Roman"/>
                <w:b/>
                <w:bCs/>
                <w:color w:val="000000"/>
                <w:kern w:val="0"/>
                <w:lang w:eastAsia="en-AU"/>
                <w14:ligatures w14:val="none"/>
              </w:rPr>
              <w:t xml:space="preserve"> Corporate Standard</w:t>
            </w:r>
          </w:p>
        </w:tc>
        <w:tc>
          <w:tcPr>
            <w:tcW w:w="5070" w:type="dxa"/>
            <w:shd w:val="clear" w:color="auto" w:fill="E8E8E8" w:themeFill="background2"/>
            <w:vAlign w:val="center"/>
            <w:hideMark/>
          </w:tcPr>
          <w:p w14:paraId="4877D362" w14:textId="77777777" w:rsidR="001E62B2" w:rsidRPr="00F65B23"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F65B23">
              <w:rPr>
                <w:rFonts w:ascii="Aptos Narrow" w:eastAsia="Times New Roman" w:hAnsi="Aptos Narrow" w:cs="Times New Roman"/>
                <w:b/>
                <w:bCs/>
                <w:color w:val="000000"/>
                <w:kern w:val="0"/>
                <w:lang w:eastAsia="en-AU"/>
                <w14:ligatures w14:val="none"/>
              </w:rPr>
              <w:t>ISO 14064-1:2018</w:t>
            </w:r>
          </w:p>
        </w:tc>
      </w:tr>
      <w:tr w:rsidR="001E62B2" w:rsidRPr="00F65B23" w14:paraId="1858DB23" w14:textId="77777777">
        <w:trPr>
          <w:trHeight w:val="1160"/>
          <w:tblHeader/>
        </w:trPr>
        <w:tc>
          <w:tcPr>
            <w:tcW w:w="4524" w:type="dxa"/>
            <w:vAlign w:val="center"/>
          </w:tcPr>
          <w:p w14:paraId="57442EB5" w14:textId="77777777" w:rsidR="001E62B2" w:rsidRPr="00F65B23" w:rsidRDefault="001E62B2">
            <w:pPr>
              <w:spacing w:after="0" w:line="240" w:lineRule="auto"/>
              <w:rPr>
                <w:rFonts w:ascii="Aptos Narrow" w:eastAsia="Times New Roman" w:hAnsi="Aptos Narrow" w:cs="Times New Roman"/>
                <w:color w:val="000000"/>
                <w:kern w:val="0"/>
                <w:lang w:eastAsia="en-AU"/>
                <w14:ligatures w14:val="none"/>
              </w:rPr>
            </w:pPr>
            <w:r w:rsidRPr="00F65B23">
              <w:rPr>
                <w:rFonts w:ascii="Aptos Narrow" w:eastAsia="Times New Roman" w:hAnsi="Aptos Narrow" w:cs="Times New Roman"/>
                <w:color w:val="000000"/>
                <w:kern w:val="0"/>
                <w:lang w:eastAsia="en-AU"/>
                <w14:ligatures w14:val="none"/>
              </w:rPr>
              <w:t xml:space="preserve">A reporting entity </w:t>
            </w:r>
            <w:r>
              <w:rPr>
                <w:rFonts w:ascii="Aptos Narrow" w:eastAsia="Times New Roman" w:hAnsi="Aptos Narrow" w:cs="Times New Roman"/>
                <w:b/>
                <w:bCs/>
                <w:color w:val="000000"/>
                <w:kern w:val="0"/>
                <w:lang w:eastAsia="en-AU"/>
                <w14:ligatures w14:val="none"/>
              </w:rPr>
              <w:t xml:space="preserve">shall </w:t>
            </w:r>
            <w:r w:rsidRPr="00F65B23">
              <w:rPr>
                <w:rFonts w:ascii="Aptos Narrow" w:eastAsia="Times New Roman" w:hAnsi="Aptos Narrow" w:cs="Times New Roman"/>
                <w:color w:val="000000"/>
                <w:kern w:val="0"/>
                <w:lang w:eastAsia="en-AU"/>
                <w14:ligatures w14:val="none"/>
              </w:rPr>
              <w:t xml:space="preserve">select and apply </w:t>
            </w:r>
            <w:r w:rsidRPr="00F65B23">
              <w:rPr>
                <w:rFonts w:ascii="Aptos Narrow" w:eastAsia="Times New Roman" w:hAnsi="Aptos Narrow" w:cs="Times New Roman"/>
                <w:b/>
                <w:bCs/>
                <w:color w:val="000000"/>
                <w:kern w:val="0"/>
                <w:lang w:eastAsia="en-AU"/>
                <w14:ligatures w14:val="none"/>
              </w:rPr>
              <w:t>one</w:t>
            </w:r>
            <w:r w:rsidRPr="00F65B23">
              <w:rPr>
                <w:rFonts w:ascii="Aptos Narrow" w:eastAsia="Times New Roman" w:hAnsi="Aptos Narrow" w:cs="Times New Roman"/>
                <w:color w:val="000000"/>
                <w:kern w:val="0"/>
                <w:lang w:eastAsia="en-AU"/>
                <w14:ligatures w14:val="none"/>
              </w:rPr>
              <w:t xml:space="preserve"> con</w:t>
            </w:r>
            <w:r>
              <w:rPr>
                <w:rFonts w:ascii="Aptos Narrow" w:eastAsia="Times New Roman" w:hAnsi="Aptos Narrow" w:cs="Times New Roman"/>
                <w:color w:val="000000"/>
                <w:kern w:val="0"/>
                <w:lang w:eastAsia="en-AU"/>
                <w14:ligatures w14:val="none"/>
              </w:rPr>
              <w:t>solidation</w:t>
            </w:r>
            <w:r w:rsidRPr="00F65B23">
              <w:rPr>
                <w:rFonts w:ascii="Aptos Narrow" w:eastAsia="Times New Roman" w:hAnsi="Aptos Narrow" w:cs="Times New Roman"/>
                <w:color w:val="000000"/>
                <w:kern w:val="0"/>
                <w:lang w:eastAsia="en-AU"/>
                <w14:ligatures w14:val="none"/>
              </w:rPr>
              <w:t xml:space="preserve"> approach (financial</w:t>
            </w:r>
            <w:r>
              <w:rPr>
                <w:rFonts w:ascii="Aptos Narrow" w:eastAsia="Times New Roman" w:hAnsi="Aptos Narrow" w:cs="Times New Roman"/>
                <w:color w:val="000000"/>
                <w:kern w:val="0"/>
                <w:lang w:eastAsia="en-AU"/>
                <w14:ligatures w14:val="none"/>
              </w:rPr>
              <w:t xml:space="preserve"> or</w:t>
            </w:r>
            <w:r w:rsidRPr="00F65B23">
              <w:rPr>
                <w:rFonts w:ascii="Aptos Narrow" w:eastAsia="Times New Roman" w:hAnsi="Aptos Narrow" w:cs="Times New Roman"/>
                <w:color w:val="000000"/>
                <w:kern w:val="0"/>
                <w:lang w:eastAsia="en-AU"/>
                <w14:ligatures w14:val="none"/>
              </w:rPr>
              <w:t xml:space="preserve"> operational control</w:t>
            </w:r>
            <w:r>
              <w:rPr>
                <w:rFonts w:ascii="Aptos Narrow" w:eastAsia="Times New Roman" w:hAnsi="Aptos Narrow" w:cs="Times New Roman"/>
                <w:color w:val="000000"/>
                <w:kern w:val="0"/>
                <w:lang w:eastAsia="en-AU"/>
                <w14:ligatures w14:val="none"/>
              </w:rPr>
              <w:t>, or equity share</w:t>
            </w:r>
            <w:r w:rsidRPr="00F65B23">
              <w:rPr>
                <w:rFonts w:ascii="Aptos Narrow" w:eastAsia="Times New Roman" w:hAnsi="Aptos Narrow" w:cs="Times New Roman"/>
                <w:color w:val="000000"/>
                <w:kern w:val="0"/>
                <w:lang w:eastAsia="en-AU"/>
                <w14:ligatures w14:val="none"/>
              </w:rPr>
              <w:t>).</w:t>
            </w:r>
          </w:p>
        </w:tc>
        <w:tc>
          <w:tcPr>
            <w:tcW w:w="5070" w:type="dxa"/>
            <w:vAlign w:val="center"/>
          </w:tcPr>
          <w:p w14:paraId="6DC0CBD7" w14:textId="77777777" w:rsidR="001E62B2" w:rsidRPr="00F65B23" w:rsidRDefault="001E62B2">
            <w:pPr>
              <w:spacing w:after="0" w:line="240" w:lineRule="auto"/>
              <w:rPr>
                <w:rFonts w:ascii="Aptos Narrow" w:eastAsia="Times New Roman" w:hAnsi="Aptos Narrow" w:cs="Times New Roman"/>
                <w:color w:val="000000"/>
                <w:kern w:val="0"/>
                <w:lang w:eastAsia="en-AU"/>
                <w14:ligatures w14:val="none"/>
              </w:rPr>
            </w:pPr>
            <w:r w:rsidRPr="00F65B23">
              <w:rPr>
                <w:rFonts w:ascii="Aptos Narrow" w:eastAsia="Times New Roman" w:hAnsi="Aptos Narrow" w:cs="Times New Roman"/>
                <w:color w:val="000000"/>
                <w:kern w:val="0"/>
                <w:lang w:eastAsia="en-AU"/>
                <w14:ligatures w14:val="none"/>
              </w:rPr>
              <w:t>ISO does not prescribe that a single con</w:t>
            </w:r>
            <w:r>
              <w:rPr>
                <w:rFonts w:ascii="Aptos Narrow" w:eastAsia="Times New Roman" w:hAnsi="Aptos Narrow" w:cs="Times New Roman"/>
                <w:color w:val="000000"/>
                <w:kern w:val="0"/>
                <w:lang w:eastAsia="en-AU"/>
                <w14:ligatures w14:val="none"/>
              </w:rPr>
              <w:t xml:space="preserve">solidation </w:t>
            </w:r>
            <w:r w:rsidRPr="00F65B23">
              <w:rPr>
                <w:rFonts w:ascii="Aptos Narrow" w:eastAsia="Times New Roman" w:hAnsi="Aptos Narrow" w:cs="Times New Roman"/>
                <w:color w:val="000000"/>
                <w:kern w:val="0"/>
                <w:lang w:eastAsia="en-AU"/>
                <w14:ligatures w14:val="none"/>
              </w:rPr>
              <w:t xml:space="preserve">approach must be chosen for defining the organisational boundary. Multiple approaches could be applied to reflect complex entity structures. However, the entity </w:t>
            </w:r>
            <w:r w:rsidRPr="00F65B23">
              <w:rPr>
                <w:rFonts w:ascii="Aptos Narrow" w:eastAsia="Times New Roman" w:hAnsi="Aptos Narrow" w:cs="Times New Roman"/>
                <w:b/>
                <w:bCs/>
                <w:color w:val="000000"/>
                <w:kern w:val="0"/>
                <w:lang w:eastAsia="en-AU"/>
                <w14:ligatures w14:val="none"/>
              </w:rPr>
              <w:t>must</w:t>
            </w:r>
            <w:r w:rsidRPr="00F65B23">
              <w:rPr>
                <w:rFonts w:ascii="Aptos Narrow" w:eastAsia="Times New Roman" w:hAnsi="Aptos Narrow" w:cs="Times New Roman"/>
                <w:color w:val="000000"/>
                <w:kern w:val="0"/>
                <w:lang w:eastAsia="en-AU"/>
                <w14:ligatures w14:val="none"/>
              </w:rPr>
              <w:t xml:space="preserve"> define and justify how boundaries are drawn.</w:t>
            </w:r>
          </w:p>
        </w:tc>
      </w:tr>
    </w:tbl>
    <w:p w14:paraId="39CC65E2" w14:textId="77777777" w:rsidR="001E62B2" w:rsidRDefault="001E62B2" w:rsidP="00BE68D0">
      <w:pPr>
        <w:pStyle w:val="Style3"/>
        <w:ind w:left="567" w:hanging="567"/>
      </w:pPr>
      <w:bookmarkStart w:id="45" w:name="_Toc225269956"/>
      <w:bookmarkStart w:id="46" w:name="_Ref208236630"/>
      <w:bookmarkStart w:id="47" w:name="_Ref208764872"/>
      <w:bookmarkStart w:id="48" w:name="ReportingBoundary"/>
      <w:bookmarkEnd w:id="44"/>
      <w:r>
        <w:t xml:space="preserve">Reporting </w:t>
      </w:r>
      <w:r w:rsidRPr="00066544">
        <w:t>boundary</w:t>
      </w:r>
      <w:bookmarkEnd w:id="45"/>
      <w:r w:rsidRPr="00066544">
        <w:t xml:space="preserve"> </w:t>
      </w:r>
      <w:bookmarkEnd w:id="46"/>
      <w:bookmarkEnd w:id="47"/>
    </w:p>
    <w:bookmarkEnd w:id="48"/>
    <w:p w14:paraId="716D65CA" w14:textId="464EECB7" w:rsidR="001E62B2" w:rsidRDefault="001E62B2" w:rsidP="001E62B2">
      <w:r w:rsidRPr="00FB2BCD">
        <w:t>After defining the organi</w:t>
      </w:r>
      <w:r>
        <w:t>s</w:t>
      </w:r>
      <w:r w:rsidRPr="00FB2BCD">
        <w:t>ational boundary, the entity identif</w:t>
      </w:r>
      <w:r>
        <w:t>ies</w:t>
      </w:r>
      <w:r w:rsidRPr="00FB2BCD">
        <w:t xml:space="preserve"> GHG sources and sinks, </w:t>
      </w:r>
      <w:r>
        <w:t xml:space="preserve">that are relevant to </w:t>
      </w:r>
      <w:r w:rsidRPr="00BB290B">
        <w:t>its activities, operations, facilities, and value chain interactions</w:t>
      </w:r>
      <w:r>
        <w:t>,</w:t>
      </w:r>
      <w:r w:rsidRPr="005A1B4C">
        <w:t xml:space="preserve"> </w:t>
      </w:r>
      <w:r>
        <w:t xml:space="preserve">and </w:t>
      </w:r>
      <w:r w:rsidRPr="00621FA6">
        <w:rPr>
          <w:bCs/>
        </w:rPr>
        <w:t>classif</w:t>
      </w:r>
      <w:r>
        <w:rPr>
          <w:bCs/>
        </w:rPr>
        <w:t xml:space="preserve">ies them </w:t>
      </w:r>
      <w:r w:rsidRPr="00621FA6">
        <w:rPr>
          <w:bCs/>
        </w:rPr>
        <w:t>as Scope 1</w:t>
      </w:r>
      <w:r>
        <w:rPr>
          <w:bCs/>
        </w:rPr>
        <w:t>,</w:t>
      </w:r>
      <w:r w:rsidRPr="00621FA6">
        <w:rPr>
          <w:bCs/>
        </w:rPr>
        <w:t xml:space="preserve"> Scope 2, or Scope 3</w:t>
      </w:r>
      <w:r>
        <w:rPr>
          <w:bCs/>
        </w:rPr>
        <w:t>.</w:t>
      </w:r>
      <w:r w:rsidRPr="005A1B4C">
        <w:t xml:space="preserve"> </w:t>
      </w:r>
      <w:r>
        <w:t>This defines the entity’s ‘</w:t>
      </w:r>
      <w:r w:rsidRPr="00FB2BCD">
        <w:t>reporting boundary</w:t>
      </w:r>
      <w:r>
        <w:t>’</w:t>
      </w:r>
      <w:r>
        <w:rPr>
          <w:rStyle w:val="FootnoteReference"/>
        </w:rPr>
        <w:footnoteReference w:id="8"/>
      </w:r>
      <w:r>
        <w:t xml:space="preserve">. </w:t>
      </w:r>
    </w:p>
    <w:p w14:paraId="0CE6FCA8" w14:textId="77777777" w:rsidR="001E62B2" w:rsidRDefault="001E62B2" w:rsidP="001E62B2">
      <w:pPr>
        <w:rPr>
          <w:rStyle w:val="Strong"/>
          <w:b w:val="0"/>
        </w:rPr>
      </w:pPr>
      <w:r>
        <w:rPr>
          <w:bCs/>
        </w:rPr>
        <w:lastRenderedPageBreak/>
        <w:t xml:space="preserve">The entity </w:t>
      </w:r>
      <w:r w:rsidDel="00C2657A">
        <w:rPr>
          <w:bCs/>
        </w:rPr>
        <w:t xml:space="preserve">should </w:t>
      </w:r>
      <w:r>
        <w:rPr>
          <w:bCs/>
        </w:rPr>
        <w:t>also</w:t>
      </w:r>
      <w:r>
        <w:t xml:space="preserve"> </w:t>
      </w:r>
      <w:r>
        <w:rPr>
          <w:rStyle w:val="Strong"/>
          <w:b w:val="0"/>
          <w:bCs w:val="0"/>
        </w:rPr>
        <w:t xml:space="preserve">determine if any relevant sources and sinks will not be </w:t>
      </w:r>
      <w:r w:rsidDel="00C2657A">
        <w:rPr>
          <w:rStyle w:val="Strong"/>
          <w:b w:val="0"/>
          <w:bCs w:val="0"/>
        </w:rPr>
        <w:t>estimated</w:t>
      </w:r>
      <w:r>
        <w:rPr>
          <w:rStyle w:val="Strong"/>
          <w:b w:val="0"/>
          <w:bCs w:val="0"/>
        </w:rPr>
        <w:t xml:space="preserve">. </w:t>
      </w:r>
      <w:r w:rsidRPr="00D178A1">
        <w:rPr>
          <w:rStyle w:val="Strong"/>
          <w:b w:val="0"/>
          <w:bCs w:val="0"/>
        </w:rPr>
        <w:t xml:space="preserve"> </w:t>
      </w:r>
    </w:p>
    <w:p w14:paraId="14777FB1" w14:textId="77777777" w:rsidR="001E62B2" w:rsidRDefault="001E62B2" w:rsidP="001E62B2">
      <w:pPr>
        <w:pStyle w:val="Heading3"/>
        <w:numPr>
          <w:ilvl w:val="0"/>
          <w:numId w:val="0"/>
        </w:numPr>
        <w:ind w:left="720" w:hanging="720"/>
      </w:pPr>
      <w:r>
        <w:t xml:space="preserve">Identify relevant sources and sinks </w:t>
      </w:r>
    </w:p>
    <w:p w14:paraId="476A67CA" w14:textId="15555A0E" w:rsidR="001E62B2" w:rsidRDefault="001E62B2" w:rsidP="001E62B2">
      <w:r w:rsidRPr="001B0EC3">
        <w:t xml:space="preserve">All relevant sources and sinks shall be included within the </w:t>
      </w:r>
      <w:r>
        <w:t>entit</w:t>
      </w:r>
      <w:r w:rsidR="00205A31">
        <w:t>y</w:t>
      </w:r>
      <w:r w:rsidR="005545C8">
        <w:t>’</w:t>
      </w:r>
      <w:r>
        <w:t xml:space="preserve">s reporting boundary. </w:t>
      </w:r>
      <w:r w:rsidRPr="001B0EC3">
        <w:t xml:space="preserve">The following emission sources and sinks are relevant to AFF entities. </w:t>
      </w:r>
    </w:p>
    <w:p w14:paraId="384F3871" w14:textId="4F8CA9DD" w:rsidR="00316B03" w:rsidRDefault="001E62B2" w:rsidP="00076B9B">
      <w:pPr>
        <w:pStyle w:val="ListParagraph"/>
        <w:numPr>
          <w:ilvl w:val="0"/>
          <w:numId w:val="10"/>
        </w:numPr>
      </w:pPr>
      <w:r>
        <w:t>All sources and sinks from animal, crop or tree production in the entity’s control (e.g. enteric fermentation; manure management; fertiliser use</w:t>
      </w:r>
      <w:r w:rsidR="00234957">
        <w:t>;</w:t>
      </w:r>
      <w:r>
        <w:t xml:space="preserve"> </w:t>
      </w:r>
      <w:r w:rsidR="002F144C">
        <w:t xml:space="preserve">management of </w:t>
      </w:r>
      <w:r>
        <w:t>livestock waste</w:t>
      </w:r>
      <w:r w:rsidR="002F144C">
        <w:t xml:space="preserve">; </w:t>
      </w:r>
      <w:r>
        <w:t xml:space="preserve">crop residues to soils; </w:t>
      </w:r>
      <w:r w:rsidR="002F144C">
        <w:t xml:space="preserve">or </w:t>
      </w:r>
      <w:r w:rsidR="008E2491">
        <w:t>solid waste and wastewater treatment</w:t>
      </w:r>
      <w:r w:rsidR="002F144C">
        <w:t>)</w:t>
      </w:r>
      <w:r w:rsidR="00DC1085">
        <w:t>.</w:t>
      </w:r>
      <w:r w:rsidR="008E2491">
        <w:t xml:space="preserve"> </w:t>
      </w:r>
    </w:p>
    <w:p w14:paraId="581C9CF4" w14:textId="74781AB1" w:rsidR="001E62B2" w:rsidRDefault="00316B03" w:rsidP="00076B9B">
      <w:pPr>
        <w:pStyle w:val="ListParagraph"/>
        <w:numPr>
          <w:ilvl w:val="0"/>
          <w:numId w:val="10"/>
        </w:numPr>
      </w:pPr>
      <w:r>
        <w:t>Biogenic carbon stock</w:t>
      </w:r>
      <w:r w:rsidR="001E62B2">
        <w:t xml:space="preserve"> changes </w:t>
      </w:r>
      <w:r>
        <w:t>from</w:t>
      </w:r>
      <w:r w:rsidR="001E62B2">
        <w:t xml:space="preserve"> land use; or management of vegetation and soils</w:t>
      </w:r>
      <w:r w:rsidR="00DC1085">
        <w:t>.</w:t>
      </w:r>
    </w:p>
    <w:p w14:paraId="5CBE1E0C" w14:textId="3C6A0240" w:rsidR="001E62B2" w:rsidRDefault="001E62B2" w:rsidP="00076B9B">
      <w:pPr>
        <w:pStyle w:val="ListParagraph"/>
        <w:numPr>
          <w:ilvl w:val="0"/>
          <w:numId w:val="10"/>
        </w:numPr>
      </w:pPr>
      <w:r>
        <w:t>All emissions from stationary energy and fuels used in buildings, equipment, machinery, irrigation pumps or vehicles in the entity’s control (e.g. natural gas</w:t>
      </w:r>
      <w:r w:rsidR="0060615B">
        <w:t xml:space="preserve"> used for heating or cooling, or liquid</w:t>
      </w:r>
      <w:r w:rsidR="005420EA">
        <w:t xml:space="preserve"> </w:t>
      </w:r>
      <w:r>
        <w:t xml:space="preserve">fuels used in generators or vehicles). </w:t>
      </w:r>
    </w:p>
    <w:p w14:paraId="0493914C" w14:textId="77777777" w:rsidR="001E62B2" w:rsidRDefault="001E62B2" w:rsidP="00076B9B">
      <w:pPr>
        <w:pStyle w:val="ListParagraph"/>
        <w:numPr>
          <w:ilvl w:val="0"/>
          <w:numId w:val="10"/>
        </w:numPr>
      </w:pPr>
      <w:r>
        <w:t xml:space="preserve">All emissions associated with purchased energy (electricity, heat, steam or cooling) consumed by buildings, equipment, machinery or vehicles, irrigation in the entity’s control. </w:t>
      </w:r>
    </w:p>
    <w:p w14:paraId="2C39C968" w14:textId="4587086A" w:rsidR="001E62B2" w:rsidRDefault="001E62B2" w:rsidP="001E62B2">
      <w:r>
        <w:t xml:space="preserve">Entities shall also assess </w:t>
      </w:r>
      <w:r w:rsidR="00DE52E3">
        <w:t>all</w:t>
      </w:r>
      <w:r>
        <w:t xml:space="preserve"> Scope 3 categories as outlined in the GHG </w:t>
      </w:r>
      <w:r w:rsidRPr="00D67F33">
        <w:t xml:space="preserve">Protocol Corporate Value Chain (Scope 3) </w:t>
      </w:r>
      <w:r w:rsidR="00F17CC1">
        <w:t xml:space="preserve">Accounting and Reporting </w:t>
      </w:r>
      <w:r w:rsidRPr="00D67F33">
        <w:t>Standard</w:t>
      </w:r>
      <w:r>
        <w:t xml:space="preserve"> for relevance.  </w:t>
      </w:r>
    </w:p>
    <w:p w14:paraId="3FF0687B" w14:textId="77777777" w:rsidR="001E62B2" w:rsidRDefault="001E62B2" w:rsidP="001E62B2">
      <w:pPr>
        <w:pStyle w:val="Style1"/>
        <w:ind w:left="0" w:firstLine="0"/>
      </w:pPr>
      <w:r>
        <w:t>Scope 3 considerations</w:t>
      </w:r>
    </w:p>
    <w:p w14:paraId="04E51E63" w14:textId="69216C5A" w:rsidR="001E62B2" w:rsidRPr="008A326F" w:rsidRDefault="001E62B2" w:rsidP="001E62B2">
      <w:pPr>
        <w:rPr>
          <w:rFonts w:ascii="Aptos" w:eastAsia="Aptos" w:hAnsi="Aptos" w:cs="Aptos"/>
        </w:rPr>
      </w:pPr>
      <w:r w:rsidRPr="000C24C3">
        <w:t xml:space="preserve">The </w:t>
      </w:r>
      <w:r>
        <w:t>Methodological Guidance</w:t>
      </w:r>
      <w:r w:rsidRPr="000C24C3">
        <w:t xml:space="preserve"> currently provide</w:t>
      </w:r>
      <w:r>
        <w:t>s</w:t>
      </w:r>
      <w:r w:rsidRPr="000C24C3">
        <w:t xml:space="preserve"> estimation methods for a subset of </w:t>
      </w:r>
      <w:r w:rsidR="000906FF">
        <w:t xml:space="preserve">upstream </w:t>
      </w:r>
      <w:r w:rsidRPr="000C24C3">
        <w:t>Scope</w:t>
      </w:r>
      <w:r>
        <w:t> </w:t>
      </w:r>
      <w:r w:rsidRPr="000C24C3">
        <w:t>3 categories relevant to AFF production (see Table 1)</w:t>
      </w:r>
      <w:r>
        <w:t>.</w:t>
      </w:r>
      <w:r w:rsidRPr="000C24C3">
        <w:t xml:space="preserve"> </w:t>
      </w:r>
      <w:r w:rsidR="001438F8">
        <w:t>Where</w:t>
      </w:r>
      <w:r w:rsidRPr="008214CD">
        <w:t xml:space="preserve"> other Scope 3 categories are </w:t>
      </w:r>
      <w:r>
        <w:t xml:space="preserve">assessed as </w:t>
      </w:r>
      <w:r w:rsidRPr="008214CD">
        <w:t>relevant and material</w:t>
      </w:r>
      <w:r>
        <w:t>, entit</w:t>
      </w:r>
      <w:r w:rsidR="00447380">
        <w:t>ies</w:t>
      </w:r>
      <w:r>
        <w:t xml:space="preserve"> shall estimate the</w:t>
      </w:r>
      <w:r w:rsidR="00DF5856">
        <w:t>se</w:t>
      </w:r>
      <w:r>
        <w:t xml:space="preserve"> emissions</w:t>
      </w:r>
      <w:r w:rsidR="007D7015">
        <w:t>.</w:t>
      </w:r>
      <w:r>
        <w:t xml:space="preserve"> </w:t>
      </w:r>
    </w:p>
    <w:p w14:paraId="6B74295F" w14:textId="77777777" w:rsidR="001E62B2" w:rsidRPr="008D73B0" w:rsidRDefault="001E62B2" w:rsidP="001E62B2">
      <w:pPr>
        <w:pStyle w:val="Heading3"/>
        <w:numPr>
          <w:ilvl w:val="0"/>
          <w:numId w:val="0"/>
        </w:numPr>
      </w:pPr>
      <w:r>
        <w:t>Establish if relevant sources and sinks will not be estimated</w:t>
      </w:r>
    </w:p>
    <w:p w14:paraId="626420AA" w14:textId="77777777" w:rsidR="001E62B2" w:rsidRPr="009B7CFA" w:rsidRDefault="001E62B2" w:rsidP="001E62B2">
      <w:pPr>
        <w:rPr>
          <w:rFonts w:ascii="Aptos Narrow" w:eastAsia="Aptos Narrow" w:hAnsi="Aptos Narrow" w:cs="Aptos Narrow"/>
          <w:color w:val="000000" w:themeColor="text1"/>
        </w:rPr>
      </w:pPr>
      <w:r w:rsidRPr="00490094">
        <w:t>All relevant emissions sources</w:t>
      </w:r>
      <w:r>
        <w:t xml:space="preserve"> or sinks</w:t>
      </w:r>
      <w:r w:rsidRPr="00490094">
        <w:t xml:space="preserve"> </w:t>
      </w:r>
      <w:r>
        <w:t>shall</w:t>
      </w:r>
      <w:r w:rsidRPr="00490094">
        <w:t xml:space="preserve"> be </w:t>
      </w:r>
      <w:r>
        <w:t>estimated</w:t>
      </w:r>
      <w:r w:rsidRPr="00490094">
        <w:t xml:space="preserve"> and included within the </w:t>
      </w:r>
      <w:r>
        <w:t>GHG inventory</w:t>
      </w:r>
      <w:r w:rsidRPr="00490094">
        <w:t xml:space="preserve"> unless</w:t>
      </w:r>
      <w:r w:rsidRPr="009B7CFA">
        <w:rPr>
          <w:rFonts w:ascii="Aptos Narrow" w:eastAsia="Aptos Narrow" w:hAnsi="Aptos Narrow" w:cs="Aptos Narrow"/>
          <w:color w:val="000000" w:themeColor="text1"/>
        </w:rPr>
        <w:t xml:space="preserve">: </w:t>
      </w:r>
    </w:p>
    <w:p w14:paraId="36460894" w14:textId="77777777" w:rsidR="001E62B2" w:rsidRPr="00CA4A74" w:rsidRDefault="001E62B2" w:rsidP="00076B9B">
      <w:pPr>
        <w:pStyle w:val="ListParagraph"/>
        <w:numPr>
          <w:ilvl w:val="0"/>
          <w:numId w:val="10"/>
        </w:numPr>
      </w:pPr>
      <w:r>
        <w:t>the sources or sinks are</w:t>
      </w:r>
      <w:r w:rsidRPr="00CA4A74">
        <w:t xml:space="preserve"> not considered material (see below for materiality considerations)</w:t>
      </w:r>
    </w:p>
    <w:p w14:paraId="37C3E20B" w14:textId="77777777" w:rsidR="001E62B2" w:rsidRPr="00CA4A74" w:rsidRDefault="001E62B2" w:rsidP="00076B9B">
      <w:pPr>
        <w:pStyle w:val="ListParagraph"/>
        <w:numPr>
          <w:ilvl w:val="0"/>
          <w:numId w:val="10"/>
        </w:numPr>
      </w:pPr>
      <w:r w:rsidRPr="00CA4A74">
        <w:t xml:space="preserve">it is not practicable or cost effective to </w:t>
      </w:r>
      <w:r>
        <w:t xml:space="preserve">collect data to </w:t>
      </w:r>
      <w:r w:rsidRPr="00CA4A74">
        <w:t xml:space="preserve">estimate a source </w:t>
      </w:r>
      <w:r>
        <w:t>or sink</w:t>
      </w:r>
    </w:p>
    <w:p w14:paraId="70C39663" w14:textId="77777777" w:rsidR="001E62B2" w:rsidRDefault="001E62B2" w:rsidP="00076B9B">
      <w:pPr>
        <w:pStyle w:val="ListParagraph"/>
        <w:numPr>
          <w:ilvl w:val="0"/>
          <w:numId w:val="10"/>
        </w:numPr>
        <w:rPr>
          <w:rFonts w:ascii="Aptos Narrow" w:eastAsia="Aptos Narrow" w:hAnsi="Aptos Narrow" w:cs="Aptos Narrow"/>
          <w:color w:val="000000" w:themeColor="text1"/>
        </w:rPr>
      </w:pPr>
      <w:r>
        <w:t xml:space="preserve">a method </w:t>
      </w:r>
      <w:r w:rsidRPr="00CA4A74">
        <w:t xml:space="preserve">for estimating </w:t>
      </w:r>
      <w:r>
        <w:t>a</w:t>
      </w:r>
      <w:r w:rsidRPr="00CA4A74">
        <w:t xml:space="preserve"> source</w:t>
      </w:r>
      <w:r>
        <w:t xml:space="preserve"> or sink </w:t>
      </w:r>
      <w:r w:rsidRPr="00CA4A74">
        <w:t>is unavailable</w:t>
      </w:r>
      <w:r>
        <w:t xml:space="preserve"> (for Scope 3 sources see additional requirements below)</w:t>
      </w:r>
      <w:r w:rsidRPr="00CA4A74">
        <w:t>.</w:t>
      </w:r>
    </w:p>
    <w:p w14:paraId="1A6D3E5E" w14:textId="77777777" w:rsidR="001E62B2" w:rsidRDefault="001E62B2" w:rsidP="001E62B2">
      <w:pPr>
        <w:rPr>
          <w:rFonts w:ascii="Aptos Narrow" w:eastAsia="Aptos Narrow" w:hAnsi="Aptos Narrow" w:cs="Aptos Narrow"/>
          <w:color w:val="000000" w:themeColor="text1"/>
        </w:rPr>
      </w:pPr>
      <w:r w:rsidRPr="00CA4A74">
        <w:t xml:space="preserve">Where relevant sources </w:t>
      </w:r>
      <w:r>
        <w:t>or sinks</w:t>
      </w:r>
      <w:r w:rsidRPr="00CA4A74">
        <w:t xml:space="preserve"> are not </w:t>
      </w:r>
      <w:r>
        <w:t>estimat</w:t>
      </w:r>
      <w:r w:rsidRPr="00CA4A74">
        <w:t xml:space="preserve">ed for the reasons above, but those sources </w:t>
      </w:r>
      <w:r>
        <w:t>/ sinks</w:t>
      </w:r>
      <w:r w:rsidRPr="00CA4A74">
        <w:t xml:space="preserve"> are</w:t>
      </w:r>
      <w:r>
        <w:t>,</w:t>
      </w:r>
      <w:r w:rsidRPr="00CA4A74">
        <w:t xml:space="preserve"> or are likely to be</w:t>
      </w:r>
      <w:r>
        <w:t>,</w:t>
      </w:r>
      <w:r w:rsidRPr="00CA4A74">
        <w:t xml:space="preserve"> material</w:t>
      </w:r>
      <w:r>
        <w:t xml:space="preserve"> </w:t>
      </w:r>
      <w:r w:rsidRPr="00CA4A74">
        <w:t>a data management plan should be developed</w:t>
      </w:r>
      <w:r>
        <w:t>,</w:t>
      </w:r>
      <w:r w:rsidRPr="00CA4A74">
        <w:t xml:space="preserve"> stating how the entity intends to obtain the necessary data for future reports. </w:t>
      </w:r>
    </w:p>
    <w:p w14:paraId="6BFE4CED" w14:textId="77777777" w:rsidR="001E62B2" w:rsidRPr="00CA4A74" w:rsidRDefault="001E62B2" w:rsidP="001E62B2">
      <w:r w:rsidRPr="00CA4A74">
        <w:t>If any source</w:t>
      </w:r>
      <w:r>
        <w:t xml:space="preserve"> or sink is</w:t>
      </w:r>
      <w:r w:rsidRPr="00CA4A74">
        <w:t xml:space="preserve"> omitted, the entity shall:</w:t>
      </w:r>
    </w:p>
    <w:p w14:paraId="15DA0375" w14:textId="77777777" w:rsidR="001E62B2" w:rsidRPr="00CA4A74" w:rsidRDefault="001E62B2" w:rsidP="00076B9B">
      <w:pPr>
        <w:pStyle w:val="ListParagraph"/>
        <w:numPr>
          <w:ilvl w:val="0"/>
          <w:numId w:val="10"/>
        </w:numPr>
      </w:pPr>
      <w:r w:rsidRPr="00CA4A74">
        <w:t xml:space="preserve">report what is being excluded </w:t>
      </w:r>
    </w:p>
    <w:p w14:paraId="67C34D95" w14:textId="77777777" w:rsidR="001E62B2" w:rsidRPr="00FB412E" w:rsidRDefault="001E62B2" w:rsidP="00076B9B">
      <w:pPr>
        <w:pStyle w:val="ListParagraph"/>
        <w:numPr>
          <w:ilvl w:val="0"/>
          <w:numId w:val="10"/>
        </w:numPr>
        <w:rPr>
          <w:rStyle w:val="Strong"/>
          <w:b w:val="0"/>
        </w:rPr>
      </w:pPr>
      <w:r w:rsidRPr="00CA4A74">
        <w:t>justify the reason for exclusion – for example, impractical to measure,</w:t>
      </w:r>
      <w:r w:rsidRPr="00CA4A74" w:rsidDel="00950A66">
        <w:t xml:space="preserve"> </w:t>
      </w:r>
      <w:r w:rsidRPr="00CA4A74">
        <w:t>no</w:t>
      </w:r>
      <w:r w:rsidRPr="00CA4A74" w:rsidDel="00950A66">
        <w:t xml:space="preserve"> </w:t>
      </w:r>
      <w:r w:rsidRPr="00CA4A74">
        <w:t>calculation approach (method) provided, lack of data, or immaterial and unlikely to influence stakeholder decisions.</w:t>
      </w:r>
    </w:p>
    <w:p w14:paraId="4A84422B" w14:textId="77777777" w:rsidR="001E62B2" w:rsidRPr="00EA6D02" w:rsidRDefault="001E62B2" w:rsidP="001E62B2">
      <w:pPr>
        <w:pStyle w:val="Style1"/>
      </w:pPr>
      <w:bookmarkStart w:id="49" w:name="_Ref208752036"/>
      <w:r>
        <w:t>Materiality</w:t>
      </w:r>
      <w:bookmarkEnd w:id="49"/>
    </w:p>
    <w:p w14:paraId="4EEB3AD2" w14:textId="77777777" w:rsidR="001E62B2" w:rsidRPr="00CA4A74" w:rsidRDefault="001E62B2" w:rsidP="001E62B2">
      <w:r w:rsidRPr="00CA4A74">
        <w:t>A source</w:t>
      </w:r>
      <w:r>
        <w:t xml:space="preserve"> or sink</w:t>
      </w:r>
      <w:r w:rsidRPr="00CA4A74">
        <w:t xml:space="preserve"> </w:t>
      </w:r>
      <w:proofErr w:type="gramStart"/>
      <w:r w:rsidRPr="00CA4A74">
        <w:t>is considered to be</w:t>
      </w:r>
      <w:proofErr w:type="gramEnd"/>
      <w:r w:rsidRPr="00CA4A74">
        <w:t xml:space="preserve"> material if omitting, misstating or obscuring it could reasonably be expected to influence decisions made by the end-user of the inventory.</w:t>
      </w:r>
    </w:p>
    <w:p w14:paraId="313C63E8" w14:textId="77777777" w:rsidR="001E62B2" w:rsidRPr="008A326F" w:rsidRDefault="001E62B2" w:rsidP="001E62B2">
      <w:r w:rsidRPr="00CA4A74">
        <w:lastRenderedPageBreak/>
        <w:t xml:space="preserve">Note: Some reporting standards </w:t>
      </w:r>
      <w:r>
        <w:t>apply</w:t>
      </w:r>
      <w:r w:rsidRPr="00CA4A74">
        <w:t xml:space="preserve"> threshold criteria for </w:t>
      </w:r>
      <w:r>
        <w:t xml:space="preserve">assessing </w:t>
      </w:r>
      <w:r w:rsidRPr="00CA4A74">
        <w:t>material</w:t>
      </w:r>
      <w:r>
        <w:t>ity</w:t>
      </w:r>
      <w:r w:rsidRPr="00CA4A74">
        <w:t>.</w:t>
      </w:r>
      <w:r w:rsidRPr="00CA4A74" w:rsidDel="002D4424">
        <w:t xml:space="preserve"> </w:t>
      </w:r>
      <w:r w:rsidRPr="00CA4A74">
        <w:t>If the entity inventory is being produced to address a third-party reporting need, it is advisable to check their requirements.</w:t>
      </w:r>
    </w:p>
    <w:p w14:paraId="74D1780C" w14:textId="3CE213B7" w:rsidR="001E62B2" w:rsidRDefault="001E62B2" w:rsidP="001E62B2">
      <w:pPr>
        <w:spacing w:after="0" w:line="240" w:lineRule="auto"/>
      </w:pPr>
      <w:r>
        <w:rPr>
          <w:rFonts w:ascii="Aptos Narrow" w:eastAsia="Times New Roman" w:hAnsi="Aptos Narrow" w:cs="Times New Roman"/>
          <w:b/>
          <w:bCs/>
          <w:color w:val="000000"/>
          <w:kern w:val="0"/>
          <w:lang w:eastAsia="en-AU"/>
          <w14:ligatures w14:val="none"/>
        </w:rPr>
        <w:t xml:space="preserve">Table 4: Treatment of materiality in international </w:t>
      </w:r>
      <w:r w:rsidR="00AA2D7E">
        <w:rPr>
          <w:rFonts w:ascii="Aptos Narrow" w:eastAsia="Times New Roman" w:hAnsi="Aptos Narrow" w:cs="Times New Roman"/>
          <w:b/>
          <w:bCs/>
          <w:color w:val="000000"/>
          <w:kern w:val="0"/>
          <w:lang w:eastAsia="en-AU"/>
          <w14:ligatures w14:val="none"/>
        </w:rPr>
        <w:t xml:space="preserve">GHG </w:t>
      </w:r>
      <w:r>
        <w:rPr>
          <w:rFonts w:ascii="Aptos Narrow" w:eastAsia="Times New Roman" w:hAnsi="Aptos Narrow" w:cs="Times New Roman"/>
          <w:b/>
          <w:bCs/>
          <w:color w:val="000000"/>
          <w:kern w:val="0"/>
          <w:lang w:eastAsia="en-AU"/>
          <w14:ligatures w14:val="none"/>
        </w:rPr>
        <w:t>corporate reporting standards</w:t>
      </w:r>
    </w:p>
    <w:tbl>
      <w:tblPr>
        <w:tblW w:w="8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3138"/>
        <w:gridCol w:w="3493"/>
      </w:tblGrid>
      <w:tr w:rsidR="001E62B2" w:rsidRPr="008C721F" w14:paraId="3E94EE9E" w14:textId="77777777">
        <w:trPr>
          <w:trHeight w:val="290"/>
          <w:tblHeader/>
        </w:trPr>
        <w:tc>
          <w:tcPr>
            <w:tcW w:w="1590" w:type="dxa"/>
            <w:shd w:val="clear" w:color="auto" w:fill="E8E8E8" w:themeFill="background2"/>
            <w:noWrap/>
            <w:vAlign w:val="bottom"/>
          </w:tcPr>
          <w:p w14:paraId="22F74A1D" w14:textId="77777777" w:rsidR="001E62B2" w:rsidRPr="008C721F" w:rsidRDefault="001E62B2">
            <w:pPr>
              <w:spacing w:after="0" w:line="240" w:lineRule="auto"/>
              <w:rPr>
                <w:rFonts w:ascii="Aptos Narrow" w:eastAsia="Times New Roman" w:hAnsi="Aptos Narrow" w:cs="Times New Roman"/>
                <w:color w:val="000000"/>
                <w:kern w:val="0"/>
                <w:lang w:eastAsia="en-AU"/>
                <w14:ligatures w14:val="none"/>
              </w:rPr>
            </w:pPr>
          </w:p>
        </w:tc>
        <w:tc>
          <w:tcPr>
            <w:tcW w:w="3138" w:type="dxa"/>
            <w:shd w:val="clear" w:color="auto" w:fill="E8E8E8" w:themeFill="background2"/>
            <w:noWrap/>
            <w:vAlign w:val="bottom"/>
          </w:tcPr>
          <w:p w14:paraId="03E307CA" w14:textId="77777777" w:rsidR="001E62B2" w:rsidRPr="008C721F" w:rsidRDefault="001E62B2">
            <w:pPr>
              <w:spacing w:after="0" w:line="240" w:lineRule="auto"/>
              <w:rPr>
                <w:rFonts w:ascii="Aptos Narrow" w:eastAsia="Times New Roman" w:hAnsi="Aptos Narrow" w:cs="Times New Roman"/>
                <w:b/>
                <w:bCs/>
                <w:color w:val="000000"/>
                <w:kern w:val="0"/>
                <w:lang w:eastAsia="en-AU"/>
                <w14:ligatures w14:val="none"/>
              </w:rPr>
            </w:pPr>
            <w:r w:rsidRPr="008C721F">
              <w:rPr>
                <w:rFonts w:ascii="Aptos Narrow" w:eastAsia="Times New Roman" w:hAnsi="Aptos Narrow" w:cs="Times New Roman"/>
                <w:b/>
                <w:bCs/>
                <w:color w:val="000000"/>
                <w:kern w:val="0"/>
                <w:lang w:eastAsia="en-AU"/>
                <w14:ligatures w14:val="none"/>
              </w:rPr>
              <w:t>GHG Protocol Corporate Standard</w:t>
            </w:r>
          </w:p>
        </w:tc>
        <w:tc>
          <w:tcPr>
            <w:tcW w:w="3493" w:type="dxa"/>
            <w:shd w:val="clear" w:color="auto" w:fill="E8E8E8" w:themeFill="background2"/>
            <w:vAlign w:val="center"/>
          </w:tcPr>
          <w:p w14:paraId="37AE8E46" w14:textId="73D3BAAD" w:rsidR="001E62B2" w:rsidRPr="008C721F" w:rsidRDefault="001E62B2">
            <w:pPr>
              <w:spacing w:after="0" w:line="240" w:lineRule="auto"/>
              <w:rPr>
                <w:rFonts w:ascii="Aptos Narrow" w:eastAsia="Times New Roman" w:hAnsi="Aptos Narrow" w:cs="Times New Roman"/>
                <w:b/>
                <w:bCs/>
                <w:color w:val="000000"/>
                <w:kern w:val="0"/>
                <w:lang w:eastAsia="en-AU"/>
                <w14:ligatures w14:val="none"/>
              </w:rPr>
            </w:pPr>
            <w:r w:rsidRPr="008C721F">
              <w:rPr>
                <w:rFonts w:ascii="Aptos Narrow" w:eastAsia="Times New Roman" w:hAnsi="Aptos Narrow" w:cs="Times New Roman"/>
                <w:b/>
                <w:bCs/>
                <w:color w:val="000000"/>
                <w:kern w:val="0"/>
                <w:lang w:eastAsia="en-AU"/>
                <w14:ligatures w14:val="none"/>
              </w:rPr>
              <w:t>ISO 14064</w:t>
            </w:r>
            <w:r w:rsidR="002E3343">
              <w:rPr>
                <w:rFonts w:ascii="Aptos Narrow" w:eastAsia="Times New Roman" w:hAnsi="Aptos Narrow" w:cs="Times New Roman"/>
                <w:b/>
                <w:bCs/>
                <w:color w:val="000000"/>
                <w:kern w:val="0"/>
                <w:lang w:eastAsia="en-AU"/>
                <w14:ligatures w14:val="none"/>
              </w:rPr>
              <w:t xml:space="preserve"> series</w:t>
            </w:r>
          </w:p>
        </w:tc>
      </w:tr>
      <w:tr w:rsidR="001E62B2" w:rsidRPr="008C721F" w14:paraId="34C6D6B6" w14:textId="77777777">
        <w:trPr>
          <w:trHeight w:val="2030"/>
          <w:tblHeader/>
        </w:trPr>
        <w:tc>
          <w:tcPr>
            <w:tcW w:w="1590" w:type="dxa"/>
            <w:vAlign w:val="center"/>
            <w:hideMark/>
          </w:tcPr>
          <w:p w14:paraId="7292FF68" w14:textId="77777777" w:rsidR="001E62B2" w:rsidRPr="008C721F" w:rsidRDefault="001E62B2">
            <w:pPr>
              <w:spacing w:after="0" w:line="240" w:lineRule="auto"/>
              <w:rPr>
                <w:rFonts w:ascii="Aptos Narrow" w:eastAsia="Times New Roman" w:hAnsi="Aptos Narrow" w:cs="Times New Roman"/>
                <w:b/>
                <w:color w:val="000000" w:themeColor="text1"/>
                <w:lang w:eastAsia="en-AU"/>
              </w:rPr>
            </w:pPr>
            <w:r w:rsidRPr="008C721F">
              <w:rPr>
                <w:rFonts w:ascii="Aptos Narrow" w:eastAsia="Times New Roman" w:hAnsi="Aptos Narrow" w:cs="Times New Roman"/>
                <w:b/>
                <w:bCs/>
                <w:color w:val="000000"/>
                <w:kern w:val="0"/>
                <w:lang w:eastAsia="en-AU"/>
                <w14:ligatures w14:val="none"/>
              </w:rPr>
              <w:t xml:space="preserve">Materiality </w:t>
            </w:r>
            <w:r w:rsidRPr="1AF8F8DA">
              <w:rPr>
                <w:rFonts w:ascii="Aptos Narrow" w:eastAsia="Times New Roman" w:hAnsi="Aptos Narrow" w:cs="Times New Roman"/>
                <w:b/>
                <w:bCs/>
                <w:color w:val="000000" w:themeColor="text1"/>
                <w:lang w:eastAsia="en-AU"/>
              </w:rPr>
              <w:t>criteria</w:t>
            </w:r>
          </w:p>
        </w:tc>
        <w:tc>
          <w:tcPr>
            <w:tcW w:w="3138" w:type="dxa"/>
            <w:hideMark/>
          </w:tcPr>
          <w:p w14:paraId="54F7AAC3" w14:textId="22FD7F52" w:rsidR="00C44BEA" w:rsidRPr="00514101" w:rsidRDefault="00C44BEA">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E</w:t>
            </w:r>
            <w:r w:rsidRPr="00514101">
              <w:rPr>
                <w:rFonts w:ascii="Aptos Narrow" w:eastAsia="Times New Roman" w:hAnsi="Aptos Narrow" w:cs="Times New Roman"/>
                <w:color w:val="000000"/>
                <w:kern w:val="0"/>
                <w:lang w:eastAsia="en-AU"/>
                <w14:ligatures w14:val="none"/>
              </w:rPr>
              <w:t>ncourages comprehensive reporting and leaves materiality judgements (including any quantitative thresholds) to the reporting entity, assurance provider</w:t>
            </w:r>
            <w:r>
              <w:rPr>
                <w:rFonts w:ascii="Aptos Narrow" w:eastAsia="Times New Roman" w:hAnsi="Aptos Narrow" w:cs="Times New Roman"/>
                <w:color w:val="000000"/>
                <w:kern w:val="0"/>
                <w:lang w:eastAsia="en-AU"/>
                <w14:ligatures w14:val="none"/>
              </w:rPr>
              <w:t xml:space="preserve"> or other reporting regimes. </w:t>
            </w:r>
          </w:p>
          <w:p w14:paraId="11203593" w14:textId="77777777" w:rsidR="00C44BEA" w:rsidRDefault="00C44BEA">
            <w:pPr>
              <w:spacing w:after="0" w:line="240" w:lineRule="auto"/>
              <w:rPr>
                <w:rFonts w:ascii="Aptos Narrow" w:eastAsia="Times New Roman" w:hAnsi="Aptos Narrow" w:cs="Times New Roman"/>
                <w:i/>
                <w:iCs/>
                <w:color w:val="000000"/>
                <w:kern w:val="0"/>
                <w:lang w:eastAsia="en-AU"/>
                <w14:ligatures w14:val="none"/>
              </w:rPr>
            </w:pPr>
          </w:p>
          <w:p w14:paraId="0C5D3B16" w14:textId="7E589E70" w:rsidR="001E62B2" w:rsidRDefault="00C44BEA">
            <w:pPr>
              <w:spacing w:after="0" w:line="240" w:lineRule="auto"/>
              <w:rPr>
                <w:rFonts w:ascii="Aptos Narrow" w:eastAsia="Times New Roman" w:hAnsi="Aptos Narrow" w:cs="Times New Roman"/>
                <w:color w:val="000000"/>
                <w:kern w:val="0"/>
                <w:lang w:eastAsia="en-AU"/>
                <w14:ligatures w14:val="none"/>
              </w:rPr>
            </w:pPr>
            <w:r w:rsidRPr="00514101">
              <w:rPr>
                <w:rFonts w:ascii="Aptos Narrow" w:eastAsia="Times New Roman" w:hAnsi="Aptos Narrow" w:cs="Times New Roman"/>
                <w:color w:val="000000"/>
                <w:kern w:val="0"/>
                <w:lang w:eastAsia="en-AU"/>
                <w14:ligatures w14:val="none"/>
              </w:rPr>
              <w:t xml:space="preserve">However, </w:t>
            </w:r>
            <w:r w:rsidR="009843DC">
              <w:rPr>
                <w:rFonts w:ascii="Aptos Narrow" w:eastAsia="Times New Roman" w:hAnsi="Aptos Narrow" w:cs="Times New Roman"/>
                <w:color w:val="000000"/>
                <w:kern w:val="0"/>
                <w:lang w:eastAsia="en-AU"/>
                <w14:ligatures w14:val="none"/>
              </w:rPr>
              <w:t>the GHG Protocol s</w:t>
            </w:r>
            <w:r w:rsidR="00893734">
              <w:rPr>
                <w:rFonts w:ascii="Aptos Narrow" w:eastAsia="Times New Roman" w:hAnsi="Aptos Narrow" w:cs="Times New Roman"/>
                <w:color w:val="000000"/>
                <w:kern w:val="0"/>
                <w:lang w:eastAsia="en-AU"/>
                <w14:ligatures w14:val="none"/>
              </w:rPr>
              <w:t>tates that</w:t>
            </w:r>
            <w:r w:rsidR="009843DC">
              <w:rPr>
                <w:rFonts w:ascii="Aptos Narrow" w:eastAsia="Times New Roman" w:hAnsi="Aptos Narrow" w:cs="Times New Roman"/>
                <w:color w:val="000000"/>
                <w:kern w:val="0"/>
                <w:lang w:eastAsia="en-AU"/>
                <w14:ligatures w14:val="none"/>
              </w:rPr>
              <w:t xml:space="preserve"> </w:t>
            </w:r>
            <w:r w:rsidR="00E64FF7">
              <w:rPr>
                <w:rFonts w:ascii="Aptos Narrow" w:eastAsia="Times New Roman" w:hAnsi="Aptos Narrow" w:cs="Times New Roman"/>
                <w:color w:val="000000"/>
                <w:kern w:val="0"/>
                <w:lang w:eastAsia="en-AU"/>
                <w14:ligatures w14:val="none"/>
              </w:rPr>
              <w:t>a</w:t>
            </w:r>
            <w:r w:rsidR="00E64FF7" w:rsidRPr="00E64FF7">
              <w:rPr>
                <w:rFonts w:ascii="Aptos Narrow" w:eastAsia="Times New Roman" w:hAnsi="Aptos Narrow" w:cs="Times New Roman"/>
                <w:color w:val="000000"/>
                <w:kern w:val="0"/>
                <w:lang w:eastAsia="en-AU"/>
                <w14:ligatures w14:val="none"/>
              </w:rPr>
              <w:t>s a rule of thumb</w:t>
            </w:r>
            <w:r w:rsidR="00893734">
              <w:rPr>
                <w:rFonts w:ascii="Aptos Narrow" w:eastAsia="Times New Roman" w:hAnsi="Aptos Narrow" w:cs="Times New Roman"/>
                <w:color w:val="000000"/>
                <w:kern w:val="0"/>
                <w:lang w:eastAsia="en-AU"/>
                <w14:ligatures w14:val="none"/>
              </w:rPr>
              <w:t xml:space="preserve">, </w:t>
            </w:r>
            <w:r w:rsidR="00E64FF7" w:rsidRPr="00E64FF7">
              <w:rPr>
                <w:rFonts w:ascii="Aptos Narrow" w:eastAsia="Times New Roman" w:hAnsi="Aptos Narrow" w:cs="Times New Roman"/>
                <w:color w:val="000000"/>
                <w:kern w:val="0"/>
                <w:lang w:eastAsia="en-AU"/>
                <w14:ligatures w14:val="none"/>
              </w:rPr>
              <w:t xml:space="preserve">an error </w:t>
            </w:r>
            <w:proofErr w:type="gramStart"/>
            <w:r w:rsidR="00E64FF7" w:rsidRPr="00E64FF7">
              <w:rPr>
                <w:rFonts w:ascii="Aptos Narrow" w:eastAsia="Times New Roman" w:hAnsi="Aptos Narrow" w:cs="Times New Roman"/>
                <w:color w:val="000000"/>
                <w:kern w:val="0"/>
                <w:lang w:eastAsia="en-AU"/>
                <w14:ligatures w14:val="none"/>
              </w:rPr>
              <w:t>is considered to be</w:t>
            </w:r>
            <w:proofErr w:type="gramEnd"/>
            <w:r w:rsidR="00E64FF7" w:rsidRPr="00E64FF7">
              <w:rPr>
                <w:rFonts w:ascii="Aptos Narrow" w:eastAsia="Times New Roman" w:hAnsi="Aptos Narrow" w:cs="Times New Roman"/>
                <w:color w:val="000000"/>
                <w:kern w:val="0"/>
                <w:lang w:eastAsia="en-AU"/>
                <w14:ligatures w14:val="none"/>
              </w:rPr>
              <w:t xml:space="preserve"> materially misleading </w:t>
            </w:r>
            <w:r w:rsidR="00893734" w:rsidRPr="00663133">
              <w:rPr>
                <w:rFonts w:ascii="Aptos Narrow" w:eastAsia="Times New Roman" w:hAnsi="Aptos Narrow" w:cs="Times New Roman"/>
                <w:color w:val="000000"/>
                <w:kern w:val="0"/>
                <w:lang w:eastAsia="en-AU"/>
                <w14:ligatures w14:val="none"/>
              </w:rPr>
              <w:t>if its value exceeds 5% of the total inventory</w:t>
            </w:r>
            <w:r w:rsidR="00337AA5">
              <w:rPr>
                <w:rFonts w:ascii="Aptos Narrow" w:eastAsia="Times New Roman" w:hAnsi="Aptos Narrow" w:cs="Times New Roman"/>
                <w:color w:val="000000"/>
                <w:kern w:val="0"/>
                <w:lang w:eastAsia="en-AU"/>
                <w14:ligatures w14:val="none"/>
              </w:rPr>
              <w:t>.</w:t>
            </w:r>
            <w:r w:rsidR="00893734" w:rsidRPr="00663133">
              <w:rPr>
                <w:rFonts w:ascii="Aptos Narrow" w:eastAsia="Times New Roman" w:hAnsi="Aptos Narrow" w:cs="Times New Roman"/>
                <w:color w:val="000000"/>
                <w:kern w:val="0"/>
                <w:lang w:eastAsia="en-AU"/>
                <w14:ligatures w14:val="none"/>
              </w:rPr>
              <w:t xml:space="preserve"> </w:t>
            </w:r>
            <w:r w:rsidR="00337AA5">
              <w:rPr>
                <w:rFonts w:ascii="Aptos Narrow" w:eastAsia="Times New Roman" w:hAnsi="Aptos Narrow" w:cs="Times New Roman"/>
                <w:color w:val="000000"/>
                <w:kern w:val="0"/>
                <w:lang w:eastAsia="en-AU"/>
                <w14:ligatures w14:val="none"/>
              </w:rPr>
              <w:t xml:space="preserve"> </w:t>
            </w:r>
            <w:r w:rsidR="001E62B2" w:rsidRPr="008C721F">
              <w:rPr>
                <w:rFonts w:ascii="Aptos Narrow" w:eastAsia="Times New Roman" w:hAnsi="Aptos Narrow" w:cs="Times New Roman"/>
                <w:color w:val="000000"/>
                <w:kern w:val="0"/>
                <w:lang w:eastAsia="en-AU"/>
                <w14:ligatures w14:val="none"/>
              </w:rPr>
              <w:t xml:space="preserve">Note, this is not </w:t>
            </w:r>
            <w:r w:rsidR="009843DC">
              <w:rPr>
                <w:rFonts w:ascii="Aptos Narrow" w:eastAsia="Times New Roman" w:hAnsi="Aptos Narrow" w:cs="Times New Roman"/>
                <w:color w:val="000000"/>
                <w:kern w:val="0"/>
                <w:lang w:eastAsia="en-AU"/>
                <w14:ligatures w14:val="none"/>
              </w:rPr>
              <w:t xml:space="preserve">a </w:t>
            </w:r>
            <w:r w:rsidR="001E62B2" w:rsidRPr="008C721F">
              <w:rPr>
                <w:rFonts w:ascii="Aptos Narrow" w:eastAsia="Times New Roman" w:hAnsi="Aptos Narrow" w:cs="Times New Roman"/>
                <w:color w:val="000000"/>
                <w:kern w:val="0"/>
                <w:lang w:eastAsia="en-AU"/>
                <w14:ligatures w14:val="none"/>
              </w:rPr>
              <w:t>mandatory</w:t>
            </w:r>
            <w:r w:rsidR="009843DC">
              <w:rPr>
                <w:rFonts w:ascii="Aptos Narrow" w:eastAsia="Times New Roman" w:hAnsi="Aptos Narrow" w:cs="Times New Roman"/>
                <w:color w:val="000000"/>
                <w:kern w:val="0"/>
                <w:lang w:eastAsia="en-AU"/>
                <w14:ligatures w14:val="none"/>
              </w:rPr>
              <w:t xml:space="preserve"> threshold</w:t>
            </w:r>
            <w:r w:rsidR="001E62B2" w:rsidRPr="008C721F">
              <w:rPr>
                <w:rFonts w:ascii="Aptos Narrow" w:eastAsia="Times New Roman" w:hAnsi="Aptos Narrow" w:cs="Times New Roman"/>
                <w:color w:val="000000"/>
                <w:kern w:val="0"/>
                <w:lang w:eastAsia="en-AU"/>
                <w14:ligatures w14:val="none"/>
              </w:rPr>
              <w:t xml:space="preserve">. </w:t>
            </w:r>
          </w:p>
          <w:p w14:paraId="6FB069AC" w14:textId="77777777" w:rsidR="001E62B2" w:rsidRDefault="001E62B2">
            <w:pPr>
              <w:spacing w:after="0" w:line="240" w:lineRule="auto"/>
              <w:rPr>
                <w:rFonts w:ascii="Aptos Narrow" w:eastAsia="Times New Roman" w:hAnsi="Aptos Narrow" w:cs="Times New Roman"/>
                <w:color w:val="000000"/>
                <w:kern w:val="0"/>
                <w:lang w:eastAsia="en-AU"/>
                <w14:ligatures w14:val="none"/>
              </w:rPr>
            </w:pPr>
          </w:p>
          <w:p w14:paraId="5DD2CB8A" w14:textId="77777777" w:rsidR="001E62B2" w:rsidRPr="008C721F" w:rsidRDefault="001E62B2">
            <w:pPr>
              <w:spacing w:after="0" w:line="240" w:lineRule="auto"/>
              <w:rPr>
                <w:rFonts w:ascii="Aptos Narrow" w:eastAsia="Times New Roman" w:hAnsi="Aptos Narrow" w:cs="Times New Roman"/>
                <w:color w:val="000000"/>
                <w:kern w:val="0"/>
                <w:lang w:eastAsia="en-AU"/>
                <w14:ligatures w14:val="none"/>
              </w:rPr>
            </w:pPr>
          </w:p>
        </w:tc>
        <w:tc>
          <w:tcPr>
            <w:tcW w:w="3493" w:type="dxa"/>
            <w:hideMark/>
          </w:tcPr>
          <w:p w14:paraId="7AD7683D" w14:textId="7DA49B49" w:rsidR="001E62B2" w:rsidRPr="008C721F" w:rsidRDefault="001E62B2">
            <w:pPr>
              <w:spacing w:after="0" w:line="240" w:lineRule="auto"/>
              <w:rPr>
                <w:rFonts w:ascii="Aptos Narrow" w:eastAsia="Times New Roman" w:hAnsi="Aptos Narrow" w:cs="Times New Roman"/>
                <w:color w:val="000000"/>
                <w:kern w:val="0"/>
                <w:lang w:eastAsia="en-AU"/>
                <w14:ligatures w14:val="none"/>
              </w:rPr>
            </w:pPr>
            <w:r w:rsidRPr="008C721F">
              <w:rPr>
                <w:rFonts w:ascii="Aptos Narrow" w:eastAsia="Times New Roman" w:hAnsi="Aptos Narrow" w:cs="Times New Roman"/>
                <w:color w:val="000000"/>
                <w:kern w:val="0"/>
                <w:lang w:eastAsia="en-AU"/>
                <w14:ligatures w14:val="none"/>
              </w:rPr>
              <w:t>ISO 14064</w:t>
            </w:r>
            <w:r w:rsidR="00B62F26" w:rsidRPr="00B62F26">
              <w:rPr>
                <w:rFonts w:ascii="Aptos Narrow" w:eastAsia="Times New Roman" w:hAnsi="Aptos Narrow" w:cs="Times New Roman"/>
                <w:color w:val="000000"/>
                <w:kern w:val="0"/>
                <w:lang w:eastAsia="en-AU"/>
                <w14:ligatures w14:val="none"/>
              </w:rPr>
              <w:t xml:space="preserve">-1, ISO 14064-3, ISO 14067 </w:t>
            </w:r>
            <w:r w:rsidRPr="008C721F">
              <w:rPr>
                <w:rFonts w:ascii="Aptos Narrow" w:eastAsia="Times New Roman" w:hAnsi="Aptos Narrow" w:cs="Times New Roman"/>
                <w:color w:val="000000"/>
                <w:kern w:val="0"/>
                <w:lang w:eastAsia="en-AU"/>
                <w14:ligatures w14:val="none"/>
              </w:rPr>
              <w:t xml:space="preserve">don't set a fixed </w:t>
            </w:r>
            <w:r>
              <w:rPr>
                <w:rFonts w:ascii="Aptos Narrow" w:eastAsia="Times New Roman" w:hAnsi="Aptos Narrow" w:cs="Times New Roman"/>
                <w:color w:val="000000"/>
                <w:kern w:val="0"/>
                <w:lang w:eastAsia="en-AU"/>
                <w14:ligatures w14:val="none"/>
              </w:rPr>
              <w:t xml:space="preserve">threshold, </w:t>
            </w:r>
            <w:r w:rsidRPr="008C721F">
              <w:rPr>
                <w:rFonts w:ascii="Aptos Narrow" w:eastAsia="Times New Roman" w:hAnsi="Aptos Narrow" w:cs="Times New Roman"/>
                <w:color w:val="000000"/>
                <w:kern w:val="0"/>
                <w:lang w:eastAsia="en-AU"/>
                <w14:ligatures w14:val="none"/>
              </w:rPr>
              <w:t xml:space="preserve">but </w:t>
            </w:r>
            <w:r>
              <w:rPr>
                <w:rFonts w:ascii="Aptos Narrow" w:eastAsia="Times New Roman" w:hAnsi="Aptos Narrow" w:cs="Times New Roman"/>
                <w:color w:val="000000"/>
                <w:kern w:val="0"/>
                <w:lang w:eastAsia="en-AU"/>
                <w14:ligatures w14:val="none"/>
              </w:rPr>
              <w:t xml:space="preserve">an </w:t>
            </w:r>
            <w:r w:rsidRPr="008C721F">
              <w:rPr>
                <w:rFonts w:ascii="Aptos Narrow" w:eastAsia="Times New Roman" w:hAnsi="Aptos Narrow" w:cs="Times New Roman"/>
                <w:color w:val="000000"/>
                <w:kern w:val="0"/>
                <w:lang w:eastAsia="en-AU"/>
                <w14:ligatures w14:val="none"/>
              </w:rPr>
              <w:t>ex</w:t>
            </w:r>
            <w:r>
              <w:rPr>
                <w:rFonts w:ascii="Aptos Narrow" w:eastAsia="Times New Roman" w:hAnsi="Aptos Narrow" w:cs="Times New Roman"/>
                <w:color w:val="000000"/>
                <w:kern w:val="0"/>
                <w:lang w:eastAsia="en-AU"/>
                <w14:ligatures w14:val="none"/>
              </w:rPr>
              <w:t>c</w:t>
            </w:r>
            <w:r w:rsidRPr="008C721F">
              <w:rPr>
                <w:rFonts w:ascii="Aptos Narrow" w:eastAsia="Times New Roman" w:hAnsi="Aptos Narrow" w:cs="Times New Roman"/>
                <w:color w:val="000000"/>
                <w:kern w:val="0"/>
                <w:lang w:eastAsia="en-AU"/>
                <w14:ligatures w14:val="none"/>
              </w:rPr>
              <w:t>lusion should not be made if its omission</w:t>
            </w:r>
            <w:r>
              <w:rPr>
                <w:rFonts w:ascii="Aptos Narrow" w:eastAsia="Times New Roman" w:hAnsi="Aptos Narrow" w:cs="Times New Roman"/>
                <w:color w:val="000000"/>
                <w:kern w:val="0"/>
                <w:lang w:eastAsia="en-AU"/>
                <w14:ligatures w14:val="none"/>
              </w:rPr>
              <w:t xml:space="preserve"> or</w:t>
            </w:r>
            <w:r w:rsidRPr="008C721F">
              <w:rPr>
                <w:rFonts w:ascii="Aptos Narrow" w:eastAsia="Times New Roman" w:hAnsi="Aptos Narrow" w:cs="Times New Roman"/>
                <w:color w:val="000000"/>
                <w:kern w:val="0"/>
                <w:lang w:eastAsia="en-AU"/>
                <w14:ligatures w14:val="none"/>
              </w:rPr>
              <w:t xml:space="preserve"> misstatement could influence the decisions of stakeholders using the inventory (e.g. investors, regulators, customers).</w:t>
            </w:r>
          </w:p>
        </w:tc>
      </w:tr>
      <w:tr w:rsidR="001E62B2" w:rsidRPr="008C721F" w14:paraId="79FC4680" w14:textId="77777777">
        <w:trPr>
          <w:trHeight w:val="699"/>
          <w:tblHeader/>
        </w:trPr>
        <w:tc>
          <w:tcPr>
            <w:tcW w:w="1590" w:type="dxa"/>
            <w:vAlign w:val="center"/>
            <w:hideMark/>
          </w:tcPr>
          <w:p w14:paraId="4B27C2FB" w14:textId="77777777" w:rsidR="001E62B2" w:rsidRPr="008C721F" w:rsidRDefault="001E62B2">
            <w:pPr>
              <w:spacing w:after="0" w:line="240" w:lineRule="auto"/>
              <w:rPr>
                <w:rFonts w:ascii="Aptos Narrow" w:eastAsia="Times New Roman" w:hAnsi="Aptos Narrow" w:cs="Times New Roman"/>
                <w:b/>
                <w:bCs/>
                <w:color w:val="000000"/>
                <w:kern w:val="0"/>
                <w:lang w:eastAsia="en-AU"/>
                <w14:ligatures w14:val="none"/>
              </w:rPr>
            </w:pPr>
            <w:r w:rsidRPr="008C721F">
              <w:rPr>
                <w:rFonts w:ascii="Aptos Narrow" w:eastAsia="Times New Roman" w:hAnsi="Aptos Narrow" w:cs="Times New Roman"/>
                <w:b/>
                <w:bCs/>
                <w:color w:val="000000"/>
                <w:kern w:val="0"/>
                <w:lang w:eastAsia="en-AU"/>
                <w14:ligatures w14:val="none"/>
              </w:rPr>
              <w:t xml:space="preserve">Requirements </w:t>
            </w:r>
          </w:p>
        </w:tc>
        <w:tc>
          <w:tcPr>
            <w:tcW w:w="3138" w:type="dxa"/>
            <w:hideMark/>
          </w:tcPr>
          <w:p w14:paraId="4F70003C" w14:textId="77777777" w:rsidR="001E62B2" w:rsidRDefault="001E62B2">
            <w:pPr>
              <w:spacing w:after="0" w:line="240" w:lineRule="auto"/>
              <w:rPr>
                <w:rFonts w:ascii="Aptos Narrow" w:eastAsia="Times New Roman" w:hAnsi="Aptos Narrow" w:cs="Times New Roman"/>
                <w:color w:val="000000"/>
                <w:kern w:val="0"/>
                <w:lang w:eastAsia="en-AU"/>
                <w14:ligatures w14:val="none"/>
              </w:rPr>
            </w:pPr>
            <w:r w:rsidRPr="008C721F">
              <w:rPr>
                <w:rFonts w:ascii="Aptos Narrow" w:eastAsia="Times New Roman" w:hAnsi="Aptos Narrow" w:cs="Times New Roman"/>
                <w:color w:val="000000"/>
                <w:kern w:val="0"/>
                <w:lang w:eastAsia="en-AU"/>
                <w14:ligatures w14:val="none"/>
              </w:rPr>
              <w:t>The exclusions are clearly documented and justified; and the exclusion does not affect the integrity or credibility of the report</w:t>
            </w:r>
          </w:p>
          <w:p w14:paraId="16C5CA9A" w14:textId="77777777" w:rsidR="001E62B2" w:rsidRDefault="001E62B2">
            <w:pPr>
              <w:spacing w:after="0" w:line="240" w:lineRule="auto"/>
              <w:rPr>
                <w:rFonts w:ascii="Aptos Narrow" w:eastAsia="Times New Roman" w:hAnsi="Aptos Narrow" w:cs="Times New Roman"/>
                <w:color w:val="000000"/>
                <w:kern w:val="0"/>
                <w:lang w:eastAsia="en-AU"/>
                <w14:ligatures w14:val="none"/>
              </w:rPr>
            </w:pPr>
          </w:p>
          <w:p w14:paraId="3CFA3064" w14:textId="77777777" w:rsidR="001E62B2" w:rsidRPr="008C721F" w:rsidRDefault="001E62B2">
            <w:pPr>
              <w:spacing w:after="0" w:line="240" w:lineRule="auto"/>
              <w:rPr>
                <w:rFonts w:ascii="Aptos Narrow" w:eastAsia="Times New Roman" w:hAnsi="Aptos Narrow" w:cs="Times New Roman"/>
                <w:color w:val="000000"/>
                <w:kern w:val="0"/>
                <w:lang w:eastAsia="en-AU"/>
                <w14:ligatures w14:val="none"/>
              </w:rPr>
            </w:pPr>
            <w:proofErr w:type="gramStart"/>
            <w:r w:rsidRPr="0070757E">
              <w:rPr>
                <w:rFonts w:ascii="Aptos Narrow" w:eastAsia="Times New Roman" w:hAnsi="Aptos Narrow" w:cs="Times New Roman"/>
                <w:color w:val="000000"/>
                <w:kern w:val="0"/>
                <w:lang w:eastAsia="en-AU"/>
                <w14:ligatures w14:val="none"/>
              </w:rPr>
              <w:t>In order to</w:t>
            </w:r>
            <w:proofErr w:type="gramEnd"/>
            <w:r w:rsidRPr="0070757E">
              <w:rPr>
                <w:rFonts w:ascii="Aptos Narrow" w:eastAsia="Times New Roman" w:hAnsi="Aptos Narrow" w:cs="Times New Roman"/>
                <w:color w:val="000000"/>
                <w:kern w:val="0"/>
                <w:lang w:eastAsia="en-AU"/>
                <w14:ligatures w14:val="none"/>
              </w:rPr>
              <w:t xml:space="preserve"> express an opinion on data or information, a verifier would need to form a view on the materiality of all identified errors or uncertainties.</w:t>
            </w:r>
          </w:p>
        </w:tc>
        <w:tc>
          <w:tcPr>
            <w:tcW w:w="3493" w:type="dxa"/>
            <w:hideMark/>
          </w:tcPr>
          <w:p w14:paraId="21F70F55" w14:textId="77777777" w:rsidR="001E62B2" w:rsidRDefault="001E62B2">
            <w:pPr>
              <w:spacing w:after="0" w:line="240" w:lineRule="auto"/>
              <w:rPr>
                <w:rFonts w:ascii="Aptos Narrow" w:eastAsia="Times New Roman" w:hAnsi="Aptos Narrow" w:cs="Times New Roman"/>
                <w:color w:val="000000"/>
                <w:kern w:val="0"/>
                <w:lang w:eastAsia="en-AU"/>
                <w14:ligatures w14:val="none"/>
              </w:rPr>
            </w:pPr>
            <w:r w:rsidRPr="008C721F">
              <w:rPr>
                <w:rFonts w:ascii="Aptos Narrow" w:eastAsia="Times New Roman" w:hAnsi="Aptos Narrow" w:cs="Times New Roman"/>
                <w:color w:val="000000"/>
                <w:kern w:val="0"/>
                <w:lang w:eastAsia="en-AU"/>
                <w14:ligatures w14:val="none"/>
              </w:rPr>
              <w:t xml:space="preserve">Clearly state what is excluded (e.g. a specific emission source, GHG type, process); </w:t>
            </w:r>
            <w:r>
              <w:rPr>
                <w:rFonts w:ascii="Aptos Narrow" w:eastAsia="Times New Roman" w:hAnsi="Aptos Narrow" w:cs="Times New Roman"/>
                <w:color w:val="000000"/>
                <w:kern w:val="0"/>
                <w:lang w:eastAsia="en-AU"/>
                <w14:ligatures w14:val="none"/>
              </w:rPr>
              <w:t>the criteria / rationale used to justify the exclusion</w:t>
            </w:r>
            <w:r w:rsidRPr="008C721F">
              <w:rPr>
                <w:rFonts w:ascii="Aptos Narrow" w:eastAsia="Times New Roman" w:hAnsi="Aptos Narrow" w:cs="Times New Roman"/>
                <w:color w:val="000000"/>
                <w:kern w:val="0"/>
                <w:lang w:eastAsia="en-AU"/>
                <w14:ligatures w14:val="none"/>
              </w:rPr>
              <w:t xml:space="preserve"> (e.g.</w:t>
            </w:r>
            <w:r>
              <w:rPr>
                <w:rFonts w:ascii="Aptos Narrow" w:eastAsia="Times New Roman" w:hAnsi="Aptos Narrow" w:cs="Times New Roman"/>
                <w:color w:val="000000"/>
                <w:kern w:val="0"/>
                <w:lang w:eastAsia="en-AU"/>
                <w14:ligatures w14:val="none"/>
              </w:rPr>
              <w:t xml:space="preserve"> </w:t>
            </w:r>
            <w:r w:rsidRPr="008C721F">
              <w:rPr>
                <w:rFonts w:ascii="Aptos Narrow" w:eastAsia="Times New Roman" w:hAnsi="Aptos Narrow" w:cs="Times New Roman"/>
                <w:color w:val="000000"/>
                <w:kern w:val="0"/>
                <w:lang w:eastAsia="en-AU"/>
                <w14:ligatures w14:val="none"/>
              </w:rPr>
              <w:t xml:space="preserve">unlikely to influence the </w:t>
            </w:r>
            <w:r>
              <w:rPr>
                <w:rFonts w:ascii="Aptos Narrow" w:eastAsia="Times New Roman" w:hAnsi="Aptos Narrow" w:cs="Times New Roman"/>
                <w:color w:val="000000"/>
                <w:kern w:val="0"/>
                <w:lang w:eastAsia="en-AU"/>
                <w14:ligatures w14:val="none"/>
              </w:rPr>
              <w:t>end-</w:t>
            </w:r>
            <w:r w:rsidRPr="008C721F">
              <w:rPr>
                <w:rFonts w:ascii="Aptos Narrow" w:eastAsia="Times New Roman" w:hAnsi="Aptos Narrow" w:cs="Times New Roman"/>
                <w:color w:val="000000"/>
                <w:kern w:val="0"/>
                <w:lang w:eastAsia="en-AU"/>
                <w14:ligatures w14:val="none"/>
              </w:rPr>
              <w:t xml:space="preserve">users’ decisions; lack of data; impractical to measure / no measurement methodology). </w:t>
            </w:r>
          </w:p>
          <w:p w14:paraId="1D2C46B8" w14:textId="77777777" w:rsidR="00B62F26" w:rsidRDefault="00B62F26">
            <w:pPr>
              <w:spacing w:after="0" w:line="240" w:lineRule="auto"/>
              <w:rPr>
                <w:rFonts w:ascii="Aptos Narrow" w:eastAsia="Times New Roman" w:hAnsi="Aptos Narrow" w:cs="Times New Roman"/>
                <w:color w:val="000000"/>
                <w:kern w:val="0"/>
                <w:lang w:eastAsia="en-AU"/>
                <w14:ligatures w14:val="none"/>
              </w:rPr>
            </w:pPr>
          </w:p>
          <w:p w14:paraId="651F39E1" w14:textId="2491D35D" w:rsidR="001E62B2" w:rsidRPr="008C721F" w:rsidRDefault="00B62F26">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 xml:space="preserve">For product emissions intensity, </w:t>
            </w:r>
            <w:r w:rsidR="007933D1" w:rsidRPr="007933D1">
              <w:rPr>
                <w:rFonts w:ascii="Aptos Narrow" w:eastAsia="Times New Roman" w:hAnsi="Aptos Narrow" w:cs="Times New Roman"/>
                <w:color w:val="000000"/>
                <w:kern w:val="0"/>
                <w:lang w:eastAsia="en-AU"/>
                <w14:ligatures w14:val="none"/>
              </w:rPr>
              <w:t>ISO 14067 requires t</w:t>
            </w:r>
            <w:r w:rsidR="007933D1">
              <w:rPr>
                <w:rFonts w:ascii="Aptos Narrow" w:eastAsia="Times New Roman" w:hAnsi="Aptos Narrow" w:cs="Times New Roman"/>
                <w:color w:val="000000"/>
                <w:kern w:val="0"/>
                <w:lang w:eastAsia="en-AU"/>
                <w14:ligatures w14:val="none"/>
              </w:rPr>
              <w:t>hat</w:t>
            </w:r>
            <w:r w:rsidR="007933D1" w:rsidRPr="007933D1">
              <w:rPr>
                <w:rFonts w:ascii="Aptos Narrow" w:eastAsia="Times New Roman" w:hAnsi="Aptos Narrow" w:cs="Times New Roman"/>
                <w:color w:val="000000"/>
                <w:kern w:val="0"/>
                <w:lang w:eastAsia="en-AU"/>
                <w14:ligatures w14:val="none"/>
              </w:rPr>
              <w:t xml:space="preserve"> cut-off criterion/ threshold</w:t>
            </w:r>
            <w:r w:rsidR="007933D1">
              <w:rPr>
                <w:rFonts w:ascii="Aptos Narrow" w:eastAsia="Times New Roman" w:hAnsi="Aptos Narrow" w:cs="Times New Roman"/>
                <w:color w:val="000000"/>
                <w:kern w:val="0"/>
                <w:lang w:eastAsia="en-AU"/>
                <w14:ligatures w14:val="none"/>
              </w:rPr>
              <w:t>s</w:t>
            </w:r>
            <w:r w:rsidR="007933D1" w:rsidRPr="007933D1">
              <w:rPr>
                <w:rFonts w:ascii="Aptos Narrow" w:eastAsia="Times New Roman" w:hAnsi="Aptos Narrow" w:cs="Times New Roman"/>
                <w:color w:val="000000"/>
                <w:kern w:val="0"/>
                <w:lang w:eastAsia="en-AU"/>
                <w14:ligatures w14:val="none"/>
              </w:rPr>
              <w:t xml:space="preserve"> for significance</w:t>
            </w:r>
            <w:r w:rsidR="007933D1">
              <w:rPr>
                <w:rFonts w:ascii="Aptos Narrow" w:eastAsia="Times New Roman" w:hAnsi="Aptos Narrow" w:cs="Times New Roman"/>
                <w:color w:val="000000"/>
                <w:kern w:val="0"/>
                <w:lang w:eastAsia="en-AU"/>
                <w14:ligatures w14:val="none"/>
              </w:rPr>
              <w:t xml:space="preserve"> are</w:t>
            </w:r>
            <w:r w:rsidR="007933D1" w:rsidRPr="007933D1">
              <w:rPr>
                <w:rFonts w:ascii="Aptos Narrow" w:eastAsia="Times New Roman" w:hAnsi="Aptos Narrow" w:cs="Times New Roman"/>
                <w:color w:val="000000"/>
                <w:kern w:val="0"/>
                <w:lang w:eastAsia="en-AU"/>
                <w14:ligatures w14:val="none"/>
              </w:rPr>
              <w:t xml:space="preserve"> used as basis for exclusion</w:t>
            </w:r>
            <w:r w:rsidR="007933D1">
              <w:rPr>
                <w:rFonts w:ascii="Aptos Narrow" w:eastAsia="Times New Roman" w:hAnsi="Aptos Narrow" w:cs="Times New Roman"/>
                <w:color w:val="000000"/>
                <w:kern w:val="0"/>
                <w:lang w:eastAsia="en-AU"/>
                <w14:ligatures w14:val="none"/>
              </w:rPr>
              <w:t xml:space="preserve"> (and </w:t>
            </w:r>
            <w:r w:rsidR="007933D1" w:rsidRPr="007933D1">
              <w:rPr>
                <w:rFonts w:ascii="Aptos Narrow" w:eastAsia="Times New Roman" w:hAnsi="Aptos Narrow" w:cs="Times New Roman"/>
                <w:color w:val="000000"/>
                <w:kern w:val="0"/>
                <w:lang w:eastAsia="en-AU"/>
                <w14:ligatures w14:val="none"/>
              </w:rPr>
              <w:t xml:space="preserve">to be clearly </w:t>
            </w:r>
            <w:r w:rsidR="007933D1">
              <w:rPr>
                <w:rFonts w:ascii="Aptos Narrow" w:eastAsia="Times New Roman" w:hAnsi="Aptos Narrow" w:cs="Times New Roman"/>
                <w:color w:val="000000"/>
                <w:kern w:val="0"/>
                <w:lang w:eastAsia="en-AU"/>
                <w14:ligatures w14:val="none"/>
              </w:rPr>
              <w:t>documented)</w:t>
            </w:r>
            <w:r w:rsidR="007933D1" w:rsidRPr="007933D1">
              <w:rPr>
                <w:rFonts w:ascii="Aptos Narrow" w:eastAsia="Times New Roman" w:hAnsi="Aptos Narrow" w:cs="Times New Roman"/>
                <w:color w:val="000000"/>
                <w:kern w:val="0"/>
                <w:lang w:eastAsia="en-AU"/>
                <w14:ligatures w14:val="none"/>
              </w:rPr>
              <w:t>.</w:t>
            </w:r>
          </w:p>
        </w:tc>
      </w:tr>
    </w:tbl>
    <w:p w14:paraId="5E298D91" w14:textId="77777777" w:rsidR="001E62B2" w:rsidRDefault="001E62B2" w:rsidP="001E62B2">
      <w:pPr>
        <w:pStyle w:val="Heading3"/>
        <w:numPr>
          <w:ilvl w:val="0"/>
          <w:numId w:val="0"/>
        </w:numPr>
      </w:pPr>
      <w:r>
        <w:t>Categorise emissions into Scopes</w:t>
      </w:r>
    </w:p>
    <w:p w14:paraId="7B28D142" w14:textId="77777777" w:rsidR="001E62B2" w:rsidRDefault="001E62B2" w:rsidP="001E62B2">
      <w:r>
        <w:rPr>
          <w:bCs/>
        </w:rPr>
        <w:t xml:space="preserve">The entity shall </w:t>
      </w:r>
      <w:r w:rsidRPr="00621FA6">
        <w:rPr>
          <w:bCs/>
        </w:rPr>
        <w:t>classif</w:t>
      </w:r>
      <w:r>
        <w:rPr>
          <w:bCs/>
        </w:rPr>
        <w:t xml:space="preserve">y relevant sources and sinks </w:t>
      </w:r>
      <w:r>
        <w:rPr>
          <w:rFonts w:cs="Fabriga Light"/>
          <w:color w:val="000000"/>
          <w:lang w:eastAsia="en-AU"/>
        </w:rPr>
        <w:t xml:space="preserve">into Scopes. </w:t>
      </w:r>
    </w:p>
    <w:p w14:paraId="1BD50C0D" w14:textId="116A48C3" w:rsidR="001E62B2" w:rsidRPr="00D07696" w:rsidRDefault="001E62B2" w:rsidP="001E62B2">
      <w:r>
        <w:t xml:space="preserve">The following questions in Table 5 are worth considering in defining your Reporting Boundary.  </w:t>
      </w:r>
    </w:p>
    <w:p w14:paraId="573C0951" w14:textId="2CCC4A78" w:rsidR="001E62B2" w:rsidRDefault="001E62B2" w:rsidP="001E62B2">
      <w:r w:rsidRPr="007A61DA">
        <w:rPr>
          <w:rFonts w:ascii="Aptos Narrow" w:eastAsia="Aptos Narrow" w:hAnsi="Aptos Narrow" w:cs="Aptos Narrow"/>
          <w:b/>
          <w:bCs/>
          <w:color w:val="000000" w:themeColor="text1"/>
        </w:rPr>
        <w:t xml:space="preserve">Table </w:t>
      </w:r>
      <w:r>
        <w:rPr>
          <w:rFonts w:ascii="Aptos Narrow" w:eastAsia="Aptos Narrow" w:hAnsi="Aptos Narrow" w:cs="Aptos Narrow"/>
          <w:b/>
          <w:bCs/>
          <w:color w:val="000000" w:themeColor="text1"/>
        </w:rPr>
        <w:t>5</w:t>
      </w:r>
      <w:r w:rsidRPr="007A61DA">
        <w:rPr>
          <w:rFonts w:ascii="Aptos Narrow" w:eastAsia="Aptos Narrow" w:hAnsi="Aptos Narrow" w:cs="Aptos Narrow"/>
          <w:b/>
          <w:bCs/>
          <w:color w:val="000000" w:themeColor="text1"/>
        </w:rPr>
        <w:t xml:space="preserve">: </w:t>
      </w:r>
      <w:r>
        <w:rPr>
          <w:rFonts w:ascii="Aptos Narrow" w:eastAsia="Aptos Narrow" w:hAnsi="Aptos Narrow" w:cs="Aptos Narrow"/>
          <w:b/>
          <w:bCs/>
          <w:color w:val="000000" w:themeColor="text1"/>
        </w:rPr>
        <w:t>Identifying your Reporting Boundary</w:t>
      </w:r>
      <w:r>
        <w:t xml:space="preserve"> </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4394"/>
        <w:gridCol w:w="1560"/>
        <w:gridCol w:w="992"/>
      </w:tblGrid>
      <w:tr w:rsidR="001E62B2" w:rsidRPr="007A61DA" w14:paraId="01244656" w14:textId="77777777" w:rsidTr="007F1370">
        <w:trPr>
          <w:trHeight w:val="280"/>
          <w:tblHeader/>
        </w:trPr>
        <w:tc>
          <w:tcPr>
            <w:tcW w:w="1843" w:type="dxa"/>
            <w:shd w:val="clear" w:color="auto" w:fill="E8E8E8" w:themeFill="background2"/>
            <w:noWrap/>
            <w:vAlign w:val="bottom"/>
            <w:hideMark/>
          </w:tcPr>
          <w:p w14:paraId="353E43EA" w14:textId="77777777" w:rsidR="001E62B2" w:rsidRPr="007A61DA" w:rsidRDefault="001E62B2">
            <w:pPr>
              <w:spacing w:after="0" w:line="240" w:lineRule="auto"/>
              <w:jc w:val="center"/>
              <w:rPr>
                <w:rFonts w:ascii="Aptos Narrow" w:eastAsia="Aptos Narrow" w:hAnsi="Aptos Narrow" w:cs="Aptos Narrow"/>
                <w:b/>
                <w:bCs/>
                <w:color w:val="000000" w:themeColor="text1"/>
              </w:rPr>
            </w:pPr>
            <w:r>
              <w:rPr>
                <w:rFonts w:ascii="Aptos Narrow" w:eastAsia="Aptos Narrow" w:hAnsi="Aptos Narrow" w:cs="Aptos Narrow"/>
                <w:b/>
                <w:bCs/>
                <w:color w:val="000000" w:themeColor="text1"/>
              </w:rPr>
              <w:t xml:space="preserve">Activity </w:t>
            </w:r>
          </w:p>
        </w:tc>
        <w:tc>
          <w:tcPr>
            <w:tcW w:w="4394" w:type="dxa"/>
            <w:shd w:val="clear" w:color="auto" w:fill="E8E8E8" w:themeFill="background2"/>
            <w:vAlign w:val="bottom"/>
            <w:hideMark/>
          </w:tcPr>
          <w:p w14:paraId="30C03988" w14:textId="77777777" w:rsidR="001E62B2" w:rsidRPr="007A61DA" w:rsidRDefault="001E62B2">
            <w:pPr>
              <w:spacing w:after="0" w:line="240" w:lineRule="auto"/>
              <w:jc w:val="center"/>
              <w:rPr>
                <w:rFonts w:ascii="Aptos Narrow" w:eastAsia="Aptos Narrow" w:hAnsi="Aptos Narrow" w:cs="Aptos Narrow"/>
                <w:b/>
                <w:bCs/>
                <w:color w:val="000000" w:themeColor="text1"/>
              </w:rPr>
            </w:pPr>
            <w:r w:rsidRPr="007A61DA">
              <w:rPr>
                <w:rFonts w:ascii="Aptos Narrow" w:eastAsia="Aptos Narrow" w:hAnsi="Aptos Narrow" w:cs="Aptos Narrow"/>
                <w:b/>
                <w:bCs/>
                <w:color w:val="000000" w:themeColor="text1"/>
              </w:rPr>
              <w:t>Questions to Ask</w:t>
            </w:r>
          </w:p>
        </w:tc>
        <w:tc>
          <w:tcPr>
            <w:tcW w:w="1560" w:type="dxa"/>
            <w:shd w:val="clear" w:color="auto" w:fill="E8E8E8" w:themeFill="background2"/>
          </w:tcPr>
          <w:p w14:paraId="596BE1DC" w14:textId="30013A42" w:rsidR="001E62B2" w:rsidRDefault="001E62B2">
            <w:pPr>
              <w:spacing w:after="0" w:line="240" w:lineRule="auto"/>
              <w:jc w:val="center"/>
              <w:rPr>
                <w:rFonts w:ascii="Aptos Narrow" w:eastAsia="Aptos Narrow" w:hAnsi="Aptos Narrow" w:cs="Aptos Narrow"/>
                <w:b/>
                <w:bCs/>
                <w:color w:val="000000" w:themeColor="text1"/>
              </w:rPr>
            </w:pPr>
            <w:r>
              <w:rPr>
                <w:rFonts w:ascii="Aptos Narrow" w:eastAsia="Aptos Narrow" w:hAnsi="Aptos Narrow" w:cs="Aptos Narrow"/>
                <w:b/>
                <w:bCs/>
                <w:color w:val="000000" w:themeColor="text1"/>
              </w:rPr>
              <w:t>Source</w:t>
            </w:r>
            <w:r w:rsidR="007F1370">
              <w:rPr>
                <w:rFonts w:ascii="Aptos Narrow" w:eastAsia="Aptos Narrow" w:hAnsi="Aptos Narrow" w:cs="Aptos Narrow"/>
                <w:b/>
                <w:bCs/>
                <w:color w:val="000000" w:themeColor="text1"/>
              </w:rPr>
              <w:t>/ activity</w:t>
            </w:r>
          </w:p>
        </w:tc>
        <w:tc>
          <w:tcPr>
            <w:tcW w:w="992" w:type="dxa"/>
            <w:shd w:val="clear" w:color="auto" w:fill="E8E8E8" w:themeFill="background2"/>
          </w:tcPr>
          <w:p w14:paraId="1AC48B64" w14:textId="77777777" w:rsidR="001E62B2" w:rsidRDefault="001E62B2">
            <w:pPr>
              <w:spacing w:after="0" w:line="240" w:lineRule="auto"/>
              <w:jc w:val="center"/>
              <w:rPr>
                <w:rFonts w:ascii="Aptos Narrow" w:eastAsia="Aptos Narrow" w:hAnsi="Aptos Narrow" w:cs="Aptos Narrow"/>
                <w:b/>
                <w:bCs/>
                <w:color w:val="000000" w:themeColor="text1"/>
              </w:rPr>
            </w:pPr>
            <w:r>
              <w:rPr>
                <w:rFonts w:ascii="Aptos Narrow" w:eastAsia="Aptos Narrow" w:hAnsi="Aptos Narrow" w:cs="Aptos Narrow"/>
                <w:b/>
                <w:bCs/>
                <w:color w:val="000000" w:themeColor="text1"/>
              </w:rPr>
              <w:t>Scope</w:t>
            </w:r>
          </w:p>
        </w:tc>
      </w:tr>
      <w:tr w:rsidR="001E62B2" w:rsidRPr="007A61DA" w14:paraId="51C1EB9C" w14:textId="77777777" w:rsidTr="007F1370">
        <w:trPr>
          <w:trHeight w:val="1550"/>
        </w:trPr>
        <w:tc>
          <w:tcPr>
            <w:tcW w:w="1843" w:type="dxa"/>
            <w:hideMark/>
          </w:tcPr>
          <w:p w14:paraId="67AAFDE6" w14:textId="77777777" w:rsidR="001E62B2" w:rsidRPr="007A61DA" w:rsidRDefault="001E62B2">
            <w:pPr>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Production</w:t>
            </w:r>
            <w:r w:rsidRPr="007A61DA">
              <w:rPr>
                <w:rFonts w:ascii="Aptos Narrow" w:eastAsia="Aptos Narrow" w:hAnsi="Aptos Narrow" w:cs="Aptos Narrow"/>
                <w:color w:val="000000" w:themeColor="text1"/>
              </w:rPr>
              <w:br/>
            </w:r>
            <w:r w:rsidRPr="007A61DA">
              <w:rPr>
                <w:rFonts w:ascii="Aptos Narrow" w:eastAsia="Aptos Narrow" w:hAnsi="Aptos Narrow" w:cs="Aptos Narrow"/>
                <w:color w:val="000000" w:themeColor="text1"/>
              </w:rPr>
              <w:br/>
            </w:r>
          </w:p>
        </w:tc>
        <w:tc>
          <w:tcPr>
            <w:tcW w:w="4394" w:type="dxa"/>
            <w:hideMark/>
          </w:tcPr>
          <w:p w14:paraId="25DB444A" w14:textId="77777777" w:rsidR="001E62B2" w:rsidRPr="007A61DA" w:rsidRDefault="001E62B2">
            <w:pPr>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What types of AFF production systems and land holdings are within the organisational boundary?</w:t>
            </w:r>
            <w:r w:rsidRPr="007A61DA">
              <w:rPr>
                <w:rFonts w:ascii="Aptos Narrow" w:eastAsia="Aptos Narrow" w:hAnsi="Aptos Narrow" w:cs="Aptos Narrow"/>
                <w:color w:val="000000" w:themeColor="text1"/>
              </w:rPr>
              <w:br/>
              <w:t>What products or outputs are produced through the entity’s activities?</w:t>
            </w:r>
            <w:r w:rsidRPr="007A61DA">
              <w:rPr>
                <w:rFonts w:ascii="Aptos Narrow" w:eastAsia="Aptos Narrow" w:hAnsi="Aptos Narrow" w:cs="Aptos Narrow"/>
                <w:color w:val="000000" w:themeColor="text1"/>
              </w:rPr>
              <w:br/>
              <w:t>What are the major production stages and processes?</w:t>
            </w:r>
          </w:p>
        </w:tc>
        <w:tc>
          <w:tcPr>
            <w:tcW w:w="1560" w:type="dxa"/>
          </w:tcPr>
          <w:p w14:paraId="67D780C1" w14:textId="77777777" w:rsidR="001E62B2" w:rsidRDefault="001E62B2">
            <w:pPr>
              <w:rPr>
                <w:rFonts w:ascii="Aptos Narrow" w:eastAsia="Aptos Narrow" w:hAnsi="Aptos Narrow" w:cs="Aptos Narrow"/>
                <w:color w:val="000000" w:themeColor="text1"/>
              </w:rPr>
            </w:pPr>
            <w:r>
              <w:rPr>
                <w:rFonts w:ascii="Aptos Narrow" w:eastAsia="Aptos Narrow" w:hAnsi="Aptos Narrow" w:cs="Aptos Narrow"/>
                <w:color w:val="000000" w:themeColor="text1"/>
              </w:rPr>
              <w:t xml:space="preserve">e.g. enteric fermentation; manure management </w:t>
            </w:r>
          </w:p>
        </w:tc>
        <w:tc>
          <w:tcPr>
            <w:tcW w:w="992" w:type="dxa"/>
          </w:tcPr>
          <w:p w14:paraId="51735CF4" w14:textId="77777777" w:rsidR="001E62B2" w:rsidRDefault="001E62B2">
            <w:pPr>
              <w:rPr>
                <w:rFonts w:ascii="Aptos Narrow" w:eastAsia="Aptos Narrow" w:hAnsi="Aptos Narrow" w:cs="Aptos Narrow"/>
                <w:color w:val="000000" w:themeColor="text1"/>
              </w:rPr>
            </w:pPr>
            <w:r>
              <w:rPr>
                <w:rFonts w:ascii="Aptos Narrow" w:eastAsia="Aptos Narrow" w:hAnsi="Aptos Narrow" w:cs="Aptos Narrow"/>
                <w:color w:val="000000" w:themeColor="text1"/>
              </w:rPr>
              <w:t>Scope 1</w:t>
            </w:r>
          </w:p>
        </w:tc>
      </w:tr>
      <w:tr w:rsidR="001E62B2" w:rsidRPr="007A61DA" w14:paraId="2A918C7E" w14:textId="77777777" w:rsidTr="007F1370">
        <w:trPr>
          <w:trHeight w:val="547"/>
        </w:trPr>
        <w:tc>
          <w:tcPr>
            <w:tcW w:w="1843" w:type="dxa"/>
            <w:hideMark/>
          </w:tcPr>
          <w:p w14:paraId="177899E3" w14:textId="77777777" w:rsidR="001E62B2" w:rsidRPr="007A61DA" w:rsidRDefault="001E62B2">
            <w:pPr>
              <w:rPr>
                <w:rFonts w:ascii="Aptos Narrow" w:eastAsia="Aptos Narrow" w:hAnsi="Aptos Narrow" w:cs="Aptos Narrow"/>
                <w:color w:val="000000" w:themeColor="text1"/>
              </w:rPr>
            </w:pPr>
            <w:r>
              <w:rPr>
                <w:rFonts w:ascii="Aptos Narrow" w:eastAsia="Aptos Narrow" w:hAnsi="Aptos Narrow" w:cs="Aptos Narrow"/>
                <w:color w:val="000000" w:themeColor="text1"/>
              </w:rPr>
              <w:lastRenderedPageBreak/>
              <w:t xml:space="preserve">Land management </w:t>
            </w:r>
            <w:r w:rsidRPr="007A61DA">
              <w:rPr>
                <w:rFonts w:ascii="Aptos Narrow" w:eastAsia="Aptos Narrow" w:hAnsi="Aptos Narrow" w:cs="Aptos Narrow"/>
                <w:color w:val="000000" w:themeColor="text1"/>
              </w:rPr>
              <w:br/>
            </w:r>
            <w:r w:rsidRPr="007A61DA">
              <w:rPr>
                <w:rFonts w:ascii="Aptos Narrow" w:eastAsia="Aptos Narrow" w:hAnsi="Aptos Narrow" w:cs="Aptos Narrow"/>
                <w:color w:val="000000" w:themeColor="text1"/>
              </w:rPr>
              <w:br/>
            </w:r>
          </w:p>
        </w:tc>
        <w:tc>
          <w:tcPr>
            <w:tcW w:w="4394" w:type="dxa"/>
            <w:hideMark/>
          </w:tcPr>
          <w:p w14:paraId="08B4679E" w14:textId="0559CB91" w:rsidR="001E62B2" w:rsidRPr="004040F6" w:rsidRDefault="001E62B2">
            <w:pPr>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 xml:space="preserve">Has there been any land use change </w:t>
            </w:r>
            <w:r w:rsidR="00525AE9">
              <w:rPr>
                <w:rFonts w:ascii="Aptos Narrow" w:eastAsia="Aptos Narrow" w:hAnsi="Aptos Narrow" w:cs="Aptos Narrow"/>
                <w:color w:val="000000" w:themeColor="text1"/>
              </w:rPr>
              <w:t xml:space="preserve">on the land </w:t>
            </w:r>
            <w:r w:rsidR="00385735">
              <w:rPr>
                <w:rFonts w:ascii="Aptos Narrow" w:eastAsia="Aptos Narrow" w:hAnsi="Aptos Narrow" w:cs="Aptos Narrow"/>
                <w:color w:val="000000" w:themeColor="text1"/>
              </w:rPr>
              <w:t xml:space="preserve">owned or managed by the entity in the past 20 years? </w:t>
            </w:r>
            <w:r>
              <w:br/>
            </w:r>
            <w:r w:rsidRPr="007A61DA">
              <w:rPr>
                <w:rFonts w:ascii="Aptos Narrow" w:eastAsia="Aptos Narrow" w:hAnsi="Aptos Narrow" w:cs="Aptos Narrow"/>
                <w:color w:val="000000" w:themeColor="text1"/>
              </w:rPr>
              <w:t>Have tree-planting, revegetation activities been undertaken over areas &gt;0.2 ha?</w:t>
            </w:r>
            <w:r>
              <w:br/>
            </w:r>
            <w:r w:rsidRPr="6A55940E">
              <w:rPr>
                <w:rFonts w:ascii="Aptos Narrow" w:eastAsia="Aptos Narrow" w:hAnsi="Aptos Narrow" w:cs="Aptos Narrow"/>
              </w:rPr>
              <w:t>Has there been any change to fire management practices to reduce the severity of late dry season burns?</w:t>
            </w:r>
          </w:p>
        </w:tc>
        <w:tc>
          <w:tcPr>
            <w:tcW w:w="1560" w:type="dxa"/>
          </w:tcPr>
          <w:p w14:paraId="0BF7DD30" w14:textId="1F8DC910" w:rsidR="001E62B2" w:rsidRPr="007A61DA" w:rsidRDefault="001E62B2">
            <w:pPr>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 xml:space="preserve">e.g. </w:t>
            </w:r>
            <w:r w:rsidR="007F1370">
              <w:rPr>
                <w:rFonts w:ascii="Aptos Narrow" w:eastAsia="Aptos Narrow" w:hAnsi="Aptos Narrow" w:cs="Aptos Narrow"/>
                <w:color w:val="000000" w:themeColor="text1"/>
              </w:rPr>
              <w:t>clearing</w:t>
            </w:r>
            <w:r w:rsidRPr="007A61DA">
              <w:rPr>
                <w:rFonts w:ascii="Aptos Narrow" w:eastAsia="Aptos Narrow" w:hAnsi="Aptos Narrow" w:cs="Aptos Narrow"/>
                <w:color w:val="000000" w:themeColor="text1"/>
              </w:rPr>
              <w:t xml:space="preserve"> </w:t>
            </w:r>
            <w:r>
              <w:rPr>
                <w:rFonts w:ascii="Aptos Narrow" w:eastAsia="Aptos Narrow" w:hAnsi="Aptos Narrow" w:cs="Aptos Narrow"/>
                <w:color w:val="000000" w:themeColor="text1"/>
              </w:rPr>
              <w:t>woody</w:t>
            </w:r>
            <w:r w:rsidRPr="007A61DA">
              <w:rPr>
                <w:rFonts w:ascii="Aptos Narrow" w:eastAsia="Aptos Narrow" w:hAnsi="Aptos Narrow" w:cs="Aptos Narrow"/>
                <w:color w:val="000000" w:themeColor="text1"/>
              </w:rPr>
              <w:t xml:space="preserve"> vegetation</w:t>
            </w:r>
          </w:p>
        </w:tc>
        <w:tc>
          <w:tcPr>
            <w:tcW w:w="992" w:type="dxa"/>
          </w:tcPr>
          <w:p w14:paraId="3EED242C" w14:textId="77DFF857" w:rsidR="001E62B2" w:rsidRDefault="001E62B2">
            <w:pPr>
              <w:rPr>
                <w:rFonts w:ascii="Aptos Narrow" w:eastAsia="Aptos Narrow" w:hAnsi="Aptos Narrow" w:cs="Aptos Narrow"/>
                <w:color w:val="000000" w:themeColor="text1"/>
              </w:rPr>
            </w:pPr>
            <w:r>
              <w:rPr>
                <w:rFonts w:ascii="Aptos Narrow" w:eastAsia="Aptos Narrow" w:hAnsi="Aptos Narrow" w:cs="Aptos Narrow"/>
                <w:color w:val="000000" w:themeColor="text1"/>
              </w:rPr>
              <w:t>Scope 1</w:t>
            </w:r>
            <w:r w:rsidR="0092715F">
              <w:rPr>
                <w:rFonts w:ascii="Aptos Narrow" w:eastAsia="Aptos Narrow" w:hAnsi="Aptos Narrow" w:cs="Aptos Narrow"/>
                <w:color w:val="000000" w:themeColor="text1"/>
              </w:rPr>
              <w:t xml:space="preserve"> biogenic carbon</w:t>
            </w:r>
          </w:p>
        </w:tc>
      </w:tr>
      <w:tr w:rsidR="001E62B2" w:rsidRPr="007A61DA" w14:paraId="106BB314" w14:textId="77777777" w:rsidTr="007F1370">
        <w:trPr>
          <w:trHeight w:val="1380"/>
        </w:trPr>
        <w:tc>
          <w:tcPr>
            <w:tcW w:w="1843" w:type="dxa"/>
            <w:hideMark/>
          </w:tcPr>
          <w:p w14:paraId="2CC795D1" w14:textId="77777777" w:rsidR="001E62B2" w:rsidRPr="007A61DA" w:rsidRDefault="001E62B2">
            <w:pPr>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Leased Assets and Agistment</w:t>
            </w:r>
            <w:r w:rsidRPr="007A61DA">
              <w:rPr>
                <w:rFonts w:ascii="Aptos Narrow" w:eastAsia="Aptos Narrow" w:hAnsi="Aptos Narrow" w:cs="Aptos Narrow"/>
                <w:color w:val="000000" w:themeColor="text1"/>
              </w:rPr>
              <w:br/>
            </w:r>
            <w:r w:rsidRPr="007A61DA">
              <w:rPr>
                <w:rFonts w:ascii="Aptos Narrow" w:eastAsia="Aptos Narrow" w:hAnsi="Aptos Narrow" w:cs="Aptos Narrow"/>
                <w:color w:val="000000" w:themeColor="text1"/>
              </w:rPr>
              <w:br/>
            </w:r>
          </w:p>
        </w:tc>
        <w:tc>
          <w:tcPr>
            <w:tcW w:w="4394" w:type="dxa"/>
            <w:hideMark/>
          </w:tcPr>
          <w:p w14:paraId="7FCB36CF" w14:textId="77777777" w:rsidR="001E62B2" w:rsidRDefault="001E62B2">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Does the entity lease or lease out land or facilities?</w:t>
            </w:r>
          </w:p>
          <w:p w14:paraId="320292C5" w14:textId="65694154" w:rsidR="001E62B2" w:rsidRDefault="001E62B2">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 xml:space="preserve">Does the entity host </w:t>
            </w:r>
            <w:proofErr w:type="spellStart"/>
            <w:r w:rsidRPr="007A61DA">
              <w:rPr>
                <w:rFonts w:ascii="Aptos Narrow" w:eastAsia="Aptos Narrow" w:hAnsi="Aptos Narrow" w:cs="Aptos Narrow"/>
                <w:color w:val="000000" w:themeColor="text1"/>
              </w:rPr>
              <w:t>agisted</w:t>
            </w:r>
            <w:proofErr w:type="spellEnd"/>
            <w:r w:rsidRPr="007A61DA">
              <w:rPr>
                <w:rFonts w:ascii="Aptos Narrow" w:eastAsia="Aptos Narrow" w:hAnsi="Aptos Narrow" w:cs="Aptos Narrow"/>
                <w:color w:val="000000" w:themeColor="text1"/>
              </w:rPr>
              <w:t xml:space="preserve"> stock or agist its own stock elsewhere?</w:t>
            </w:r>
            <w:r w:rsidRPr="007A61DA">
              <w:rPr>
                <w:rFonts w:ascii="Aptos Narrow" w:eastAsia="Aptos Narrow" w:hAnsi="Aptos Narrow" w:cs="Aptos Narrow"/>
                <w:color w:val="000000" w:themeColor="text1"/>
              </w:rPr>
              <w:br/>
              <w:t>Who has operational control of leases</w:t>
            </w:r>
            <w:r w:rsidR="00FE3D86">
              <w:rPr>
                <w:rFonts w:ascii="Aptos Narrow" w:eastAsia="Aptos Narrow" w:hAnsi="Aptos Narrow" w:cs="Aptos Narrow"/>
                <w:color w:val="000000" w:themeColor="text1"/>
              </w:rPr>
              <w:t xml:space="preserve"> or</w:t>
            </w:r>
            <w:r w:rsidRPr="007A61DA">
              <w:rPr>
                <w:rFonts w:ascii="Aptos Narrow" w:eastAsia="Aptos Narrow" w:hAnsi="Aptos Narrow" w:cs="Aptos Narrow"/>
                <w:color w:val="000000" w:themeColor="text1"/>
              </w:rPr>
              <w:t xml:space="preserve"> </w:t>
            </w:r>
            <w:proofErr w:type="spellStart"/>
            <w:r w:rsidRPr="007A61DA">
              <w:rPr>
                <w:rFonts w:ascii="Aptos Narrow" w:eastAsia="Aptos Narrow" w:hAnsi="Aptos Narrow" w:cs="Aptos Narrow"/>
                <w:color w:val="000000" w:themeColor="text1"/>
              </w:rPr>
              <w:t>agisted</w:t>
            </w:r>
            <w:proofErr w:type="spellEnd"/>
            <w:r w:rsidRPr="007A61DA">
              <w:rPr>
                <w:rFonts w:ascii="Aptos Narrow" w:eastAsia="Aptos Narrow" w:hAnsi="Aptos Narrow" w:cs="Aptos Narrow"/>
                <w:color w:val="000000" w:themeColor="text1"/>
              </w:rPr>
              <w:t xml:space="preserve"> stock for emissions accounting purposes?</w:t>
            </w:r>
          </w:p>
          <w:p w14:paraId="27C554E0" w14:textId="52EBE7D9" w:rsidR="001E62B2" w:rsidRPr="007A61DA" w:rsidRDefault="001E62B2">
            <w:pPr>
              <w:spacing w:after="0" w:line="240" w:lineRule="auto"/>
              <w:rPr>
                <w:rFonts w:ascii="Aptos Narrow" w:eastAsia="Aptos Narrow" w:hAnsi="Aptos Narrow" w:cs="Aptos Narrow"/>
                <w:color w:val="000000" w:themeColor="text1"/>
              </w:rPr>
            </w:pPr>
            <w:r w:rsidRPr="002079DD">
              <w:rPr>
                <w:rFonts w:ascii="Aptos Narrow" w:eastAsia="Aptos Narrow" w:hAnsi="Aptos Narrow" w:cs="Aptos Narrow"/>
                <w:color w:val="000000" w:themeColor="text1"/>
              </w:rPr>
              <w:t xml:space="preserve">See </w:t>
            </w:r>
            <w:r w:rsidRPr="002079DD">
              <w:rPr>
                <w:rFonts w:ascii="Aptos Narrow" w:eastAsia="Aptos Narrow" w:hAnsi="Aptos Narrow" w:cs="Aptos Narrow"/>
                <w:b/>
                <w:bCs/>
                <w:color w:val="000000" w:themeColor="text1"/>
              </w:rPr>
              <w:t xml:space="preserve">Appendix </w:t>
            </w:r>
            <w:r w:rsidR="00D24534">
              <w:rPr>
                <w:rFonts w:ascii="Aptos Narrow" w:eastAsia="Aptos Narrow" w:hAnsi="Aptos Narrow" w:cs="Aptos Narrow"/>
                <w:b/>
                <w:bCs/>
                <w:color w:val="000000" w:themeColor="text1"/>
              </w:rPr>
              <w:t>C</w:t>
            </w:r>
            <w:r w:rsidRPr="002079DD">
              <w:rPr>
                <w:rFonts w:ascii="Aptos Narrow" w:eastAsia="Aptos Narrow" w:hAnsi="Aptos Narrow" w:cs="Aptos Narrow"/>
                <w:color w:val="000000" w:themeColor="text1"/>
              </w:rPr>
              <w:t xml:space="preserve"> for information on classifying leased lands and agistment into Scopes.</w:t>
            </w:r>
            <w:r>
              <w:t xml:space="preserve">  </w:t>
            </w:r>
          </w:p>
        </w:tc>
        <w:tc>
          <w:tcPr>
            <w:tcW w:w="1560" w:type="dxa"/>
          </w:tcPr>
          <w:p w14:paraId="5855EFE3" w14:textId="77777777" w:rsidR="001E62B2" w:rsidRDefault="001E62B2">
            <w:pPr>
              <w:spacing w:after="0" w:line="240" w:lineRule="auto"/>
              <w:rPr>
                <w:rFonts w:ascii="Aptos Narrow" w:eastAsia="Aptos Narrow" w:hAnsi="Aptos Narrow" w:cs="Aptos Narrow"/>
                <w:color w:val="000000" w:themeColor="text1"/>
              </w:rPr>
            </w:pPr>
            <w:r>
              <w:rPr>
                <w:rFonts w:ascii="Aptos Narrow" w:eastAsia="Aptos Narrow" w:hAnsi="Aptos Narrow" w:cs="Aptos Narrow"/>
                <w:color w:val="000000" w:themeColor="text1"/>
              </w:rPr>
              <w:t xml:space="preserve">e.g. enteric fermentation from </w:t>
            </w:r>
            <w:proofErr w:type="spellStart"/>
            <w:r>
              <w:rPr>
                <w:rFonts w:ascii="Aptos Narrow" w:eastAsia="Aptos Narrow" w:hAnsi="Aptos Narrow" w:cs="Aptos Narrow"/>
                <w:color w:val="000000" w:themeColor="text1"/>
              </w:rPr>
              <w:t>agisted</w:t>
            </w:r>
            <w:proofErr w:type="spellEnd"/>
            <w:r>
              <w:rPr>
                <w:rFonts w:ascii="Aptos Narrow" w:eastAsia="Aptos Narrow" w:hAnsi="Aptos Narrow" w:cs="Aptos Narrow"/>
                <w:color w:val="000000" w:themeColor="text1"/>
              </w:rPr>
              <w:t xml:space="preserve"> animals </w:t>
            </w:r>
          </w:p>
        </w:tc>
        <w:tc>
          <w:tcPr>
            <w:tcW w:w="992" w:type="dxa"/>
          </w:tcPr>
          <w:p w14:paraId="73E0C17C" w14:textId="77777777" w:rsidR="001E62B2" w:rsidRDefault="001E62B2">
            <w:pPr>
              <w:spacing w:after="0" w:line="240" w:lineRule="auto"/>
              <w:rPr>
                <w:rFonts w:ascii="Aptos Narrow" w:eastAsia="Aptos Narrow" w:hAnsi="Aptos Narrow" w:cs="Aptos Narrow"/>
                <w:color w:val="000000" w:themeColor="text1"/>
              </w:rPr>
            </w:pPr>
            <w:r>
              <w:rPr>
                <w:rFonts w:ascii="Aptos Narrow" w:eastAsia="Aptos Narrow" w:hAnsi="Aptos Narrow" w:cs="Aptos Narrow"/>
                <w:color w:val="000000" w:themeColor="text1"/>
              </w:rPr>
              <w:t>Scope 1 or Scope 3</w:t>
            </w:r>
          </w:p>
        </w:tc>
      </w:tr>
      <w:tr w:rsidR="001E62B2" w:rsidRPr="007A61DA" w14:paraId="391D88F7" w14:textId="77777777" w:rsidTr="007F1370">
        <w:trPr>
          <w:trHeight w:val="1216"/>
        </w:trPr>
        <w:tc>
          <w:tcPr>
            <w:tcW w:w="1843" w:type="dxa"/>
            <w:hideMark/>
          </w:tcPr>
          <w:p w14:paraId="0EC1B1A7" w14:textId="77777777" w:rsidR="001E62B2" w:rsidRPr="007A61DA" w:rsidRDefault="001E62B2">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 xml:space="preserve">Facilities and Off-Farm Operations </w:t>
            </w:r>
            <w:r w:rsidRPr="007A61DA">
              <w:rPr>
                <w:rFonts w:ascii="Aptos Narrow" w:eastAsia="Aptos Narrow" w:hAnsi="Aptos Narrow" w:cs="Aptos Narrow"/>
                <w:color w:val="000000" w:themeColor="text1"/>
              </w:rPr>
              <w:br/>
            </w:r>
            <w:r w:rsidRPr="007A61DA">
              <w:rPr>
                <w:rFonts w:ascii="Aptos Narrow" w:eastAsia="Aptos Narrow" w:hAnsi="Aptos Narrow" w:cs="Aptos Narrow"/>
                <w:color w:val="000000" w:themeColor="text1"/>
              </w:rPr>
              <w:br/>
            </w:r>
          </w:p>
        </w:tc>
        <w:tc>
          <w:tcPr>
            <w:tcW w:w="4394" w:type="dxa"/>
            <w:hideMark/>
          </w:tcPr>
          <w:p w14:paraId="37C90DAA" w14:textId="77777777" w:rsidR="001E62B2" w:rsidRPr="007A61DA" w:rsidRDefault="001E62B2">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Are post-harvest, storage, processing or transport facilities under the entity’s control?</w:t>
            </w:r>
            <w:r w:rsidRPr="007A61DA">
              <w:rPr>
                <w:rFonts w:ascii="Aptos Narrow" w:eastAsia="Aptos Narrow" w:hAnsi="Aptos Narrow" w:cs="Aptos Narrow"/>
                <w:color w:val="000000" w:themeColor="text1"/>
              </w:rPr>
              <w:br/>
              <w:t>Do these facilities contribute to Scope 1 or Scope 2 emissions?</w:t>
            </w:r>
          </w:p>
        </w:tc>
        <w:tc>
          <w:tcPr>
            <w:tcW w:w="1560" w:type="dxa"/>
          </w:tcPr>
          <w:p w14:paraId="371DFCDD" w14:textId="77777777" w:rsidR="001E62B2" w:rsidRDefault="001E62B2">
            <w:pPr>
              <w:spacing w:after="0" w:line="240" w:lineRule="auto"/>
              <w:rPr>
                <w:rFonts w:ascii="Aptos Narrow" w:eastAsia="Aptos Narrow" w:hAnsi="Aptos Narrow" w:cs="Aptos Narrow"/>
                <w:color w:val="000000" w:themeColor="text1"/>
              </w:rPr>
            </w:pPr>
            <w:r>
              <w:rPr>
                <w:rFonts w:ascii="Aptos Narrow" w:eastAsia="Aptos Narrow" w:hAnsi="Aptos Narrow" w:cs="Aptos Narrow"/>
                <w:color w:val="000000" w:themeColor="text1"/>
              </w:rPr>
              <w:t xml:space="preserve">e.g. purchased energy, refrigeration  </w:t>
            </w:r>
          </w:p>
        </w:tc>
        <w:tc>
          <w:tcPr>
            <w:tcW w:w="992" w:type="dxa"/>
          </w:tcPr>
          <w:p w14:paraId="147A766A" w14:textId="77777777" w:rsidR="001E62B2" w:rsidRPr="007A61DA" w:rsidRDefault="001E62B2">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Scope 1 or 2</w:t>
            </w:r>
          </w:p>
        </w:tc>
      </w:tr>
      <w:tr w:rsidR="001E62B2" w:rsidRPr="007A61DA" w14:paraId="5FEE932E" w14:textId="77777777" w:rsidTr="007F1370">
        <w:trPr>
          <w:trHeight w:val="1120"/>
        </w:trPr>
        <w:tc>
          <w:tcPr>
            <w:tcW w:w="1843" w:type="dxa"/>
            <w:hideMark/>
          </w:tcPr>
          <w:p w14:paraId="3D1C3802" w14:textId="77777777" w:rsidR="001E62B2" w:rsidRPr="007A61DA" w:rsidRDefault="001E62B2">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 xml:space="preserve">Contracted and Outsourced Activities </w:t>
            </w:r>
            <w:r w:rsidRPr="007A61DA">
              <w:rPr>
                <w:rFonts w:ascii="Aptos Narrow" w:eastAsia="Aptos Narrow" w:hAnsi="Aptos Narrow" w:cs="Aptos Narrow"/>
                <w:color w:val="000000" w:themeColor="text1"/>
              </w:rPr>
              <w:br/>
            </w:r>
            <w:r w:rsidRPr="007A61DA">
              <w:rPr>
                <w:rFonts w:ascii="Aptos Narrow" w:eastAsia="Aptos Narrow" w:hAnsi="Aptos Narrow" w:cs="Aptos Narrow"/>
                <w:color w:val="000000" w:themeColor="text1"/>
              </w:rPr>
              <w:br/>
            </w:r>
            <w:r w:rsidRPr="007A61DA">
              <w:rPr>
                <w:rFonts w:ascii="Aptos Narrow" w:eastAsia="Aptos Narrow" w:hAnsi="Aptos Narrow" w:cs="Aptos Narrow"/>
                <w:color w:val="000000" w:themeColor="text1"/>
              </w:rPr>
              <w:br/>
            </w:r>
          </w:p>
        </w:tc>
        <w:tc>
          <w:tcPr>
            <w:tcW w:w="4394" w:type="dxa"/>
            <w:hideMark/>
          </w:tcPr>
          <w:p w14:paraId="7E9D7B1E" w14:textId="77777777" w:rsidR="001E62B2" w:rsidRPr="007A61DA" w:rsidRDefault="001E62B2">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Are key activities (e.g. harvesting, spraying) performed by third parties?</w:t>
            </w:r>
            <w:r w:rsidRPr="007A61DA">
              <w:rPr>
                <w:rFonts w:ascii="Aptos Narrow" w:eastAsia="Aptos Narrow" w:hAnsi="Aptos Narrow" w:cs="Aptos Narrow"/>
                <w:color w:val="000000" w:themeColor="text1"/>
              </w:rPr>
              <w:br/>
              <w:t>Are contractors using the entity’s fuel and equipment or their own?</w:t>
            </w:r>
          </w:p>
        </w:tc>
        <w:tc>
          <w:tcPr>
            <w:tcW w:w="1560" w:type="dxa"/>
          </w:tcPr>
          <w:p w14:paraId="7A89184B" w14:textId="77777777" w:rsidR="001E62B2" w:rsidRDefault="001E62B2">
            <w:pPr>
              <w:spacing w:after="0" w:line="240" w:lineRule="auto"/>
              <w:rPr>
                <w:rFonts w:ascii="Aptos Narrow" w:eastAsia="Aptos Narrow" w:hAnsi="Aptos Narrow" w:cs="Aptos Narrow"/>
                <w:color w:val="000000" w:themeColor="text1"/>
              </w:rPr>
            </w:pPr>
            <w:r>
              <w:rPr>
                <w:rFonts w:ascii="Aptos Narrow" w:eastAsia="Aptos Narrow" w:hAnsi="Aptos Narrow" w:cs="Aptos Narrow"/>
                <w:color w:val="000000" w:themeColor="text1"/>
              </w:rPr>
              <w:t>e.g. fuel use</w:t>
            </w:r>
          </w:p>
        </w:tc>
        <w:tc>
          <w:tcPr>
            <w:tcW w:w="992" w:type="dxa"/>
          </w:tcPr>
          <w:p w14:paraId="7875F2BF" w14:textId="77777777" w:rsidR="001E62B2" w:rsidRPr="007A61DA" w:rsidRDefault="001E62B2">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Scope 1 or 3</w:t>
            </w:r>
          </w:p>
        </w:tc>
      </w:tr>
      <w:tr w:rsidR="001E62B2" w:rsidRPr="007A61DA" w14:paraId="6FA090B1" w14:textId="77777777" w:rsidTr="007F1370">
        <w:trPr>
          <w:trHeight w:val="960"/>
        </w:trPr>
        <w:tc>
          <w:tcPr>
            <w:tcW w:w="1843" w:type="dxa"/>
            <w:hideMark/>
          </w:tcPr>
          <w:p w14:paraId="5E91270C" w14:textId="77777777" w:rsidR="001E62B2" w:rsidRPr="007A61DA" w:rsidRDefault="001E62B2">
            <w:pPr>
              <w:spacing w:after="0" w:line="240" w:lineRule="auto"/>
              <w:rPr>
                <w:rFonts w:ascii="Aptos Narrow" w:eastAsia="Aptos Narrow" w:hAnsi="Aptos Narrow" w:cs="Aptos Narrow"/>
                <w:color w:val="000000" w:themeColor="text1"/>
              </w:rPr>
            </w:pPr>
            <w:r w:rsidRPr="009612EE">
              <w:rPr>
                <w:rFonts w:ascii="Aptos Narrow" w:eastAsia="Aptos Narrow" w:hAnsi="Aptos Narrow" w:cs="Aptos Narrow"/>
                <w:color w:val="000000" w:themeColor="text1"/>
              </w:rPr>
              <w:t xml:space="preserve">Water </w:t>
            </w:r>
            <w:r w:rsidRPr="009612EE">
              <w:rPr>
                <w:rFonts w:ascii="Aptos Narrow" w:eastAsia="Aptos Narrow" w:hAnsi="Aptos Narrow" w:cs="Aptos Narrow"/>
                <w:color w:val="000000" w:themeColor="text1"/>
              </w:rPr>
              <w:br/>
            </w:r>
            <w:r w:rsidRPr="009612EE">
              <w:rPr>
                <w:rFonts w:ascii="Aptos Narrow" w:eastAsia="Aptos Narrow" w:hAnsi="Aptos Narrow" w:cs="Aptos Narrow"/>
                <w:color w:val="000000" w:themeColor="text1"/>
              </w:rPr>
              <w:br/>
            </w:r>
          </w:p>
        </w:tc>
        <w:tc>
          <w:tcPr>
            <w:tcW w:w="4394" w:type="dxa"/>
            <w:hideMark/>
          </w:tcPr>
          <w:p w14:paraId="0193E150" w14:textId="4B6E422F" w:rsidR="001E62B2" w:rsidRPr="007A61DA" w:rsidRDefault="001E62B2">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 xml:space="preserve">What energy is used to pump or treat water (is it </w:t>
            </w:r>
            <w:r>
              <w:rPr>
                <w:rFonts w:ascii="Aptos Narrow" w:eastAsia="Aptos Narrow" w:hAnsi="Aptos Narrow" w:cs="Aptos Narrow"/>
                <w:color w:val="000000" w:themeColor="text1"/>
              </w:rPr>
              <w:t>diesel or solar-powered</w:t>
            </w:r>
            <w:r w:rsidRPr="007A61DA">
              <w:rPr>
                <w:rFonts w:ascii="Aptos Narrow" w:eastAsia="Aptos Narrow" w:hAnsi="Aptos Narrow" w:cs="Aptos Narrow"/>
                <w:color w:val="000000" w:themeColor="text1"/>
              </w:rPr>
              <w:t>)?</w:t>
            </w:r>
          </w:p>
        </w:tc>
        <w:tc>
          <w:tcPr>
            <w:tcW w:w="1560" w:type="dxa"/>
          </w:tcPr>
          <w:p w14:paraId="21376765" w14:textId="77777777" w:rsidR="001E62B2" w:rsidRPr="009612EE" w:rsidRDefault="001E62B2">
            <w:pPr>
              <w:spacing w:after="0" w:line="240" w:lineRule="auto"/>
              <w:rPr>
                <w:rFonts w:ascii="Aptos Narrow" w:eastAsia="Aptos Narrow" w:hAnsi="Aptos Narrow" w:cs="Aptos Narrow"/>
                <w:color w:val="000000" w:themeColor="text1"/>
              </w:rPr>
            </w:pPr>
            <w:r w:rsidRPr="009612EE">
              <w:rPr>
                <w:rFonts w:ascii="Aptos Narrow" w:eastAsia="Aptos Narrow" w:hAnsi="Aptos Narrow" w:cs="Aptos Narrow"/>
                <w:color w:val="000000" w:themeColor="text1"/>
              </w:rPr>
              <w:t xml:space="preserve">e.g. fuel use or purchased electricity </w:t>
            </w:r>
          </w:p>
        </w:tc>
        <w:tc>
          <w:tcPr>
            <w:tcW w:w="992" w:type="dxa"/>
          </w:tcPr>
          <w:p w14:paraId="65866369" w14:textId="77777777" w:rsidR="001E62B2" w:rsidRPr="009612EE" w:rsidRDefault="001E62B2">
            <w:pPr>
              <w:spacing w:after="0" w:line="240" w:lineRule="auto"/>
              <w:rPr>
                <w:rFonts w:ascii="Aptos Narrow" w:eastAsia="Aptos Narrow" w:hAnsi="Aptos Narrow" w:cs="Aptos Narrow"/>
                <w:color w:val="000000" w:themeColor="text1"/>
              </w:rPr>
            </w:pPr>
            <w:r w:rsidRPr="009612EE">
              <w:rPr>
                <w:rFonts w:ascii="Aptos Narrow" w:eastAsia="Aptos Narrow" w:hAnsi="Aptos Narrow" w:cs="Aptos Narrow"/>
                <w:color w:val="000000" w:themeColor="text1"/>
              </w:rPr>
              <w:t>Scope 1 or 2</w:t>
            </w:r>
          </w:p>
        </w:tc>
      </w:tr>
      <w:tr w:rsidR="001E62B2" w:rsidRPr="007A61DA" w14:paraId="63C7D005" w14:textId="77777777" w:rsidTr="007F1370">
        <w:trPr>
          <w:trHeight w:val="870"/>
        </w:trPr>
        <w:tc>
          <w:tcPr>
            <w:tcW w:w="1843" w:type="dxa"/>
            <w:hideMark/>
          </w:tcPr>
          <w:p w14:paraId="7DDBBADA" w14:textId="77777777" w:rsidR="001E62B2" w:rsidRPr="007A61DA" w:rsidRDefault="001E62B2">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Purchased Energy</w:t>
            </w:r>
            <w:r w:rsidRPr="007A61DA">
              <w:rPr>
                <w:rFonts w:ascii="Aptos Narrow" w:eastAsia="Aptos Narrow" w:hAnsi="Aptos Narrow" w:cs="Aptos Narrow"/>
                <w:color w:val="000000" w:themeColor="text1"/>
              </w:rPr>
              <w:br/>
            </w:r>
            <w:r w:rsidRPr="007A61DA">
              <w:rPr>
                <w:rFonts w:ascii="Aptos Narrow" w:eastAsia="Aptos Narrow" w:hAnsi="Aptos Narrow" w:cs="Aptos Narrow"/>
                <w:color w:val="000000" w:themeColor="text1"/>
              </w:rPr>
              <w:br/>
            </w:r>
          </w:p>
        </w:tc>
        <w:tc>
          <w:tcPr>
            <w:tcW w:w="4394" w:type="dxa"/>
            <w:hideMark/>
          </w:tcPr>
          <w:p w14:paraId="719C3467" w14:textId="77777777" w:rsidR="001E62B2" w:rsidRPr="007A61DA" w:rsidRDefault="001E62B2">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What activities use purchased electricity or other forms of purchased energy?</w:t>
            </w:r>
            <w:r w:rsidRPr="007A61DA">
              <w:rPr>
                <w:rFonts w:ascii="Aptos Narrow" w:eastAsia="Aptos Narrow" w:hAnsi="Aptos Narrow" w:cs="Aptos Narrow"/>
                <w:color w:val="000000" w:themeColor="text1"/>
              </w:rPr>
              <w:br/>
              <w:t>Does the entity purchase renewable energy?</w:t>
            </w:r>
          </w:p>
        </w:tc>
        <w:tc>
          <w:tcPr>
            <w:tcW w:w="1560" w:type="dxa"/>
          </w:tcPr>
          <w:p w14:paraId="10935353" w14:textId="77777777" w:rsidR="001E62B2" w:rsidRDefault="001E62B2">
            <w:pPr>
              <w:spacing w:after="0" w:line="240" w:lineRule="auto"/>
              <w:rPr>
                <w:rFonts w:ascii="Aptos Narrow" w:eastAsia="Aptos Narrow" w:hAnsi="Aptos Narrow" w:cs="Aptos Narrow"/>
                <w:color w:val="000000" w:themeColor="text1"/>
              </w:rPr>
            </w:pPr>
            <w:r>
              <w:rPr>
                <w:rFonts w:ascii="Aptos Narrow" w:eastAsia="Aptos Narrow" w:hAnsi="Aptos Narrow" w:cs="Aptos Narrow"/>
                <w:color w:val="000000" w:themeColor="text1"/>
              </w:rPr>
              <w:t>Energy use</w:t>
            </w:r>
          </w:p>
        </w:tc>
        <w:tc>
          <w:tcPr>
            <w:tcW w:w="992" w:type="dxa"/>
          </w:tcPr>
          <w:p w14:paraId="7EF04D06" w14:textId="77777777" w:rsidR="001E62B2" w:rsidRPr="007A61DA" w:rsidRDefault="001E62B2">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Scope 2</w:t>
            </w:r>
          </w:p>
        </w:tc>
      </w:tr>
      <w:tr w:rsidR="001E62B2" w:rsidRPr="007A61DA" w14:paraId="4F6BD5A6" w14:textId="77777777" w:rsidTr="007F1370">
        <w:trPr>
          <w:trHeight w:val="983"/>
        </w:trPr>
        <w:tc>
          <w:tcPr>
            <w:tcW w:w="1843" w:type="dxa"/>
            <w:hideMark/>
          </w:tcPr>
          <w:p w14:paraId="03843EF0" w14:textId="77777777" w:rsidR="001E62B2" w:rsidRPr="007A61DA" w:rsidRDefault="001E62B2">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Purchased Goods and Services</w:t>
            </w:r>
            <w:r w:rsidRPr="007A61DA">
              <w:rPr>
                <w:rFonts w:ascii="Aptos Narrow" w:eastAsia="Aptos Narrow" w:hAnsi="Aptos Narrow" w:cs="Aptos Narrow"/>
                <w:color w:val="000000" w:themeColor="text1"/>
              </w:rPr>
              <w:br/>
            </w:r>
            <w:r w:rsidRPr="007A61DA">
              <w:rPr>
                <w:rFonts w:ascii="Aptos Narrow" w:eastAsia="Aptos Narrow" w:hAnsi="Aptos Narrow" w:cs="Aptos Narrow"/>
                <w:color w:val="000000" w:themeColor="text1"/>
              </w:rPr>
              <w:br/>
            </w:r>
          </w:p>
        </w:tc>
        <w:tc>
          <w:tcPr>
            <w:tcW w:w="4394" w:type="dxa"/>
            <w:hideMark/>
          </w:tcPr>
          <w:p w14:paraId="036F3EFB" w14:textId="77777777" w:rsidR="001E62B2" w:rsidRPr="007A61DA" w:rsidRDefault="001E62B2">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What purchased goods and services are essential to operations</w:t>
            </w:r>
            <w:r>
              <w:rPr>
                <w:rFonts w:ascii="Aptos Narrow" w:eastAsia="Aptos Narrow" w:hAnsi="Aptos Narrow" w:cs="Aptos Narrow"/>
                <w:color w:val="000000" w:themeColor="text1"/>
              </w:rPr>
              <w:t>?</w:t>
            </w:r>
          </w:p>
        </w:tc>
        <w:tc>
          <w:tcPr>
            <w:tcW w:w="1560" w:type="dxa"/>
          </w:tcPr>
          <w:p w14:paraId="5DCFC2BA" w14:textId="3B9CEAB1" w:rsidR="001E62B2" w:rsidRPr="007A61DA" w:rsidRDefault="001E62B2">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 xml:space="preserve">e.g. </w:t>
            </w:r>
            <w:r w:rsidR="00F40EAC">
              <w:rPr>
                <w:rFonts w:ascii="Aptos Narrow" w:eastAsia="Aptos Narrow" w:hAnsi="Aptos Narrow" w:cs="Aptos Narrow"/>
                <w:color w:val="000000" w:themeColor="text1"/>
              </w:rPr>
              <w:t xml:space="preserve">manufacture of </w:t>
            </w:r>
            <w:r w:rsidRPr="007A61DA">
              <w:rPr>
                <w:rFonts w:ascii="Aptos Narrow" w:eastAsia="Aptos Narrow" w:hAnsi="Aptos Narrow" w:cs="Aptos Narrow"/>
                <w:color w:val="000000" w:themeColor="text1"/>
              </w:rPr>
              <w:t>fertilisers, feed, packaging, chemicals</w:t>
            </w:r>
          </w:p>
        </w:tc>
        <w:tc>
          <w:tcPr>
            <w:tcW w:w="992" w:type="dxa"/>
          </w:tcPr>
          <w:p w14:paraId="066E4579" w14:textId="77777777" w:rsidR="001E62B2" w:rsidRPr="007A61DA" w:rsidRDefault="001E62B2">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Scope 3</w:t>
            </w:r>
          </w:p>
        </w:tc>
      </w:tr>
      <w:tr w:rsidR="001E62B2" w:rsidRPr="007A61DA" w14:paraId="04BA8C90" w14:textId="77777777" w:rsidTr="007F1370">
        <w:trPr>
          <w:trHeight w:val="1041"/>
        </w:trPr>
        <w:tc>
          <w:tcPr>
            <w:tcW w:w="1843" w:type="dxa"/>
            <w:hideMark/>
          </w:tcPr>
          <w:p w14:paraId="76F01EF6" w14:textId="77777777" w:rsidR="001E62B2" w:rsidRPr="007A61DA" w:rsidRDefault="001E62B2">
            <w:pPr>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Waste Generated in Operations</w:t>
            </w:r>
          </w:p>
        </w:tc>
        <w:tc>
          <w:tcPr>
            <w:tcW w:w="4394" w:type="dxa"/>
            <w:hideMark/>
          </w:tcPr>
          <w:p w14:paraId="74E0C584" w14:textId="77777777" w:rsidR="001E62B2" w:rsidRPr="007A61DA" w:rsidRDefault="001E62B2">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What types of waste are generated on-farm</w:t>
            </w:r>
            <w:r>
              <w:rPr>
                <w:rFonts w:ascii="Aptos Narrow" w:eastAsia="Aptos Narrow" w:hAnsi="Aptos Narrow" w:cs="Aptos Narrow"/>
                <w:color w:val="000000" w:themeColor="text1"/>
              </w:rPr>
              <w:t>?</w:t>
            </w:r>
            <w:r w:rsidRPr="007A61DA">
              <w:rPr>
                <w:rFonts w:ascii="Aptos Narrow" w:eastAsia="Aptos Narrow" w:hAnsi="Aptos Narrow" w:cs="Aptos Narrow"/>
                <w:color w:val="000000" w:themeColor="text1"/>
              </w:rPr>
              <w:t xml:space="preserve"> </w:t>
            </w:r>
            <w:r w:rsidRPr="007A61DA">
              <w:rPr>
                <w:rFonts w:ascii="Aptos Narrow" w:eastAsia="Aptos Narrow" w:hAnsi="Aptos Narrow" w:cs="Aptos Narrow"/>
                <w:color w:val="000000" w:themeColor="text1"/>
              </w:rPr>
              <w:br/>
              <w:t>How is this waste treated, stored, or disposed of by third parties?</w:t>
            </w:r>
          </w:p>
        </w:tc>
        <w:tc>
          <w:tcPr>
            <w:tcW w:w="1560" w:type="dxa"/>
          </w:tcPr>
          <w:p w14:paraId="6E06466C" w14:textId="1A24DF7A" w:rsidR="001E62B2" w:rsidRPr="007A61DA" w:rsidRDefault="001E62B2">
            <w:pPr>
              <w:spacing w:after="0" w:line="240" w:lineRule="auto"/>
              <w:rPr>
                <w:rFonts w:ascii="Aptos Narrow" w:eastAsia="Aptos Narrow" w:hAnsi="Aptos Narrow" w:cs="Aptos Narrow"/>
                <w:color w:val="000000" w:themeColor="text1"/>
              </w:rPr>
            </w:pPr>
            <w:r w:rsidRPr="007A61DA">
              <w:rPr>
                <w:rFonts w:ascii="Aptos Narrow" w:eastAsia="Aptos Narrow" w:hAnsi="Aptos Narrow" w:cs="Aptos Narrow"/>
                <w:color w:val="000000" w:themeColor="text1"/>
              </w:rPr>
              <w:t>e.g.</w:t>
            </w:r>
            <w:r w:rsidR="002946B1">
              <w:rPr>
                <w:rFonts w:ascii="Aptos Narrow" w:eastAsia="Aptos Narrow" w:hAnsi="Aptos Narrow" w:cs="Aptos Narrow"/>
                <w:color w:val="000000" w:themeColor="text1"/>
              </w:rPr>
              <w:t xml:space="preserve"> disposal of</w:t>
            </w:r>
            <w:r w:rsidRPr="007A61DA">
              <w:rPr>
                <w:rFonts w:ascii="Aptos Narrow" w:eastAsia="Aptos Narrow" w:hAnsi="Aptos Narrow" w:cs="Aptos Narrow"/>
                <w:color w:val="000000" w:themeColor="text1"/>
              </w:rPr>
              <w:t xml:space="preserve"> packaging</w:t>
            </w:r>
            <w:r w:rsidR="00C02273">
              <w:rPr>
                <w:rFonts w:ascii="Aptos Narrow" w:eastAsia="Aptos Narrow" w:hAnsi="Aptos Narrow" w:cs="Aptos Narrow"/>
                <w:color w:val="000000" w:themeColor="text1"/>
              </w:rPr>
              <w:t>, animal carcasses</w:t>
            </w:r>
          </w:p>
        </w:tc>
        <w:tc>
          <w:tcPr>
            <w:tcW w:w="992" w:type="dxa"/>
          </w:tcPr>
          <w:p w14:paraId="01C8859D" w14:textId="77777777" w:rsidR="001E62B2" w:rsidRDefault="001E62B2">
            <w:pPr>
              <w:spacing w:after="0" w:line="240" w:lineRule="auto"/>
              <w:rPr>
                <w:rFonts w:ascii="Aptos Narrow" w:eastAsia="Aptos Narrow" w:hAnsi="Aptos Narrow" w:cs="Aptos Narrow"/>
                <w:color w:val="000000" w:themeColor="text1"/>
              </w:rPr>
            </w:pPr>
            <w:r>
              <w:rPr>
                <w:rFonts w:ascii="Aptos Narrow" w:eastAsia="Aptos Narrow" w:hAnsi="Aptos Narrow" w:cs="Aptos Narrow"/>
                <w:color w:val="000000" w:themeColor="text1"/>
              </w:rPr>
              <w:t>Scope 1 or 3</w:t>
            </w:r>
          </w:p>
        </w:tc>
      </w:tr>
    </w:tbl>
    <w:p w14:paraId="72E2AF30" w14:textId="52360BFF" w:rsidR="001E62B2" w:rsidRDefault="001E62B2" w:rsidP="001E62B2">
      <w:pPr>
        <w:pStyle w:val="Heading1"/>
        <w:spacing w:before="120"/>
        <w:ind w:left="431" w:hanging="431"/>
      </w:pPr>
      <w:bookmarkStart w:id="50" w:name="_Toc211591463"/>
      <w:bookmarkStart w:id="51" w:name="_Toc212120141"/>
      <w:bookmarkStart w:id="52" w:name="_Toc212120293"/>
      <w:bookmarkStart w:id="53" w:name="_Toc212131439"/>
      <w:bookmarkStart w:id="54" w:name="_Estimating_GHG_emissions"/>
      <w:bookmarkStart w:id="55" w:name="_Toc225269957"/>
      <w:bookmarkStart w:id="56" w:name="EstimatingEmissions"/>
      <w:bookmarkEnd w:id="50"/>
      <w:bookmarkEnd w:id="51"/>
      <w:bookmarkEnd w:id="52"/>
      <w:bookmarkEnd w:id="53"/>
      <w:bookmarkEnd w:id="54"/>
      <w:r>
        <w:t>Estimating GHG emissions and removals</w:t>
      </w:r>
      <w:bookmarkEnd w:id="55"/>
      <w:r>
        <w:t xml:space="preserve"> </w:t>
      </w:r>
    </w:p>
    <w:bookmarkEnd w:id="56"/>
    <w:p w14:paraId="7D67CC4F" w14:textId="57D44CDA" w:rsidR="001E62B2" w:rsidRDefault="001E62B2" w:rsidP="001E62B2">
      <w:r w:rsidRPr="00311F42">
        <w:t xml:space="preserve">There are </w:t>
      </w:r>
      <w:r w:rsidR="009C731A">
        <w:t>3</w:t>
      </w:r>
      <w:r w:rsidRPr="00311F42">
        <w:t xml:space="preserve"> basic steps to estimating GHG emissions and removals, </w:t>
      </w:r>
      <w:r>
        <w:t>which</w:t>
      </w:r>
      <w:r w:rsidRPr="00311F42">
        <w:t xml:space="preserve"> are described below.</w:t>
      </w:r>
      <w:r w:rsidRPr="007F440F">
        <w:t xml:space="preserve"> </w:t>
      </w:r>
      <w:r>
        <w:t xml:space="preserve">Detailed guidance on </w:t>
      </w:r>
      <w:r w:rsidRPr="00311F42">
        <w:t xml:space="preserve">how to estimate GHG emissions and removals associated with specific sources </w:t>
      </w:r>
      <w:r>
        <w:t>and sinks</w:t>
      </w:r>
      <w:r w:rsidRPr="00311F42">
        <w:t xml:space="preserve"> applicable to AFF activities is provided in the Methodological Guidance. </w:t>
      </w:r>
    </w:p>
    <w:p w14:paraId="6C09670C" w14:textId="52B9D4C0" w:rsidR="00A618C8" w:rsidRPr="00A618C8" w:rsidRDefault="002A325E" w:rsidP="00A618C8">
      <w:r w:rsidRPr="00A618C8">
        <w:t>AFF entities</w:t>
      </w:r>
      <w:r w:rsidR="00AF00A4" w:rsidRPr="00A618C8">
        <w:t xml:space="preserve"> should </w:t>
      </w:r>
      <w:r w:rsidRPr="00A618C8">
        <w:t>use</w:t>
      </w:r>
      <w:r w:rsidR="00200C1C" w:rsidRPr="00A618C8">
        <w:t xml:space="preserve"> a GHG emissions calculator that</w:t>
      </w:r>
      <w:r w:rsidRPr="00A618C8">
        <w:t> acknowledges </w:t>
      </w:r>
      <w:r w:rsidR="00591BAB" w:rsidRPr="00A618C8">
        <w:t xml:space="preserve">either </w:t>
      </w:r>
      <w:r w:rsidRPr="00A618C8">
        <w:t>its use of AIA</w:t>
      </w:r>
      <w:r w:rsidR="00393CAC">
        <w:t>’s</w:t>
      </w:r>
      <w:r w:rsidRPr="00A618C8">
        <w:t xml:space="preserve"> Environmental Accounting Platform</w:t>
      </w:r>
      <w:r w:rsidR="00591BAB" w:rsidRPr="00A618C8">
        <w:t xml:space="preserve"> Open-Source Code or</w:t>
      </w:r>
      <w:r w:rsidRPr="00A618C8">
        <w:t> its integration with AIA’s</w:t>
      </w:r>
      <w:r w:rsidR="00591BAB" w:rsidRPr="00A618C8">
        <w:t xml:space="preserve"> </w:t>
      </w:r>
      <w:r w:rsidRPr="00A618C8">
        <w:t xml:space="preserve">API. Such </w:t>
      </w:r>
      <w:r w:rsidRPr="00A618C8">
        <w:lastRenderedPageBreak/>
        <w:t>calculators will lead AFF entities through the following steps to estimate GHG emissions and removals.</w:t>
      </w:r>
      <w:r w:rsidRPr="00A618C8" w:rsidDel="002A325E">
        <w:t xml:space="preserve"> </w:t>
      </w:r>
    </w:p>
    <w:p w14:paraId="1215E006" w14:textId="77777777" w:rsidR="001E62B2" w:rsidRPr="00A618C8" w:rsidRDefault="001E62B2" w:rsidP="00BE68D0">
      <w:pPr>
        <w:pStyle w:val="Style3"/>
        <w:ind w:left="567" w:hanging="567"/>
      </w:pPr>
      <w:bookmarkStart w:id="57" w:name="Section_6.2"/>
      <w:bookmarkStart w:id="58" w:name="_Toc225269958"/>
      <w:bookmarkStart w:id="59" w:name="523"/>
      <w:bookmarkEnd w:id="57"/>
      <w:r w:rsidRPr="00A618C8">
        <w:t>Select the calculation method</w:t>
      </w:r>
      <w:bookmarkEnd w:id="58"/>
      <w:r w:rsidRPr="00A618C8">
        <w:t xml:space="preserve"> </w:t>
      </w:r>
      <w:bookmarkEnd w:id="59"/>
    </w:p>
    <w:p w14:paraId="6C3FFA41" w14:textId="77777777" w:rsidR="001E62B2" w:rsidRDefault="001E62B2" w:rsidP="001E62B2">
      <w:pPr>
        <w:rPr>
          <w:bCs/>
        </w:rPr>
      </w:pPr>
      <w:bookmarkStart w:id="60" w:name="Section_6.2.1"/>
      <w:bookmarkEnd w:id="60"/>
      <w:r w:rsidRPr="00C355A2">
        <w:rPr>
          <w:bCs/>
        </w:rPr>
        <w:t xml:space="preserve">GHG emissions or removals can be estimated in different ways, ranging from simple methods using emission factors or empirical relationships to process-based models and field measurements using highly specialised equipment. The Methodological Guidance allows entities to select the calculation method that best aligns with the desired levels of accuracy and data availability. </w:t>
      </w:r>
    </w:p>
    <w:p w14:paraId="6D7072AB" w14:textId="45A0433F" w:rsidR="001E62B2" w:rsidRDefault="001E62B2" w:rsidP="001E62B2">
      <w:r>
        <w:t xml:space="preserve">Calculation methods have been classified according to </w:t>
      </w:r>
      <w:r w:rsidR="000F2B3B">
        <w:t>3</w:t>
      </w:r>
      <w:r>
        <w:t xml:space="preserve"> Method levels</w:t>
      </w:r>
      <w:r w:rsidR="007441DA">
        <w:rPr>
          <w:rStyle w:val="FootnoteReference"/>
        </w:rPr>
        <w:footnoteReference w:id="9"/>
      </w:r>
      <w:r>
        <w:t xml:space="preserve">. In general, moving to the higher-level methods improves the accuracy of the estimates and reduces uncertainty. However, the increased complexity and additional data requirements can increase costs and resourcing requirements. </w:t>
      </w:r>
    </w:p>
    <w:p w14:paraId="0DEBE90F" w14:textId="33364735" w:rsidR="001E62B2" w:rsidRDefault="001E62B2" w:rsidP="00076B9B">
      <w:pPr>
        <w:pStyle w:val="ListParagraph"/>
        <w:numPr>
          <w:ilvl w:val="0"/>
          <w:numId w:val="25"/>
        </w:numPr>
      </w:pPr>
      <w:r w:rsidRPr="00810212">
        <w:rPr>
          <w:b/>
          <w:bCs/>
        </w:rPr>
        <w:t>Method 1</w:t>
      </w:r>
      <w:r w:rsidRPr="00333DB4">
        <w:t xml:space="preserve"> </w:t>
      </w:r>
      <w:r w:rsidRPr="000D55BC">
        <w:t xml:space="preserve">provides the minimum requirement for estimation. </w:t>
      </w:r>
      <w:r w:rsidR="008D724B" w:rsidRPr="008D724B">
        <w:t>It requires</w:t>
      </w:r>
      <w:r w:rsidR="00250A17">
        <w:t xml:space="preserve"> some</w:t>
      </w:r>
      <w:r w:rsidR="008D724B" w:rsidRPr="008D724B">
        <w:t xml:space="preserve"> site-specific activity data (e.g. head of livestock, tonnes of fertiliser applied) and generally applies the emissions factors </w:t>
      </w:r>
      <w:r w:rsidR="00275474">
        <w:t xml:space="preserve">and </w:t>
      </w:r>
      <w:r w:rsidR="00AA32AD">
        <w:t xml:space="preserve">calculation </w:t>
      </w:r>
      <w:r w:rsidR="00275474">
        <w:t xml:space="preserve">methods </w:t>
      </w:r>
      <w:r w:rsidR="008D724B" w:rsidRPr="008D724B">
        <w:t>from the N</w:t>
      </w:r>
      <w:r w:rsidR="0048604E">
        <w:t xml:space="preserve">ational </w:t>
      </w:r>
      <w:r w:rsidR="008D724B" w:rsidRPr="008D724B">
        <w:t>G</w:t>
      </w:r>
      <w:r w:rsidR="0048604E">
        <w:t xml:space="preserve">reenhouse </w:t>
      </w:r>
      <w:r w:rsidR="008D724B" w:rsidRPr="008D724B">
        <w:t>A</w:t>
      </w:r>
      <w:r w:rsidR="0048604E">
        <w:t>ccounts</w:t>
      </w:r>
      <w:r w:rsidR="008D724B" w:rsidRPr="008D724B">
        <w:t xml:space="preserve"> for other input parameters</w:t>
      </w:r>
      <w:r w:rsidR="008D724B">
        <w:t xml:space="preserve">. </w:t>
      </w:r>
    </w:p>
    <w:p w14:paraId="2E589D52" w14:textId="77777777" w:rsidR="001E62B2" w:rsidRPr="00810212" w:rsidRDefault="001E62B2" w:rsidP="001E62B2">
      <w:pPr>
        <w:pStyle w:val="ListParagraph"/>
      </w:pPr>
    </w:p>
    <w:p w14:paraId="18982776" w14:textId="650C2802" w:rsidR="001E62B2" w:rsidRDefault="001E62B2" w:rsidP="00076B9B">
      <w:pPr>
        <w:pStyle w:val="ListParagraph"/>
        <w:numPr>
          <w:ilvl w:val="0"/>
          <w:numId w:val="25"/>
        </w:numPr>
      </w:pPr>
      <w:r w:rsidRPr="00810212">
        <w:rPr>
          <w:b/>
          <w:bCs/>
        </w:rPr>
        <w:t>Method 2</w:t>
      </w:r>
      <w:r w:rsidRPr="00333DB4">
        <w:t xml:space="preserve"> is more complex</w:t>
      </w:r>
      <w:r>
        <w:t>, usually</w:t>
      </w:r>
      <w:r w:rsidRPr="00333DB4">
        <w:t xml:space="preserve"> </w:t>
      </w:r>
      <w:r>
        <w:t xml:space="preserve">applying </w:t>
      </w:r>
      <w:r w:rsidRPr="00333DB4">
        <w:t xml:space="preserve">the same methodological approach as </w:t>
      </w:r>
      <w:r>
        <w:t>Method</w:t>
      </w:r>
      <w:r w:rsidRPr="00333DB4">
        <w:t xml:space="preserve"> 1</w:t>
      </w:r>
      <w:r>
        <w:t xml:space="preserve"> (i.e. the same equations),</w:t>
      </w:r>
      <w:r w:rsidRPr="00333DB4">
        <w:t xml:space="preserve"> but </w:t>
      </w:r>
      <w:r>
        <w:t>requires</w:t>
      </w:r>
      <w:r w:rsidRPr="00333DB4">
        <w:t xml:space="preserve"> </w:t>
      </w:r>
      <w:r>
        <w:t>additional</w:t>
      </w:r>
      <w:r w:rsidRPr="00333DB4">
        <w:t xml:space="preserve"> </w:t>
      </w:r>
      <w:r>
        <w:t xml:space="preserve">site-specific </w:t>
      </w:r>
      <w:r w:rsidRPr="00333DB4">
        <w:t>data.</w:t>
      </w:r>
      <w:r w:rsidRPr="004D3E5C">
        <w:t xml:space="preserve"> </w:t>
      </w:r>
      <w:r>
        <w:t xml:space="preserve">It also includes use of the NGA process-based </w:t>
      </w:r>
      <w:r w:rsidR="00A73A19">
        <w:t>Full Carbon Accounting</w:t>
      </w:r>
      <w:r w:rsidR="00F304EF">
        <w:t xml:space="preserve"> M</w:t>
      </w:r>
      <w:r>
        <w:t xml:space="preserve">odel </w:t>
      </w:r>
      <w:r w:rsidR="00F304EF">
        <w:t>(</w:t>
      </w:r>
      <w:proofErr w:type="spellStart"/>
      <w:r>
        <w:t>FullCAM</w:t>
      </w:r>
      <w:proofErr w:type="spellEnd"/>
      <w:r w:rsidR="00F304EF">
        <w:t>)</w:t>
      </w:r>
      <w:r>
        <w:t xml:space="preserve"> and the </w:t>
      </w:r>
      <w:proofErr w:type="spellStart"/>
      <w:r>
        <w:t>FullCAM</w:t>
      </w:r>
      <w:proofErr w:type="spellEnd"/>
      <w:r>
        <w:t xml:space="preserve">-derived </w:t>
      </w:r>
      <w:r w:rsidR="00F7022A">
        <w:t>Sava</w:t>
      </w:r>
      <w:r w:rsidR="003B4F95">
        <w:t xml:space="preserve">nna </w:t>
      </w:r>
      <w:r w:rsidR="00F7022A">
        <w:t xml:space="preserve">Carbon Accounting Model </w:t>
      </w:r>
      <w:r w:rsidR="003B4F95">
        <w:t>(</w:t>
      </w:r>
      <w:proofErr w:type="spellStart"/>
      <w:r>
        <w:t>S</w:t>
      </w:r>
      <w:r w:rsidR="003B4F95">
        <w:t>av</w:t>
      </w:r>
      <w:r>
        <w:t>CAM</w:t>
      </w:r>
      <w:proofErr w:type="spellEnd"/>
      <w:r w:rsidR="003B4F95">
        <w:t>)</w:t>
      </w:r>
      <w:r>
        <w:t xml:space="preserve"> for LULUCF activities. </w:t>
      </w:r>
    </w:p>
    <w:p w14:paraId="202E9716" w14:textId="77777777" w:rsidR="001E62B2" w:rsidRPr="00810212" w:rsidRDefault="001E62B2" w:rsidP="001E62B2">
      <w:pPr>
        <w:pStyle w:val="ListParagraph"/>
      </w:pPr>
    </w:p>
    <w:p w14:paraId="3666E9D4" w14:textId="5381FA65" w:rsidR="001E62B2" w:rsidRDefault="001E62B2" w:rsidP="005E4FD9">
      <w:pPr>
        <w:pStyle w:val="ListParagraph"/>
        <w:numPr>
          <w:ilvl w:val="0"/>
          <w:numId w:val="25"/>
        </w:numPr>
      </w:pPr>
      <w:r w:rsidRPr="00810212">
        <w:rPr>
          <w:b/>
          <w:bCs/>
        </w:rPr>
        <w:t>Method 3</w:t>
      </w:r>
      <w:r w:rsidRPr="00810212">
        <w:t xml:space="preserve"> is most demanding in terms of complexity and data requirements. Method 3 approaches use higher order estimation methods, including process-based models </w:t>
      </w:r>
      <w:r>
        <w:t xml:space="preserve">(other than </w:t>
      </w:r>
      <w:proofErr w:type="spellStart"/>
      <w:r>
        <w:t>FullCAM</w:t>
      </w:r>
      <w:proofErr w:type="spellEnd"/>
      <w:r>
        <w:t xml:space="preserve"> or </w:t>
      </w:r>
      <w:proofErr w:type="spellStart"/>
      <w:r>
        <w:t>S</w:t>
      </w:r>
      <w:r w:rsidR="003B4F95">
        <w:t>av</w:t>
      </w:r>
      <w:r>
        <w:t>CAM</w:t>
      </w:r>
      <w:proofErr w:type="spellEnd"/>
      <w:r>
        <w:t xml:space="preserve">) </w:t>
      </w:r>
      <w:r w:rsidRPr="00810212">
        <w:t xml:space="preserve">and detailed measurement systems </w:t>
      </w:r>
      <w:r w:rsidRPr="00B772FF">
        <w:t xml:space="preserve">tailored to specific systems, often repeated over time, and driven by high-resolution activity data. </w:t>
      </w:r>
      <w:r w:rsidR="00593C29" w:rsidRPr="00593C29">
        <w:t>Method 3 m</w:t>
      </w:r>
      <w:r w:rsidR="008766A2">
        <w:t>ight</w:t>
      </w:r>
      <w:r w:rsidR="00593C29" w:rsidRPr="00593C29">
        <w:t xml:space="preserve"> be required </w:t>
      </w:r>
      <w:r w:rsidR="00AA3142">
        <w:t>to estimate the impacts of</w:t>
      </w:r>
      <w:r w:rsidR="00593C29" w:rsidRPr="00593C29">
        <w:t xml:space="preserve"> innovative activities that credibly reduce emissions</w:t>
      </w:r>
      <w:r w:rsidR="00593C29">
        <w:t>,</w:t>
      </w:r>
      <w:r w:rsidR="00593C29" w:rsidRPr="00593C29">
        <w:t xml:space="preserve"> but which are not </w:t>
      </w:r>
      <w:r w:rsidR="00593C29">
        <w:t>yet</w:t>
      </w:r>
      <w:r w:rsidR="00593C29" w:rsidRPr="00593C29">
        <w:t xml:space="preserve"> accommodated by the NGA (and therefore Method 1 or Method 2) methods</w:t>
      </w:r>
      <w:r w:rsidR="00CE0061">
        <w:t xml:space="preserve"> (e.</w:t>
      </w:r>
      <w:r w:rsidR="00593C29" w:rsidRPr="00593C29">
        <w:t>g</w:t>
      </w:r>
      <w:r w:rsidR="00CE0061">
        <w:t>.</w:t>
      </w:r>
      <w:r w:rsidR="00593C29" w:rsidRPr="00593C29">
        <w:t xml:space="preserve"> the use of nitrification inhibitor</w:t>
      </w:r>
      <w:r w:rsidR="00CE0061">
        <w:t>s).</w:t>
      </w:r>
      <w:r w:rsidR="005E4FD9">
        <w:t xml:space="preserve"> </w:t>
      </w:r>
      <w:r w:rsidRPr="0045354C">
        <w:t xml:space="preserve">The </w:t>
      </w:r>
      <w:r w:rsidR="00031E4C">
        <w:t xml:space="preserve">Guidelines </w:t>
      </w:r>
      <w:r w:rsidR="00C71E97">
        <w:t>do</w:t>
      </w:r>
      <w:r w:rsidRPr="0045354C">
        <w:t xml:space="preserve"> not </w:t>
      </w:r>
      <w:r>
        <w:t xml:space="preserve">currently </w:t>
      </w:r>
      <w:r w:rsidRPr="0045354C">
        <w:t>provide Method 3 calculation approaches</w:t>
      </w:r>
      <w:r>
        <w:t>.</w:t>
      </w:r>
      <w:r w:rsidR="00593C29">
        <w:t xml:space="preserve"> </w:t>
      </w:r>
    </w:p>
    <w:p w14:paraId="252544C1" w14:textId="524F753E" w:rsidR="001E62B2" w:rsidRDefault="001E62B2" w:rsidP="001E62B2">
      <w:r w:rsidRPr="005B4A67">
        <w:t xml:space="preserve">The entity </w:t>
      </w:r>
      <w:r>
        <w:t>should</w:t>
      </w:r>
      <w:r w:rsidRPr="005B4A67">
        <w:t xml:space="preserve"> select and use </w:t>
      </w:r>
      <w:r>
        <w:t xml:space="preserve">the calculation method(s) that best align with available data and the entity’s goal for compiling the GHG inventory (see Chapter </w:t>
      </w:r>
      <w:r>
        <w:fldChar w:fldCharType="begin"/>
      </w:r>
      <w:r>
        <w:instrText xml:space="preserve"> REF _Ref208765123 \r \h  \* MERGEFORMAT </w:instrText>
      </w:r>
      <w:r>
        <w:fldChar w:fldCharType="separate"/>
      </w:r>
      <w:r w:rsidR="00877813">
        <w:t>4</w:t>
      </w:r>
      <w:r>
        <w:fldChar w:fldCharType="end"/>
      </w:r>
      <w:r>
        <w:t>).</w:t>
      </w:r>
      <w:r w:rsidRPr="00DB1ADE">
        <w:t xml:space="preserve"> </w:t>
      </w:r>
      <w:r>
        <w:t xml:space="preserve">The entity may select different method levels for different sources and sinks. </w:t>
      </w:r>
      <w:r w:rsidRPr="005B4A67">
        <w:t xml:space="preserve">The entity shall document </w:t>
      </w:r>
      <w:r>
        <w:t>the methods applied</w:t>
      </w:r>
      <w:r w:rsidRPr="005B4A67">
        <w:t xml:space="preserve"> and any changes in </w:t>
      </w:r>
      <w:r>
        <w:t>methods since its previous report.</w:t>
      </w:r>
    </w:p>
    <w:p w14:paraId="21CB78AE" w14:textId="1DFE255B" w:rsidR="001E62B2" w:rsidRDefault="001E62B2" w:rsidP="001E62B2">
      <w:r>
        <w:t>Higher level methods can better reflect the impact of specific management activities on emissions. Some sources and sinks m</w:t>
      </w:r>
      <w:r w:rsidR="00310245">
        <w:t xml:space="preserve">ight only </w:t>
      </w:r>
      <w:r>
        <w:t>have one method option available in the Methodolog</w:t>
      </w:r>
      <w:r w:rsidR="00E211B7">
        <w:t>ical</w:t>
      </w:r>
      <w:r>
        <w:t xml:space="preserve"> Guidance.</w:t>
      </w:r>
      <w:r w:rsidRPr="004D3E5C">
        <w:t xml:space="preserve"> </w:t>
      </w:r>
    </w:p>
    <w:p w14:paraId="05FF6951" w14:textId="7A75998C" w:rsidR="001E62B2" w:rsidRDefault="00D3077A" w:rsidP="001E62B2">
      <w:r>
        <w:t>G</w:t>
      </w:r>
      <w:r w:rsidR="001E62B2">
        <w:t xml:space="preserve">uidance on </w:t>
      </w:r>
      <w:r>
        <w:t>treatment of</w:t>
      </w:r>
      <w:r w:rsidR="001E62B2" w:rsidDel="00D3077A">
        <w:t xml:space="preserve"> </w:t>
      </w:r>
      <w:r w:rsidR="001E62B2">
        <w:t xml:space="preserve">LULUCF activities </w:t>
      </w:r>
      <w:r w:rsidR="001E62B2" w:rsidRPr="00D50867">
        <w:t>i</w:t>
      </w:r>
      <w:r w:rsidR="001E62B2">
        <w:t>s provided in Chapter</w:t>
      </w:r>
      <w:r w:rsidR="001E62B2" w:rsidRPr="00D50867">
        <w:t xml:space="preserve"> </w:t>
      </w:r>
      <w:r w:rsidR="001E62B2" w:rsidRPr="002116D1">
        <w:rPr>
          <w:u w:val="single"/>
        </w:rPr>
        <w:fldChar w:fldCharType="begin"/>
      </w:r>
      <w:r w:rsidR="001E62B2">
        <w:instrText xml:space="preserve"> REF _Ref208781496 \r \h </w:instrText>
      </w:r>
      <w:r w:rsidR="001E62B2" w:rsidRPr="002116D1">
        <w:rPr>
          <w:u w:val="single"/>
        </w:rPr>
      </w:r>
      <w:r w:rsidR="001E62B2" w:rsidRPr="002116D1">
        <w:rPr>
          <w:u w:val="single"/>
        </w:rPr>
        <w:fldChar w:fldCharType="separate"/>
      </w:r>
      <w:r w:rsidR="00877813">
        <w:t>6.4</w:t>
      </w:r>
      <w:r w:rsidR="001E62B2" w:rsidRPr="002116D1">
        <w:rPr>
          <w:u w:val="single"/>
        </w:rPr>
        <w:fldChar w:fldCharType="end"/>
      </w:r>
      <w:r>
        <w:rPr>
          <w:u w:val="single"/>
        </w:rPr>
        <w:t>;</w:t>
      </w:r>
      <w:r w:rsidR="00012BE7">
        <w:t xml:space="preserve"> and </w:t>
      </w:r>
      <w:r w:rsidR="001E62B2">
        <w:t xml:space="preserve">Scope 2 </w:t>
      </w:r>
      <w:r w:rsidR="001E62B2" w:rsidRPr="00D50867">
        <w:t xml:space="preserve">emissions </w:t>
      </w:r>
      <w:r w:rsidR="001E62B2">
        <w:t>in Chapter</w:t>
      </w:r>
      <w:r w:rsidR="001E62B2" w:rsidRPr="00D50867">
        <w:t xml:space="preserve"> </w:t>
      </w:r>
      <w:r w:rsidR="001E62B2">
        <w:fldChar w:fldCharType="begin"/>
      </w:r>
      <w:r w:rsidR="001E62B2">
        <w:instrText xml:space="preserve"> REF _Ref208781583 \r \h </w:instrText>
      </w:r>
      <w:r w:rsidR="001E62B2">
        <w:fldChar w:fldCharType="separate"/>
      </w:r>
      <w:r w:rsidR="00877813">
        <w:t>6.5</w:t>
      </w:r>
      <w:r w:rsidR="001E62B2">
        <w:fldChar w:fldCharType="end"/>
      </w:r>
      <w:r w:rsidR="001E62B2" w:rsidRPr="00D50867">
        <w:t>.</w:t>
      </w:r>
    </w:p>
    <w:p w14:paraId="43606AA5" w14:textId="77777777" w:rsidR="001E62B2" w:rsidRPr="00D60E17" w:rsidRDefault="001E62B2" w:rsidP="00BE68D0">
      <w:pPr>
        <w:pStyle w:val="Style3"/>
        <w:ind w:left="567" w:hanging="567"/>
      </w:pPr>
      <w:bookmarkStart w:id="61" w:name="_Toc225269959"/>
      <w:r>
        <w:lastRenderedPageBreak/>
        <w:t>Collect data required for estimation</w:t>
      </w:r>
      <w:bookmarkEnd w:id="61"/>
      <w:r>
        <w:t xml:space="preserve"> </w:t>
      </w:r>
    </w:p>
    <w:p w14:paraId="64E801C6" w14:textId="77777777" w:rsidR="001E62B2" w:rsidRDefault="001E62B2" w:rsidP="001E62B2">
      <w:r w:rsidRPr="008B1C43">
        <w:t>The</w:t>
      </w:r>
      <w:r w:rsidRPr="00B72DF9">
        <w:t xml:space="preserve"> chosen calculation </w:t>
      </w:r>
      <w:r>
        <w:t>method determines the a</w:t>
      </w:r>
      <w:r w:rsidRPr="00B72DF9">
        <w:t xml:space="preserve">ctivity </w:t>
      </w:r>
      <w:r>
        <w:t xml:space="preserve">data </w:t>
      </w:r>
      <w:r w:rsidRPr="00B72DF9">
        <w:t xml:space="preserve">and other input data </w:t>
      </w:r>
      <w:r>
        <w:t>required.</w:t>
      </w:r>
    </w:p>
    <w:p w14:paraId="3398EDDC" w14:textId="77777777" w:rsidR="001E62B2" w:rsidRPr="00B72DF9" w:rsidRDefault="001E62B2" w:rsidP="001E62B2">
      <w:pPr>
        <w:pStyle w:val="BodyText"/>
        <w:jc w:val="left"/>
        <w:rPr>
          <w:rFonts w:asciiTheme="minorHAnsi" w:eastAsiaTheme="minorHAnsi" w:hAnsiTheme="minorHAnsi" w:cstheme="minorBidi"/>
          <w:kern w:val="2"/>
          <w:lang w:val="en-AU"/>
          <w14:ligatures w14:val="standardContextual"/>
        </w:rPr>
      </w:pPr>
      <w:r w:rsidRPr="007521A3">
        <w:rPr>
          <w:rFonts w:asciiTheme="minorHAnsi" w:eastAsiaTheme="minorHAnsi" w:hAnsiTheme="minorHAnsi" w:cstheme="minorBidi"/>
          <w:kern w:val="2"/>
          <w:lang w:val="en-AU"/>
          <w14:ligatures w14:val="standardContextual"/>
        </w:rPr>
        <w:t>The Methodological Guidance provides suggestions of suitable data sources, and guidance on data collection to support application of Method 1 and 2 calculation approaches</w:t>
      </w:r>
      <w:r>
        <w:rPr>
          <w:rFonts w:asciiTheme="minorHAnsi" w:eastAsiaTheme="minorHAnsi" w:hAnsiTheme="minorHAnsi" w:cstheme="minorBidi"/>
          <w:kern w:val="2"/>
          <w:lang w:val="en-AU"/>
          <w14:ligatures w14:val="standardContextual"/>
        </w:rPr>
        <w:t>.</w:t>
      </w:r>
    </w:p>
    <w:p w14:paraId="0CE9DE1A" w14:textId="77777777" w:rsidR="001E62B2" w:rsidRPr="00B72DF9" w:rsidRDefault="001E62B2" w:rsidP="001E62B2">
      <w:pPr>
        <w:pStyle w:val="BodyText"/>
        <w:jc w:val="left"/>
        <w:rPr>
          <w:rFonts w:asciiTheme="minorHAnsi" w:eastAsiaTheme="minorHAnsi" w:hAnsiTheme="minorHAnsi" w:cstheme="minorBidi"/>
          <w:kern w:val="2"/>
          <w:lang w:val="en-AU"/>
          <w14:ligatures w14:val="standardContextual"/>
        </w:rPr>
      </w:pPr>
      <w:r w:rsidRPr="00B72DF9">
        <w:rPr>
          <w:rFonts w:asciiTheme="minorHAnsi" w:eastAsiaTheme="minorHAnsi" w:hAnsiTheme="minorHAnsi" w:cstheme="minorBidi"/>
          <w:kern w:val="2"/>
          <w:lang w:val="en-AU"/>
          <w14:ligatures w14:val="standardContextual"/>
        </w:rPr>
        <w:t>The entity shall document</w:t>
      </w:r>
      <w:r>
        <w:rPr>
          <w:rFonts w:asciiTheme="minorHAnsi" w:eastAsiaTheme="minorHAnsi" w:hAnsiTheme="minorHAnsi" w:cstheme="minorBidi"/>
          <w:kern w:val="2"/>
          <w:lang w:val="en-AU"/>
          <w14:ligatures w14:val="standardContextual"/>
        </w:rPr>
        <w:t xml:space="preserve"> the sources of </w:t>
      </w:r>
      <w:r w:rsidRPr="00B72DF9">
        <w:rPr>
          <w:rFonts w:asciiTheme="minorHAnsi" w:eastAsiaTheme="minorHAnsi" w:hAnsiTheme="minorHAnsi" w:cstheme="minorBidi"/>
          <w:kern w:val="2"/>
          <w:lang w:val="en-AU"/>
          <w14:ligatures w14:val="standardContextual"/>
        </w:rPr>
        <w:t xml:space="preserve">data </w:t>
      </w:r>
      <w:r>
        <w:rPr>
          <w:rFonts w:asciiTheme="minorHAnsi" w:eastAsiaTheme="minorHAnsi" w:hAnsiTheme="minorHAnsi" w:cstheme="minorBidi"/>
          <w:kern w:val="2"/>
          <w:lang w:val="en-AU"/>
          <w14:ligatures w14:val="standardContextual"/>
        </w:rPr>
        <w:t xml:space="preserve">used to estimate GHG emissions and removals for the reporting period, for each </w:t>
      </w:r>
      <w:r w:rsidRPr="00B72DF9">
        <w:rPr>
          <w:rFonts w:asciiTheme="minorHAnsi" w:eastAsiaTheme="minorHAnsi" w:hAnsiTheme="minorHAnsi" w:cstheme="minorBidi"/>
          <w:kern w:val="2"/>
          <w:lang w:val="en-AU"/>
          <w14:ligatures w14:val="standardContextual"/>
        </w:rPr>
        <w:t>source</w:t>
      </w:r>
      <w:r>
        <w:rPr>
          <w:rFonts w:asciiTheme="minorHAnsi" w:eastAsiaTheme="minorHAnsi" w:hAnsiTheme="minorHAnsi" w:cstheme="minorBidi"/>
          <w:kern w:val="2"/>
          <w:lang w:val="en-AU"/>
          <w14:ligatures w14:val="standardContextual"/>
        </w:rPr>
        <w:t xml:space="preserve"> or sink</w:t>
      </w:r>
      <w:r w:rsidRPr="00B72DF9">
        <w:rPr>
          <w:rFonts w:asciiTheme="minorHAnsi" w:eastAsiaTheme="minorHAnsi" w:hAnsiTheme="minorHAnsi" w:cstheme="minorBidi"/>
          <w:kern w:val="2"/>
          <w:lang w:val="en-AU"/>
          <w14:ligatures w14:val="standardContextual"/>
        </w:rPr>
        <w:t>.</w:t>
      </w:r>
    </w:p>
    <w:p w14:paraId="02FA425F" w14:textId="507723B9" w:rsidR="001E62B2" w:rsidRPr="00B72DF9" w:rsidRDefault="001E62B2" w:rsidP="001E62B2">
      <w:pPr>
        <w:pStyle w:val="BodyText"/>
        <w:jc w:val="left"/>
        <w:rPr>
          <w:rFonts w:asciiTheme="minorHAnsi" w:eastAsiaTheme="minorHAnsi" w:hAnsiTheme="minorHAnsi" w:cstheme="minorBidi"/>
          <w:kern w:val="2"/>
          <w:lang w:val="en-AU"/>
          <w14:ligatures w14:val="standardContextual"/>
        </w:rPr>
      </w:pPr>
      <w:r>
        <w:rPr>
          <w:rFonts w:asciiTheme="minorHAnsi" w:eastAsiaTheme="minorHAnsi" w:hAnsiTheme="minorHAnsi" w:cstheme="minorBidi"/>
          <w:kern w:val="2"/>
          <w:lang w:val="en-AU"/>
          <w14:ligatures w14:val="standardContextual"/>
        </w:rPr>
        <w:t xml:space="preserve">It is not always </w:t>
      </w:r>
      <w:r w:rsidR="00B4313E">
        <w:rPr>
          <w:rFonts w:asciiTheme="minorHAnsi" w:eastAsiaTheme="minorHAnsi" w:hAnsiTheme="minorHAnsi" w:cstheme="minorBidi"/>
          <w:kern w:val="2"/>
          <w:lang w:val="en-AU"/>
          <w14:ligatures w14:val="standardContextual"/>
        </w:rPr>
        <w:t>feasible</w:t>
      </w:r>
      <w:r>
        <w:rPr>
          <w:rFonts w:asciiTheme="minorHAnsi" w:eastAsiaTheme="minorHAnsi" w:hAnsiTheme="minorHAnsi" w:cstheme="minorBidi"/>
          <w:kern w:val="2"/>
          <w:lang w:val="en-AU"/>
          <w14:ligatures w14:val="standardContextual"/>
        </w:rPr>
        <w:t xml:space="preserve"> to collect high quality data for all </w:t>
      </w:r>
      <w:r w:rsidR="00B4313E">
        <w:rPr>
          <w:rFonts w:asciiTheme="minorHAnsi" w:eastAsiaTheme="minorHAnsi" w:hAnsiTheme="minorHAnsi" w:cstheme="minorBidi"/>
          <w:kern w:val="2"/>
          <w:lang w:val="en-AU"/>
          <w14:ligatures w14:val="standardContextual"/>
        </w:rPr>
        <w:t xml:space="preserve">relevant </w:t>
      </w:r>
      <w:r>
        <w:rPr>
          <w:rFonts w:asciiTheme="minorHAnsi" w:eastAsiaTheme="minorHAnsi" w:hAnsiTheme="minorHAnsi" w:cstheme="minorBidi"/>
          <w:kern w:val="2"/>
          <w:lang w:val="en-AU"/>
          <w14:ligatures w14:val="standardContextual"/>
        </w:rPr>
        <w:t>sources and sinks</w:t>
      </w:r>
      <w:r w:rsidR="00B4313E">
        <w:rPr>
          <w:rFonts w:asciiTheme="minorHAnsi" w:eastAsiaTheme="minorHAnsi" w:hAnsiTheme="minorHAnsi" w:cstheme="minorBidi"/>
          <w:kern w:val="2"/>
          <w:lang w:val="en-AU"/>
          <w14:ligatures w14:val="standardContextual"/>
        </w:rPr>
        <w:t xml:space="preserve">. </w:t>
      </w:r>
      <w:r>
        <w:rPr>
          <w:rFonts w:asciiTheme="minorHAnsi" w:eastAsiaTheme="minorHAnsi" w:hAnsiTheme="minorHAnsi" w:cstheme="minorBidi"/>
          <w:kern w:val="2"/>
          <w:lang w:val="en-AU"/>
          <w14:ligatures w14:val="standardContextual"/>
        </w:rPr>
        <w:t xml:space="preserve">Entities should prioritise data collection for key sources and sinks (those expected to </w:t>
      </w:r>
      <w:r w:rsidR="00A21E4F">
        <w:rPr>
          <w:rFonts w:asciiTheme="minorHAnsi" w:eastAsiaTheme="minorHAnsi" w:hAnsiTheme="minorHAnsi" w:cstheme="minorBidi"/>
          <w:kern w:val="2"/>
          <w:lang w:val="en-AU"/>
          <w14:ligatures w14:val="standardContextual"/>
        </w:rPr>
        <w:t>contribute most to</w:t>
      </w:r>
      <w:r>
        <w:rPr>
          <w:rFonts w:asciiTheme="minorHAnsi" w:eastAsiaTheme="minorHAnsi" w:hAnsiTheme="minorHAnsi" w:cstheme="minorBidi"/>
          <w:kern w:val="2"/>
          <w:lang w:val="en-AU"/>
          <w14:ligatures w14:val="standardContextual"/>
        </w:rPr>
        <w:t xml:space="preserve"> emissions or removals, or those showing largest change over time) and for parameters that have the greatest influence o</w:t>
      </w:r>
      <w:r w:rsidR="00224834">
        <w:rPr>
          <w:rFonts w:asciiTheme="minorHAnsi" w:eastAsiaTheme="minorHAnsi" w:hAnsiTheme="minorHAnsi" w:cstheme="minorBidi"/>
          <w:kern w:val="2"/>
          <w:lang w:val="en-AU"/>
          <w14:ligatures w14:val="standardContextual"/>
        </w:rPr>
        <w:t xml:space="preserve">n </w:t>
      </w:r>
      <w:r>
        <w:rPr>
          <w:rFonts w:asciiTheme="minorHAnsi" w:eastAsiaTheme="minorHAnsi" w:hAnsiTheme="minorHAnsi" w:cstheme="minorBidi"/>
          <w:kern w:val="2"/>
          <w:lang w:val="en-AU"/>
          <w14:ligatures w14:val="standardContextual"/>
        </w:rPr>
        <w:t xml:space="preserve">emissions (e.g. animal numbers and liveweight gain, </w:t>
      </w:r>
      <w:r w:rsidR="00450304">
        <w:rPr>
          <w:rFonts w:asciiTheme="minorHAnsi" w:eastAsiaTheme="minorHAnsi" w:hAnsiTheme="minorHAnsi" w:cstheme="minorBidi"/>
          <w:kern w:val="2"/>
          <w:lang w:val="en-AU"/>
          <w14:ligatures w14:val="standardContextual"/>
        </w:rPr>
        <w:t>crop production</w:t>
      </w:r>
      <w:r w:rsidR="001B76D5">
        <w:rPr>
          <w:rFonts w:asciiTheme="minorHAnsi" w:eastAsiaTheme="minorHAnsi" w:hAnsiTheme="minorHAnsi" w:cstheme="minorBidi"/>
          <w:kern w:val="2"/>
          <w:lang w:val="en-AU"/>
          <w14:ligatures w14:val="standardContextual"/>
        </w:rPr>
        <w:t xml:space="preserve">, organic </w:t>
      </w:r>
      <w:r w:rsidR="00194476">
        <w:rPr>
          <w:rFonts w:asciiTheme="minorHAnsi" w:eastAsiaTheme="minorHAnsi" w:hAnsiTheme="minorHAnsi" w:cstheme="minorBidi"/>
          <w:kern w:val="2"/>
          <w:lang w:val="en-AU"/>
          <w14:ligatures w14:val="standardContextual"/>
        </w:rPr>
        <w:t>waste disposal to landfill,</w:t>
      </w:r>
      <w:r w:rsidR="00450304">
        <w:rPr>
          <w:rFonts w:asciiTheme="minorHAnsi" w:eastAsiaTheme="minorHAnsi" w:hAnsiTheme="minorHAnsi" w:cstheme="minorBidi"/>
          <w:kern w:val="2"/>
          <w:lang w:val="en-AU"/>
          <w14:ligatures w14:val="standardContextual"/>
        </w:rPr>
        <w:t xml:space="preserve"> or fuel consumption for operations).  </w:t>
      </w:r>
    </w:p>
    <w:p w14:paraId="55D0EF75" w14:textId="2F13F5AD" w:rsidR="001E62B2" w:rsidRDefault="001E62B2" w:rsidP="00BE68D0">
      <w:pPr>
        <w:pStyle w:val="Style3"/>
        <w:ind w:left="567" w:hanging="567"/>
      </w:pPr>
      <w:bookmarkStart w:id="62" w:name="_Toc225269960"/>
      <w:r>
        <w:t>Calculate GHG emissions and removals</w:t>
      </w:r>
      <w:bookmarkEnd w:id="62"/>
    </w:p>
    <w:p w14:paraId="6A73568A" w14:textId="3DDD9DC7" w:rsidR="001E62B2" w:rsidRDefault="001E62B2" w:rsidP="001E62B2">
      <w:r>
        <w:t>The entity shall calculate</w:t>
      </w:r>
      <w:r w:rsidRPr="00F34D5B">
        <w:t xml:space="preserve"> GHG emissions and removals in accordance with the </w:t>
      </w:r>
      <w:r>
        <w:t>method(s)</w:t>
      </w:r>
      <w:r w:rsidRPr="00F34D5B" w:rsidDel="00DD0203">
        <w:t xml:space="preserve"> </w:t>
      </w:r>
      <w:r w:rsidRPr="00F34D5B">
        <w:t>selected</w:t>
      </w:r>
      <w:r>
        <w:t xml:space="preserve">.  The entity </w:t>
      </w:r>
      <w:r w:rsidRPr="00CD3D07">
        <w:rPr>
          <w:bCs/>
        </w:rPr>
        <w:t>shall</w:t>
      </w:r>
      <w:r>
        <w:t xml:space="preserve"> estimate and report emissions and removals for the year in which the emissions or removal activity occurs (e.g. year of fertiliser application or land preparation). That is, management inputs should not be </w:t>
      </w:r>
      <w:r w:rsidR="00EE2904">
        <w:t xml:space="preserve">shared </w:t>
      </w:r>
      <w:r>
        <w:t xml:space="preserve">across multiple years. </w:t>
      </w:r>
    </w:p>
    <w:p w14:paraId="65CBCCA3" w14:textId="77777777" w:rsidR="001E62B2" w:rsidRDefault="001E62B2" w:rsidP="001E62B2">
      <w:r>
        <w:t>Entities shall estimate and report emissions and removal by mass of gas and mass of carbon dioxide equivalents (CO</w:t>
      </w:r>
      <w:r w:rsidRPr="003B1E7A">
        <w:rPr>
          <w:vertAlign w:val="subscript"/>
        </w:rPr>
        <w:t>2</w:t>
      </w:r>
      <w:r w:rsidRPr="001547F1">
        <w:t>-</w:t>
      </w:r>
      <w:r>
        <w:t xml:space="preserve">e). </w:t>
      </w:r>
    </w:p>
    <w:p w14:paraId="5676879E" w14:textId="77777777" w:rsidR="001E62B2" w:rsidRDefault="001E62B2" w:rsidP="001E62B2">
      <w:pPr>
        <w:pStyle w:val="Heading3"/>
        <w:numPr>
          <w:ilvl w:val="0"/>
          <w:numId w:val="0"/>
        </w:numPr>
        <w:ind w:left="720" w:hanging="720"/>
      </w:pPr>
      <w:r>
        <w:t>Global Warming Potentials (GWP)</w:t>
      </w:r>
    </w:p>
    <w:p w14:paraId="13A651FF" w14:textId="6C99E84C" w:rsidR="004328D8" w:rsidRDefault="001E62B2" w:rsidP="004328D8">
      <w:r>
        <w:t xml:space="preserve">The </w:t>
      </w:r>
      <w:r w:rsidRPr="004315B7">
        <w:t xml:space="preserve">mass of a GHG </w:t>
      </w:r>
      <w:r>
        <w:t>sh</w:t>
      </w:r>
      <w:r w:rsidR="00DF3A54">
        <w:t>all</w:t>
      </w:r>
      <w:r>
        <w:t xml:space="preserve"> be multiplied by </w:t>
      </w:r>
      <w:r w:rsidRPr="004315B7">
        <w:t xml:space="preserve">its GWP </w:t>
      </w:r>
      <w:r>
        <w:t xml:space="preserve">to </w:t>
      </w:r>
      <w:r w:rsidR="001254C5">
        <w:t>calculate</w:t>
      </w:r>
      <w:r w:rsidR="00B16F45">
        <w:t xml:space="preserve"> </w:t>
      </w:r>
      <w:r>
        <w:t>the</w:t>
      </w:r>
      <w:r w:rsidRPr="004315B7">
        <w:t xml:space="preserve"> </w:t>
      </w:r>
      <w:r>
        <w:t>mass</w:t>
      </w:r>
      <w:r w:rsidRPr="004315B7">
        <w:t xml:space="preserve"> in units of</w:t>
      </w:r>
      <w:r>
        <w:t xml:space="preserve"> CO</w:t>
      </w:r>
      <w:r w:rsidRPr="003C4255">
        <w:rPr>
          <w:vertAlign w:val="subscript"/>
        </w:rPr>
        <w:t>2</w:t>
      </w:r>
      <w:r>
        <w:t>-e.</w:t>
      </w:r>
      <w:r w:rsidR="004328D8">
        <w:t xml:space="preserve"> </w:t>
      </w:r>
    </w:p>
    <w:p w14:paraId="27465642" w14:textId="3CAD7647" w:rsidR="004328D8" w:rsidRDefault="00A80C66" w:rsidP="004328D8">
      <w:pPr>
        <w:pStyle w:val="ListParagraph"/>
        <w:numPr>
          <w:ilvl w:val="0"/>
          <w:numId w:val="59"/>
        </w:numPr>
      </w:pPr>
      <w:r>
        <w:t>Entities s</w:t>
      </w:r>
      <w:r w:rsidR="000614C1" w:rsidRPr="0065375E">
        <w:t>hall use 100</w:t>
      </w:r>
      <w:r>
        <w:t xml:space="preserve">-year </w:t>
      </w:r>
      <w:r w:rsidR="000614C1" w:rsidRPr="0065375E">
        <w:t>GWP values</w:t>
      </w:r>
      <w:r>
        <w:t xml:space="preserve"> (GWP</w:t>
      </w:r>
      <w:r w:rsidRPr="004328D8">
        <w:rPr>
          <w:vertAlign w:val="subscript"/>
        </w:rPr>
        <w:t>100</w:t>
      </w:r>
      <w:r>
        <w:t xml:space="preserve">) </w:t>
      </w:r>
      <w:r w:rsidR="000614C1" w:rsidRPr="0065375E">
        <w:t>from</w:t>
      </w:r>
      <w:r w:rsidR="005E15FD">
        <w:t xml:space="preserve"> an</w:t>
      </w:r>
      <w:r w:rsidR="000614C1" w:rsidRPr="0065375E">
        <w:t xml:space="preserve"> IPCC Assessment Report</w:t>
      </w:r>
      <w:r>
        <w:t xml:space="preserve">. </w:t>
      </w:r>
    </w:p>
    <w:p w14:paraId="428A33FC" w14:textId="406B09DD" w:rsidR="004328D8" w:rsidRDefault="004328D8" w:rsidP="004328D8">
      <w:pPr>
        <w:pStyle w:val="ListParagraph"/>
        <w:numPr>
          <w:ilvl w:val="0"/>
          <w:numId w:val="59"/>
        </w:numPr>
      </w:pPr>
      <w:r>
        <w:t xml:space="preserve">Entities </w:t>
      </w:r>
      <w:r w:rsidR="00540BCC" w:rsidRPr="0065375E">
        <w:t>s</w:t>
      </w:r>
      <w:r w:rsidR="000614C1" w:rsidRPr="0065375E">
        <w:t>hall use GWPs from a single Assessment Report for any one inventory</w:t>
      </w:r>
      <w:r w:rsidR="005E15FD">
        <w:t>.</w:t>
      </w:r>
      <w:r w:rsidR="000614C1" w:rsidRPr="0065375E">
        <w:t xml:space="preserve"> </w:t>
      </w:r>
    </w:p>
    <w:p w14:paraId="3E7E9839" w14:textId="3A69AF51" w:rsidR="000614C1" w:rsidRPr="000614C1" w:rsidRDefault="00540BCC" w:rsidP="0065375E">
      <w:pPr>
        <w:pStyle w:val="ListParagraph"/>
        <w:numPr>
          <w:ilvl w:val="0"/>
          <w:numId w:val="59"/>
        </w:numPr>
      </w:pPr>
      <w:r w:rsidRPr="00540BCC">
        <w:t xml:space="preserve">Entities </w:t>
      </w:r>
      <w:r w:rsidRPr="0065375E">
        <w:t>s</w:t>
      </w:r>
      <w:r w:rsidR="000614C1" w:rsidRPr="0065375E">
        <w:t>ho</w:t>
      </w:r>
      <w:r w:rsidR="00AE2679">
        <w:t>uld</w:t>
      </w:r>
      <w:r w:rsidR="000614C1" w:rsidRPr="0065375E">
        <w:t xml:space="preserve"> use the same GWPs for the current inventory period and the base year to maintain consistency across time and scopes.</w:t>
      </w:r>
    </w:p>
    <w:p w14:paraId="03958383" w14:textId="6E10C3AE" w:rsidR="008577B5" w:rsidRDefault="001E62B2" w:rsidP="001E62B2">
      <w:r>
        <w:t>For consistency with the National Greenhouse Gas Inventory reporting rules under the Paris Agreement</w:t>
      </w:r>
      <w:r w:rsidR="00C63F46">
        <w:t>,</w:t>
      </w:r>
      <w:r w:rsidR="00430E46">
        <w:t xml:space="preserve"> </w:t>
      </w:r>
      <w:r w:rsidR="004A6F44">
        <w:t xml:space="preserve">and with </w:t>
      </w:r>
      <w:r w:rsidR="00430E46">
        <w:t>the</w:t>
      </w:r>
      <w:r>
        <w:t xml:space="preserve"> </w:t>
      </w:r>
      <w:r w:rsidR="00430E46">
        <w:t xml:space="preserve">NGA </w:t>
      </w:r>
      <w:r>
        <w:t xml:space="preserve">and </w:t>
      </w:r>
      <w:r w:rsidR="00B80ADC">
        <w:t xml:space="preserve">the </w:t>
      </w:r>
      <w:r>
        <w:t xml:space="preserve">National Greenhouse and Energy Reporting (NGER) </w:t>
      </w:r>
      <w:r w:rsidR="00585FD6">
        <w:t>scheme</w:t>
      </w:r>
      <w:r>
        <w:t>, entities</w:t>
      </w:r>
      <w:r w:rsidR="00174357">
        <w:t xml:space="preserve"> </w:t>
      </w:r>
      <w:r w:rsidR="00B714D4">
        <w:t>should</w:t>
      </w:r>
      <w:r>
        <w:t xml:space="preserve"> convert the mass of </w:t>
      </w:r>
      <w:r w:rsidR="00412314">
        <w:t>emissions</w:t>
      </w:r>
      <w:r>
        <w:t xml:space="preserve"> </w:t>
      </w:r>
      <w:r w:rsidR="00035D6E">
        <w:t>to</w:t>
      </w:r>
      <w:r>
        <w:t xml:space="preserve"> CO₂-e</w:t>
      </w:r>
      <w:r w:rsidRPr="00BF2446">
        <w:t>,</w:t>
      </w:r>
      <w:r>
        <w:t xml:space="preserve"> </w:t>
      </w:r>
      <w:r w:rsidRPr="005B06CC">
        <w:t>u</w:t>
      </w:r>
      <w:r>
        <w:t>sing GWP₁₀₀ as specified in the IPCC Fifth Assessment Report (AR5) (2014) as follows</w:t>
      </w:r>
      <w:r w:rsidR="004B3A10">
        <w:t>.</w:t>
      </w:r>
    </w:p>
    <w:p w14:paraId="1B6E271C" w14:textId="77777777" w:rsidR="0089269D" w:rsidRDefault="0089269D">
      <w:pP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br w:type="page"/>
      </w:r>
    </w:p>
    <w:p w14:paraId="19E2FDD4" w14:textId="16782D4A" w:rsidR="001E62B2" w:rsidRDefault="001E62B2" w:rsidP="001E62B2">
      <w:r>
        <w:rPr>
          <w:rFonts w:ascii="Aptos Narrow" w:eastAsia="Times New Roman" w:hAnsi="Aptos Narrow" w:cs="Times New Roman"/>
          <w:b/>
          <w:bCs/>
          <w:color w:val="000000"/>
          <w:kern w:val="0"/>
          <w:lang w:eastAsia="en-AU"/>
          <w14:ligatures w14:val="none"/>
        </w:rPr>
        <w:lastRenderedPageBreak/>
        <w:t>Table 6: Global Warming Potentials</w:t>
      </w:r>
    </w:p>
    <w:tbl>
      <w:tblPr>
        <w:tblW w:w="6168" w:type="dxa"/>
        <w:tblLook w:val="04A0" w:firstRow="1" w:lastRow="0" w:firstColumn="1" w:lastColumn="0" w:noHBand="0" w:noVBand="1"/>
      </w:tblPr>
      <w:tblGrid>
        <w:gridCol w:w="3964"/>
        <w:gridCol w:w="2204"/>
      </w:tblGrid>
      <w:tr w:rsidR="001E62B2" w:rsidRPr="000C1BA1" w14:paraId="0BB25FFE" w14:textId="77777777">
        <w:trPr>
          <w:trHeight w:val="407"/>
        </w:trPr>
        <w:tc>
          <w:tcPr>
            <w:tcW w:w="3964" w:type="dxa"/>
            <w:tcBorders>
              <w:top w:val="single" w:sz="4" w:space="0" w:color="auto"/>
              <w:left w:val="single" w:sz="4" w:space="0" w:color="auto"/>
              <w:bottom w:val="single" w:sz="4" w:space="0" w:color="auto"/>
              <w:right w:val="single" w:sz="4" w:space="0" w:color="auto"/>
            </w:tcBorders>
            <w:shd w:val="clear" w:color="000000" w:fill="E8E8E8"/>
            <w:vAlign w:val="center"/>
          </w:tcPr>
          <w:p w14:paraId="34305B33" w14:textId="77777777" w:rsidR="001E62B2" w:rsidRPr="00A656AD"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A656AD">
              <w:rPr>
                <w:rFonts w:ascii="Aptos Narrow" w:eastAsia="Times New Roman" w:hAnsi="Aptos Narrow" w:cs="Times New Roman"/>
                <w:b/>
                <w:bCs/>
                <w:color w:val="000000"/>
                <w:kern w:val="0"/>
                <w:lang w:eastAsia="en-AU"/>
                <w14:ligatures w14:val="none"/>
              </w:rPr>
              <w:t>Greenhouse Gas</w:t>
            </w:r>
          </w:p>
        </w:tc>
        <w:tc>
          <w:tcPr>
            <w:tcW w:w="2204" w:type="dxa"/>
            <w:tcBorders>
              <w:top w:val="single" w:sz="4" w:space="0" w:color="auto"/>
              <w:left w:val="nil"/>
              <w:bottom w:val="single" w:sz="4" w:space="0" w:color="auto"/>
              <w:right w:val="single" w:sz="4" w:space="0" w:color="auto"/>
            </w:tcBorders>
            <w:shd w:val="clear" w:color="000000" w:fill="E8E8E8"/>
            <w:vAlign w:val="center"/>
          </w:tcPr>
          <w:p w14:paraId="3E277B4F" w14:textId="77777777" w:rsidR="001E62B2" w:rsidRPr="00A656AD" w:rsidRDefault="001E62B2">
            <w:pPr>
              <w:spacing w:after="0" w:line="240" w:lineRule="auto"/>
              <w:jc w:val="center"/>
              <w:rPr>
                <w:rFonts w:ascii="Aptos Narrow" w:eastAsia="Times New Roman" w:hAnsi="Aptos Narrow" w:cs="Times New Roman"/>
                <w:b/>
                <w:color w:val="000000"/>
                <w:kern w:val="0"/>
                <w:lang w:eastAsia="en-AU"/>
                <w14:ligatures w14:val="none"/>
              </w:rPr>
            </w:pPr>
            <w:r w:rsidRPr="00A656AD">
              <w:rPr>
                <w:rFonts w:ascii="Aptos Narrow" w:eastAsia="Times New Roman" w:hAnsi="Aptos Narrow" w:cs="Times New Roman"/>
                <w:b/>
                <w:color w:val="000000"/>
                <w:kern w:val="0"/>
                <w:lang w:eastAsia="en-AU"/>
                <w14:ligatures w14:val="none"/>
              </w:rPr>
              <w:t xml:space="preserve">AR5 </w:t>
            </w:r>
            <w:r w:rsidRPr="00A656AD">
              <w:rPr>
                <w:rFonts w:ascii="Aptos Narrow" w:hAnsi="Aptos Narrow"/>
                <w:b/>
                <w:bCs/>
              </w:rPr>
              <w:t>GWP₁₀₀</w:t>
            </w:r>
          </w:p>
        </w:tc>
      </w:tr>
      <w:tr w:rsidR="001E62B2" w:rsidRPr="000C1BA1" w14:paraId="35D4CA83" w14:textId="77777777">
        <w:trPr>
          <w:trHeight w:val="367"/>
        </w:trPr>
        <w:tc>
          <w:tcPr>
            <w:tcW w:w="3964" w:type="dxa"/>
            <w:tcBorders>
              <w:top w:val="nil"/>
              <w:left w:val="single" w:sz="4" w:space="0" w:color="auto"/>
              <w:bottom w:val="single" w:sz="4" w:space="0" w:color="auto"/>
              <w:right w:val="single" w:sz="4" w:space="0" w:color="auto"/>
            </w:tcBorders>
            <w:vAlign w:val="center"/>
            <w:hideMark/>
          </w:tcPr>
          <w:p w14:paraId="55194207" w14:textId="77777777" w:rsidR="001E62B2" w:rsidRPr="00A656AD" w:rsidRDefault="001E62B2">
            <w:pPr>
              <w:spacing w:after="0" w:line="240" w:lineRule="auto"/>
              <w:jc w:val="center"/>
              <w:rPr>
                <w:rFonts w:ascii="Aptos Narrow" w:eastAsia="Times New Roman" w:hAnsi="Aptos Narrow" w:cs="Times New Roman"/>
                <w:color w:val="000000"/>
                <w:kern w:val="0"/>
                <w:lang w:eastAsia="en-AU"/>
                <w14:ligatures w14:val="none"/>
              </w:rPr>
            </w:pPr>
            <w:r w:rsidRPr="00A656AD">
              <w:rPr>
                <w:rFonts w:ascii="Aptos Narrow" w:eastAsia="Times New Roman" w:hAnsi="Aptos Narrow" w:cs="Times New Roman"/>
                <w:color w:val="000000"/>
                <w:kern w:val="0"/>
                <w:lang w:eastAsia="en-AU"/>
                <w14:ligatures w14:val="none"/>
              </w:rPr>
              <w:t>CO₂ (carbon dioxide)</w:t>
            </w:r>
          </w:p>
        </w:tc>
        <w:tc>
          <w:tcPr>
            <w:tcW w:w="2204" w:type="dxa"/>
            <w:tcBorders>
              <w:top w:val="nil"/>
              <w:left w:val="nil"/>
              <w:bottom w:val="single" w:sz="4" w:space="0" w:color="auto"/>
              <w:right w:val="single" w:sz="4" w:space="0" w:color="auto"/>
            </w:tcBorders>
            <w:vAlign w:val="center"/>
            <w:hideMark/>
          </w:tcPr>
          <w:p w14:paraId="4506ED92" w14:textId="77777777" w:rsidR="001E62B2" w:rsidRPr="00A656AD" w:rsidRDefault="001E62B2">
            <w:pPr>
              <w:spacing w:after="0" w:line="240" w:lineRule="auto"/>
              <w:jc w:val="center"/>
              <w:rPr>
                <w:rFonts w:ascii="Aptos Narrow" w:eastAsia="Times New Roman" w:hAnsi="Aptos Narrow" w:cs="Times New Roman"/>
                <w:color w:val="000000"/>
                <w:kern w:val="0"/>
                <w:lang w:eastAsia="en-AU"/>
                <w14:ligatures w14:val="none"/>
              </w:rPr>
            </w:pPr>
            <w:r w:rsidRPr="00A656AD">
              <w:rPr>
                <w:rFonts w:ascii="Aptos Narrow" w:eastAsia="Times New Roman" w:hAnsi="Aptos Narrow" w:cs="Times New Roman"/>
                <w:color w:val="000000"/>
                <w:kern w:val="0"/>
                <w:lang w:eastAsia="en-AU"/>
                <w14:ligatures w14:val="none"/>
              </w:rPr>
              <w:t>1</w:t>
            </w:r>
          </w:p>
        </w:tc>
      </w:tr>
      <w:tr w:rsidR="001E62B2" w:rsidRPr="000C1BA1" w14:paraId="3B0CFDA6" w14:textId="77777777">
        <w:trPr>
          <w:trHeight w:val="415"/>
        </w:trPr>
        <w:tc>
          <w:tcPr>
            <w:tcW w:w="3964" w:type="dxa"/>
            <w:tcBorders>
              <w:top w:val="nil"/>
              <w:left w:val="single" w:sz="4" w:space="0" w:color="auto"/>
              <w:bottom w:val="single" w:sz="4" w:space="0" w:color="auto"/>
              <w:right w:val="single" w:sz="4" w:space="0" w:color="auto"/>
            </w:tcBorders>
            <w:vAlign w:val="center"/>
            <w:hideMark/>
          </w:tcPr>
          <w:p w14:paraId="3F69E094" w14:textId="77777777" w:rsidR="001E62B2" w:rsidRPr="00A656AD" w:rsidRDefault="001E62B2">
            <w:pPr>
              <w:spacing w:after="0" w:line="240" w:lineRule="auto"/>
              <w:jc w:val="center"/>
              <w:rPr>
                <w:rFonts w:ascii="Aptos Narrow" w:eastAsia="Times New Roman" w:hAnsi="Aptos Narrow" w:cs="Times New Roman"/>
                <w:color w:val="000000"/>
                <w:kern w:val="0"/>
                <w:lang w:eastAsia="en-AU"/>
                <w14:ligatures w14:val="none"/>
              </w:rPr>
            </w:pPr>
            <w:r w:rsidRPr="00A656AD">
              <w:rPr>
                <w:rFonts w:ascii="Aptos Narrow" w:eastAsia="Times New Roman" w:hAnsi="Aptos Narrow" w:cs="Times New Roman"/>
                <w:color w:val="000000"/>
                <w:kern w:val="0"/>
                <w:lang w:eastAsia="en-AU"/>
                <w14:ligatures w14:val="none"/>
              </w:rPr>
              <w:t>CH₄ (methane)</w:t>
            </w:r>
          </w:p>
        </w:tc>
        <w:tc>
          <w:tcPr>
            <w:tcW w:w="2204" w:type="dxa"/>
            <w:tcBorders>
              <w:top w:val="nil"/>
              <w:left w:val="nil"/>
              <w:bottom w:val="single" w:sz="4" w:space="0" w:color="auto"/>
              <w:right w:val="single" w:sz="4" w:space="0" w:color="auto"/>
            </w:tcBorders>
            <w:vAlign w:val="center"/>
            <w:hideMark/>
          </w:tcPr>
          <w:p w14:paraId="5BD95133" w14:textId="77777777" w:rsidR="001E62B2" w:rsidRPr="00A656AD" w:rsidRDefault="001E62B2">
            <w:pPr>
              <w:spacing w:after="0" w:line="240" w:lineRule="auto"/>
              <w:jc w:val="center"/>
              <w:rPr>
                <w:rFonts w:ascii="Aptos Narrow" w:eastAsia="Times New Roman" w:hAnsi="Aptos Narrow" w:cs="Times New Roman"/>
                <w:color w:val="000000"/>
                <w:kern w:val="0"/>
                <w:lang w:eastAsia="en-AU"/>
                <w14:ligatures w14:val="none"/>
              </w:rPr>
            </w:pPr>
            <w:r w:rsidRPr="00A656AD">
              <w:rPr>
                <w:rFonts w:ascii="Aptos Narrow" w:eastAsia="Times New Roman" w:hAnsi="Aptos Narrow" w:cs="Times New Roman"/>
                <w:color w:val="000000"/>
                <w:kern w:val="0"/>
                <w:lang w:eastAsia="en-AU"/>
                <w14:ligatures w14:val="none"/>
              </w:rPr>
              <w:t>28</w:t>
            </w:r>
          </w:p>
        </w:tc>
      </w:tr>
      <w:tr w:rsidR="001E62B2" w:rsidRPr="000C1BA1" w14:paraId="2085B5FD" w14:textId="77777777">
        <w:trPr>
          <w:trHeight w:val="420"/>
        </w:trPr>
        <w:tc>
          <w:tcPr>
            <w:tcW w:w="3964" w:type="dxa"/>
            <w:tcBorders>
              <w:top w:val="single" w:sz="4" w:space="0" w:color="auto"/>
              <w:left w:val="single" w:sz="4" w:space="0" w:color="auto"/>
              <w:bottom w:val="single" w:sz="4" w:space="0" w:color="auto"/>
              <w:right w:val="single" w:sz="4" w:space="0" w:color="auto"/>
            </w:tcBorders>
            <w:vAlign w:val="center"/>
            <w:hideMark/>
          </w:tcPr>
          <w:p w14:paraId="7C6BA743" w14:textId="77777777" w:rsidR="001E62B2" w:rsidRPr="00A656AD" w:rsidRDefault="001E62B2">
            <w:pPr>
              <w:spacing w:after="0" w:line="240" w:lineRule="auto"/>
              <w:jc w:val="center"/>
              <w:rPr>
                <w:rFonts w:ascii="Aptos Narrow" w:eastAsia="Times New Roman" w:hAnsi="Aptos Narrow" w:cs="Times New Roman"/>
                <w:color w:val="000000"/>
                <w:kern w:val="0"/>
                <w:lang w:eastAsia="en-AU"/>
                <w14:ligatures w14:val="none"/>
              </w:rPr>
            </w:pPr>
            <w:r w:rsidRPr="00A656AD">
              <w:rPr>
                <w:rFonts w:ascii="Aptos Narrow" w:eastAsia="Times New Roman" w:hAnsi="Aptos Narrow" w:cs="Times New Roman"/>
                <w:color w:val="000000"/>
                <w:kern w:val="0"/>
                <w:lang w:eastAsia="en-AU"/>
                <w14:ligatures w14:val="none"/>
              </w:rPr>
              <w:t>N₂O (nitrous oxide)</w:t>
            </w:r>
          </w:p>
        </w:tc>
        <w:tc>
          <w:tcPr>
            <w:tcW w:w="2204" w:type="dxa"/>
            <w:tcBorders>
              <w:top w:val="single" w:sz="4" w:space="0" w:color="auto"/>
              <w:left w:val="nil"/>
              <w:bottom w:val="single" w:sz="4" w:space="0" w:color="auto"/>
              <w:right w:val="single" w:sz="4" w:space="0" w:color="auto"/>
            </w:tcBorders>
            <w:vAlign w:val="center"/>
            <w:hideMark/>
          </w:tcPr>
          <w:p w14:paraId="48FCAD00" w14:textId="77777777" w:rsidR="001E62B2" w:rsidRPr="00A656AD" w:rsidRDefault="001E62B2">
            <w:pPr>
              <w:spacing w:after="0" w:line="240" w:lineRule="auto"/>
              <w:jc w:val="center"/>
              <w:rPr>
                <w:rFonts w:ascii="Aptos Narrow" w:eastAsia="Times New Roman" w:hAnsi="Aptos Narrow" w:cs="Times New Roman"/>
                <w:color w:val="000000"/>
                <w:kern w:val="0"/>
                <w:lang w:eastAsia="en-AU"/>
                <w14:ligatures w14:val="none"/>
              </w:rPr>
            </w:pPr>
            <w:r w:rsidRPr="00A656AD">
              <w:rPr>
                <w:rFonts w:ascii="Aptos Narrow" w:eastAsia="Times New Roman" w:hAnsi="Aptos Narrow" w:cs="Times New Roman"/>
                <w:color w:val="000000"/>
                <w:kern w:val="0"/>
                <w:lang w:eastAsia="en-AU"/>
                <w14:ligatures w14:val="none"/>
              </w:rPr>
              <w:t>265</w:t>
            </w:r>
          </w:p>
        </w:tc>
      </w:tr>
      <w:tr w:rsidR="001E62B2" w:rsidRPr="000C1BA1" w14:paraId="723BDA50" w14:textId="77777777">
        <w:trPr>
          <w:trHeight w:val="420"/>
        </w:trPr>
        <w:tc>
          <w:tcPr>
            <w:tcW w:w="3964" w:type="dxa"/>
            <w:tcBorders>
              <w:top w:val="single" w:sz="4" w:space="0" w:color="auto"/>
              <w:left w:val="single" w:sz="4" w:space="0" w:color="auto"/>
              <w:bottom w:val="single" w:sz="4" w:space="0" w:color="auto"/>
              <w:right w:val="single" w:sz="4" w:space="0" w:color="auto"/>
            </w:tcBorders>
            <w:vAlign w:val="center"/>
          </w:tcPr>
          <w:p w14:paraId="44A36E58" w14:textId="77777777" w:rsidR="001E62B2" w:rsidRPr="00A656AD" w:rsidRDefault="001E62B2">
            <w:pPr>
              <w:spacing w:after="0" w:line="240" w:lineRule="auto"/>
              <w:jc w:val="center"/>
              <w:rPr>
                <w:rFonts w:ascii="Aptos Narrow" w:eastAsia="Times New Roman" w:hAnsi="Aptos Narrow" w:cs="Times New Roman"/>
                <w:color w:val="000000"/>
                <w:kern w:val="0"/>
                <w:lang w:eastAsia="en-AU"/>
                <w14:ligatures w14:val="none"/>
              </w:rPr>
            </w:pPr>
            <w:r w:rsidRPr="00A656AD">
              <w:rPr>
                <w:rFonts w:ascii="Aptos Narrow" w:eastAsia="Times New Roman" w:hAnsi="Aptos Narrow" w:cs="Times New Roman"/>
                <w:color w:val="000000"/>
                <w:kern w:val="0"/>
                <w:lang w:eastAsia="en-AU"/>
                <w14:ligatures w14:val="none"/>
              </w:rPr>
              <w:t>Synthetic GHG (e.g. refrigerants)</w:t>
            </w:r>
          </w:p>
        </w:tc>
        <w:tc>
          <w:tcPr>
            <w:tcW w:w="2204" w:type="dxa"/>
            <w:tcBorders>
              <w:top w:val="single" w:sz="4" w:space="0" w:color="auto"/>
              <w:left w:val="nil"/>
              <w:bottom w:val="single" w:sz="4" w:space="0" w:color="auto"/>
              <w:right w:val="single" w:sz="4" w:space="0" w:color="auto"/>
            </w:tcBorders>
            <w:vAlign w:val="center"/>
          </w:tcPr>
          <w:p w14:paraId="4CCD1217" w14:textId="77777777" w:rsidR="001E62B2" w:rsidRPr="00A656AD" w:rsidRDefault="001E62B2">
            <w:pPr>
              <w:spacing w:after="0" w:line="240" w:lineRule="auto"/>
              <w:jc w:val="center"/>
              <w:rPr>
                <w:rFonts w:ascii="Aptos Narrow" w:eastAsia="Times New Roman" w:hAnsi="Aptos Narrow" w:cs="Times New Roman"/>
                <w:color w:val="000000"/>
                <w:kern w:val="0"/>
                <w:lang w:eastAsia="en-AU"/>
                <w14:ligatures w14:val="none"/>
              </w:rPr>
            </w:pPr>
            <w:r w:rsidRPr="00A656AD">
              <w:rPr>
                <w:rFonts w:ascii="Aptos Narrow" w:hAnsi="Aptos Narrow"/>
              </w:rPr>
              <w:t xml:space="preserve">refer to latest </w:t>
            </w:r>
            <w:hyperlink r:id="rId61" w:history="1">
              <w:r w:rsidRPr="00A656AD">
                <w:rPr>
                  <w:rStyle w:val="Hyperlink"/>
                  <w:rFonts w:ascii="Aptos Narrow" w:hAnsi="Aptos Narrow"/>
                </w:rPr>
                <w:t>NGA Factors</w:t>
              </w:r>
            </w:hyperlink>
          </w:p>
        </w:tc>
      </w:tr>
    </w:tbl>
    <w:p w14:paraId="06F19AC8" w14:textId="77777777" w:rsidR="003E7FCC" w:rsidRDefault="003E7FCC" w:rsidP="00D538DF">
      <w:pPr>
        <w:spacing w:after="0"/>
      </w:pPr>
    </w:p>
    <w:p w14:paraId="694D95AC" w14:textId="4AEB149A" w:rsidR="001E62B2" w:rsidRPr="007651B4" w:rsidRDefault="00D74CA7" w:rsidP="001E62B2">
      <w:r>
        <w:t xml:space="preserve">The AR5 GWP values are </w:t>
      </w:r>
      <w:r w:rsidR="006777EF">
        <w:t xml:space="preserve">also </w:t>
      </w:r>
      <w:r>
        <w:t>used for</w:t>
      </w:r>
      <w:r w:rsidR="003C7792">
        <w:t xml:space="preserve"> the</w:t>
      </w:r>
      <w:r w:rsidR="00976BF3">
        <w:t xml:space="preserve"> Scope 3 emission factors published in the </w:t>
      </w:r>
      <w:proofErr w:type="spellStart"/>
      <w:r w:rsidR="00976BF3">
        <w:t>AusLCI</w:t>
      </w:r>
      <w:proofErr w:type="spellEnd"/>
      <w:r w:rsidR="00976BF3">
        <w:t xml:space="preserve"> CEF.</w:t>
      </w:r>
      <w:r w:rsidR="00E9016E">
        <w:t xml:space="preserve"> </w:t>
      </w:r>
      <w:r w:rsidR="001E62B2">
        <w:t>Where an entity us</w:t>
      </w:r>
      <w:r w:rsidR="007A42A3">
        <w:t>es</w:t>
      </w:r>
      <w:r w:rsidR="001E62B2">
        <w:t xml:space="preserve"> a Scope 3 emission factor that has already been converted into CO</w:t>
      </w:r>
      <w:r w:rsidR="001E62B2" w:rsidRPr="00332616">
        <w:rPr>
          <w:vertAlign w:val="subscript"/>
        </w:rPr>
        <w:t>2</w:t>
      </w:r>
      <w:r w:rsidR="001E62B2">
        <w:t>-e using a different IPCC assessment report GWP</w:t>
      </w:r>
      <w:r w:rsidR="001E62B2" w:rsidRPr="00332616">
        <w:rPr>
          <w:vertAlign w:val="subscript"/>
        </w:rPr>
        <w:t>100</w:t>
      </w:r>
      <w:r w:rsidR="001E62B2">
        <w:t xml:space="preserve"> value, the entity is not required to recalculate the emissions factor.</w:t>
      </w:r>
      <w:r w:rsidR="008352FF">
        <w:t xml:space="preserve"> </w:t>
      </w:r>
      <w:r w:rsidR="001E62B2">
        <w:t>Note the GHG P</w:t>
      </w:r>
      <w:r w:rsidR="003632A5">
        <w:t>rotocol</w:t>
      </w:r>
      <w:r w:rsidR="001E62B2" w:rsidDel="00510993">
        <w:t xml:space="preserve"> </w:t>
      </w:r>
      <w:r w:rsidR="00B14A66">
        <w:t xml:space="preserve">Corporate Standard </w:t>
      </w:r>
      <w:r w:rsidR="001E62B2">
        <w:t>recommends use of the GWPs from the latest IPCC assessment report available at the reporting date (currently AR6). Under ISO 14064-1:2018, entities may report using GWP values from any IPCC assessment report.</w:t>
      </w:r>
    </w:p>
    <w:p w14:paraId="6073DA93" w14:textId="19809ED6" w:rsidR="001E62B2" w:rsidRDefault="001E62B2" w:rsidP="00BE68D0">
      <w:pPr>
        <w:pStyle w:val="Style3"/>
        <w:ind w:left="567" w:hanging="567"/>
      </w:pPr>
      <w:bookmarkStart w:id="63" w:name="_Ref208781496"/>
      <w:bookmarkStart w:id="64" w:name="_Toc225269961"/>
      <w:r>
        <w:t>Land use, land use change and forestry methods</w:t>
      </w:r>
      <w:bookmarkEnd w:id="63"/>
      <w:bookmarkEnd w:id="64"/>
      <w:r>
        <w:t xml:space="preserve"> </w:t>
      </w:r>
    </w:p>
    <w:p w14:paraId="5342BE70" w14:textId="1A2DECFF" w:rsidR="00294520" w:rsidRDefault="00294520" w:rsidP="00294520">
      <w:r>
        <w:t>Land management activities can result in emissions and removals of CO</w:t>
      </w:r>
      <w:r w:rsidRPr="003B4D7C">
        <w:rPr>
          <w:vertAlign w:val="subscript"/>
        </w:rPr>
        <w:t>2</w:t>
      </w:r>
      <w:r>
        <w:t>, and emissions of CH</w:t>
      </w:r>
      <w:r w:rsidRPr="003B4D7C">
        <w:rPr>
          <w:vertAlign w:val="subscript"/>
        </w:rPr>
        <w:t>4</w:t>
      </w:r>
      <w:r>
        <w:t xml:space="preserve"> and N</w:t>
      </w:r>
      <w:r w:rsidRPr="003B4D7C">
        <w:rPr>
          <w:vertAlign w:val="subscript"/>
        </w:rPr>
        <w:t>2</w:t>
      </w:r>
      <w:r>
        <w:t xml:space="preserve">O. </w:t>
      </w:r>
      <w:r w:rsidR="0031206C">
        <w:t>Land use, land use change and forestry (LULUCF) a</w:t>
      </w:r>
      <w:r>
        <w:t xml:space="preserve">ctivities such as land clearing, establishing plantations, revegetation/regeneration, and agricultural land management practices can all drive emissions or removals. </w:t>
      </w:r>
      <w:r w:rsidR="008F3541">
        <w:t>Note, e</w:t>
      </w:r>
      <w:r w:rsidR="007A181B">
        <w:t xml:space="preserve">missions </w:t>
      </w:r>
      <w:r>
        <w:t xml:space="preserve">or removals from natural causes are </w:t>
      </w:r>
      <w:r w:rsidR="008F3541">
        <w:t>out</w:t>
      </w:r>
      <w:r w:rsidR="00A36240">
        <w:t>side</w:t>
      </w:r>
      <w:r w:rsidR="008F3541" w:rsidDel="00A36240">
        <w:t xml:space="preserve"> </w:t>
      </w:r>
      <w:r w:rsidR="008F3541">
        <w:t xml:space="preserve">the </w:t>
      </w:r>
      <w:r w:rsidR="00DC6D3C">
        <w:t>s</w:t>
      </w:r>
      <w:r w:rsidR="008F3541">
        <w:t>cope of these G</w:t>
      </w:r>
      <w:r>
        <w:t xml:space="preserve">uidelines. </w:t>
      </w:r>
    </w:p>
    <w:p w14:paraId="17794F23" w14:textId="46D0EC68" w:rsidR="00294520" w:rsidRDefault="00294520" w:rsidP="00294520">
      <w:r>
        <w:t xml:space="preserve">The estimation of emissions and removals from LULUCF activities at the entity level is a complex and evolving area. Entities shall estimate relevant LULUCF sources and sinks </w:t>
      </w:r>
      <w:r w:rsidR="002D0B8E">
        <w:t xml:space="preserve">for which </w:t>
      </w:r>
      <w:r>
        <w:t>methods are provided</w:t>
      </w:r>
      <w:r w:rsidR="002D0B8E">
        <w:t xml:space="preserve"> in these Guidelines</w:t>
      </w:r>
      <w:r>
        <w:t>.</w:t>
      </w:r>
    </w:p>
    <w:p w14:paraId="23DDA797" w14:textId="77777777" w:rsidR="00294520" w:rsidRPr="00ED1F94" w:rsidRDefault="00294520" w:rsidP="00294520">
      <w:r>
        <w:t>The Methodological Guidance provides methods for estimating:</w:t>
      </w:r>
    </w:p>
    <w:p w14:paraId="09731656" w14:textId="0B378DC0" w:rsidR="00294520" w:rsidRPr="00ED1F94" w:rsidRDefault="00294520" w:rsidP="00CD7CF4">
      <w:pPr>
        <w:pStyle w:val="ListParagraph"/>
        <w:numPr>
          <w:ilvl w:val="0"/>
          <w:numId w:val="10"/>
        </w:numPr>
      </w:pPr>
      <w:r w:rsidRPr="00ED1F94">
        <w:t xml:space="preserve">carbon stock changes </w:t>
      </w:r>
      <w:r>
        <w:t xml:space="preserve">in </w:t>
      </w:r>
      <w:r w:rsidRPr="00ED1F94">
        <w:t>woody living and dead biomass due to land clearing, planting or regeneration, farm forestry, commercial</w:t>
      </w:r>
      <w:r w:rsidR="003B4D7C">
        <w:t xml:space="preserve"> </w:t>
      </w:r>
      <w:r w:rsidRPr="00ED1F94">
        <w:t>plantations</w:t>
      </w:r>
      <w:r>
        <w:t>,</w:t>
      </w:r>
      <w:r w:rsidRPr="00ED1F94">
        <w:t xml:space="preserve"> savanna fire management</w:t>
      </w:r>
      <w:r w:rsidR="003B4D7C">
        <w:t xml:space="preserve"> </w:t>
      </w:r>
      <w:r>
        <w:t>and perennial woody crops</w:t>
      </w:r>
    </w:p>
    <w:p w14:paraId="1F2CA9DA" w14:textId="77777777" w:rsidR="00294520" w:rsidRDefault="00294520" w:rsidP="00CD7CF4">
      <w:pPr>
        <w:pStyle w:val="ListParagraph"/>
        <w:numPr>
          <w:ilvl w:val="0"/>
          <w:numId w:val="10"/>
        </w:numPr>
      </w:pPr>
      <w:r w:rsidRPr="00ED1F94">
        <w:t xml:space="preserve">carbon stock changes </w:t>
      </w:r>
      <w:r>
        <w:t xml:space="preserve">in </w:t>
      </w:r>
      <w:r w:rsidRPr="00ED1F94">
        <w:t>soil organic carbon due to land clearing</w:t>
      </w:r>
    </w:p>
    <w:p w14:paraId="0F7CC40D" w14:textId="491DCD10" w:rsidR="00294520" w:rsidRDefault="00294520" w:rsidP="00CD7CF4">
      <w:pPr>
        <w:pStyle w:val="ListParagraph"/>
        <w:numPr>
          <w:ilvl w:val="0"/>
          <w:numId w:val="10"/>
        </w:numPr>
      </w:pPr>
      <w:r>
        <w:t xml:space="preserve">greenhouse gas emissions from biomass burning as part of </w:t>
      </w:r>
      <w:r w:rsidRPr="00ED1F94">
        <w:t>land clearing, planting or regeneration, farm forestry, commercial</w:t>
      </w:r>
      <w:r w:rsidR="003B4D7C">
        <w:t xml:space="preserve"> </w:t>
      </w:r>
      <w:r w:rsidRPr="00ED1F94">
        <w:t>plantations</w:t>
      </w:r>
      <w:r w:rsidR="003B4D7C">
        <w:t xml:space="preserve"> </w:t>
      </w:r>
      <w:r w:rsidRPr="00ED1F94">
        <w:t>and savanna fire management</w:t>
      </w:r>
    </w:p>
    <w:p w14:paraId="4079CE83" w14:textId="2BC69F35" w:rsidR="00294520" w:rsidRPr="00ED1F94" w:rsidRDefault="00294520" w:rsidP="00CD7CF4">
      <w:pPr>
        <w:pStyle w:val="ListParagraph"/>
        <w:numPr>
          <w:ilvl w:val="0"/>
          <w:numId w:val="10"/>
        </w:numPr>
      </w:pPr>
      <w:r>
        <w:t>greenhouse gas emissions from N mineralisation and le</w:t>
      </w:r>
      <w:r w:rsidR="0007317F">
        <w:t>a</w:t>
      </w:r>
      <w:r>
        <w:t>ching and runoff as part of land clearing.</w:t>
      </w:r>
    </w:p>
    <w:p w14:paraId="1BF43C60" w14:textId="55220AF2" w:rsidR="00294520" w:rsidRDefault="00294520" w:rsidP="00294520">
      <w:r w:rsidRPr="00244E27">
        <w:t xml:space="preserve">Soil organic carbon (SOC) changes associated with </w:t>
      </w:r>
      <w:r w:rsidR="000464B0">
        <w:t>other</w:t>
      </w:r>
      <w:r w:rsidRPr="00244E27">
        <w:t xml:space="preserve"> agricultural land management practices are not covered by the Methodological Guidance at present. SOC changes due to management actions are sensitive to initial SOC levels, soil type and climatic conditions, and SOC increases have a high risk of reversal. Accurately representing change in SOC typically requires extensive and expensive measurement or complex modelling. As such, no method 1 or 2 approach is included in these Guidelines. Entities that already collect data for </w:t>
      </w:r>
      <w:r w:rsidR="007E4432">
        <w:t>carbon</w:t>
      </w:r>
      <w:r w:rsidRPr="00244E27">
        <w:t xml:space="preserve"> pools and activities outside the scope of these Guidelines, including baseline measurements of SOC, should retain th</w:t>
      </w:r>
      <w:r w:rsidR="00FB018D">
        <w:t>ese</w:t>
      </w:r>
      <w:r w:rsidRPr="00244E27">
        <w:t xml:space="preserve"> data in case </w:t>
      </w:r>
      <w:r w:rsidR="006A798B">
        <w:t>they</w:t>
      </w:r>
      <w:r w:rsidRPr="00244E27">
        <w:t xml:space="preserve"> can be used under future iterations of the Guidelines.</w:t>
      </w:r>
      <w:r>
        <w:t xml:space="preserve"> </w:t>
      </w:r>
      <w:r w:rsidRPr="008A74D4">
        <w:t xml:space="preserve"> </w:t>
      </w:r>
    </w:p>
    <w:p w14:paraId="03BCFEFA" w14:textId="13D3A4D5" w:rsidR="00294520" w:rsidRPr="00E52319" w:rsidRDefault="00294520" w:rsidP="00294520">
      <w:r>
        <w:lastRenderedPageBreak/>
        <w:t>Ret</w:t>
      </w:r>
      <w:r w:rsidR="00A15287">
        <w:t>aining mature</w:t>
      </w:r>
      <w:r>
        <w:t xml:space="preserve"> remnant vegetation is not covered by the Methodological Guidance as </w:t>
      </w:r>
      <w:r w:rsidR="00C44763">
        <w:t>c</w:t>
      </w:r>
      <w:r>
        <w:t>arbon stocks in remnant vegetation are typically stable, and do not</w:t>
      </w:r>
      <w:r w:rsidR="001E4D64">
        <w:t xml:space="preserve"> </w:t>
      </w:r>
      <w:r>
        <w:t>represent a significant sink.</w:t>
      </w:r>
      <w:r w:rsidR="4456F6E2">
        <w:t xml:space="preserve"> If an area has not been subject to management change or an activity included in the Methodological Guidance, carbon stocks are likely to be stable o</w:t>
      </w:r>
      <w:r w:rsidR="58CA90A3">
        <w:t xml:space="preserve">ver time. If an entity is </w:t>
      </w:r>
      <w:r w:rsidR="7A52C4BA">
        <w:t>unable to find evidence of such activities when preparing the emissions inventory, the</w:t>
      </w:r>
      <w:r w:rsidR="32CE7388">
        <w:t xml:space="preserve"> entity</w:t>
      </w:r>
      <w:r w:rsidR="7A52C4BA">
        <w:t xml:space="preserve"> may assume </w:t>
      </w:r>
      <w:r w:rsidR="147970D3">
        <w:t>that carbon stocks on the area have remained stable and, as such, should not be included in the inventory.</w:t>
      </w:r>
    </w:p>
    <w:p w14:paraId="048E76F8" w14:textId="77777777" w:rsidR="00294520" w:rsidRDefault="00294520" w:rsidP="00294520">
      <w:r>
        <w:t>To prepare the emissions inventory for LULUCF activities:</w:t>
      </w:r>
    </w:p>
    <w:p w14:paraId="6876B9C5" w14:textId="77777777" w:rsidR="00294520" w:rsidRDefault="00294520" w:rsidP="003B4D7C">
      <w:pPr>
        <w:pStyle w:val="ListParagraph"/>
        <w:numPr>
          <w:ilvl w:val="0"/>
          <w:numId w:val="45"/>
        </w:numPr>
      </w:pPr>
      <w:r>
        <w:t>Identify whether any of the activities covered by the Methodological Guidance have occurred on the entity’s land up to 20 years prior to the first reporting year. This is because land-based activities can impact a land’s carbon stocks long after the activity takes place.</w:t>
      </w:r>
    </w:p>
    <w:p w14:paraId="2DC1A4D1" w14:textId="77777777" w:rsidR="00294520" w:rsidRDefault="00294520" w:rsidP="003B4D7C">
      <w:pPr>
        <w:pStyle w:val="ListParagraph"/>
        <w:numPr>
          <w:ilvl w:val="0"/>
          <w:numId w:val="45"/>
        </w:numPr>
      </w:pPr>
      <w:r>
        <w:t>Collect the evidence related to these activities required to model and estimate the emissions impact.</w:t>
      </w:r>
    </w:p>
    <w:p w14:paraId="78DCAF21" w14:textId="77777777" w:rsidR="00294520" w:rsidRDefault="00294520" w:rsidP="003B4D7C">
      <w:pPr>
        <w:pStyle w:val="ListParagraph"/>
        <w:numPr>
          <w:ilvl w:val="0"/>
          <w:numId w:val="45"/>
        </w:numPr>
      </w:pPr>
      <w:r>
        <w:t>Map the areas in which the activities have taken place.</w:t>
      </w:r>
    </w:p>
    <w:p w14:paraId="45377096" w14:textId="0D72A7BD" w:rsidR="00294520" w:rsidRDefault="00294520" w:rsidP="003B4D7C">
      <w:pPr>
        <w:pStyle w:val="ListParagraph"/>
        <w:numPr>
          <w:ilvl w:val="0"/>
          <w:numId w:val="45"/>
        </w:numPr>
      </w:pPr>
      <w:r>
        <w:t>After the first reporting year, remap any activity areas as required. This m</w:t>
      </w:r>
      <w:r w:rsidR="00097049">
        <w:t>ight</w:t>
      </w:r>
      <w:r>
        <w:t xml:space="preserve"> be necessary if the area has been impacted by wildfire or if land has been sold or purchased.</w:t>
      </w:r>
    </w:p>
    <w:p w14:paraId="7AE6FE09" w14:textId="2B7F5745" w:rsidR="00294520" w:rsidRDefault="00294520" w:rsidP="003B4D7C">
      <w:pPr>
        <w:pStyle w:val="ListParagraph"/>
        <w:numPr>
          <w:ilvl w:val="0"/>
          <w:numId w:val="45"/>
        </w:numPr>
      </w:pPr>
      <w:r>
        <w:t xml:space="preserve">Model the activities using the appropriate modelling tool. Instructions for using these modelling tools are provided in </w:t>
      </w:r>
      <w:r w:rsidR="00BD2D82">
        <w:t xml:space="preserve">the </w:t>
      </w:r>
      <w:r w:rsidR="0033136D">
        <w:t xml:space="preserve">LULUCF </w:t>
      </w:r>
      <w:r>
        <w:t xml:space="preserve">Methodological Guidance. </w:t>
      </w:r>
    </w:p>
    <w:p w14:paraId="7F572D4C" w14:textId="39077E44" w:rsidR="00EB7E68" w:rsidRDefault="00294520" w:rsidP="00EB7E68">
      <w:pPr>
        <w:pStyle w:val="ListParagraph"/>
        <w:numPr>
          <w:ilvl w:val="0"/>
          <w:numId w:val="45"/>
        </w:numPr>
      </w:pPr>
      <w:r>
        <w:t>Calculate emissions using the model’s results and equations in the Methodological Guidance.</w:t>
      </w:r>
    </w:p>
    <w:tbl>
      <w:tblPr>
        <w:tblStyle w:val="TableGrid"/>
        <w:tblW w:w="0" w:type="auto"/>
        <w:tblInd w:w="0" w:type="dxa"/>
        <w:tblLook w:val="04A0" w:firstRow="1" w:lastRow="0" w:firstColumn="1" w:lastColumn="0" w:noHBand="0" w:noVBand="1"/>
      </w:tblPr>
      <w:tblGrid>
        <w:gridCol w:w="9016"/>
      </w:tblGrid>
      <w:tr w:rsidR="00EB7E68" w14:paraId="52C93BBB" w14:textId="77777777">
        <w:tc>
          <w:tcPr>
            <w:tcW w:w="9360"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1D28C50E" w14:textId="33A3F8B9" w:rsidR="00EB7E68" w:rsidRPr="00F97889" w:rsidRDefault="00EB7E68">
            <w:pPr>
              <w:rPr>
                <w:b/>
                <w:bCs/>
              </w:rPr>
            </w:pPr>
            <w:r w:rsidRPr="000076A9">
              <w:rPr>
                <w:b/>
                <w:bCs/>
              </w:rPr>
              <w:t>Questio</w:t>
            </w:r>
            <w:r w:rsidR="00F97889">
              <w:rPr>
                <w:b/>
                <w:bCs/>
              </w:rPr>
              <w:t xml:space="preserve">ns: </w:t>
            </w:r>
            <w:r>
              <w:rPr>
                <w:b/>
                <w:bCs/>
              </w:rPr>
              <w:t>Alignment with the Greenhouse Gas Protocol Land Sector and Removals Standard</w:t>
            </w:r>
            <w:r w:rsidRPr="000076A9">
              <w:rPr>
                <w:b/>
                <w:bCs/>
              </w:rPr>
              <w:t xml:space="preserve"> </w:t>
            </w:r>
          </w:p>
          <w:p w14:paraId="401C71DE" w14:textId="1FCF9573" w:rsidR="00EB7E68" w:rsidRDefault="00AD733F">
            <w:r>
              <w:t>T</w:t>
            </w:r>
            <w:r w:rsidR="0088574E">
              <w:t>he Guidelines</w:t>
            </w:r>
            <w:r w:rsidR="004632AC">
              <w:t xml:space="preserve"> reflect </w:t>
            </w:r>
            <w:r w:rsidR="008277D2">
              <w:t xml:space="preserve">our </w:t>
            </w:r>
            <w:r w:rsidR="004632AC">
              <w:t>preliminary</w:t>
            </w:r>
            <w:r w:rsidR="00CE0B21">
              <w:t xml:space="preserve"> </w:t>
            </w:r>
            <w:r w:rsidR="009021DC">
              <w:t>review of the</w:t>
            </w:r>
            <w:r w:rsidR="00EB7E68">
              <w:t xml:space="preserve"> Greenhouse Gas Protocol’s Land Sector and Removals Standard (LSRS)</w:t>
            </w:r>
            <w:r w:rsidR="009021DC">
              <w:t xml:space="preserve"> released in </w:t>
            </w:r>
            <w:r w:rsidR="002F1AEB">
              <w:t>January 2026</w:t>
            </w:r>
            <w:r w:rsidR="00EB7E68">
              <w:t xml:space="preserve">. </w:t>
            </w:r>
          </w:p>
          <w:p w14:paraId="1E492BF0" w14:textId="77777777" w:rsidR="00EB7E68" w:rsidRDefault="00EB7E68"/>
          <w:p w14:paraId="4472600E" w14:textId="4A32C9DC" w:rsidR="00EB7E68" w:rsidRPr="00A446A6" w:rsidRDefault="00EB7E68">
            <w:r>
              <w:t>Th</w:t>
            </w:r>
            <w:r w:rsidR="00573107">
              <w:t xml:space="preserve">e </w:t>
            </w:r>
            <w:r w:rsidR="00CB7E16">
              <w:t xml:space="preserve">range of activities and sources in the </w:t>
            </w:r>
            <w:r>
              <w:t>LSRS i</w:t>
            </w:r>
            <w:r w:rsidR="00CB7E16">
              <w:t>s</w:t>
            </w:r>
            <w:r w:rsidR="005F171E">
              <w:t xml:space="preserve"> </w:t>
            </w:r>
            <w:r w:rsidR="008067F1">
              <w:t xml:space="preserve">more extensive than the activities and sources currently provided </w:t>
            </w:r>
            <w:r w:rsidR="00E96917">
              <w:t>by</w:t>
            </w:r>
            <w:r w:rsidR="008067F1">
              <w:t xml:space="preserve"> these Guidelines. </w:t>
            </w:r>
            <w:r w:rsidR="00FD56C6">
              <w:t>In addition, the treatment of natur</w:t>
            </w:r>
            <w:r w:rsidR="00E96917">
              <w:t>al</w:t>
            </w:r>
            <w:r w:rsidR="00FD56C6">
              <w:t xml:space="preserve"> disturbance </w:t>
            </w:r>
            <w:r w:rsidR="00F132F3">
              <w:t>differ</w:t>
            </w:r>
            <w:r w:rsidR="00442648">
              <w:t>s</w:t>
            </w:r>
            <w:r w:rsidR="00F132F3">
              <w:t xml:space="preserve">. </w:t>
            </w:r>
            <w:r>
              <w:t xml:space="preserve"> </w:t>
            </w:r>
            <w:r w:rsidR="00A02DF6">
              <w:t>N</w:t>
            </w:r>
            <w:r>
              <w:t xml:space="preserve">otable divergences </w:t>
            </w:r>
            <w:r w:rsidR="00A02DF6">
              <w:t>are</w:t>
            </w:r>
            <w:r>
              <w:t xml:space="preserve"> indicated </w:t>
            </w:r>
            <w:r w:rsidR="00AA169C">
              <w:t>in</w:t>
            </w:r>
            <w:r>
              <w:t xml:space="preserve"> th</w:t>
            </w:r>
            <w:r w:rsidR="00F132F3">
              <w:t xml:space="preserve">e LULUCF Methodological </w:t>
            </w:r>
            <w:r>
              <w:t xml:space="preserve">Guidance. </w:t>
            </w:r>
          </w:p>
          <w:p w14:paraId="336B938D" w14:textId="6FACE18C" w:rsidR="00EB7E68" w:rsidRPr="00A446A6" w:rsidRDefault="00EB7E68"/>
          <w:p w14:paraId="78276B4E" w14:textId="2C7BF3EB" w:rsidR="00EB7E68" w:rsidRPr="00A446A6" w:rsidRDefault="77648CC0">
            <w:r>
              <w:t>S</w:t>
            </w:r>
            <w:r w:rsidR="6FB712B5">
              <w:t>ome</w:t>
            </w:r>
            <w:r w:rsidR="00EB7E68">
              <w:t xml:space="preserve"> users </w:t>
            </w:r>
            <w:r w:rsidR="00097049">
              <w:t>might</w:t>
            </w:r>
            <w:r w:rsidR="00EB7E68">
              <w:t xml:space="preserve"> want further information on how th</w:t>
            </w:r>
            <w:r w:rsidR="00E96917">
              <w:t xml:space="preserve">e Guidelines </w:t>
            </w:r>
            <w:r w:rsidR="00EB7E68">
              <w:t>align with the LSRS and how th</w:t>
            </w:r>
            <w:r w:rsidR="00AD1E4E">
              <w:t>e</w:t>
            </w:r>
            <w:r w:rsidR="00EB7E68">
              <w:t xml:space="preserve"> Guid</w:t>
            </w:r>
            <w:r w:rsidR="00AD1E4E">
              <w:t xml:space="preserve">elines </w:t>
            </w:r>
            <w:r w:rsidR="00EB7E68">
              <w:t>can and cannot be used to assist in compiling a report to meet the requirements of the LSRS.</w:t>
            </w:r>
            <w:r w:rsidR="64477FC5">
              <w:t xml:space="preserve"> For example, users may want </w:t>
            </w:r>
            <w:r w:rsidR="008AB615">
              <w:t>descriptions of how the activities included in the LULUCF Methodological Guidance relate to the LSRS’s required and optional accounting categories and subcategories for land sector value chains (shown in Figure 4.1 of th</w:t>
            </w:r>
            <w:r w:rsidR="4D2A6A5E">
              <w:t>e LSRS)</w:t>
            </w:r>
            <w:r w:rsidR="7BBA70F0">
              <w:t>.</w:t>
            </w:r>
          </w:p>
          <w:p w14:paraId="5F659E55" w14:textId="2BDFEADC" w:rsidR="00EB7E68" w:rsidRPr="000076A9" w:rsidRDefault="00EB7E68">
            <w:pPr>
              <w:rPr>
                <w:b/>
                <w:bCs/>
              </w:rPr>
            </w:pPr>
          </w:p>
          <w:p w14:paraId="0FAAFF0F" w14:textId="41D793C6" w:rsidR="00F97889" w:rsidRDefault="00F8167D" w:rsidP="00F8167D">
            <w:r w:rsidRPr="00F8167D">
              <w:rPr>
                <w:b/>
                <w:bCs/>
              </w:rPr>
              <w:t>6A</w:t>
            </w:r>
            <w:r>
              <w:t xml:space="preserve"> </w:t>
            </w:r>
            <w:r w:rsidR="00EB7E68">
              <w:t xml:space="preserve">Would you benefit from additional information on alignment </w:t>
            </w:r>
            <w:r w:rsidR="00C86F41">
              <w:t>and divergence</w:t>
            </w:r>
            <w:r w:rsidR="00EB7E68">
              <w:t xml:space="preserve"> between th</w:t>
            </w:r>
            <w:r w:rsidR="00E96917">
              <w:t xml:space="preserve">ese </w:t>
            </w:r>
            <w:r w:rsidR="00EB7E68">
              <w:t>Guid</w:t>
            </w:r>
            <w:r w:rsidR="00E96917">
              <w:t xml:space="preserve">elines </w:t>
            </w:r>
            <w:r w:rsidR="00EB7E68">
              <w:t>and the LSRS?</w:t>
            </w:r>
          </w:p>
          <w:p w14:paraId="76DB3690" w14:textId="42DA3E16" w:rsidR="00EB7E68" w:rsidRDefault="00F8167D" w:rsidP="00F8167D">
            <w:r w:rsidRPr="00F8167D">
              <w:rPr>
                <w:b/>
                <w:bCs/>
              </w:rPr>
              <w:t>6B</w:t>
            </w:r>
            <w:r>
              <w:t xml:space="preserve"> </w:t>
            </w:r>
            <w:r w:rsidR="00EB7E68">
              <w:t>If so, on what areas should this additional information focus?</w:t>
            </w:r>
          </w:p>
        </w:tc>
      </w:tr>
    </w:tbl>
    <w:p w14:paraId="403A4973" w14:textId="565261AC" w:rsidR="001E62B2" w:rsidRPr="00427102" w:rsidRDefault="001E62B2" w:rsidP="00BE68D0">
      <w:pPr>
        <w:pStyle w:val="Style3"/>
        <w:ind w:left="567" w:hanging="567"/>
      </w:pPr>
      <w:bookmarkStart w:id="65" w:name="_Ref208781583"/>
      <w:bookmarkStart w:id="66" w:name="_Toc225269962"/>
      <w:r>
        <w:t>Scope 2 electricity emissions</w:t>
      </w:r>
      <w:bookmarkEnd w:id="65"/>
      <w:bookmarkEnd w:id="66"/>
    </w:p>
    <w:p w14:paraId="1720A33C" w14:textId="24249468" w:rsidR="001E62B2" w:rsidRDefault="001E62B2" w:rsidP="001E62B2">
      <w:r>
        <w:t xml:space="preserve">There are </w:t>
      </w:r>
      <w:r w:rsidR="00F23A64">
        <w:t>2</w:t>
      </w:r>
      <w:r>
        <w:t xml:space="preserve"> methods for estimating s</w:t>
      </w:r>
      <w:r w:rsidRPr="00C54CF0">
        <w:t>cope 2</w:t>
      </w:r>
      <w:r>
        <w:rPr>
          <w:b/>
          <w:bCs/>
        </w:rPr>
        <w:t xml:space="preserve"> </w:t>
      </w:r>
      <w:r w:rsidRPr="00525DFF">
        <w:t xml:space="preserve">emissions from </w:t>
      </w:r>
      <w:r>
        <w:rPr>
          <w:rFonts w:cs="Fabriga Light"/>
          <w:color w:val="000000"/>
          <w:lang w:eastAsia="en-AU"/>
        </w:rPr>
        <w:t xml:space="preserve">purchased </w:t>
      </w:r>
      <w:r>
        <w:t xml:space="preserve">electricity: </w:t>
      </w:r>
    </w:p>
    <w:p w14:paraId="5A230232" w14:textId="2A759709" w:rsidR="001E62B2" w:rsidRPr="0017203A" w:rsidRDefault="001E62B2" w:rsidP="001E62B2">
      <w:pPr>
        <w:pStyle w:val="ListParagraph"/>
        <w:numPr>
          <w:ilvl w:val="0"/>
          <w:numId w:val="4"/>
        </w:numPr>
      </w:pPr>
      <w:r w:rsidRPr="0017203A">
        <w:t xml:space="preserve">location-based method - </w:t>
      </w:r>
      <w:r w:rsidR="003C7C3E">
        <w:t xml:space="preserve">uses </w:t>
      </w:r>
      <w:r w:rsidR="003C7C3E" w:rsidRPr="0017203A">
        <w:t>the emissions intensity of</w:t>
      </w:r>
      <w:r w:rsidR="003C7C3E">
        <w:t xml:space="preserve"> the</w:t>
      </w:r>
      <w:r w:rsidR="003C7C3E" w:rsidRPr="0017203A">
        <w:t xml:space="preserve"> electricity </w:t>
      </w:r>
      <w:r w:rsidR="003C7C3E">
        <w:t xml:space="preserve">grid </w:t>
      </w:r>
      <w:r w:rsidR="003C7C3E" w:rsidRPr="0017203A">
        <w:t xml:space="preserve">in the state or territory in which </w:t>
      </w:r>
      <w:r w:rsidR="003C7C3E">
        <w:t xml:space="preserve">the electricity </w:t>
      </w:r>
      <w:r w:rsidR="003C7C3E" w:rsidRPr="0017203A">
        <w:t xml:space="preserve">was </w:t>
      </w:r>
      <w:r w:rsidR="003C7C3E">
        <w:t>purchased</w:t>
      </w:r>
      <w:r w:rsidR="003C7C3E" w:rsidRPr="0017203A" w:rsidDel="003C7C3E">
        <w:t xml:space="preserve"> </w:t>
      </w:r>
      <w:r w:rsidR="003C7C3E">
        <w:t xml:space="preserve"> </w:t>
      </w:r>
    </w:p>
    <w:p w14:paraId="0C182A5C" w14:textId="6CF3B006" w:rsidR="001E62B2" w:rsidRPr="0017203A" w:rsidRDefault="001E62B2" w:rsidP="001E62B2">
      <w:pPr>
        <w:pStyle w:val="ListParagraph"/>
        <w:numPr>
          <w:ilvl w:val="0"/>
          <w:numId w:val="4"/>
        </w:numPr>
      </w:pPr>
      <w:r w:rsidRPr="0017203A">
        <w:lastRenderedPageBreak/>
        <w:t xml:space="preserve">market-based method - </w:t>
      </w:r>
      <w:r w:rsidR="00821A5A">
        <w:t>reflects an entity’s v</w:t>
      </w:r>
      <w:r w:rsidR="00821A5A" w:rsidRPr="00482BD4">
        <w:rPr>
          <w:iCs/>
        </w:rPr>
        <w:t>oluntary purchases of renewable energy (</w:t>
      </w:r>
      <w:r w:rsidR="00821A5A">
        <w:rPr>
          <w:iCs/>
        </w:rPr>
        <w:t>with associated</w:t>
      </w:r>
      <w:r w:rsidR="00821A5A" w:rsidRPr="00482BD4">
        <w:rPr>
          <w:iCs/>
        </w:rPr>
        <w:t xml:space="preserve"> surrender of Renewable Energy Certificates)</w:t>
      </w:r>
      <w:r w:rsidR="00821A5A">
        <w:rPr>
          <w:iCs/>
        </w:rPr>
        <w:t>, which are</w:t>
      </w:r>
      <w:r w:rsidR="00821A5A" w:rsidRPr="00482BD4">
        <w:rPr>
          <w:iCs/>
        </w:rPr>
        <w:t xml:space="preserve"> assign</w:t>
      </w:r>
      <w:r w:rsidR="00821A5A">
        <w:rPr>
          <w:iCs/>
        </w:rPr>
        <w:t>ed</w:t>
      </w:r>
      <w:r w:rsidR="00821A5A" w:rsidRPr="00482BD4">
        <w:rPr>
          <w:iCs/>
        </w:rPr>
        <w:t xml:space="preserve"> an emissions </w:t>
      </w:r>
      <w:r w:rsidR="00821A5A">
        <w:rPr>
          <w:iCs/>
        </w:rPr>
        <w:t>factor</w:t>
      </w:r>
      <w:r w:rsidR="00821A5A" w:rsidRPr="00482BD4">
        <w:rPr>
          <w:iCs/>
        </w:rPr>
        <w:t xml:space="preserve"> </w:t>
      </w:r>
      <w:r w:rsidR="00821A5A">
        <w:rPr>
          <w:iCs/>
        </w:rPr>
        <w:t>of</w:t>
      </w:r>
      <w:r w:rsidR="00821A5A" w:rsidRPr="00482BD4">
        <w:rPr>
          <w:iCs/>
        </w:rPr>
        <w:t xml:space="preserve"> zero</w:t>
      </w:r>
      <w:r w:rsidR="00821A5A">
        <w:rPr>
          <w:iCs/>
        </w:rPr>
        <w:t>.</w:t>
      </w:r>
      <w:r w:rsidRPr="0017203A">
        <w:t xml:space="preserve"> </w:t>
      </w:r>
    </w:p>
    <w:p w14:paraId="161DB802" w14:textId="5D7D1647" w:rsidR="001E62B2" w:rsidRPr="007F2C35" w:rsidRDefault="001E62B2" w:rsidP="001E62B2">
      <w:pPr>
        <w:rPr>
          <w:iCs/>
        </w:rPr>
      </w:pPr>
      <w:r w:rsidRPr="00C54CF0">
        <w:t>Scope 2</w:t>
      </w:r>
      <w:r>
        <w:rPr>
          <w:b/>
          <w:bCs/>
        </w:rPr>
        <w:t xml:space="preserve"> </w:t>
      </w:r>
      <w:r w:rsidRPr="00525DFF">
        <w:t xml:space="preserve">emissions from </w:t>
      </w:r>
      <w:r>
        <w:rPr>
          <w:rFonts w:cs="Fabriga Light"/>
          <w:color w:val="000000"/>
          <w:lang w:eastAsia="en-AU"/>
        </w:rPr>
        <w:t xml:space="preserve">purchased electricity </w:t>
      </w:r>
      <w:r w:rsidRPr="0054190F">
        <w:t>shall</w:t>
      </w:r>
      <w:r w:rsidRPr="005A31C3">
        <w:rPr>
          <w:i/>
          <w:iCs/>
        </w:rPr>
        <w:t xml:space="preserve"> </w:t>
      </w:r>
      <w:r>
        <w:t xml:space="preserve">be estimated and reported using the location-based method. The entity may also estimate and report </w:t>
      </w:r>
      <w:r w:rsidR="003E0691">
        <w:t>S</w:t>
      </w:r>
      <w:r>
        <w:t>cope 2 emissions using the market-based method</w:t>
      </w:r>
      <w:r w:rsidRPr="00487B7D">
        <w:rPr>
          <w:i/>
        </w:rPr>
        <w:t>.</w:t>
      </w:r>
      <w:r>
        <w:rPr>
          <w:iCs/>
        </w:rPr>
        <w:t xml:space="preserve"> Note</w:t>
      </w:r>
      <w:r w:rsidR="00354002">
        <w:rPr>
          <w:iCs/>
        </w:rPr>
        <w:t xml:space="preserve"> that</w:t>
      </w:r>
      <w:r>
        <w:rPr>
          <w:iCs/>
        </w:rPr>
        <w:t xml:space="preserve"> the requirements </w:t>
      </w:r>
      <w:r w:rsidR="00354002">
        <w:rPr>
          <w:iCs/>
        </w:rPr>
        <w:t>for</w:t>
      </w:r>
      <w:r>
        <w:rPr>
          <w:iCs/>
        </w:rPr>
        <w:t xml:space="preserve"> reporting of </w:t>
      </w:r>
      <w:r w:rsidR="003E0691">
        <w:rPr>
          <w:iCs/>
        </w:rPr>
        <w:t>S</w:t>
      </w:r>
      <w:r>
        <w:rPr>
          <w:iCs/>
        </w:rPr>
        <w:t>cope 2 emissions var</w:t>
      </w:r>
      <w:r w:rsidR="003E0691">
        <w:rPr>
          <w:iCs/>
        </w:rPr>
        <w:t>y</w:t>
      </w:r>
      <w:r>
        <w:rPr>
          <w:iCs/>
        </w:rPr>
        <w:t xml:space="preserve"> between frameworks (see Table 7)</w:t>
      </w:r>
      <w:r w:rsidR="006208B6">
        <w:rPr>
          <w:iCs/>
        </w:rPr>
        <w:t>. E</w:t>
      </w:r>
      <w:r w:rsidR="00396465">
        <w:rPr>
          <w:iCs/>
        </w:rPr>
        <w:t>ntities should check these requirements when determining which methods to apply</w:t>
      </w:r>
      <w:r>
        <w:rPr>
          <w:iCs/>
        </w:rPr>
        <w:t xml:space="preserve">. </w:t>
      </w:r>
    </w:p>
    <w:p w14:paraId="0D28DB21" w14:textId="07B09BFD" w:rsidR="001E62B2" w:rsidRDefault="001E62B2" w:rsidP="001E62B2">
      <w:r>
        <w:t>The upstream scope 3 emissions associated with purchased electricity shall be estimated using the location-based method. If an entity has elected to report market-based Scope 2 emissions</w:t>
      </w:r>
      <w:r w:rsidR="009D52F7">
        <w:t>,</w:t>
      </w:r>
      <w:r>
        <w:t xml:space="preserve"> then the associated scope 3 emissions shall also be estimated using the market-based method.</w:t>
      </w:r>
    </w:p>
    <w:p w14:paraId="736B2F84" w14:textId="4B65D4D4" w:rsidR="001E62B2" w:rsidRDefault="001E62B2" w:rsidP="001E62B2">
      <w:r>
        <w:rPr>
          <w:rFonts w:ascii="Aptos Narrow" w:eastAsia="Times New Roman" w:hAnsi="Aptos Narrow" w:cs="Times New Roman"/>
          <w:b/>
          <w:bCs/>
          <w:color w:val="000000"/>
          <w:kern w:val="0"/>
          <w:lang w:eastAsia="en-AU"/>
          <w14:ligatures w14:val="none"/>
        </w:rPr>
        <w:t>Table 7: D</w:t>
      </w:r>
      <w:r w:rsidRPr="00F65B23">
        <w:rPr>
          <w:rFonts w:ascii="Aptos Narrow" w:eastAsia="Times New Roman" w:hAnsi="Aptos Narrow" w:cs="Times New Roman"/>
          <w:b/>
          <w:bCs/>
          <w:color w:val="000000"/>
          <w:kern w:val="0"/>
          <w:lang w:eastAsia="en-AU"/>
          <w14:ligatures w14:val="none"/>
        </w:rPr>
        <w:t xml:space="preserve">ifferences in approach to </w:t>
      </w:r>
      <w:r>
        <w:rPr>
          <w:rFonts w:ascii="Aptos Narrow" w:eastAsia="Times New Roman" w:hAnsi="Aptos Narrow" w:cs="Times New Roman"/>
          <w:b/>
          <w:bCs/>
          <w:color w:val="000000"/>
          <w:kern w:val="0"/>
          <w:lang w:eastAsia="en-AU"/>
          <w14:ligatures w14:val="none"/>
        </w:rPr>
        <w:t>Scope 2 estimation and reporting requirements</w:t>
      </w: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5070"/>
      </w:tblGrid>
      <w:tr w:rsidR="001E62B2" w:rsidRPr="00F65B23" w14:paraId="50AA8C9E" w14:textId="77777777">
        <w:trPr>
          <w:trHeight w:val="676"/>
        </w:trPr>
        <w:tc>
          <w:tcPr>
            <w:tcW w:w="4524" w:type="dxa"/>
            <w:vAlign w:val="center"/>
          </w:tcPr>
          <w:p w14:paraId="720AD36F" w14:textId="15015AF0" w:rsidR="001E62B2" w:rsidRPr="00F65B23" w:rsidRDefault="001E62B2">
            <w:pPr>
              <w:spacing w:after="0" w:line="240" w:lineRule="auto"/>
              <w:jc w:val="center"/>
              <w:rPr>
                <w:rFonts w:ascii="Aptos Narrow" w:eastAsia="Times New Roman" w:hAnsi="Aptos Narrow" w:cs="Times New Roman"/>
                <w:color w:val="000000"/>
                <w:kern w:val="0"/>
                <w:lang w:eastAsia="en-AU"/>
                <w14:ligatures w14:val="none"/>
              </w:rPr>
            </w:pPr>
            <w:r w:rsidRPr="00F65B23">
              <w:rPr>
                <w:rFonts w:ascii="Aptos Narrow" w:eastAsia="Times New Roman" w:hAnsi="Aptos Narrow" w:cs="Times New Roman"/>
                <w:b/>
                <w:bCs/>
                <w:color w:val="000000"/>
                <w:kern w:val="0"/>
                <w:lang w:eastAsia="en-AU"/>
                <w14:ligatures w14:val="none"/>
              </w:rPr>
              <w:t>GHG Protocol</w:t>
            </w:r>
            <w:r w:rsidR="00D97A79">
              <w:rPr>
                <w:rFonts w:ascii="Aptos Narrow" w:eastAsia="Times New Roman" w:hAnsi="Aptos Narrow" w:cs="Times New Roman"/>
                <w:b/>
                <w:bCs/>
                <w:color w:val="000000"/>
                <w:kern w:val="0"/>
                <w:lang w:eastAsia="en-AU"/>
                <w14:ligatures w14:val="none"/>
              </w:rPr>
              <w:t xml:space="preserve"> Scope 2 Guidance</w:t>
            </w:r>
          </w:p>
        </w:tc>
        <w:tc>
          <w:tcPr>
            <w:tcW w:w="5070" w:type="dxa"/>
            <w:vAlign w:val="center"/>
          </w:tcPr>
          <w:p w14:paraId="245E4C87" w14:textId="77777777" w:rsidR="001E62B2" w:rsidRPr="00F65B23" w:rsidRDefault="001E62B2">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Requires reporting of both the location- and market-based methods</w:t>
            </w:r>
          </w:p>
        </w:tc>
      </w:tr>
      <w:tr w:rsidR="001E62B2" w:rsidRPr="00F65B23" w14:paraId="69B19DDF" w14:textId="77777777">
        <w:trPr>
          <w:trHeight w:val="700"/>
        </w:trPr>
        <w:tc>
          <w:tcPr>
            <w:tcW w:w="4524" w:type="dxa"/>
            <w:vAlign w:val="center"/>
          </w:tcPr>
          <w:p w14:paraId="39E15E5E" w14:textId="403C9516" w:rsidR="001E62B2" w:rsidRPr="007F2C35" w:rsidRDefault="001E62B2">
            <w:pPr>
              <w:spacing w:after="0" w:line="240" w:lineRule="auto"/>
              <w:jc w:val="center"/>
              <w:rPr>
                <w:rFonts w:ascii="Aptos Narrow" w:eastAsia="Times New Roman" w:hAnsi="Aptos Narrow" w:cs="Times New Roman"/>
                <w:b/>
                <w:color w:val="000000"/>
                <w:kern w:val="0"/>
                <w:lang w:eastAsia="en-AU"/>
                <w14:ligatures w14:val="none"/>
              </w:rPr>
            </w:pPr>
            <w:r w:rsidRPr="007F2C35">
              <w:rPr>
                <w:rFonts w:ascii="Aptos Narrow" w:eastAsia="Times New Roman" w:hAnsi="Aptos Narrow" w:cs="Times New Roman"/>
                <w:b/>
                <w:bCs/>
                <w:color w:val="000000"/>
                <w:kern w:val="0"/>
                <w:lang w:eastAsia="en-AU"/>
                <w14:ligatures w14:val="none"/>
              </w:rPr>
              <w:t>NGER</w:t>
            </w:r>
            <w:r>
              <w:rPr>
                <w:rFonts w:ascii="Aptos Narrow" w:eastAsia="Times New Roman" w:hAnsi="Aptos Narrow" w:cs="Times New Roman"/>
                <w:b/>
                <w:bCs/>
                <w:color w:val="000000"/>
                <w:kern w:val="0"/>
                <w:lang w:eastAsia="en-AU"/>
                <w14:ligatures w14:val="none"/>
              </w:rPr>
              <w:t xml:space="preserve"> </w:t>
            </w:r>
            <w:r w:rsidR="00766CAF">
              <w:rPr>
                <w:rFonts w:ascii="Aptos Narrow" w:eastAsia="Times New Roman" w:hAnsi="Aptos Narrow" w:cs="Times New Roman"/>
                <w:b/>
                <w:bCs/>
                <w:color w:val="000000"/>
                <w:kern w:val="0"/>
                <w:lang w:eastAsia="en-AU"/>
                <w14:ligatures w14:val="none"/>
              </w:rPr>
              <w:t>scheme</w:t>
            </w:r>
            <w:r w:rsidR="00766CAF" w:rsidRPr="007F2C35">
              <w:rPr>
                <w:rFonts w:ascii="Aptos Narrow" w:eastAsia="Times New Roman" w:hAnsi="Aptos Narrow" w:cs="Times New Roman"/>
                <w:b/>
                <w:color w:val="000000"/>
                <w:kern w:val="0"/>
                <w:lang w:eastAsia="en-AU"/>
                <w14:ligatures w14:val="none"/>
              </w:rPr>
              <w:t xml:space="preserve"> </w:t>
            </w:r>
          </w:p>
        </w:tc>
        <w:tc>
          <w:tcPr>
            <w:tcW w:w="5070" w:type="dxa"/>
            <w:vAlign w:val="center"/>
          </w:tcPr>
          <w:p w14:paraId="15EE153E" w14:textId="4302B596" w:rsidR="001E62B2" w:rsidRPr="00F65B23" w:rsidRDefault="001E62B2">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Require location-based method but market-based method may also be used and disclosed separately</w:t>
            </w:r>
          </w:p>
        </w:tc>
      </w:tr>
      <w:tr w:rsidR="001E62B2" w:rsidRPr="00F65B23" w14:paraId="0664A390" w14:textId="77777777">
        <w:trPr>
          <w:trHeight w:val="840"/>
        </w:trPr>
        <w:tc>
          <w:tcPr>
            <w:tcW w:w="4524" w:type="dxa"/>
            <w:vAlign w:val="center"/>
          </w:tcPr>
          <w:p w14:paraId="5E02769C" w14:textId="77777777" w:rsidR="001E62B2" w:rsidRPr="00F65B23" w:rsidRDefault="001E62B2">
            <w:pPr>
              <w:spacing w:after="0" w:line="240" w:lineRule="auto"/>
              <w:jc w:val="center"/>
              <w:rPr>
                <w:rFonts w:ascii="Aptos Narrow" w:eastAsia="Times New Roman" w:hAnsi="Aptos Narrow" w:cs="Times New Roman"/>
                <w:color w:val="000000"/>
                <w:kern w:val="0"/>
                <w:lang w:eastAsia="en-AU"/>
                <w14:ligatures w14:val="none"/>
              </w:rPr>
            </w:pPr>
            <w:r w:rsidRPr="00F65B23">
              <w:rPr>
                <w:rFonts w:ascii="Aptos Narrow" w:eastAsia="Times New Roman" w:hAnsi="Aptos Narrow" w:cs="Times New Roman"/>
                <w:b/>
                <w:bCs/>
                <w:color w:val="000000"/>
                <w:kern w:val="0"/>
                <w:lang w:eastAsia="en-AU"/>
                <w14:ligatures w14:val="none"/>
              </w:rPr>
              <w:t>ISO 14064-1:2018</w:t>
            </w:r>
          </w:p>
        </w:tc>
        <w:tc>
          <w:tcPr>
            <w:tcW w:w="5070" w:type="dxa"/>
            <w:vAlign w:val="center"/>
          </w:tcPr>
          <w:p w14:paraId="1F8D2F84" w14:textId="0C6C17C1" w:rsidR="001E62B2" w:rsidRPr="00F65B23" w:rsidRDefault="00116398">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Requires location-based method but market-based method may also be used and disclosed separately</w:t>
            </w:r>
          </w:p>
        </w:tc>
      </w:tr>
    </w:tbl>
    <w:p w14:paraId="7B923C68" w14:textId="77777777" w:rsidR="001E62B2" w:rsidRDefault="001E62B2" w:rsidP="00D7070A">
      <w:pPr>
        <w:pStyle w:val="Heading1"/>
        <w:spacing w:before="120"/>
        <w:ind w:left="431" w:hanging="431"/>
      </w:pPr>
      <w:bookmarkStart w:id="67" w:name="_Tracking_emissions_over"/>
      <w:bookmarkStart w:id="68" w:name="_Toc225269963"/>
      <w:bookmarkStart w:id="69" w:name="TrackingEmissionsOverTime"/>
      <w:bookmarkEnd w:id="67"/>
      <w:r>
        <w:t>Tracking emissions over time</w:t>
      </w:r>
      <w:bookmarkEnd w:id="68"/>
    </w:p>
    <w:bookmarkEnd w:id="69"/>
    <w:p w14:paraId="34244CEE" w14:textId="117C5160" w:rsidR="001E62B2" w:rsidRDefault="001E62B2" w:rsidP="001E62B2">
      <w:r>
        <w:t xml:space="preserve">If the entity intends to track emissions and removals over time or is required to report against a target that is based on a historical baseline, then the entity </w:t>
      </w:r>
      <w:r w:rsidRPr="001315F3">
        <w:t>shall</w:t>
      </w:r>
      <w:r>
        <w:t xml:space="preserve"> establish a </w:t>
      </w:r>
      <w:r w:rsidRPr="00F50168">
        <w:rPr>
          <w:b/>
        </w:rPr>
        <w:t xml:space="preserve">base year </w:t>
      </w:r>
      <w:r>
        <w:rPr>
          <w:b/>
        </w:rPr>
        <w:t xml:space="preserve">or </w:t>
      </w:r>
      <w:r w:rsidR="008A4E1A">
        <w:rPr>
          <w:b/>
        </w:rPr>
        <w:t xml:space="preserve">base </w:t>
      </w:r>
      <w:r>
        <w:rPr>
          <w:b/>
        </w:rPr>
        <w:t xml:space="preserve">period </w:t>
      </w:r>
      <w:r>
        <w:t xml:space="preserve">to provide a reference point for assessing change.  </w:t>
      </w:r>
    </w:p>
    <w:p w14:paraId="6FA816B5" w14:textId="520761B0" w:rsidR="001E62B2" w:rsidRDefault="001E62B2" w:rsidP="001E62B2">
      <w:r>
        <w:t xml:space="preserve">A base period is </w:t>
      </w:r>
      <w:r w:rsidR="00B3523F">
        <w:t xml:space="preserve">calculated as an average over multiple consecutive years and </w:t>
      </w:r>
      <w:r>
        <w:t xml:space="preserve">recommended for AFF entities whose operations are affected by seasonal variation and </w:t>
      </w:r>
      <w:r w:rsidR="007504BA">
        <w:t>/ or</w:t>
      </w:r>
      <w:r>
        <w:t xml:space="preserve"> production cycles that extend over multiple years.</w:t>
      </w:r>
      <w:r w:rsidDel="00EA7193">
        <w:t xml:space="preserve"> </w:t>
      </w:r>
      <w:r>
        <w:t xml:space="preserve">Applying a multi-year average </w:t>
      </w:r>
      <w:r w:rsidRPr="0034722F">
        <w:t>helps reduce the influence of year-to-year fluctuations creating a more representative reference point for tracking emissions and removals over time</w:t>
      </w:r>
      <w:r>
        <w:t xml:space="preserve">. </w:t>
      </w:r>
      <w:r w:rsidR="00FD5019">
        <w:t xml:space="preserve">In contrast, </w:t>
      </w:r>
      <w:r w:rsidR="00D35770">
        <w:t>a</w:t>
      </w:r>
      <w:r w:rsidRPr="00FF6129">
        <w:t xml:space="preserve"> single-year base year </w:t>
      </w:r>
      <w:r w:rsidR="001746FA">
        <w:t>can</w:t>
      </w:r>
      <w:r w:rsidRPr="00FF6129">
        <w:t xml:space="preserve"> be appropriate where annual variability is low</w:t>
      </w:r>
      <w:r w:rsidR="00550C43">
        <w:t xml:space="preserve"> and / or where production cycles do not extend over multiple years</w:t>
      </w:r>
      <w:r>
        <w:t>.</w:t>
      </w:r>
    </w:p>
    <w:p w14:paraId="1E7C0C33" w14:textId="050BFB0A" w:rsidR="001E62B2" w:rsidRDefault="001E62B2" w:rsidP="001E62B2">
      <w:r>
        <w:t xml:space="preserve">A suitable interval for quantifying a base period should ideally cover multiple production cycles and consider climatic cycles relevant to the location and production system. For example, a period of 3-5 years </w:t>
      </w:r>
      <w:r w:rsidR="001746FA">
        <w:t xml:space="preserve">can </w:t>
      </w:r>
      <w:r>
        <w:t xml:space="preserve">be appropriate to establish a </w:t>
      </w:r>
      <w:r w:rsidRPr="005621F4">
        <w:t xml:space="preserve">representative </w:t>
      </w:r>
      <w:r>
        <w:t xml:space="preserve">base </w:t>
      </w:r>
      <w:r w:rsidR="003660A5">
        <w:t xml:space="preserve">period </w:t>
      </w:r>
      <w:r w:rsidRPr="005621F4">
        <w:t>for tracking emissions and removals over time.</w:t>
      </w:r>
      <w:r>
        <w:t xml:space="preserve">  </w:t>
      </w:r>
    </w:p>
    <w:p w14:paraId="17ECD07B" w14:textId="77777777" w:rsidR="001E62B2" w:rsidRPr="002F6082" w:rsidRDefault="001E62B2" w:rsidP="00BE68D0">
      <w:pPr>
        <w:pStyle w:val="Style3"/>
        <w:ind w:left="567" w:hanging="567"/>
      </w:pPr>
      <w:bookmarkStart w:id="70" w:name="_Ref208796598"/>
      <w:bookmarkStart w:id="71" w:name="_Toc225269964"/>
      <w:r w:rsidRPr="00222715">
        <w:t xml:space="preserve">Establishing </w:t>
      </w:r>
      <w:r>
        <w:t xml:space="preserve">a </w:t>
      </w:r>
      <w:r w:rsidRPr="00222715">
        <w:t>base</w:t>
      </w:r>
      <w:r>
        <w:t xml:space="preserve"> year </w:t>
      </w:r>
      <w:bookmarkEnd w:id="70"/>
      <w:r>
        <w:t>or base period</w:t>
      </w:r>
      <w:bookmarkEnd w:id="71"/>
    </w:p>
    <w:p w14:paraId="7306AAE3" w14:textId="77777777" w:rsidR="001E62B2" w:rsidRPr="00E6239E" w:rsidRDefault="001E62B2" w:rsidP="001E62B2">
      <w:r>
        <w:t>To</w:t>
      </w:r>
      <w:r w:rsidRPr="00E6239E">
        <w:t xml:space="preserve"> establish </w:t>
      </w:r>
      <w:r>
        <w:t>a</w:t>
      </w:r>
      <w:r w:rsidRPr="00E6239E">
        <w:t xml:space="preserve"> base year </w:t>
      </w:r>
      <w:r>
        <w:t>or period</w:t>
      </w:r>
      <w:r w:rsidRPr="00E6239E">
        <w:t xml:space="preserve"> the </w:t>
      </w:r>
      <w:r>
        <w:t>entity shall</w:t>
      </w:r>
      <w:r w:rsidRPr="00E6239E">
        <w:t>:</w:t>
      </w:r>
    </w:p>
    <w:p w14:paraId="61D6CD1C" w14:textId="77777777" w:rsidR="001E62B2" w:rsidRDefault="001E62B2" w:rsidP="001E62B2">
      <w:r w:rsidRPr="0082560D">
        <w:rPr>
          <w:b/>
          <w:bCs/>
        </w:rPr>
        <w:t xml:space="preserve">Step </w:t>
      </w:r>
      <w:r>
        <w:rPr>
          <w:b/>
          <w:bCs/>
        </w:rPr>
        <w:t>1</w:t>
      </w:r>
      <w:r w:rsidRPr="0082560D">
        <w:rPr>
          <w:b/>
          <w:bCs/>
        </w:rPr>
        <w:t>:</w:t>
      </w:r>
      <w:r>
        <w:t xml:space="preserve"> </w:t>
      </w:r>
      <w:r w:rsidRPr="00E24F3F">
        <w:rPr>
          <w:b/>
          <w:bCs/>
        </w:rPr>
        <w:t>Select the base year (or period)</w:t>
      </w:r>
      <w:r>
        <w:t xml:space="preserve"> </w:t>
      </w:r>
      <w:r w:rsidRPr="009C50E9">
        <w:t xml:space="preserve"> </w:t>
      </w:r>
    </w:p>
    <w:p w14:paraId="088794C0" w14:textId="7922FC5A" w:rsidR="001E62B2" w:rsidRDefault="001E62B2" w:rsidP="001E62B2">
      <w:pPr>
        <w:pStyle w:val="ListParagraph"/>
        <w:numPr>
          <w:ilvl w:val="0"/>
          <w:numId w:val="4"/>
        </w:numPr>
      </w:pPr>
      <w:r w:rsidRPr="00E24F3F">
        <w:t xml:space="preserve">Choose a single year or contiguous multi-year period for which </w:t>
      </w:r>
      <w:r>
        <w:t xml:space="preserve">reliable data and </w:t>
      </w:r>
      <w:r w:rsidRPr="00E24F3F">
        <w:t>data representative of normal operations</w:t>
      </w:r>
      <w:r>
        <w:t xml:space="preserve"> </w:t>
      </w:r>
      <w:r w:rsidR="00EB72F4">
        <w:t>are</w:t>
      </w:r>
      <w:r>
        <w:t xml:space="preserve"> available.</w:t>
      </w:r>
    </w:p>
    <w:p w14:paraId="54623A9A" w14:textId="77777777" w:rsidR="001E62B2" w:rsidRDefault="001E62B2" w:rsidP="001E62B2">
      <w:pPr>
        <w:pStyle w:val="ListParagraph"/>
        <w:numPr>
          <w:ilvl w:val="1"/>
          <w:numId w:val="4"/>
        </w:numPr>
      </w:pPr>
      <w:r w:rsidRPr="00C31B25">
        <w:t xml:space="preserve">If a corporate base year </w:t>
      </w:r>
      <w:r>
        <w:t>has already been established</w:t>
      </w:r>
      <w:r w:rsidRPr="00C31B25">
        <w:t>, centre the multi-year period on that year</w:t>
      </w:r>
      <w:r>
        <w:t>.</w:t>
      </w:r>
    </w:p>
    <w:p w14:paraId="576F1044" w14:textId="77777777" w:rsidR="001E62B2" w:rsidRDefault="001E62B2" w:rsidP="001E62B2">
      <w:pPr>
        <w:pStyle w:val="ListParagraph"/>
        <w:numPr>
          <w:ilvl w:val="1"/>
          <w:numId w:val="4"/>
        </w:numPr>
      </w:pPr>
      <w:r w:rsidRPr="00DA63F1">
        <w:lastRenderedPageBreak/>
        <w:t xml:space="preserve">If </w:t>
      </w:r>
      <w:r>
        <w:t>reliable or representative</w:t>
      </w:r>
      <w:r w:rsidRPr="00DA63F1">
        <w:t xml:space="preserve"> </w:t>
      </w:r>
      <w:r>
        <w:t>data are</w:t>
      </w:r>
      <w:r w:rsidRPr="00DA63F1">
        <w:t xml:space="preserve"> not available</w:t>
      </w:r>
      <w:r>
        <w:t xml:space="preserve"> for past years,</w:t>
      </w:r>
      <w:r w:rsidRPr="00DA63F1">
        <w:t xml:space="preserve"> the entity may use its first GHG inventory period as </w:t>
      </w:r>
      <w:r>
        <w:t>its</w:t>
      </w:r>
      <w:r w:rsidRPr="00DA63F1">
        <w:t xml:space="preserve"> base year</w:t>
      </w:r>
      <w:r>
        <w:t>.</w:t>
      </w:r>
    </w:p>
    <w:p w14:paraId="5ACFF73D" w14:textId="77777777" w:rsidR="001E62B2" w:rsidRPr="00E24F3F" w:rsidRDefault="001E62B2" w:rsidP="001E62B2">
      <w:pPr>
        <w:pStyle w:val="ListParagraph"/>
        <w:numPr>
          <w:ilvl w:val="0"/>
          <w:numId w:val="4"/>
        </w:numPr>
      </w:pPr>
      <w:r w:rsidRPr="00E24F3F">
        <w:t>Provide a clear rationale for the selected year or period.</w:t>
      </w:r>
    </w:p>
    <w:p w14:paraId="774CC6A2" w14:textId="77777777" w:rsidR="001E62B2" w:rsidRDefault="001E62B2" w:rsidP="001E62B2">
      <w:r w:rsidRPr="009C50E9">
        <w:rPr>
          <w:b/>
          <w:bCs/>
        </w:rPr>
        <w:t xml:space="preserve">Step </w:t>
      </w:r>
      <w:r>
        <w:rPr>
          <w:b/>
          <w:bCs/>
        </w:rPr>
        <w:t>2</w:t>
      </w:r>
      <w:r w:rsidRPr="009C50E9">
        <w:rPr>
          <w:b/>
          <w:bCs/>
        </w:rPr>
        <w:t>:</w:t>
      </w:r>
      <w:r w:rsidRPr="00130467">
        <w:t xml:space="preserve"> </w:t>
      </w:r>
      <w:r w:rsidRPr="00130467">
        <w:rPr>
          <w:b/>
          <w:bCs/>
        </w:rPr>
        <w:t>Estimate annual GHG emissions and removals</w:t>
      </w:r>
      <w:r>
        <w:t xml:space="preserve"> </w:t>
      </w:r>
      <w:r w:rsidRPr="00D36DAF">
        <w:rPr>
          <w:b/>
        </w:rPr>
        <w:t>and base period value</w:t>
      </w:r>
    </w:p>
    <w:p w14:paraId="576D2F22" w14:textId="77777777" w:rsidR="001E62B2" w:rsidRDefault="001E62B2" w:rsidP="001E62B2">
      <w:pPr>
        <w:pStyle w:val="ListParagraph"/>
        <w:numPr>
          <w:ilvl w:val="0"/>
          <w:numId w:val="4"/>
        </w:numPr>
      </w:pPr>
      <w:r>
        <w:t>E</w:t>
      </w:r>
      <w:r w:rsidRPr="00DF6FE1">
        <w:t>stimate</w:t>
      </w:r>
      <w:r>
        <w:t xml:space="preserve"> the</w:t>
      </w:r>
      <w:r w:rsidRPr="00DF6FE1">
        <w:t xml:space="preserve"> </w:t>
      </w:r>
      <w:r w:rsidRPr="00130467">
        <w:rPr>
          <w:i/>
          <w:iCs/>
        </w:rPr>
        <w:t>annual</w:t>
      </w:r>
      <w:r w:rsidRPr="00DF6FE1">
        <w:t xml:space="preserve"> GHG emissions and removals (by gas and scope) for </w:t>
      </w:r>
      <w:r>
        <w:t xml:space="preserve">the base year, or for </w:t>
      </w:r>
      <w:r w:rsidRPr="00DF6FE1">
        <w:t xml:space="preserve">each year </w:t>
      </w:r>
      <w:r>
        <w:t xml:space="preserve">in the base period.  </w:t>
      </w:r>
    </w:p>
    <w:p w14:paraId="12B615FA" w14:textId="77777777" w:rsidR="001E62B2" w:rsidRDefault="001E62B2" w:rsidP="001E62B2">
      <w:pPr>
        <w:pStyle w:val="ListParagraph"/>
        <w:numPr>
          <w:ilvl w:val="0"/>
          <w:numId w:val="4"/>
        </w:numPr>
      </w:pPr>
      <w:r>
        <w:t>If using a multi-year average calculate</w:t>
      </w:r>
      <w:r w:rsidRPr="009856EA">
        <w:t xml:space="preserve"> the mean of the annual totals to derive </w:t>
      </w:r>
      <w:r>
        <w:t>the</w:t>
      </w:r>
      <w:r w:rsidRPr="009856EA">
        <w:t xml:space="preserve"> base </w:t>
      </w:r>
      <w:r>
        <w:t>period</w:t>
      </w:r>
      <w:r w:rsidRPr="009856EA">
        <w:t xml:space="preserve"> value</w:t>
      </w:r>
      <w:r>
        <w:t>.</w:t>
      </w:r>
    </w:p>
    <w:p w14:paraId="6E75DD80" w14:textId="77777777" w:rsidR="001E62B2" w:rsidRDefault="001E62B2" w:rsidP="001E62B2">
      <w:pPr>
        <w:pStyle w:val="ListParagraph"/>
        <w:numPr>
          <w:ilvl w:val="0"/>
          <w:numId w:val="4"/>
        </w:numPr>
      </w:pPr>
      <w:r>
        <w:t>Document d</w:t>
      </w:r>
      <w:r w:rsidRPr="00363CA2">
        <w:t>ata sources and methods used to estimate emissions and removals</w:t>
      </w:r>
      <w:r>
        <w:t>.</w:t>
      </w:r>
    </w:p>
    <w:p w14:paraId="3ABF74DB" w14:textId="77777777" w:rsidR="001E62B2" w:rsidRPr="00417F72" w:rsidRDefault="001E62B2" w:rsidP="001E62B2">
      <w:pPr>
        <w:rPr>
          <w:b/>
          <w:bCs/>
        </w:rPr>
      </w:pPr>
      <w:r w:rsidRPr="007615E4">
        <w:rPr>
          <w:b/>
          <w:bCs/>
        </w:rPr>
        <w:t xml:space="preserve">Step </w:t>
      </w:r>
      <w:r>
        <w:rPr>
          <w:b/>
          <w:bCs/>
        </w:rPr>
        <w:t>3</w:t>
      </w:r>
      <w:r w:rsidRPr="007615E4">
        <w:rPr>
          <w:b/>
          <w:bCs/>
        </w:rPr>
        <w:t>:</w:t>
      </w:r>
      <w:r>
        <w:t xml:space="preserve"> </w:t>
      </w:r>
      <w:r w:rsidRPr="00417F72">
        <w:rPr>
          <w:b/>
          <w:bCs/>
        </w:rPr>
        <w:t xml:space="preserve">Document outliers and data exclusions </w:t>
      </w:r>
    </w:p>
    <w:p w14:paraId="5DF2CB0D" w14:textId="77777777" w:rsidR="001E62B2" w:rsidRDefault="001E62B2" w:rsidP="001E62B2">
      <w:pPr>
        <w:pStyle w:val="ListParagraph"/>
        <w:numPr>
          <w:ilvl w:val="0"/>
          <w:numId w:val="4"/>
        </w:numPr>
      </w:pPr>
      <w:r>
        <w:t xml:space="preserve">Document any </w:t>
      </w:r>
      <w:r w:rsidRPr="007615E4">
        <w:t>extreme or non-representative events (e.g., droughts, fires, or market disruptions)</w:t>
      </w:r>
      <w:r>
        <w:t>.</w:t>
      </w:r>
    </w:p>
    <w:p w14:paraId="4664953A" w14:textId="77777777" w:rsidR="001E62B2" w:rsidRDefault="001E62B2" w:rsidP="001E62B2">
      <w:pPr>
        <w:pStyle w:val="ListParagraph"/>
        <w:numPr>
          <w:ilvl w:val="0"/>
          <w:numId w:val="4"/>
        </w:numPr>
      </w:pPr>
      <w:r w:rsidRPr="007615E4">
        <w:t>Outliers should generally be included unless demonstrably non-representative of typical operations</w:t>
      </w:r>
      <w:r>
        <w:t>.</w:t>
      </w:r>
    </w:p>
    <w:p w14:paraId="1BBDB44E" w14:textId="77777777" w:rsidR="001E62B2" w:rsidRDefault="001E62B2" w:rsidP="001E62B2">
      <w:pPr>
        <w:pStyle w:val="ListParagraph"/>
        <w:numPr>
          <w:ilvl w:val="0"/>
          <w:numId w:val="4"/>
        </w:numPr>
      </w:pPr>
      <w:r w:rsidRPr="007615E4">
        <w:t>If any data are excluded, document the exclusion criteria and</w:t>
      </w:r>
      <w:r>
        <w:t>, if relevant,</w:t>
      </w:r>
      <w:r w:rsidRPr="007615E4">
        <w:t xml:space="preserve"> describe the effect on the average</w:t>
      </w:r>
      <w:r>
        <w:t xml:space="preserve">. </w:t>
      </w:r>
    </w:p>
    <w:p w14:paraId="57BACCD5" w14:textId="77777777" w:rsidR="001E62B2" w:rsidRPr="00E4654B" w:rsidRDefault="001E62B2" w:rsidP="001E62B2">
      <w:r>
        <w:t>If the entity</w:t>
      </w:r>
      <w:r w:rsidRPr="00E6239E">
        <w:t xml:space="preserve"> change</w:t>
      </w:r>
      <w:r>
        <w:t>s</w:t>
      </w:r>
      <w:r w:rsidRPr="00E6239E">
        <w:t xml:space="preserve"> its base year </w:t>
      </w:r>
      <w:r>
        <w:t xml:space="preserve">the entity </w:t>
      </w:r>
      <w:r w:rsidRPr="00E6239E">
        <w:t xml:space="preserve">shall </w:t>
      </w:r>
      <w:r>
        <w:t>disclose the reasons and implications for targets and trend analysis.</w:t>
      </w:r>
    </w:p>
    <w:p w14:paraId="3450DF92" w14:textId="77777777" w:rsidR="001E62B2" w:rsidRPr="00A26667" w:rsidRDefault="001E62B2" w:rsidP="00BE68D0">
      <w:pPr>
        <w:pStyle w:val="Style3"/>
        <w:ind w:left="567" w:hanging="567"/>
      </w:pPr>
      <w:bookmarkStart w:id="72" w:name="_Ref208791295"/>
      <w:bookmarkStart w:id="73" w:name="_Toc225269965"/>
      <w:r w:rsidRPr="001C64E2">
        <w:t>Recalculations</w:t>
      </w:r>
      <w:bookmarkStart w:id="74" w:name="_Ref208706481"/>
      <w:bookmarkEnd w:id="72"/>
      <w:bookmarkEnd w:id="73"/>
      <w:r w:rsidRPr="00222715">
        <w:t xml:space="preserve"> </w:t>
      </w:r>
      <w:bookmarkEnd w:id="74"/>
    </w:p>
    <w:p w14:paraId="1D9DB5DD" w14:textId="77777777" w:rsidR="001E62B2" w:rsidRDefault="001E62B2" w:rsidP="001E62B2">
      <w:r>
        <w:t>Recalculations of previous inventories ensures time series consistency when methodologies, emission factors, or entity boundaries change. Recalculations provide integrity in tracking GHG emissions trends and assessing progress against the base year</w:t>
      </w:r>
      <w:r w:rsidDel="008706E0">
        <w:t xml:space="preserve"> or base period</w:t>
      </w:r>
      <w:r>
        <w:t>.</w:t>
      </w:r>
      <w:r w:rsidRPr="00FE26B6">
        <w:t xml:space="preserve"> </w:t>
      </w:r>
    </w:p>
    <w:p w14:paraId="4656A03F" w14:textId="77777777" w:rsidR="001E62B2" w:rsidRDefault="001E62B2" w:rsidP="001E62B2">
      <w:r>
        <w:t>The entity shall consider the need for recalculations when substantial cumulative changes in emissions result from:</w:t>
      </w:r>
    </w:p>
    <w:p w14:paraId="044E7D3D" w14:textId="77777777" w:rsidR="001E62B2" w:rsidRDefault="001E62B2" w:rsidP="001E62B2">
      <w:pPr>
        <w:pStyle w:val="ListParagraph"/>
        <w:numPr>
          <w:ilvl w:val="0"/>
          <w:numId w:val="6"/>
        </w:numPr>
        <w:spacing w:line="278" w:lineRule="auto"/>
      </w:pPr>
      <w:r>
        <w:t>Methodological changes:</w:t>
      </w:r>
    </w:p>
    <w:p w14:paraId="5227334C" w14:textId="77777777" w:rsidR="001E62B2" w:rsidRDefault="001E62B2" w:rsidP="00076B9B">
      <w:pPr>
        <w:pStyle w:val="ListParagraph"/>
        <w:numPr>
          <w:ilvl w:val="0"/>
          <w:numId w:val="17"/>
        </w:numPr>
        <w:spacing w:line="278" w:lineRule="auto"/>
      </w:pPr>
      <w:r>
        <w:t>Relevant methods in the Methodological Guidance are revised.</w:t>
      </w:r>
    </w:p>
    <w:p w14:paraId="44E7D5E8" w14:textId="77777777" w:rsidR="001E62B2" w:rsidRDefault="001E62B2" w:rsidP="00076B9B">
      <w:pPr>
        <w:pStyle w:val="ListParagraph"/>
        <w:numPr>
          <w:ilvl w:val="0"/>
          <w:numId w:val="17"/>
        </w:numPr>
        <w:spacing w:line="278" w:lineRule="auto"/>
      </w:pPr>
      <w:r>
        <w:t>Errors in previous calculations are identified.</w:t>
      </w:r>
    </w:p>
    <w:p w14:paraId="0D060352" w14:textId="77777777" w:rsidR="001E62B2" w:rsidRDefault="001E62B2" w:rsidP="00076B9B">
      <w:pPr>
        <w:pStyle w:val="ListParagraph"/>
        <w:numPr>
          <w:ilvl w:val="0"/>
          <w:numId w:val="17"/>
        </w:numPr>
        <w:spacing w:line="278" w:lineRule="auto"/>
      </w:pPr>
      <w:r>
        <w:t>The calculation approach used changes from lower to higher Method level.</w:t>
      </w:r>
    </w:p>
    <w:p w14:paraId="3ABA12B1" w14:textId="77777777" w:rsidR="001E62B2" w:rsidRDefault="001E62B2" w:rsidP="00076B9B">
      <w:pPr>
        <w:pStyle w:val="ListParagraph"/>
        <w:numPr>
          <w:ilvl w:val="0"/>
          <w:numId w:val="17"/>
        </w:numPr>
        <w:spacing w:line="278" w:lineRule="auto"/>
      </w:pPr>
      <w:r>
        <w:t>The scope 2 methodology used changes from location-based to market-based.</w:t>
      </w:r>
    </w:p>
    <w:p w14:paraId="0F6BE918" w14:textId="77777777" w:rsidR="001E62B2" w:rsidRDefault="001E62B2" w:rsidP="001E62B2">
      <w:pPr>
        <w:pStyle w:val="ListParagraph"/>
        <w:numPr>
          <w:ilvl w:val="0"/>
          <w:numId w:val="6"/>
        </w:numPr>
        <w:spacing w:line="278" w:lineRule="auto"/>
      </w:pPr>
      <w:r>
        <w:t>Structural changes:</w:t>
      </w:r>
    </w:p>
    <w:p w14:paraId="39D9FA90" w14:textId="77777777" w:rsidR="001E62B2" w:rsidRDefault="001E62B2" w:rsidP="00076B9B">
      <w:pPr>
        <w:pStyle w:val="ListParagraph"/>
        <w:numPr>
          <w:ilvl w:val="0"/>
          <w:numId w:val="17"/>
        </w:numPr>
        <w:spacing w:line="278" w:lineRule="auto"/>
      </w:pPr>
      <w:r>
        <w:t>Changes to entity boundaries through acquisition, divestment, or outsourcing.</w:t>
      </w:r>
    </w:p>
    <w:p w14:paraId="7A6E2CAB" w14:textId="77777777" w:rsidR="001E62B2" w:rsidRDefault="001E62B2" w:rsidP="00076B9B">
      <w:pPr>
        <w:pStyle w:val="ListParagraph"/>
        <w:numPr>
          <w:ilvl w:val="0"/>
          <w:numId w:val="17"/>
        </w:numPr>
        <w:spacing w:line="278" w:lineRule="auto"/>
      </w:pPr>
      <w:r>
        <w:t>Changes to reporting boundaries affecting scope classification.</w:t>
      </w:r>
    </w:p>
    <w:p w14:paraId="6FB48B76" w14:textId="77777777" w:rsidR="001E62B2" w:rsidRDefault="001E62B2" w:rsidP="00076B9B">
      <w:pPr>
        <w:pStyle w:val="ListParagraph"/>
        <w:numPr>
          <w:ilvl w:val="0"/>
          <w:numId w:val="17"/>
        </w:numPr>
        <w:spacing w:line="278" w:lineRule="auto"/>
      </w:pPr>
      <w:r>
        <w:t>Discovery of previously unreported emission sources or sinks.</w:t>
      </w:r>
    </w:p>
    <w:p w14:paraId="7C572B12" w14:textId="77777777" w:rsidR="001E62B2" w:rsidRDefault="001E62B2" w:rsidP="001E62B2">
      <w:r>
        <w:t xml:space="preserve">The entity shall not recalculate its base-year GHG inventory to reflect changes in production levels or acquisition of operations that did not exist in the base year. </w:t>
      </w:r>
    </w:p>
    <w:p w14:paraId="371C3F76" w14:textId="77777777" w:rsidR="001E62B2" w:rsidRDefault="001E62B2" w:rsidP="001E62B2">
      <w:r>
        <w:t xml:space="preserve">If significant cumulative changes are identified the entity: </w:t>
      </w:r>
    </w:p>
    <w:p w14:paraId="51BB5753" w14:textId="52A4E2AA" w:rsidR="001E62B2" w:rsidRDefault="001E62B2" w:rsidP="00076B9B">
      <w:pPr>
        <w:pStyle w:val="ListParagraph"/>
        <w:numPr>
          <w:ilvl w:val="0"/>
          <w:numId w:val="17"/>
        </w:numPr>
        <w:spacing w:line="278" w:lineRule="auto"/>
      </w:pPr>
      <w:r>
        <w:t>shall recalculate the base year</w:t>
      </w:r>
      <w:r w:rsidR="004A55FD">
        <w:t xml:space="preserve"> or </w:t>
      </w:r>
      <w:r>
        <w:t>period</w:t>
      </w:r>
    </w:p>
    <w:p w14:paraId="1B11F39B" w14:textId="77777777" w:rsidR="001E62B2" w:rsidRDefault="001E62B2" w:rsidP="00076B9B">
      <w:pPr>
        <w:pStyle w:val="ListParagraph"/>
        <w:numPr>
          <w:ilvl w:val="0"/>
          <w:numId w:val="17"/>
        </w:numPr>
        <w:spacing w:line="278" w:lineRule="auto"/>
      </w:pPr>
      <w:r>
        <w:t>should consider recalculating all previous GHG inventories in the time series if necessary to trend integrity.</w:t>
      </w:r>
    </w:p>
    <w:p w14:paraId="1ABB3CBB" w14:textId="77777777" w:rsidR="001E62B2" w:rsidRDefault="001E62B2" w:rsidP="001E62B2">
      <w:r>
        <w:lastRenderedPageBreak/>
        <w:t>When recalculations are undertaken, the entity shall:</w:t>
      </w:r>
    </w:p>
    <w:p w14:paraId="1C1586FC" w14:textId="77777777" w:rsidR="001E62B2" w:rsidRDefault="001E62B2" w:rsidP="00076B9B">
      <w:pPr>
        <w:pStyle w:val="ListParagraph"/>
        <w:numPr>
          <w:ilvl w:val="0"/>
          <w:numId w:val="17"/>
        </w:numPr>
        <w:spacing w:line="278" w:lineRule="auto"/>
      </w:pPr>
      <w:r>
        <w:t>apply the updated methodology consistently to the base year or period and most recent inventory</w:t>
      </w:r>
    </w:p>
    <w:p w14:paraId="00E83C1B" w14:textId="77777777" w:rsidR="001E62B2" w:rsidRDefault="001E62B2" w:rsidP="00076B9B">
      <w:pPr>
        <w:pStyle w:val="ListParagraph"/>
        <w:numPr>
          <w:ilvl w:val="0"/>
          <w:numId w:val="17"/>
        </w:numPr>
        <w:spacing w:line="278" w:lineRule="auto"/>
      </w:pPr>
      <w:r>
        <w:t>document the nature and rationale for recalculations and the recalculation methodology</w:t>
      </w:r>
    </w:p>
    <w:p w14:paraId="68568104" w14:textId="77777777" w:rsidR="001E62B2" w:rsidRDefault="001E62B2" w:rsidP="00076B9B">
      <w:pPr>
        <w:pStyle w:val="ListParagraph"/>
        <w:numPr>
          <w:ilvl w:val="0"/>
          <w:numId w:val="17"/>
        </w:numPr>
        <w:spacing w:line="278" w:lineRule="auto"/>
      </w:pPr>
      <w:r>
        <w:t xml:space="preserve">report both original and recalculated values for transparency </w:t>
      </w:r>
    </w:p>
    <w:p w14:paraId="59A072E9" w14:textId="3CBD3D25" w:rsidR="001E62B2" w:rsidRPr="00202509" w:rsidRDefault="001E62B2" w:rsidP="001E62B2">
      <w:r>
        <w:t xml:space="preserve">The entity </w:t>
      </w:r>
      <w:r w:rsidRPr="00523B1B">
        <w:t>shall</w:t>
      </w:r>
      <w:r w:rsidRPr="00523B1B">
        <w:rPr>
          <w:b/>
          <w:bCs/>
        </w:rPr>
        <w:t xml:space="preserve"> </w:t>
      </w:r>
      <w:r>
        <w:t>develop, document and apply a base</w:t>
      </w:r>
      <w:r w:rsidRPr="00523B1B">
        <w:rPr>
          <w:rFonts w:ascii="Cambria Math" w:hAnsi="Cambria Math" w:cs="Cambria Math"/>
        </w:rPr>
        <w:t>‐</w:t>
      </w:r>
      <w:r>
        <w:t>year review and recalculation procedure to address significant cumulative changes in base</w:t>
      </w:r>
      <w:r w:rsidRPr="00523B1B">
        <w:rPr>
          <w:rFonts w:ascii="Cambria Math" w:hAnsi="Cambria Math" w:cs="Cambria Math"/>
        </w:rPr>
        <w:t>‐</w:t>
      </w:r>
      <w:r>
        <w:t>year emissions. To</w:t>
      </w:r>
      <w:r w:rsidRPr="00202509">
        <w:t xml:space="preserve"> determin</w:t>
      </w:r>
      <w:r>
        <w:t xml:space="preserve">e </w:t>
      </w:r>
      <w:r w:rsidRPr="00202509">
        <w:t>significan</w:t>
      </w:r>
      <w:r>
        <w:t>ce</w:t>
      </w:r>
      <w:r w:rsidRPr="00202509">
        <w:t xml:space="preserve"> the entity should set significance thresholds (i.e. if they cause a change that exceeds x% of the base </w:t>
      </w:r>
      <w:r w:rsidR="005055FD">
        <w:t>year or</w:t>
      </w:r>
      <w:r w:rsidRPr="00202509">
        <w:t xml:space="preserve"> </w:t>
      </w:r>
      <w:r w:rsidR="005055FD">
        <w:t xml:space="preserve">base </w:t>
      </w:r>
      <w:r w:rsidRPr="00202509">
        <w:t xml:space="preserve">period inventory). These Guidelines do not define significance thresholds. Once defined, </w:t>
      </w:r>
      <w:r>
        <w:t>the</w:t>
      </w:r>
      <w:r w:rsidRPr="00202509">
        <w:t xml:space="preserve"> significance threshold</w:t>
      </w:r>
      <w:r>
        <w:t>s</w:t>
      </w:r>
      <w:r w:rsidRPr="00202509">
        <w:t xml:space="preserve"> should be applied consistently over time.</w:t>
      </w:r>
    </w:p>
    <w:p w14:paraId="7B652EA1" w14:textId="77777777" w:rsidR="001E62B2" w:rsidRDefault="001E62B2" w:rsidP="001E62B2">
      <w:pPr>
        <w:pStyle w:val="Heading1"/>
        <w:spacing w:before="120"/>
        <w:ind w:left="431" w:hanging="431"/>
      </w:pPr>
      <w:bookmarkStart w:id="75" w:name="_Assessing_the_quality"/>
      <w:bookmarkStart w:id="76" w:name="_Ref208704003"/>
      <w:bookmarkStart w:id="77" w:name="_Toc225269966"/>
      <w:bookmarkStart w:id="78" w:name="AssessingDataQuality"/>
      <w:bookmarkEnd w:id="75"/>
      <w:r>
        <w:t>Assessing the quality of the GHG inventory</w:t>
      </w:r>
      <w:bookmarkEnd w:id="76"/>
      <w:bookmarkEnd w:id="77"/>
    </w:p>
    <w:bookmarkEnd w:id="78"/>
    <w:p w14:paraId="73BADC75" w14:textId="77777777" w:rsidR="001E62B2" w:rsidRDefault="001E62B2" w:rsidP="001E62B2">
      <w:r w:rsidRPr="009A5479">
        <w:t>GHG</w:t>
      </w:r>
      <w:r>
        <w:t xml:space="preserve"> emissions and removals estimation is always subject to a </w:t>
      </w:r>
      <w:r w:rsidRPr="009A5479">
        <w:t>degree</w:t>
      </w:r>
      <w:r>
        <w:t xml:space="preserve"> </w:t>
      </w:r>
      <w:r w:rsidRPr="009A5479">
        <w:t>of</w:t>
      </w:r>
      <w:r>
        <w:t xml:space="preserve"> </w:t>
      </w:r>
      <w:r w:rsidRPr="009A5479">
        <w:t>uncertainty</w:t>
      </w:r>
      <w:r>
        <w:t xml:space="preserve">. Uncertainty in estimation arises from both: </w:t>
      </w:r>
    </w:p>
    <w:p w14:paraId="62A86C03" w14:textId="77777777" w:rsidR="001E62B2" w:rsidRDefault="001E62B2" w:rsidP="00076B9B">
      <w:pPr>
        <w:pStyle w:val="ListParagraph"/>
        <w:numPr>
          <w:ilvl w:val="0"/>
          <w:numId w:val="13"/>
        </w:numPr>
      </w:pPr>
      <w:r>
        <w:t>t</w:t>
      </w:r>
      <w:r w:rsidRPr="00A23A25">
        <w:t>he</w:t>
      </w:r>
      <w:r w:rsidRPr="00336193">
        <w:t xml:space="preserve"> </w:t>
      </w:r>
      <w:r w:rsidRPr="00C73FB2">
        <w:t xml:space="preserve">simplifications, assumptions, and approximations within a calculation or </w:t>
      </w:r>
      <w:r>
        <w:t xml:space="preserve">a </w:t>
      </w:r>
      <w:r w:rsidRPr="00C73FB2">
        <w:t>process-based model</w:t>
      </w:r>
      <w:r>
        <w:t xml:space="preserve"> used to estimate emissions </w:t>
      </w:r>
    </w:p>
    <w:p w14:paraId="7244A480" w14:textId="77777777" w:rsidR="001E62B2" w:rsidRDefault="001E62B2" w:rsidP="00076B9B">
      <w:pPr>
        <w:pStyle w:val="ListParagraph"/>
        <w:numPr>
          <w:ilvl w:val="0"/>
          <w:numId w:val="13"/>
        </w:numPr>
      </w:pPr>
      <w:r>
        <w:t xml:space="preserve">the parameters / data used to calculate inventory (e.g. emission factors, activity data and other input data (e.g. feed composition). </w:t>
      </w:r>
    </w:p>
    <w:p w14:paraId="4E67B48A" w14:textId="38DAA2E5" w:rsidR="001E62B2" w:rsidRDefault="001E62B2" w:rsidP="001E62B2">
      <w:r>
        <w:t xml:space="preserve">In general, entities should focus on understanding and reducing uncertainty associated with the </w:t>
      </w:r>
      <w:r w:rsidR="000B1B77">
        <w:t xml:space="preserve">site-specific </w:t>
      </w:r>
      <w:r>
        <w:t xml:space="preserve">data they use for GHG emissions and removals estimation as this is generally within their immediate control. </w:t>
      </w:r>
    </w:p>
    <w:p w14:paraId="7B85FDA7" w14:textId="77777777" w:rsidR="001E62B2" w:rsidRDefault="001E62B2" w:rsidP="001E62B2">
      <w:r>
        <w:t xml:space="preserve">Assessing data quality can: </w:t>
      </w:r>
    </w:p>
    <w:p w14:paraId="5E60E29B" w14:textId="77777777" w:rsidR="001E62B2" w:rsidRDefault="001E62B2" w:rsidP="00076B9B">
      <w:pPr>
        <w:pStyle w:val="ListParagraph"/>
        <w:numPr>
          <w:ilvl w:val="0"/>
          <w:numId w:val="13"/>
        </w:numPr>
      </w:pPr>
      <w:r>
        <w:t>help an entity to understand where best to direct resources to improve the quality of the GHG inventory</w:t>
      </w:r>
    </w:p>
    <w:p w14:paraId="45E246B9" w14:textId="142D26B1" w:rsidR="001E62B2" w:rsidRDefault="001E62B2" w:rsidP="00076B9B">
      <w:pPr>
        <w:pStyle w:val="ListParagraph"/>
        <w:numPr>
          <w:ilvl w:val="0"/>
          <w:numId w:val="13"/>
        </w:numPr>
      </w:pPr>
      <w:r>
        <w:t>provide intended</w:t>
      </w:r>
      <w:r w:rsidR="00F2284E">
        <w:t xml:space="preserve"> </w:t>
      </w:r>
      <w:r>
        <w:t>users of the GHG inventory with confidence in the estimates</w:t>
      </w:r>
    </w:p>
    <w:p w14:paraId="14C00F10" w14:textId="77777777" w:rsidR="001E62B2" w:rsidRDefault="001E62B2" w:rsidP="00076B9B">
      <w:pPr>
        <w:pStyle w:val="ListParagraph"/>
        <w:numPr>
          <w:ilvl w:val="0"/>
          <w:numId w:val="13"/>
        </w:numPr>
      </w:pPr>
      <w:r>
        <w:t>enable the quality of GHG inventories to be compared across years or entities.</w:t>
      </w:r>
    </w:p>
    <w:p w14:paraId="270E82D9" w14:textId="77777777" w:rsidR="001E62B2" w:rsidRDefault="001E62B2" w:rsidP="001E62B2">
      <w:r w:rsidRPr="002D6C8F">
        <w:t>Th</w:t>
      </w:r>
      <w:r>
        <w:t>e</w:t>
      </w:r>
      <w:r w:rsidRPr="002D6C8F">
        <w:t xml:space="preserve"> structured approach </w:t>
      </w:r>
      <w:r>
        <w:t xml:space="preserve">outlined conceptually in </w:t>
      </w:r>
      <w:r w:rsidRPr="008930A4">
        <w:rPr>
          <w:i/>
          <w:iCs/>
        </w:rPr>
        <w:t>Chapter</w:t>
      </w:r>
      <w:r w:rsidRPr="007F1E43">
        <w:rPr>
          <w:i/>
          <w:iCs/>
        </w:rPr>
        <w:t xml:space="preserve"> 8.1 Data Quality Framework</w:t>
      </w:r>
      <w:r>
        <w:t xml:space="preserve"> </w:t>
      </w:r>
      <w:r w:rsidRPr="002D6C8F">
        <w:t>provides a defensible, transparent foundation for</w:t>
      </w:r>
      <w:r>
        <w:t xml:space="preserve"> assessing data quality. </w:t>
      </w:r>
    </w:p>
    <w:p w14:paraId="72BE94D9" w14:textId="77777777" w:rsidR="001E62B2" w:rsidRDefault="001E62B2" w:rsidP="00BE68D0">
      <w:pPr>
        <w:pStyle w:val="Style3"/>
        <w:ind w:left="567" w:hanging="567"/>
      </w:pPr>
      <w:bookmarkStart w:id="79" w:name="_Toc225269967"/>
      <w:r>
        <w:t>Data q</w:t>
      </w:r>
      <w:r w:rsidRPr="00FD00F2">
        <w:t>uality</w:t>
      </w:r>
      <w:r>
        <w:t xml:space="preserve"> framework</w:t>
      </w:r>
      <w:bookmarkEnd w:id="79"/>
    </w:p>
    <w:p w14:paraId="146136C1" w14:textId="77777777" w:rsidR="001E62B2" w:rsidRDefault="001E62B2" w:rsidP="001E62B2">
      <w:r>
        <w:t xml:space="preserve">A qualitative assessment of the quality of activity and other input data, as well as scope 3 emission factors shall be undertaken using the data quality framework described below. </w:t>
      </w:r>
    </w:p>
    <w:p w14:paraId="707E4F92" w14:textId="77777777" w:rsidR="001E62B2" w:rsidRDefault="001E62B2" w:rsidP="001E62B2">
      <w:r w:rsidRPr="00797A02">
        <w:t>The purpose of this framework is to provide a transparent and consistent approach to assess the quality of data used in estimating GHG emissions and removals.</w:t>
      </w:r>
    </w:p>
    <w:p w14:paraId="38BF7C7D" w14:textId="77777777" w:rsidR="001E62B2" w:rsidRDefault="001E62B2" w:rsidP="001E62B2">
      <w:pPr>
        <w:pStyle w:val="Heading3"/>
        <w:numPr>
          <w:ilvl w:val="0"/>
          <w:numId w:val="0"/>
        </w:numPr>
        <w:ind w:left="720" w:hanging="720"/>
      </w:pPr>
      <w:r>
        <w:t>Data quality categories</w:t>
      </w:r>
    </w:p>
    <w:p w14:paraId="2517A958" w14:textId="77777777" w:rsidR="001E62B2" w:rsidRDefault="001E62B2" w:rsidP="001E62B2">
      <w:r>
        <w:t xml:space="preserve">The quality categories used in the data quality framework are set about below.  </w:t>
      </w:r>
    </w:p>
    <w:p w14:paraId="17C857F5" w14:textId="77777777" w:rsidR="001E62B2" w:rsidRDefault="001E62B2" w:rsidP="001E62B2">
      <w:pPr>
        <w:pStyle w:val="Heading4"/>
        <w:numPr>
          <w:ilvl w:val="0"/>
          <w:numId w:val="0"/>
        </w:numPr>
        <w:ind w:left="864" w:hanging="864"/>
      </w:pPr>
      <w:r>
        <w:t xml:space="preserve">Temporal representativeness </w:t>
      </w:r>
    </w:p>
    <w:p w14:paraId="7BE31450" w14:textId="77777777" w:rsidR="001E62B2" w:rsidRDefault="001E62B2" w:rsidP="001E62B2">
      <w:r w:rsidRPr="00B60E57">
        <w:t>Temporal representativeness</w:t>
      </w:r>
      <w:r>
        <w:t xml:space="preserve"> </w:t>
      </w:r>
      <w:r w:rsidRPr="00AB539D">
        <w:t>de</w:t>
      </w:r>
      <w:r>
        <w:t>notes</w:t>
      </w:r>
      <w:r w:rsidRPr="00AB539D">
        <w:t xml:space="preserve"> how well data reflect the </w:t>
      </w:r>
      <w:r>
        <w:t>time-period</w:t>
      </w:r>
      <w:r w:rsidRPr="00AB539D">
        <w:t xml:space="preserve"> for which emissions or removals are being estimated</w:t>
      </w:r>
      <w:r>
        <w:t>.</w:t>
      </w:r>
    </w:p>
    <w:p w14:paraId="518F37C0" w14:textId="77777777" w:rsidR="001E62B2" w:rsidRDefault="001E62B2" w:rsidP="001E62B2">
      <w:pPr>
        <w:pStyle w:val="Heading4"/>
        <w:numPr>
          <w:ilvl w:val="0"/>
          <w:numId w:val="0"/>
        </w:numPr>
        <w:ind w:left="864" w:hanging="864"/>
      </w:pPr>
      <w:r>
        <w:lastRenderedPageBreak/>
        <w:t xml:space="preserve">Spatial representativeness </w:t>
      </w:r>
    </w:p>
    <w:p w14:paraId="7E5A8FCC" w14:textId="02832599" w:rsidR="001E62B2" w:rsidRDefault="001E62B2" w:rsidP="001E62B2">
      <w:r>
        <w:t xml:space="preserve">Spatial representativeness denotes </w:t>
      </w:r>
      <w:r w:rsidRPr="00B60E57">
        <w:t xml:space="preserve">the degree to which the data reflects </w:t>
      </w:r>
      <w:r>
        <w:t>the</w:t>
      </w:r>
      <w:r w:rsidRPr="00B60E57">
        <w:t xml:space="preserve"> geographic location</w:t>
      </w:r>
      <w:r>
        <w:t xml:space="preserve"> (or locations) of the entity’s AFF activities </w:t>
      </w:r>
      <w:r w:rsidRPr="00B60E57">
        <w:t>(e.g</w:t>
      </w:r>
      <w:r>
        <w:t>. location specific, regional or national</w:t>
      </w:r>
      <w:r w:rsidRPr="00B60E57">
        <w:t>)</w:t>
      </w:r>
      <w:r>
        <w:t xml:space="preserve">. For entity specific data, spatial partitioning of the data </w:t>
      </w:r>
      <w:r w:rsidRPr="00764E16">
        <w:rPr>
          <w:i/>
        </w:rPr>
        <w:t>within</w:t>
      </w:r>
      <w:r>
        <w:t xml:space="preserve"> the physical footprint of the entity is also considered (e.g. paddock-level </w:t>
      </w:r>
      <w:r w:rsidR="00F43344">
        <w:t>or</w:t>
      </w:r>
      <w:r>
        <w:t xml:space="preserve"> whole of entity level). </w:t>
      </w:r>
    </w:p>
    <w:p w14:paraId="734B7726" w14:textId="77777777" w:rsidR="001E62B2" w:rsidRDefault="001E62B2" w:rsidP="001E62B2">
      <w:pPr>
        <w:pStyle w:val="Heading4"/>
        <w:numPr>
          <w:ilvl w:val="0"/>
          <w:numId w:val="0"/>
        </w:numPr>
        <w:ind w:left="864" w:hanging="864"/>
      </w:pPr>
      <w:r>
        <w:t xml:space="preserve">Sample size </w:t>
      </w:r>
    </w:p>
    <w:p w14:paraId="3126D854" w14:textId="445C8FED" w:rsidR="001E62B2" w:rsidRDefault="001E62B2" w:rsidP="001E62B2">
      <w:r>
        <w:t xml:space="preserve">The sample size denotes the comprehensiveness of the data collected. The data quality increases as the sample size used to the estimate the value increases </w:t>
      </w:r>
    </w:p>
    <w:p w14:paraId="3A45DB2B" w14:textId="77777777" w:rsidR="001E62B2" w:rsidRDefault="001E62B2" w:rsidP="001E62B2">
      <w:pPr>
        <w:pStyle w:val="Heading4"/>
        <w:numPr>
          <w:ilvl w:val="0"/>
          <w:numId w:val="0"/>
        </w:numPr>
        <w:ind w:left="864" w:hanging="864"/>
      </w:pPr>
      <w:r>
        <w:t xml:space="preserve">Scope 3 data quality </w:t>
      </w:r>
    </w:p>
    <w:p w14:paraId="24F5D37E" w14:textId="2D643067" w:rsidR="001E62B2" w:rsidRDefault="001E62B2" w:rsidP="001E62B2">
      <w:r>
        <w:t>Scope 3 data quality denotes</w:t>
      </w:r>
      <w:r w:rsidRPr="00143FAF">
        <w:t xml:space="preserve"> how </w:t>
      </w:r>
      <w:r w:rsidRPr="004469FE">
        <w:t>representative, reliable, and specific</w:t>
      </w:r>
      <w:r w:rsidRPr="00143FAF">
        <w:t xml:space="preserve"> the data are to the actual goods and services purchased, used, or sold </w:t>
      </w:r>
      <w:r w:rsidR="00355811">
        <w:t>–</w:t>
      </w:r>
      <w:r w:rsidRPr="00143FAF">
        <w:t xml:space="preserve"> and therefore how much confidence can be placed in the resulting Scope 3 emission estimates.</w:t>
      </w:r>
    </w:p>
    <w:p w14:paraId="05BF5E92" w14:textId="77777777" w:rsidR="001E62B2" w:rsidRDefault="001E62B2" w:rsidP="001E62B2">
      <w:pPr>
        <w:pStyle w:val="Heading3"/>
        <w:numPr>
          <w:ilvl w:val="0"/>
          <w:numId w:val="0"/>
        </w:numPr>
        <w:ind w:left="720" w:hanging="720"/>
      </w:pPr>
      <w:r>
        <w:t xml:space="preserve">Implementation </w:t>
      </w:r>
    </w:p>
    <w:p w14:paraId="199BB9B1" w14:textId="5485607A" w:rsidR="001E62B2" w:rsidRDefault="001E62B2" w:rsidP="001E62B2">
      <w:r>
        <w:t>For each source and sink, and the associated data and scope 3 emissions factors, the entity shall provide data quality score</w:t>
      </w:r>
      <w:r w:rsidR="0001302C">
        <w:t>s</w:t>
      </w:r>
      <w:r>
        <w:t xml:space="preserve"> against the quality categories as detailed in </w:t>
      </w:r>
      <w:r w:rsidR="00FF7695">
        <w:t xml:space="preserve">the </w:t>
      </w:r>
      <w:r>
        <w:t>scor</w:t>
      </w:r>
      <w:r w:rsidR="0001302C">
        <w:t xml:space="preserve">ing </w:t>
      </w:r>
      <w:r>
        <w:t xml:space="preserve">framework – see Table 8. </w:t>
      </w:r>
    </w:p>
    <w:p w14:paraId="062F8D0D" w14:textId="77777777" w:rsidR="001E62B2" w:rsidRPr="000A0C1F" w:rsidRDefault="001E62B2" w:rsidP="001E62B2">
      <w:pPr>
        <w:rPr>
          <w:lang w:val="en-US"/>
        </w:rPr>
      </w:pPr>
      <w:r w:rsidRPr="49662FFF">
        <w:rPr>
          <w:lang w:val="en-US"/>
        </w:rPr>
        <w:t xml:space="preserve">Categories with higher values are deemed to have a higher quality than categories with lower values. </w:t>
      </w:r>
    </w:p>
    <w:p w14:paraId="6942E5B7" w14:textId="77777777" w:rsidR="001E62B2" w:rsidRPr="00D61E89" w:rsidRDefault="001E62B2" w:rsidP="001E62B2">
      <w:pPr>
        <w:pStyle w:val="Heading4"/>
        <w:numPr>
          <w:ilvl w:val="0"/>
          <w:numId w:val="0"/>
        </w:numPr>
        <w:ind w:left="864" w:hanging="864"/>
      </w:pPr>
      <w:r w:rsidRPr="00D61E89">
        <w:t xml:space="preserve">Implementation </w:t>
      </w:r>
      <w:r>
        <w:t>s</w:t>
      </w:r>
      <w:r w:rsidRPr="00D61E89">
        <w:t>teps</w:t>
      </w:r>
    </w:p>
    <w:p w14:paraId="46738DF3" w14:textId="1ECE485E" w:rsidR="001E62B2" w:rsidRPr="00A51821" w:rsidRDefault="001E62B2" w:rsidP="001E62B2">
      <w:pPr>
        <w:spacing w:line="279" w:lineRule="auto"/>
      </w:pPr>
      <w:r>
        <w:rPr>
          <w:b/>
          <w:bCs/>
        </w:rPr>
        <w:t xml:space="preserve">Step 1: </w:t>
      </w:r>
      <w:r>
        <w:t xml:space="preserve">For each source and sink estimated </w:t>
      </w:r>
      <w:r w:rsidRPr="00A51821">
        <w:t xml:space="preserve">as per Chapter </w:t>
      </w:r>
      <w:r>
        <w:t>6</w:t>
      </w:r>
      <w:r w:rsidR="008B4C5D">
        <w:t>,</w:t>
      </w:r>
      <w:r>
        <w:t xml:space="preserve"> document the Method applied</w:t>
      </w:r>
      <w:r w:rsidRPr="00A51821">
        <w:t>.</w:t>
      </w:r>
    </w:p>
    <w:p w14:paraId="5A196F67" w14:textId="77777777" w:rsidR="001E62B2" w:rsidRPr="00CF06C0" w:rsidRDefault="001E62B2" w:rsidP="001E62B2">
      <w:pPr>
        <w:spacing w:line="279" w:lineRule="auto"/>
      </w:pPr>
      <w:r>
        <w:rPr>
          <w:b/>
          <w:bCs/>
        </w:rPr>
        <w:t xml:space="preserve">Step 2: </w:t>
      </w:r>
      <w:r w:rsidRPr="00D61E89">
        <w:t>Identify all data sources</w:t>
      </w:r>
      <w:r w:rsidRPr="00CF06C0">
        <w:t xml:space="preserve"> and Scope 3 </w:t>
      </w:r>
      <w:r>
        <w:t>emission factors,</w:t>
      </w:r>
      <w:r w:rsidRPr="00A51950">
        <w:t xml:space="preserve"> to be used in calculating GHG emissions and removals for the Method</w:t>
      </w:r>
      <w:r>
        <w:t>.</w:t>
      </w:r>
    </w:p>
    <w:p w14:paraId="1CD3B13D" w14:textId="77777777" w:rsidR="001E62B2" w:rsidRPr="00CF06C0" w:rsidRDefault="001E62B2" w:rsidP="001E62B2">
      <w:pPr>
        <w:spacing w:line="279" w:lineRule="auto"/>
      </w:pPr>
      <w:r>
        <w:rPr>
          <w:b/>
          <w:bCs/>
        </w:rPr>
        <w:t xml:space="preserve">Step 3: </w:t>
      </w:r>
      <w:r>
        <w:t>Assess</w:t>
      </w:r>
      <w:r w:rsidRPr="00E470CA">
        <w:t xml:space="preserve"> and re</w:t>
      </w:r>
      <w:r>
        <w:t>cord the</w:t>
      </w:r>
      <w:r w:rsidRPr="00C57494">
        <w:t xml:space="preserve"> data</w:t>
      </w:r>
      <w:r w:rsidRPr="00CF06C0">
        <w:t xml:space="preserve"> quality scores for each data input</w:t>
      </w:r>
      <w:r>
        <w:t xml:space="preserve"> and data quality category</w:t>
      </w:r>
      <w:r w:rsidRPr="00CF06C0">
        <w:t>.</w:t>
      </w:r>
      <w:r>
        <w:t xml:space="preserve"> Note, not all data quality categories will be relevant for some data types.</w:t>
      </w:r>
    </w:p>
    <w:p w14:paraId="00433D71" w14:textId="7BAAC924" w:rsidR="001E62B2" w:rsidRDefault="001E62B2" w:rsidP="001E62B2">
      <w:pPr>
        <w:spacing w:line="279" w:lineRule="auto"/>
      </w:pPr>
      <w:r>
        <w:rPr>
          <w:b/>
          <w:bCs/>
        </w:rPr>
        <w:t>Step 4</w:t>
      </w:r>
      <w:r w:rsidRPr="00E470CA">
        <w:t>: Follow the Reporting Guidance at Chapter 9, including documenting assumptions and sources</w:t>
      </w:r>
      <w:r w:rsidRPr="00C57494">
        <w:t xml:space="preserve"> to ensure transparency.</w:t>
      </w:r>
    </w:p>
    <w:p w14:paraId="2E98C815" w14:textId="77777777" w:rsidR="001E62B2" w:rsidRPr="00CF06C0" w:rsidRDefault="001E62B2" w:rsidP="001E62B2">
      <w:pPr>
        <w:spacing w:line="279" w:lineRule="auto"/>
      </w:pPr>
      <w:r w:rsidRPr="00E470CA">
        <w:rPr>
          <w:b/>
          <w:bCs/>
        </w:rPr>
        <w:t xml:space="preserve">Step </w:t>
      </w:r>
      <w:r>
        <w:rPr>
          <w:b/>
          <w:bCs/>
        </w:rPr>
        <w:t>5</w:t>
      </w:r>
      <w:r w:rsidRPr="00E470CA">
        <w:rPr>
          <w:b/>
          <w:bCs/>
        </w:rPr>
        <w:t>:</w:t>
      </w:r>
      <w:r w:rsidRPr="00C57494">
        <w:t xml:space="preserve"> </w:t>
      </w:r>
      <w:r w:rsidRPr="00E470CA">
        <w:t>Review and update annually</w:t>
      </w:r>
      <w:r w:rsidRPr="00C57494">
        <w:t xml:space="preserve"> to reflect improved data sources or methods.</w:t>
      </w:r>
    </w:p>
    <w:p w14:paraId="08DA11A0" w14:textId="247675B7" w:rsidR="00D80473" w:rsidRDefault="001E62B2" w:rsidP="00D80473">
      <w:pPr>
        <w:spacing w:line="279" w:lineRule="auto"/>
        <w:sectPr w:rsidR="00D80473" w:rsidSect="002A06F8">
          <w:headerReference w:type="default" r:id="rId62"/>
          <w:pgSz w:w="11906" w:h="16838" w:code="9"/>
          <w:pgMar w:top="1440" w:right="1440" w:bottom="1440" w:left="1440" w:header="709" w:footer="709" w:gutter="0"/>
          <w:lnNumType w:countBy="1"/>
          <w:cols w:space="708"/>
          <w:docGrid w:linePitch="360"/>
        </w:sectPr>
      </w:pPr>
      <w:r>
        <w:t xml:space="preserve">An example data quality table is provided in the Reporting Template at </w:t>
      </w:r>
      <w:r w:rsidRPr="00633899">
        <w:rPr>
          <w:b/>
        </w:rPr>
        <w:t xml:space="preserve">Appendix </w:t>
      </w:r>
      <w:r w:rsidR="00D24534">
        <w:rPr>
          <w:b/>
        </w:rPr>
        <w:t>E</w:t>
      </w:r>
      <w:r w:rsidR="00D80473">
        <w:rPr>
          <w:b/>
        </w:rPr>
        <w:t xml:space="preserve"> </w:t>
      </w:r>
    </w:p>
    <w:tbl>
      <w:tblPr>
        <w:tblpPr w:leftFromText="180" w:rightFromText="180" w:tblpY="653"/>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7"/>
        <w:gridCol w:w="3420"/>
        <w:gridCol w:w="3543"/>
        <w:gridCol w:w="2835"/>
        <w:gridCol w:w="3119"/>
      </w:tblGrid>
      <w:tr w:rsidR="001E62B2" w:rsidRPr="000E562A" w14:paraId="22EF4191" w14:textId="77777777">
        <w:trPr>
          <w:trHeight w:val="300"/>
        </w:trPr>
        <w:tc>
          <w:tcPr>
            <w:tcW w:w="967" w:type="dxa"/>
            <w:tcBorders>
              <w:top w:val="single" w:sz="6" w:space="0" w:color="auto"/>
              <w:left w:val="single" w:sz="6" w:space="0" w:color="auto"/>
              <w:bottom w:val="single" w:sz="6" w:space="0" w:color="auto"/>
              <w:right w:val="single" w:sz="6" w:space="0" w:color="auto"/>
            </w:tcBorders>
            <w:shd w:val="clear" w:color="auto" w:fill="E8E8E8" w:themeFill="background2"/>
          </w:tcPr>
          <w:p w14:paraId="4E098571" w14:textId="77777777" w:rsidR="00B02B63" w:rsidRDefault="00B02B63">
            <w:pPr>
              <w:jc w:val="center"/>
              <w:rPr>
                <w:b/>
                <w:bCs/>
                <w:sz w:val="20"/>
                <w:szCs w:val="20"/>
              </w:rPr>
            </w:pPr>
          </w:p>
          <w:p w14:paraId="30E2E16C" w14:textId="6F8EA2D4" w:rsidR="001E62B2" w:rsidRPr="00CA1F9B" w:rsidRDefault="001E62B2">
            <w:pPr>
              <w:jc w:val="center"/>
              <w:rPr>
                <w:b/>
                <w:bCs/>
                <w:sz w:val="20"/>
                <w:szCs w:val="20"/>
              </w:rPr>
            </w:pPr>
            <w:r>
              <w:rPr>
                <w:b/>
                <w:bCs/>
                <w:sz w:val="20"/>
                <w:szCs w:val="20"/>
              </w:rPr>
              <w:t>Quality score</w:t>
            </w:r>
          </w:p>
        </w:tc>
        <w:tc>
          <w:tcPr>
            <w:tcW w:w="3420" w:type="dxa"/>
            <w:tcBorders>
              <w:top w:val="single" w:sz="6" w:space="0" w:color="auto"/>
              <w:left w:val="single" w:sz="6" w:space="0" w:color="auto"/>
              <w:bottom w:val="single" w:sz="6" w:space="0" w:color="auto"/>
              <w:right w:val="single" w:sz="6" w:space="0" w:color="auto"/>
            </w:tcBorders>
            <w:shd w:val="clear" w:color="auto" w:fill="E8E8E8" w:themeFill="background2"/>
          </w:tcPr>
          <w:p w14:paraId="0AEEABDA" w14:textId="77777777" w:rsidR="001E62B2" w:rsidRPr="00CA1F9B" w:rsidDel="00B00A46" w:rsidRDefault="001E62B2">
            <w:pPr>
              <w:jc w:val="center"/>
              <w:rPr>
                <w:b/>
                <w:bCs/>
                <w:sz w:val="20"/>
                <w:szCs w:val="20"/>
              </w:rPr>
            </w:pPr>
            <w:r>
              <w:rPr>
                <w:b/>
                <w:bCs/>
                <w:sz w:val="20"/>
                <w:szCs w:val="20"/>
              </w:rPr>
              <w:t xml:space="preserve">Temporal representativeness </w:t>
            </w:r>
            <w:r w:rsidRPr="0026460D">
              <w:rPr>
                <w:b/>
                <w:bCs/>
                <w:sz w:val="20"/>
                <w:szCs w:val="20"/>
                <w:vertAlign w:val="superscript"/>
              </w:rPr>
              <w:t>(a)</w:t>
            </w:r>
          </w:p>
        </w:tc>
        <w:tc>
          <w:tcPr>
            <w:tcW w:w="3543" w:type="dxa"/>
            <w:tcBorders>
              <w:top w:val="single" w:sz="6" w:space="0" w:color="auto"/>
              <w:left w:val="single" w:sz="6" w:space="0" w:color="auto"/>
              <w:bottom w:val="single" w:sz="6" w:space="0" w:color="auto"/>
              <w:right w:val="single" w:sz="6" w:space="0" w:color="auto"/>
            </w:tcBorders>
            <w:shd w:val="clear" w:color="auto" w:fill="E8E8E8" w:themeFill="background2"/>
          </w:tcPr>
          <w:p w14:paraId="014385D8" w14:textId="77777777" w:rsidR="001E62B2" w:rsidRPr="00CA1F9B" w:rsidDel="00B00A46" w:rsidRDefault="001E62B2">
            <w:pPr>
              <w:jc w:val="center"/>
              <w:rPr>
                <w:b/>
                <w:bCs/>
                <w:sz w:val="20"/>
                <w:szCs w:val="20"/>
              </w:rPr>
            </w:pPr>
            <w:r>
              <w:rPr>
                <w:b/>
                <w:bCs/>
                <w:sz w:val="20"/>
                <w:szCs w:val="20"/>
              </w:rPr>
              <w:t xml:space="preserve">Spatial representativeness </w:t>
            </w:r>
            <w:r w:rsidRPr="008301C6">
              <w:rPr>
                <w:b/>
                <w:bCs/>
                <w:sz w:val="20"/>
                <w:szCs w:val="20"/>
                <w:vertAlign w:val="superscript"/>
              </w:rPr>
              <w:t>(b)</w:t>
            </w:r>
          </w:p>
        </w:tc>
        <w:tc>
          <w:tcPr>
            <w:tcW w:w="2835" w:type="dxa"/>
            <w:tcBorders>
              <w:top w:val="single" w:sz="6" w:space="0" w:color="auto"/>
              <w:left w:val="single" w:sz="6" w:space="0" w:color="auto"/>
              <w:bottom w:val="single" w:sz="6" w:space="0" w:color="auto"/>
              <w:right w:val="single" w:sz="6" w:space="0" w:color="auto"/>
            </w:tcBorders>
            <w:shd w:val="clear" w:color="auto" w:fill="E8E8E8" w:themeFill="background2"/>
          </w:tcPr>
          <w:p w14:paraId="16725310" w14:textId="77777777" w:rsidR="001E62B2" w:rsidRPr="00CA1F9B" w:rsidRDefault="001E62B2">
            <w:pPr>
              <w:jc w:val="center"/>
              <w:rPr>
                <w:b/>
                <w:bCs/>
                <w:sz w:val="20"/>
                <w:szCs w:val="20"/>
              </w:rPr>
            </w:pPr>
            <w:r>
              <w:rPr>
                <w:b/>
                <w:bCs/>
                <w:sz w:val="20"/>
                <w:szCs w:val="20"/>
              </w:rPr>
              <w:t>Sample size</w:t>
            </w:r>
          </w:p>
        </w:tc>
        <w:tc>
          <w:tcPr>
            <w:tcW w:w="3119" w:type="dxa"/>
            <w:tcBorders>
              <w:top w:val="single" w:sz="6" w:space="0" w:color="auto"/>
              <w:left w:val="single" w:sz="6" w:space="0" w:color="auto"/>
              <w:bottom w:val="single" w:sz="6" w:space="0" w:color="auto"/>
              <w:right w:val="single" w:sz="6" w:space="0" w:color="auto"/>
            </w:tcBorders>
            <w:shd w:val="clear" w:color="auto" w:fill="E8E8E8" w:themeFill="background2"/>
          </w:tcPr>
          <w:p w14:paraId="3AE94B01" w14:textId="4DD1FD49" w:rsidR="001E62B2" w:rsidRPr="00CA1F9B" w:rsidDel="00B00A46" w:rsidRDefault="001E62B2">
            <w:pPr>
              <w:jc w:val="center"/>
              <w:rPr>
                <w:b/>
                <w:bCs/>
                <w:sz w:val="20"/>
                <w:szCs w:val="20"/>
              </w:rPr>
            </w:pPr>
            <w:r>
              <w:rPr>
                <w:b/>
                <w:bCs/>
                <w:sz w:val="20"/>
                <w:szCs w:val="20"/>
              </w:rPr>
              <w:t>Scope 3</w:t>
            </w:r>
            <w:r w:rsidR="00A3420B">
              <w:rPr>
                <w:b/>
                <w:bCs/>
                <w:sz w:val="20"/>
                <w:szCs w:val="20"/>
              </w:rPr>
              <w:t xml:space="preserve"> emissions factors </w:t>
            </w:r>
          </w:p>
        </w:tc>
      </w:tr>
      <w:tr w:rsidR="001E62B2" w:rsidRPr="000E562A" w14:paraId="07CF3AA5" w14:textId="77777777">
        <w:trPr>
          <w:trHeight w:val="300"/>
        </w:trPr>
        <w:tc>
          <w:tcPr>
            <w:tcW w:w="967" w:type="dxa"/>
            <w:tcBorders>
              <w:top w:val="single" w:sz="6" w:space="0" w:color="auto"/>
              <w:left w:val="single" w:sz="6" w:space="0" w:color="auto"/>
              <w:bottom w:val="single" w:sz="6" w:space="0" w:color="auto"/>
              <w:right w:val="single" w:sz="6" w:space="0" w:color="auto"/>
            </w:tcBorders>
            <w:hideMark/>
          </w:tcPr>
          <w:p w14:paraId="4FB30B87" w14:textId="77777777" w:rsidR="001E62B2" w:rsidRPr="00CA1F9B" w:rsidRDefault="001E62B2">
            <w:pPr>
              <w:jc w:val="center"/>
              <w:rPr>
                <w:sz w:val="20"/>
                <w:szCs w:val="20"/>
              </w:rPr>
            </w:pPr>
            <w:r w:rsidRPr="00CA1F9B">
              <w:rPr>
                <w:sz w:val="20"/>
                <w:szCs w:val="20"/>
              </w:rPr>
              <w:t>5</w:t>
            </w:r>
          </w:p>
        </w:tc>
        <w:tc>
          <w:tcPr>
            <w:tcW w:w="3420" w:type="dxa"/>
            <w:tcBorders>
              <w:top w:val="single" w:sz="6" w:space="0" w:color="auto"/>
              <w:left w:val="single" w:sz="6" w:space="0" w:color="auto"/>
              <w:bottom w:val="single" w:sz="6" w:space="0" w:color="auto"/>
              <w:right w:val="single" w:sz="6" w:space="0" w:color="auto"/>
            </w:tcBorders>
          </w:tcPr>
          <w:p w14:paraId="22CE0832" w14:textId="77777777" w:rsidR="001E62B2" w:rsidRDefault="001E62B2">
            <w:pPr>
              <w:ind w:left="17"/>
              <w:rPr>
                <w:sz w:val="20"/>
                <w:szCs w:val="20"/>
              </w:rPr>
            </w:pPr>
            <w:r>
              <w:rPr>
                <w:sz w:val="20"/>
                <w:szCs w:val="20"/>
              </w:rPr>
              <w:t>D</w:t>
            </w:r>
            <w:r w:rsidRPr="00CA1F9B">
              <w:rPr>
                <w:sz w:val="20"/>
                <w:szCs w:val="20"/>
              </w:rPr>
              <w:t xml:space="preserve">ata </w:t>
            </w:r>
            <w:r>
              <w:rPr>
                <w:sz w:val="20"/>
                <w:szCs w:val="20"/>
              </w:rPr>
              <w:t>collected covers</w:t>
            </w:r>
            <w:r w:rsidRPr="00CA1F9B">
              <w:rPr>
                <w:sz w:val="20"/>
                <w:szCs w:val="20"/>
              </w:rPr>
              <w:t xml:space="preserve"> the time</w:t>
            </w:r>
            <w:r>
              <w:rPr>
                <w:sz w:val="20"/>
                <w:szCs w:val="20"/>
              </w:rPr>
              <w:t>-</w:t>
            </w:r>
            <w:r w:rsidRPr="00CA1F9B">
              <w:rPr>
                <w:sz w:val="20"/>
                <w:szCs w:val="20"/>
              </w:rPr>
              <w:t xml:space="preserve">period for which emissions are being estimated </w:t>
            </w:r>
          </w:p>
        </w:tc>
        <w:tc>
          <w:tcPr>
            <w:tcW w:w="3543" w:type="dxa"/>
            <w:tcBorders>
              <w:top w:val="single" w:sz="6" w:space="0" w:color="auto"/>
              <w:left w:val="single" w:sz="6" w:space="0" w:color="auto"/>
              <w:bottom w:val="single" w:sz="6" w:space="0" w:color="auto"/>
              <w:right w:val="single" w:sz="6" w:space="0" w:color="auto"/>
            </w:tcBorders>
          </w:tcPr>
          <w:p w14:paraId="551D2AF3" w14:textId="77777777" w:rsidR="001E62B2" w:rsidRDefault="001E62B2">
            <w:pPr>
              <w:ind w:left="17"/>
              <w:rPr>
                <w:sz w:val="20"/>
                <w:szCs w:val="20"/>
              </w:rPr>
            </w:pPr>
            <w:r>
              <w:rPr>
                <w:sz w:val="20"/>
                <w:szCs w:val="20"/>
              </w:rPr>
              <w:t>Data covers specific entity location(s) with spatial partitioning or using stratified sampling within property</w:t>
            </w:r>
          </w:p>
        </w:tc>
        <w:tc>
          <w:tcPr>
            <w:tcW w:w="2835" w:type="dxa"/>
            <w:tcBorders>
              <w:top w:val="single" w:sz="6" w:space="0" w:color="auto"/>
              <w:left w:val="single" w:sz="6" w:space="0" w:color="auto"/>
              <w:bottom w:val="single" w:sz="6" w:space="0" w:color="auto"/>
              <w:right w:val="single" w:sz="6" w:space="0" w:color="auto"/>
            </w:tcBorders>
            <w:hideMark/>
          </w:tcPr>
          <w:p w14:paraId="5B057C60" w14:textId="77777777" w:rsidR="001E62B2" w:rsidRPr="00CA1F9B" w:rsidRDefault="001E62B2">
            <w:pPr>
              <w:ind w:left="17"/>
              <w:rPr>
                <w:sz w:val="20"/>
                <w:szCs w:val="20"/>
              </w:rPr>
            </w:pPr>
            <w:r>
              <w:rPr>
                <w:sz w:val="20"/>
                <w:szCs w:val="20"/>
              </w:rPr>
              <w:t>Data based on s</w:t>
            </w:r>
            <w:r w:rsidRPr="00CA1F9B">
              <w:rPr>
                <w:sz w:val="20"/>
                <w:szCs w:val="20"/>
              </w:rPr>
              <w:t xml:space="preserve">ample </w:t>
            </w:r>
            <w:r>
              <w:rPr>
                <w:sz w:val="20"/>
                <w:szCs w:val="20"/>
              </w:rPr>
              <w:t xml:space="preserve">size </w:t>
            </w:r>
            <w:r w:rsidRPr="00CA1F9B">
              <w:rPr>
                <w:sz w:val="20"/>
                <w:szCs w:val="20"/>
              </w:rPr>
              <w:t>of &gt;90%</w:t>
            </w:r>
            <w:r w:rsidRPr="00CA1F9B" w:rsidDel="00633A8F">
              <w:rPr>
                <w:sz w:val="20"/>
                <w:szCs w:val="20"/>
              </w:rPr>
              <w:t xml:space="preserve"> </w:t>
            </w:r>
            <w:r>
              <w:rPr>
                <w:sz w:val="20"/>
                <w:szCs w:val="20"/>
              </w:rPr>
              <w:t>(e.g. total annual fuel purchases)</w:t>
            </w:r>
          </w:p>
        </w:tc>
        <w:tc>
          <w:tcPr>
            <w:tcW w:w="3119" w:type="dxa"/>
            <w:tcBorders>
              <w:top w:val="single" w:sz="6" w:space="0" w:color="auto"/>
              <w:left w:val="single" w:sz="6" w:space="0" w:color="auto"/>
              <w:bottom w:val="single" w:sz="6" w:space="0" w:color="auto"/>
              <w:right w:val="single" w:sz="6" w:space="0" w:color="auto"/>
            </w:tcBorders>
          </w:tcPr>
          <w:p w14:paraId="7C814F61" w14:textId="77777777" w:rsidR="001E62B2" w:rsidRDefault="001E62B2">
            <w:pPr>
              <w:ind w:left="17"/>
              <w:rPr>
                <w:sz w:val="20"/>
                <w:szCs w:val="20"/>
              </w:rPr>
            </w:pPr>
          </w:p>
        </w:tc>
      </w:tr>
      <w:tr w:rsidR="001E62B2" w:rsidRPr="000E562A" w14:paraId="6F9B685E" w14:textId="77777777">
        <w:trPr>
          <w:trHeight w:val="300"/>
        </w:trPr>
        <w:tc>
          <w:tcPr>
            <w:tcW w:w="967" w:type="dxa"/>
            <w:tcBorders>
              <w:top w:val="single" w:sz="6" w:space="0" w:color="auto"/>
              <w:left w:val="single" w:sz="6" w:space="0" w:color="auto"/>
              <w:bottom w:val="single" w:sz="6" w:space="0" w:color="auto"/>
              <w:right w:val="single" w:sz="6" w:space="0" w:color="auto"/>
            </w:tcBorders>
            <w:hideMark/>
          </w:tcPr>
          <w:p w14:paraId="34098FE7" w14:textId="77777777" w:rsidR="001E62B2" w:rsidRPr="00CA1F9B" w:rsidRDefault="001E62B2">
            <w:pPr>
              <w:jc w:val="center"/>
              <w:rPr>
                <w:sz w:val="20"/>
                <w:szCs w:val="20"/>
              </w:rPr>
            </w:pPr>
            <w:r w:rsidRPr="00CA1F9B">
              <w:rPr>
                <w:sz w:val="20"/>
                <w:szCs w:val="20"/>
              </w:rPr>
              <w:t>4</w:t>
            </w:r>
          </w:p>
        </w:tc>
        <w:tc>
          <w:tcPr>
            <w:tcW w:w="3420" w:type="dxa"/>
            <w:tcBorders>
              <w:top w:val="single" w:sz="6" w:space="0" w:color="auto"/>
              <w:left w:val="single" w:sz="6" w:space="0" w:color="auto"/>
              <w:bottom w:val="single" w:sz="6" w:space="0" w:color="auto"/>
              <w:right w:val="single" w:sz="6" w:space="0" w:color="auto"/>
            </w:tcBorders>
          </w:tcPr>
          <w:p w14:paraId="6DE26117" w14:textId="77777777" w:rsidR="001E62B2" w:rsidRDefault="001E62B2">
            <w:pPr>
              <w:ind w:left="17"/>
              <w:rPr>
                <w:sz w:val="20"/>
                <w:szCs w:val="20"/>
              </w:rPr>
            </w:pPr>
            <w:r>
              <w:rPr>
                <w:sz w:val="20"/>
                <w:szCs w:val="20"/>
              </w:rPr>
              <w:t>D</w:t>
            </w:r>
            <w:r w:rsidRPr="00CA1F9B">
              <w:rPr>
                <w:sz w:val="20"/>
                <w:szCs w:val="20"/>
              </w:rPr>
              <w:t xml:space="preserve">ata </w:t>
            </w:r>
            <w:r>
              <w:rPr>
                <w:sz w:val="20"/>
                <w:szCs w:val="20"/>
              </w:rPr>
              <w:t xml:space="preserve">collected </w:t>
            </w:r>
            <w:r w:rsidRPr="00CA1F9B">
              <w:rPr>
                <w:sz w:val="20"/>
                <w:szCs w:val="20"/>
              </w:rPr>
              <w:t>represen</w:t>
            </w:r>
            <w:r>
              <w:rPr>
                <w:sz w:val="20"/>
                <w:szCs w:val="20"/>
              </w:rPr>
              <w:t>ts</w:t>
            </w:r>
            <w:r w:rsidRPr="00CA1F9B">
              <w:rPr>
                <w:sz w:val="20"/>
                <w:szCs w:val="20"/>
              </w:rPr>
              <w:t xml:space="preserve"> activities that </w:t>
            </w:r>
            <w:r>
              <w:rPr>
                <w:sz w:val="20"/>
                <w:szCs w:val="20"/>
              </w:rPr>
              <w:t>occurred within 2</w:t>
            </w:r>
            <w:r w:rsidRPr="00CA1F9B">
              <w:rPr>
                <w:sz w:val="20"/>
                <w:szCs w:val="20"/>
              </w:rPr>
              <w:t xml:space="preserve"> year</w:t>
            </w:r>
            <w:r>
              <w:rPr>
                <w:sz w:val="20"/>
                <w:szCs w:val="20"/>
              </w:rPr>
              <w:t>s of</w:t>
            </w:r>
            <w:r w:rsidRPr="00CA1F9B">
              <w:rPr>
                <w:sz w:val="20"/>
                <w:szCs w:val="20"/>
              </w:rPr>
              <w:t xml:space="preserve"> the time</w:t>
            </w:r>
            <w:r>
              <w:rPr>
                <w:sz w:val="20"/>
                <w:szCs w:val="20"/>
              </w:rPr>
              <w:t>-</w:t>
            </w:r>
            <w:r w:rsidRPr="00CA1F9B">
              <w:rPr>
                <w:sz w:val="20"/>
                <w:szCs w:val="20"/>
              </w:rPr>
              <w:t>period</w:t>
            </w:r>
            <w:r>
              <w:rPr>
                <w:sz w:val="20"/>
                <w:szCs w:val="20"/>
              </w:rPr>
              <w:t xml:space="preserve"> </w:t>
            </w:r>
            <w:r w:rsidRPr="00CA1F9B">
              <w:rPr>
                <w:sz w:val="20"/>
                <w:szCs w:val="20"/>
              </w:rPr>
              <w:t xml:space="preserve">being assessed </w:t>
            </w:r>
          </w:p>
        </w:tc>
        <w:tc>
          <w:tcPr>
            <w:tcW w:w="3543" w:type="dxa"/>
            <w:tcBorders>
              <w:top w:val="single" w:sz="6" w:space="0" w:color="auto"/>
              <w:left w:val="single" w:sz="6" w:space="0" w:color="auto"/>
              <w:bottom w:val="single" w:sz="6" w:space="0" w:color="auto"/>
              <w:right w:val="single" w:sz="6" w:space="0" w:color="auto"/>
            </w:tcBorders>
          </w:tcPr>
          <w:p w14:paraId="20B396D5" w14:textId="77777777" w:rsidR="001E62B2" w:rsidRDefault="001E62B2">
            <w:pPr>
              <w:ind w:left="17"/>
              <w:rPr>
                <w:sz w:val="20"/>
                <w:szCs w:val="20"/>
              </w:rPr>
            </w:pPr>
            <w:r>
              <w:rPr>
                <w:sz w:val="20"/>
                <w:szCs w:val="20"/>
              </w:rPr>
              <w:t>Data covers specific entity location(s)</w:t>
            </w:r>
            <w:r w:rsidRPr="00F30B6D">
              <w:rPr>
                <w:sz w:val="20"/>
                <w:szCs w:val="20"/>
              </w:rPr>
              <w:t xml:space="preserve"> without spatial partitioning</w:t>
            </w:r>
            <w:r w:rsidDel="00DD7FFB">
              <w:rPr>
                <w:sz w:val="20"/>
                <w:szCs w:val="20"/>
              </w:rPr>
              <w:t xml:space="preserve"> </w:t>
            </w:r>
            <w:r>
              <w:rPr>
                <w:sz w:val="20"/>
                <w:szCs w:val="20"/>
              </w:rPr>
              <w:t xml:space="preserve">within property </w:t>
            </w:r>
          </w:p>
        </w:tc>
        <w:tc>
          <w:tcPr>
            <w:tcW w:w="2835" w:type="dxa"/>
            <w:tcBorders>
              <w:top w:val="single" w:sz="6" w:space="0" w:color="auto"/>
              <w:left w:val="single" w:sz="6" w:space="0" w:color="auto"/>
              <w:bottom w:val="single" w:sz="6" w:space="0" w:color="auto"/>
              <w:right w:val="single" w:sz="6" w:space="0" w:color="auto"/>
            </w:tcBorders>
            <w:hideMark/>
          </w:tcPr>
          <w:p w14:paraId="24AE3D60" w14:textId="77777777" w:rsidR="001E62B2" w:rsidRPr="00CA1F9B" w:rsidRDefault="001E62B2">
            <w:pPr>
              <w:ind w:left="17"/>
              <w:rPr>
                <w:sz w:val="20"/>
                <w:szCs w:val="20"/>
              </w:rPr>
            </w:pPr>
            <w:r>
              <w:rPr>
                <w:sz w:val="20"/>
                <w:szCs w:val="20"/>
              </w:rPr>
              <w:t>Data based on s</w:t>
            </w:r>
            <w:r w:rsidRPr="00CA1F9B">
              <w:rPr>
                <w:sz w:val="20"/>
                <w:szCs w:val="20"/>
              </w:rPr>
              <w:t xml:space="preserve">ample </w:t>
            </w:r>
            <w:r>
              <w:rPr>
                <w:sz w:val="20"/>
                <w:szCs w:val="20"/>
              </w:rPr>
              <w:t xml:space="preserve">size </w:t>
            </w:r>
            <w:r w:rsidRPr="00CA1F9B">
              <w:rPr>
                <w:sz w:val="20"/>
                <w:szCs w:val="20"/>
              </w:rPr>
              <w:t xml:space="preserve">of 51-90% </w:t>
            </w:r>
          </w:p>
        </w:tc>
        <w:tc>
          <w:tcPr>
            <w:tcW w:w="3119" w:type="dxa"/>
            <w:tcBorders>
              <w:top w:val="single" w:sz="6" w:space="0" w:color="auto"/>
              <w:left w:val="single" w:sz="6" w:space="0" w:color="auto"/>
              <w:bottom w:val="single" w:sz="6" w:space="0" w:color="auto"/>
              <w:right w:val="single" w:sz="6" w:space="0" w:color="auto"/>
            </w:tcBorders>
          </w:tcPr>
          <w:p w14:paraId="4B75571A" w14:textId="325225A1" w:rsidR="001E62B2" w:rsidRDefault="001E62B2">
            <w:pPr>
              <w:ind w:left="17"/>
              <w:rPr>
                <w:sz w:val="20"/>
                <w:szCs w:val="20"/>
              </w:rPr>
            </w:pPr>
            <w:r w:rsidRPr="00354EE8">
              <w:rPr>
                <w:sz w:val="20"/>
                <w:szCs w:val="20"/>
              </w:rPr>
              <w:t xml:space="preserve">Verified data provided by supplier </w:t>
            </w:r>
            <w:r>
              <w:rPr>
                <w:sz w:val="20"/>
                <w:szCs w:val="20"/>
              </w:rPr>
              <w:t>consistent with</w:t>
            </w:r>
            <w:r w:rsidRPr="00354EE8">
              <w:rPr>
                <w:sz w:val="20"/>
                <w:szCs w:val="20"/>
              </w:rPr>
              <w:t xml:space="preserve"> ISO14067</w:t>
            </w:r>
            <w:r w:rsidR="00367793">
              <w:rPr>
                <w:sz w:val="20"/>
                <w:szCs w:val="20"/>
              </w:rPr>
              <w:t xml:space="preserve">:2018 or GHG Protocol Product </w:t>
            </w:r>
            <w:r w:rsidR="00AD6BF4">
              <w:rPr>
                <w:sz w:val="20"/>
                <w:szCs w:val="20"/>
              </w:rPr>
              <w:t xml:space="preserve">Lifecycle </w:t>
            </w:r>
            <w:r w:rsidR="006B4F28">
              <w:rPr>
                <w:sz w:val="20"/>
                <w:szCs w:val="20"/>
              </w:rPr>
              <w:t xml:space="preserve">Accounting and Reporting </w:t>
            </w:r>
            <w:r w:rsidR="00367793">
              <w:rPr>
                <w:sz w:val="20"/>
                <w:szCs w:val="20"/>
              </w:rPr>
              <w:t>Standard</w:t>
            </w:r>
          </w:p>
        </w:tc>
      </w:tr>
      <w:tr w:rsidR="001E62B2" w:rsidRPr="000E562A" w14:paraId="2C52C8EF" w14:textId="77777777">
        <w:trPr>
          <w:trHeight w:val="300"/>
        </w:trPr>
        <w:tc>
          <w:tcPr>
            <w:tcW w:w="967" w:type="dxa"/>
            <w:tcBorders>
              <w:top w:val="single" w:sz="6" w:space="0" w:color="auto"/>
              <w:left w:val="single" w:sz="6" w:space="0" w:color="auto"/>
              <w:bottom w:val="single" w:sz="6" w:space="0" w:color="auto"/>
              <w:right w:val="single" w:sz="6" w:space="0" w:color="auto"/>
            </w:tcBorders>
            <w:hideMark/>
          </w:tcPr>
          <w:p w14:paraId="37FFDBE1" w14:textId="77777777" w:rsidR="001E62B2" w:rsidRPr="00CA1F9B" w:rsidRDefault="001E62B2">
            <w:pPr>
              <w:jc w:val="center"/>
              <w:rPr>
                <w:sz w:val="20"/>
                <w:szCs w:val="20"/>
              </w:rPr>
            </w:pPr>
            <w:r w:rsidRPr="00CA1F9B">
              <w:rPr>
                <w:sz w:val="20"/>
                <w:szCs w:val="20"/>
              </w:rPr>
              <w:t>3</w:t>
            </w:r>
          </w:p>
        </w:tc>
        <w:tc>
          <w:tcPr>
            <w:tcW w:w="3420" w:type="dxa"/>
            <w:tcBorders>
              <w:top w:val="single" w:sz="6" w:space="0" w:color="auto"/>
              <w:left w:val="single" w:sz="6" w:space="0" w:color="auto"/>
              <w:bottom w:val="single" w:sz="6" w:space="0" w:color="auto"/>
              <w:right w:val="single" w:sz="6" w:space="0" w:color="auto"/>
            </w:tcBorders>
          </w:tcPr>
          <w:p w14:paraId="6DA318C8" w14:textId="77777777" w:rsidR="001E62B2" w:rsidRDefault="001E62B2">
            <w:pPr>
              <w:ind w:left="17"/>
              <w:rPr>
                <w:sz w:val="20"/>
                <w:szCs w:val="20"/>
              </w:rPr>
            </w:pPr>
            <w:r>
              <w:rPr>
                <w:sz w:val="20"/>
                <w:szCs w:val="20"/>
              </w:rPr>
              <w:t xml:space="preserve">Data collected </w:t>
            </w:r>
            <w:r w:rsidRPr="00CA1F9B">
              <w:rPr>
                <w:sz w:val="20"/>
                <w:szCs w:val="20"/>
              </w:rPr>
              <w:t>represent</w:t>
            </w:r>
            <w:r>
              <w:rPr>
                <w:sz w:val="20"/>
                <w:szCs w:val="20"/>
              </w:rPr>
              <w:t>s</w:t>
            </w:r>
            <w:r w:rsidRPr="00CA1F9B">
              <w:rPr>
                <w:sz w:val="20"/>
                <w:szCs w:val="20"/>
              </w:rPr>
              <w:t xml:space="preserve"> activities that occurred </w:t>
            </w:r>
            <w:r>
              <w:rPr>
                <w:sz w:val="20"/>
                <w:szCs w:val="20"/>
              </w:rPr>
              <w:t>within 3</w:t>
            </w:r>
            <w:r w:rsidRPr="00CA1F9B">
              <w:rPr>
                <w:sz w:val="20"/>
                <w:szCs w:val="20"/>
              </w:rPr>
              <w:t xml:space="preserve"> years </w:t>
            </w:r>
            <w:r>
              <w:rPr>
                <w:sz w:val="20"/>
                <w:szCs w:val="20"/>
              </w:rPr>
              <w:t>of</w:t>
            </w:r>
            <w:r w:rsidRPr="00CA1F9B">
              <w:rPr>
                <w:sz w:val="20"/>
                <w:szCs w:val="20"/>
              </w:rPr>
              <w:t xml:space="preserve"> to the time</w:t>
            </w:r>
            <w:r>
              <w:rPr>
                <w:sz w:val="20"/>
                <w:szCs w:val="20"/>
              </w:rPr>
              <w:t>-</w:t>
            </w:r>
            <w:r w:rsidRPr="00CA1F9B">
              <w:rPr>
                <w:sz w:val="20"/>
                <w:szCs w:val="20"/>
              </w:rPr>
              <w:t>period</w:t>
            </w:r>
            <w:r>
              <w:rPr>
                <w:sz w:val="20"/>
                <w:szCs w:val="20"/>
              </w:rPr>
              <w:t xml:space="preserve"> </w:t>
            </w:r>
            <w:r w:rsidRPr="00CA1F9B">
              <w:rPr>
                <w:sz w:val="20"/>
                <w:szCs w:val="20"/>
              </w:rPr>
              <w:t xml:space="preserve">being assessed </w:t>
            </w:r>
          </w:p>
        </w:tc>
        <w:tc>
          <w:tcPr>
            <w:tcW w:w="3543" w:type="dxa"/>
            <w:tcBorders>
              <w:top w:val="single" w:sz="6" w:space="0" w:color="auto"/>
              <w:left w:val="single" w:sz="6" w:space="0" w:color="auto"/>
              <w:bottom w:val="single" w:sz="6" w:space="0" w:color="auto"/>
              <w:right w:val="single" w:sz="6" w:space="0" w:color="auto"/>
            </w:tcBorders>
          </w:tcPr>
          <w:p w14:paraId="24FAACE4" w14:textId="77777777" w:rsidR="001E62B2" w:rsidRDefault="001E62B2">
            <w:pPr>
              <w:ind w:left="17"/>
              <w:rPr>
                <w:sz w:val="20"/>
                <w:szCs w:val="20"/>
              </w:rPr>
            </w:pPr>
            <w:r>
              <w:rPr>
                <w:sz w:val="20"/>
                <w:szCs w:val="20"/>
              </w:rPr>
              <w:t>Data based on r</w:t>
            </w:r>
            <w:r w:rsidRPr="00CA1F9B">
              <w:rPr>
                <w:sz w:val="20"/>
                <w:szCs w:val="20"/>
              </w:rPr>
              <w:t>egional data</w:t>
            </w:r>
            <w:r>
              <w:rPr>
                <w:sz w:val="20"/>
                <w:szCs w:val="20"/>
              </w:rPr>
              <w:t xml:space="preserve"> from a government or industry database or survey</w:t>
            </w:r>
          </w:p>
        </w:tc>
        <w:tc>
          <w:tcPr>
            <w:tcW w:w="2835" w:type="dxa"/>
            <w:tcBorders>
              <w:top w:val="single" w:sz="6" w:space="0" w:color="auto"/>
              <w:left w:val="single" w:sz="6" w:space="0" w:color="auto"/>
              <w:bottom w:val="single" w:sz="6" w:space="0" w:color="auto"/>
              <w:right w:val="single" w:sz="6" w:space="0" w:color="auto"/>
            </w:tcBorders>
            <w:hideMark/>
          </w:tcPr>
          <w:p w14:paraId="3FC76099" w14:textId="77777777" w:rsidR="001E62B2" w:rsidRPr="00CA1F9B" w:rsidRDefault="001E62B2">
            <w:pPr>
              <w:ind w:left="17"/>
              <w:rPr>
                <w:sz w:val="20"/>
                <w:szCs w:val="20"/>
              </w:rPr>
            </w:pPr>
            <w:r>
              <w:rPr>
                <w:sz w:val="20"/>
                <w:szCs w:val="20"/>
              </w:rPr>
              <w:t>Data based on s</w:t>
            </w:r>
            <w:r w:rsidRPr="00CA1F9B">
              <w:rPr>
                <w:sz w:val="20"/>
                <w:szCs w:val="20"/>
              </w:rPr>
              <w:t xml:space="preserve">ample </w:t>
            </w:r>
            <w:r>
              <w:rPr>
                <w:sz w:val="20"/>
                <w:szCs w:val="20"/>
              </w:rPr>
              <w:t xml:space="preserve">size </w:t>
            </w:r>
            <w:r w:rsidRPr="00CA1F9B">
              <w:rPr>
                <w:sz w:val="20"/>
                <w:szCs w:val="20"/>
              </w:rPr>
              <w:t>of 21-50%</w:t>
            </w:r>
            <w:r w:rsidRPr="00CA1F9B" w:rsidDel="00633A8F">
              <w:rPr>
                <w:sz w:val="20"/>
                <w:szCs w:val="20"/>
              </w:rPr>
              <w:t xml:space="preserve"> </w:t>
            </w:r>
          </w:p>
        </w:tc>
        <w:tc>
          <w:tcPr>
            <w:tcW w:w="3119" w:type="dxa"/>
            <w:tcBorders>
              <w:top w:val="single" w:sz="6" w:space="0" w:color="auto"/>
              <w:left w:val="single" w:sz="6" w:space="0" w:color="auto"/>
              <w:bottom w:val="single" w:sz="6" w:space="0" w:color="auto"/>
              <w:right w:val="single" w:sz="6" w:space="0" w:color="auto"/>
            </w:tcBorders>
          </w:tcPr>
          <w:p w14:paraId="5ED1A925" w14:textId="77777777" w:rsidR="001E62B2" w:rsidRDefault="001E62B2">
            <w:pPr>
              <w:ind w:left="17"/>
              <w:rPr>
                <w:sz w:val="20"/>
                <w:szCs w:val="20"/>
              </w:rPr>
            </w:pPr>
            <w:r>
              <w:rPr>
                <w:sz w:val="20"/>
                <w:szCs w:val="20"/>
              </w:rPr>
              <w:t>Regionally relevant product specific value from database developed using international best practice</w:t>
            </w:r>
            <w:r w:rsidRPr="00354EE8">
              <w:rPr>
                <w:sz w:val="20"/>
                <w:szCs w:val="20"/>
              </w:rPr>
              <w:t xml:space="preserve"> </w:t>
            </w:r>
          </w:p>
        </w:tc>
      </w:tr>
      <w:tr w:rsidR="001E62B2" w:rsidRPr="000E562A" w14:paraId="178216B4" w14:textId="77777777">
        <w:trPr>
          <w:trHeight w:val="300"/>
        </w:trPr>
        <w:tc>
          <w:tcPr>
            <w:tcW w:w="967" w:type="dxa"/>
            <w:tcBorders>
              <w:top w:val="single" w:sz="6" w:space="0" w:color="auto"/>
              <w:left w:val="single" w:sz="6" w:space="0" w:color="auto"/>
              <w:bottom w:val="single" w:sz="6" w:space="0" w:color="auto"/>
              <w:right w:val="single" w:sz="6" w:space="0" w:color="auto"/>
            </w:tcBorders>
            <w:hideMark/>
          </w:tcPr>
          <w:p w14:paraId="7EF34027" w14:textId="77777777" w:rsidR="001E62B2" w:rsidRPr="00CA1F9B" w:rsidRDefault="001E62B2">
            <w:pPr>
              <w:jc w:val="center"/>
              <w:rPr>
                <w:sz w:val="20"/>
                <w:szCs w:val="20"/>
              </w:rPr>
            </w:pPr>
            <w:r w:rsidRPr="00CA1F9B">
              <w:rPr>
                <w:sz w:val="20"/>
                <w:szCs w:val="20"/>
              </w:rPr>
              <w:t>2</w:t>
            </w:r>
          </w:p>
        </w:tc>
        <w:tc>
          <w:tcPr>
            <w:tcW w:w="3420" w:type="dxa"/>
            <w:tcBorders>
              <w:top w:val="single" w:sz="6" w:space="0" w:color="auto"/>
              <w:left w:val="single" w:sz="6" w:space="0" w:color="auto"/>
              <w:bottom w:val="single" w:sz="6" w:space="0" w:color="auto"/>
              <w:right w:val="single" w:sz="6" w:space="0" w:color="auto"/>
            </w:tcBorders>
          </w:tcPr>
          <w:p w14:paraId="54F1155F" w14:textId="77777777" w:rsidR="001E62B2" w:rsidRDefault="001E62B2">
            <w:pPr>
              <w:ind w:left="17"/>
              <w:rPr>
                <w:sz w:val="20"/>
                <w:szCs w:val="20"/>
              </w:rPr>
            </w:pPr>
            <w:r>
              <w:rPr>
                <w:sz w:val="20"/>
                <w:szCs w:val="20"/>
              </w:rPr>
              <w:t>D</w:t>
            </w:r>
            <w:r w:rsidRPr="00CA1F9B">
              <w:rPr>
                <w:sz w:val="20"/>
                <w:szCs w:val="20"/>
              </w:rPr>
              <w:t xml:space="preserve">ata </w:t>
            </w:r>
            <w:r>
              <w:rPr>
                <w:sz w:val="20"/>
                <w:szCs w:val="20"/>
              </w:rPr>
              <w:t xml:space="preserve">collected </w:t>
            </w:r>
            <w:r w:rsidRPr="00CA1F9B">
              <w:rPr>
                <w:sz w:val="20"/>
                <w:szCs w:val="20"/>
              </w:rPr>
              <w:t>represent</w:t>
            </w:r>
            <w:r>
              <w:rPr>
                <w:sz w:val="20"/>
                <w:szCs w:val="20"/>
              </w:rPr>
              <w:t>s</w:t>
            </w:r>
            <w:r w:rsidRPr="00CA1F9B">
              <w:rPr>
                <w:sz w:val="20"/>
                <w:szCs w:val="20"/>
              </w:rPr>
              <w:t xml:space="preserve"> activities that occurred </w:t>
            </w:r>
            <w:r>
              <w:rPr>
                <w:sz w:val="20"/>
                <w:szCs w:val="20"/>
              </w:rPr>
              <w:t>within 4</w:t>
            </w:r>
            <w:r w:rsidRPr="00CA1F9B">
              <w:rPr>
                <w:sz w:val="20"/>
                <w:szCs w:val="20"/>
              </w:rPr>
              <w:t xml:space="preserve"> years </w:t>
            </w:r>
            <w:r>
              <w:rPr>
                <w:sz w:val="20"/>
                <w:szCs w:val="20"/>
              </w:rPr>
              <w:t xml:space="preserve">of </w:t>
            </w:r>
            <w:r w:rsidRPr="00CA1F9B">
              <w:rPr>
                <w:sz w:val="20"/>
                <w:szCs w:val="20"/>
              </w:rPr>
              <w:t>the time</w:t>
            </w:r>
            <w:r>
              <w:rPr>
                <w:sz w:val="20"/>
                <w:szCs w:val="20"/>
              </w:rPr>
              <w:t>-</w:t>
            </w:r>
            <w:r w:rsidRPr="00CA1F9B">
              <w:rPr>
                <w:sz w:val="20"/>
                <w:szCs w:val="20"/>
              </w:rPr>
              <w:t>period</w:t>
            </w:r>
            <w:r>
              <w:rPr>
                <w:sz w:val="20"/>
                <w:szCs w:val="20"/>
              </w:rPr>
              <w:t xml:space="preserve"> </w:t>
            </w:r>
            <w:r w:rsidRPr="00CA1F9B">
              <w:rPr>
                <w:sz w:val="20"/>
                <w:szCs w:val="20"/>
              </w:rPr>
              <w:t xml:space="preserve">being assessed </w:t>
            </w:r>
          </w:p>
        </w:tc>
        <w:tc>
          <w:tcPr>
            <w:tcW w:w="3543" w:type="dxa"/>
            <w:tcBorders>
              <w:top w:val="single" w:sz="6" w:space="0" w:color="auto"/>
              <w:left w:val="single" w:sz="6" w:space="0" w:color="auto"/>
              <w:bottom w:val="single" w:sz="6" w:space="0" w:color="auto"/>
              <w:right w:val="single" w:sz="6" w:space="0" w:color="auto"/>
            </w:tcBorders>
          </w:tcPr>
          <w:p w14:paraId="3FCDCB6F" w14:textId="77777777" w:rsidR="001E62B2" w:rsidRDefault="001E62B2">
            <w:pPr>
              <w:ind w:left="17"/>
              <w:rPr>
                <w:sz w:val="20"/>
                <w:szCs w:val="20"/>
              </w:rPr>
            </w:pPr>
            <w:r>
              <w:rPr>
                <w:sz w:val="20"/>
                <w:szCs w:val="20"/>
              </w:rPr>
              <w:t>Data based on s</w:t>
            </w:r>
            <w:r w:rsidRPr="00CA1F9B">
              <w:rPr>
                <w:sz w:val="20"/>
                <w:szCs w:val="20"/>
              </w:rPr>
              <w:t>tate</w:t>
            </w:r>
            <w:r w:rsidRPr="00CA1F9B" w:rsidDel="00823CFB">
              <w:rPr>
                <w:sz w:val="20"/>
                <w:szCs w:val="20"/>
              </w:rPr>
              <w:t xml:space="preserve"> </w:t>
            </w:r>
            <w:r w:rsidRPr="00CA1F9B">
              <w:rPr>
                <w:sz w:val="20"/>
                <w:szCs w:val="20"/>
              </w:rPr>
              <w:t>data</w:t>
            </w:r>
            <w:r>
              <w:rPr>
                <w:sz w:val="20"/>
                <w:szCs w:val="20"/>
              </w:rPr>
              <w:t xml:space="preserve"> from a government or industry database or survey</w:t>
            </w:r>
          </w:p>
        </w:tc>
        <w:tc>
          <w:tcPr>
            <w:tcW w:w="2835" w:type="dxa"/>
            <w:tcBorders>
              <w:top w:val="single" w:sz="6" w:space="0" w:color="auto"/>
              <w:left w:val="single" w:sz="6" w:space="0" w:color="auto"/>
              <w:bottom w:val="single" w:sz="6" w:space="0" w:color="auto"/>
              <w:right w:val="single" w:sz="6" w:space="0" w:color="auto"/>
            </w:tcBorders>
            <w:hideMark/>
          </w:tcPr>
          <w:p w14:paraId="550226B5" w14:textId="77777777" w:rsidR="001E62B2" w:rsidRPr="00CA1F9B" w:rsidRDefault="001E62B2">
            <w:pPr>
              <w:ind w:left="17"/>
              <w:rPr>
                <w:sz w:val="20"/>
                <w:szCs w:val="20"/>
              </w:rPr>
            </w:pPr>
            <w:r>
              <w:rPr>
                <w:sz w:val="20"/>
                <w:szCs w:val="20"/>
              </w:rPr>
              <w:t>Data based on s</w:t>
            </w:r>
            <w:r w:rsidRPr="00CA1F9B">
              <w:rPr>
                <w:sz w:val="20"/>
                <w:szCs w:val="20"/>
              </w:rPr>
              <w:t xml:space="preserve">ample </w:t>
            </w:r>
            <w:r>
              <w:rPr>
                <w:sz w:val="20"/>
                <w:szCs w:val="20"/>
              </w:rPr>
              <w:t xml:space="preserve">size </w:t>
            </w:r>
            <w:r w:rsidRPr="00CA1F9B">
              <w:rPr>
                <w:sz w:val="20"/>
                <w:szCs w:val="20"/>
              </w:rPr>
              <w:t xml:space="preserve">of &lt;20% </w:t>
            </w:r>
            <w:r>
              <w:rPr>
                <w:sz w:val="20"/>
                <w:szCs w:val="20"/>
              </w:rPr>
              <w:t>(e.g. liveweight measured for 10% of herd)</w:t>
            </w:r>
          </w:p>
        </w:tc>
        <w:tc>
          <w:tcPr>
            <w:tcW w:w="3119" w:type="dxa"/>
            <w:tcBorders>
              <w:top w:val="single" w:sz="6" w:space="0" w:color="auto"/>
              <w:left w:val="single" w:sz="6" w:space="0" w:color="auto"/>
              <w:bottom w:val="single" w:sz="6" w:space="0" w:color="auto"/>
              <w:right w:val="single" w:sz="6" w:space="0" w:color="auto"/>
            </w:tcBorders>
          </w:tcPr>
          <w:p w14:paraId="4E93CF3C" w14:textId="746DA2EC" w:rsidR="001E62B2" w:rsidRDefault="001E62B2">
            <w:pPr>
              <w:ind w:left="17"/>
              <w:rPr>
                <w:sz w:val="20"/>
                <w:szCs w:val="20"/>
              </w:rPr>
            </w:pPr>
            <w:r>
              <w:rPr>
                <w:sz w:val="20"/>
                <w:szCs w:val="20"/>
              </w:rPr>
              <w:t>Nationally relevant product specific value from database developed using international best practice</w:t>
            </w:r>
            <w:r w:rsidRPr="00354EE8">
              <w:rPr>
                <w:sz w:val="20"/>
                <w:szCs w:val="20"/>
              </w:rPr>
              <w:t> </w:t>
            </w:r>
          </w:p>
        </w:tc>
      </w:tr>
      <w:tr w:rsidR="001E62B2" w:rsidRPr="000E562A" w14:paraId="797EFB6F" w14:textId="77777777">
        <w:trPr>
          <w:trHeight w:val="300"/>
        </w:trPr>
        <w:tc>
          <w:tcPr>
            <w:tcW w:w="967" w:type="dxa"/>
            <w:tcBorders>
              <w:top w:val="single" w:sz="6" w:space="0" w:color="auto"/>
              <w:left w:val="single" w:sz="6" w:space="0" w:color="auto"/>
              <w:bottom w:val="single" w:sz="6" w:space="0" w:color="auto"/>
              <w:right w:val="single" w:sz="6" w:space="0" w:color="auto"/>
            </w:tcBorders>
            <w:hideMark/>
          </w:tcPr>
          <w:p w14:paraId="74ADAC10" w14:textId="77777777" w:rsidR="001E62B2" w:rsidRPr="00CA1F9B" w:rsidRDefault="001E62B2">
            <w:pPr>
              <w:jc w:val="center"/>
              <w:rPr>
                <w:sz w:val="20"/>
                <w:szCs w:val="20"/>
              </w:rPr>
            </w:pPr>
            <w:r w:rsidRPr="00CA1F9B">
              <w:rPr>
                <w:sz w:val="20"/>
                <w:szCs w:val="20"/>
              </w:rPr>
              <w:t>1</w:t>
            </w:r>
          </w:p>
        </w:tc>
        <w:tc>
          <w:tcPr>
            <w:tcW w:w="3420" w:type="dxa"/>
            <w:tcBorders>
              <w:top w:val="single" w:sz="6" w:space="0" w:color="auto"/>
              <w:left w:val="single" w:sz="6" w:space="0" w:color="auto"/>
              <w:bottom w:val="single" w:sz="6" w:space="0" w:color="auto"/>
              <w:right w:val="single" w:sz="6" w:space="0" w:color="auto"/>
            </w:tcBorders>
          </w:tcPr>
          <w:p w14:paraId="45AED640" w14:textId="235B5DD1" w:rsidR="001E62B2" w:rsidRDefault="004C0BB8">
            <w:pPr>
              <w:ind w:left="17"/>
              <w:rPr>
                <w:sz w:val="20"/>
                <w:szCs w:val="20"/>
              </w:rPr>
            </w:pPr>
            <w:r w:rsidRPr="004C0BB8">
              <w:rPr>
                <w:sz w:val="20"/>
                <w:szCs w:val="20"/>
              </w:rPr>
              <w:t xml:space="preserve">Age of data unknown or data more than 4 years older than the time-period being reported </w:t>
            </w:r>
          </w:p>
        </w:tc>
        <w:tc>
          <w:tcPr>
            <w:tcW w:w="3543" w:type="dxa"/>
            <w:tcBorders>
              <w:top w:val="single" w:sz="6" w:space="0" w:color="auto"/>
              <w:left w:val="single" w:sz="6" w:space="0" w:color="auto"/>
              <w:bottom w:val="single" w:sz="6" w:space="0" w:color="auto"/>
              <w:right w:val="single" w:sz="6" w:space="0" w:color="auto"/>
            </w:tcBorders>
          </w:tcPr>
          <w:p w14:paraId="5F5E3994" w14:textId="77777777" w:rsidR="001E62B2" w:rsidRDefault="001E62B2">
            <w:pPr>
              <w:ind w:left="17"/>
              <w:rPr>
                <w:sz w:val="20"/>
                <w:szCs w:val="20"/>
              </w:rPr>
            </w:pPr>
            <w:r>
              <w:rPr>
                <w:sz w:val="20"/>
                <w:szCs w:val="20"/>
              </w:rPr>
              <w:t>Data based on national data from a government or industry database or survey</w:t>
            </w:r>
          </w:p>
        </w:tc>
        <w:tc>
          <w:tcPr>
            <w:tcW w:w="2835" w:type="dxa"/>
            <w:tcBorders>
              <w:top w:val="single" w:sz="6" w:space="0" w:color="auto"/>
              <w:left w:val="single" w:sz="6" w:space="0" w:color="auto"/>
              <w:bottom w:val="single" w:sz="6" w:space="0" w:color="auto"/>
              <w:right w:val="single" w:sz="6" w:space="0" w:color="auto"/>
            </w:tcBorders>
            <w:hideMark/>
          </w:tcPr>
          <w:p w14:paraId="3CD3C4EC" w14:textId="77777777" w:rsidR="001E62B2" w:rsidRPr="00CA1F9B" w:rsidRDefault="001E62B2">
            <w:pPr>
              <w:ind w:left="17"/>
              <w:rPr>
                <w:sz w:val="20"/>
                <w:szCs w:val="20"/>
              </w:rPr>
            </w:pPr>
            <w:r>
              <w:rPr>
                <w:sz w:val="20"/>
                <w:szCs w:val="20"/>
              </w:rPr>
              <w:t>Unknown (e.g. data based on national/state/regional data source)</w:t>
            </w:r>
          </w:p>
        </w:tc>
        <w:tc>
          <w:tcPr>
            <w:tcW w:w="3119" w:type="dxa"/>
            <w:tcBorders>
              <w:top w:val="single" w:sz="6" w:space="0" w:color="auto"/>
              <w:left w:val="single" w:sz="6" w:space="0" w:color="auto"/>
              <w:bottom w:val="single" w:sz="6" w:space="0" w:color="auto"/>
              <w:right w:val="single" w:sz="6" w:space="0" w:color="auto"/>
            </w:tcBorders>
          </w:tcPr>
          <w:p w14:paraId="233669A1" w14:textId="77777777" w:rsidR="001E62B2" w:rsidRDefault="001E62B2">
            <w:pPr>
              <w:ind w:left="17"/>
              <w:rPr>
                <w:sz w:val="20"/>
                <w:szCs w:val="20"/>
              </w:rPr>
            </w:pPr>
            <w:r>
              <w:rPr>
                <w:sz w:val="20"/>
                <w:szCs w:val="20"/>
              </w:rPr>
              <w:t>Geographically generic product specific value from database developed using international best practice</w:t>
            </w:r>
          </w:p>
        </w:tc>
      </w:tr>
    </w:tbl>
    <w:p w14:paraId="42B10846" w14:textId="52C54940" w:rsidR="001E62B2" w:rsidRPr="00DD180C" w:rsidRDefault="001E62B2" w:rsidP="001E62B2">
      <w:pPr>
        <w:rPr>
          <w:rFonts w:ascii="Aptos Narrow" w:eastAsia="Times New Roman" w:hAnsi="Aptos Narrow" w:cs="Times New Roman"/>
          <w:b/>
          <w:color w:val="000000"/>
          <w:kern w:val="0"/>
          <w:lang w:eastAsia="en-AU"/>
          <w14:ligatures w14:val="none"/>
        </w:rPr>
      </w:pPr>
      <w:r w:rsidRPr="00DD180C">
        <w:rPr>
          <w:rFonts w:ascii="Aptos Narrow" w:eastAsia="Times New Roman" w:hAnsi="Aptos Narrow" w:cs="Times New Roman"/>
          <w:b/>
          <w:color w:val="000000"/>
          <w:kern w:val="0"/>
          <w:lang w:eastAsia="en-AU"/>
          <w14:ligatures w14:val="none"/>
        </w:rPr>
        <w:t>Table 8: Data quality scoring framework</w:t>
      </w:r>
    </w:p>
    <w:p w14:paraId="1C9746FD" w14:textId="77777777" w:rsidR="001E62B2" w:rsidRPr="009E1B74" w:rsidRDefault="001E62B2" w:rsidP="00076B9B">
      <w:pPr>
        <w:pStyle w:val="ListParagraph"/>
        <w:numPr>
          <w:ilvl w:val="0"/>
          <w:numId w:val="29"/>
        </w:numPr>
        <w:ind w:left="426"/>
        <w:rPr>
          <w:sz w:val="18"/>
          <w:szCs w:val="18"/>
        </w:rPr>
      </w:pPr>
      <w:r w:rsidRPr="009E1B74">
        <w:rPr>
          <w:sz w:val="18"/>
          <w:szCs w:val="18"/>
        </w:rPr>
        <w:t>Th</w:t>
      </w:r>
      <w:r>
        <w:rPr>
          <w:sz w:val="18"/>
          <w:szCs w:val="18"/>
        </w:rPr>
        <w:t>e data</w:t>
      </w:r>
      <w:r w:rsidRPr="009E1B74">
        <w:rPr>
          <w:sz w:val="18"/>
          <w:szCs w:val="18"/>
        </w:rPr>
        <w:t xml:space="preserve"> could include annual data or a mean of annual data representing activities that occurred in the time-period being assessed or </w:t>
      </w:r>
      <w:r>
        <w:rPr>
          <w:sz w:val="18"/>
          <w:szCs w:val="18"/>
        </w:rPr>
        <w:t>within</w:t>
      </w:r>
      <w:r w:rsidRPr="009E1B74">
        <w:rPr>
          <w:sz w:val="18"/>
          <w:szCs w:val="18"/>
        </w:rPr>
        <w:t xml:space="preserve"> </w:t>
      </w:r>
      <w:r>
        <w:rPr>
          <w:sz w:val="18"/>
          <w:szCs w:val="18"/>
        </w:rPr>
        <w:t xml:space="preserve">the </w:t>
      </w:r>
      <w:r w:rsidRPr="009E1B74">
        <w:rPr>
          <w:sz w:val="18"/>
          <w:szCs w:val="18"/>
        </w:rPr>
        <w:t>specified number of year</w:t>
      </w:r>
      <w:r>
        <w:rPr>
          <w:sz w:val="18"/>
          <w:szCs w:val="18"/>
        </w:rPr>
        <w:t>s</w:t>
      </w:r>
      <w:r w:rsidRPr="009E1B74">
        <w:rPr>
          <w:sz w:val="18"/>
          <w:szCs w:val="18"/>
        </w:rPr>
        <w:t xml:space="preserve"> </w:t>
      </w:r>
      <w:r>
        <w:rPr>
          <w:sz w:val="18"/>
          <w:szCs w:val="18"/>
        </w:rPr>
        <w:t>from</w:t>
      </w:r>
      <w:r w:rsidRPr="009E1B74">
        <w:rPr>
          <w:sz w:val="18"/>
          <w:szCs w:val="18"/>
        </w:rPr>
        <w:t xml:space="preserve"> time-period being assessed</w:t>
      </w:r>
      <w:r>
        <w:rPr>
          <w:sz w:val="18"/>
          <w:szCs w:val="18"/>
        </w:rPr>
        <w:t>.</w:t>
      </w:r>
      <w:r w:rsidRPr="009E1B74">
        <w:rPr>
          <w:sz w:val="18"/>
          <w:szCs w:val="18"/>
        </w:rPr>
        <w:t xml:space="preserve"> </w:t>
      </w:r>
    </w:p>
    <w:p w14:paraId="728B1E6A" w14:textId="2ABCE58A" w:rsidR="001E62B2" w:rsidRDefault="001E62B2" w:rsidP="00076B9B">
      <w:pPr>
        <w:pStyle w:val="ListParagraph"/>
        <w:numPr>
          <w:ilvl w:val="0"/>
          <w:numId w:val="29"/>
        </w:numPr>
        <w:ind w:left="426"/>
        <w:rPr>
          <w:sz w:val="18"/>
          <w:szCs w:val="18"/>
        </w:rPr>
      </w:pPr>
      <w:r>
        <w:rPr>
          <w:sz w:val="18"/>
          <w:szCs w:val="18"/>
        </w:rPr>
        <w:t>Data</w:t>
      </w:r>
      <w:r w:rsidR="00CD264D">
        <w:rPr>
          <w:sz w:val="18"/>
          <w:szCs w:val="18"/>
        </w:rPr>
        <w:t xml:space="preserve"> </w:t>
      </w:r>
      <w:r>
        <w:rPr>
          <w:sz w:val="18"/>
          <w:szCs w:val="18"/>
        </w:rPr>
        <w:t xml:space="preserve">without spatial partitioning would represent data for whole of entity or location. Data with spatial partitional might have data differentiated by paddock or </w:t>
      </w:r>
      <w:r w:rsidR="00CD264D">
        <w:rPr>
          <w:sz w:val="18"/>
          <w:szCs w:val="18"/>
        </w:rPr>
        <w:t>management unit</w:t>
      </w:r>
      <w:r w:rsidR="00DC14CF">
        <w:rPr>
          <w:sz w:val="18"/>
          <w:szCs w:val="18"/>
        </w:rPr>
        <w:t xml:space="preserve"> </w:t>
      </w:r>
      <w:r w:rsidR="00DC14CF" w:rsidRPr="00DC14CF">
        <w:rPr>
          <w:sz w:val="18"/>
          <w:szCs w:val="18"/>
        </w:rPr>
        <w:t>to account for data being differentiated by soil type or land use zones</w:t>
      </w:r>
      <w:r w:rsidR="00CD264D">
        <w:rPr>
          <w:sz w:val="18"/>
          <w:szCs w:val="18"/>
        </w:rPr>
        <w:t xml:space="preserve">. </w:t>
      </w:r>
    </w:p>
    <w:p w14:paraId="43DF06BE" w14:textId="77777777" w:rsidR="00DE52C9" w:rsidRDefault="00DE52C9" w:rsidP="00DE52C9">
      <w:pPr>
        <w:ind w:left="66"/>
        <w:rPr>
          <w:sz w:val="18"/>
          <w:szCs w:val="18"/>
        </w:rPr>
      </w:pPr>
    </w:p>
    <w:p w14:paraId="369104CA" w14:textId="77777777" w:rsidR="00DE52C9" w:rsidRDefault="00DE52C9" w:rsidP="003F7054">
      <w:pPr>
        <w:rPr>
          <w:sz w:val="18"/>
          <w:szCs w:val="18"/>
        </w:rPr>
        <w:sectPr w:rsidR="00DE52C9" w:rsidSect="00DE52C9">
          <w:headerReference w:type="default" r:id="rId63"/>
          <w:pgSz w:w="16838" w:h="11906" w:orient="landscape"/>
          <w:pgMar w:top="1440" w:right="1440" w:bottom="1440" w:left="1440" w:header="708" w:footer="708" w:gutter="0"/>
          <w:cols w:space="708"/>
          <w:docGrid w:linePitch="360"/>
        </w:sectPr>
      </w:pPr>
    </w:p>
    <w:tbl>
      <w:tblPr>
        <w:tblStyle w:val="TableGrid"/>
        <w:tblW w:w="0" w:type="auto"/>
        <w:tblInd w:w="0" w:type="dxa"/>
        <w:tblBorders>
          <w:top w:val="single" w:sz="4" w:space="0" w:color="auto"/>
          <w:left w:val="single" w:sz="4" w:space="0" w:color="auto"/>
          <w:bottom w:val="single" w:sz="4" w:space="0" w:color="auto"/>
          <w:right w:val="single" w:sz="4" w:space="0" w:color="auto"/>
        </w:tblBorders>
        <w:shd w:val="clear" w:color="auto" w:fill="D9F2D0" w:themeFill="accent6" w:themeFillTint="33"/>
        <w:tblLook w:val="04A0" w:firstRow="1" w:lastRow="0" w:firstColumn="1" w:lastColumn="0" w:noHBand="0" w:noVBand="1"/>
      </w:tblPr>
      <w:tblGrid>
        <w:gridCol w:w="9016"/>
      </w:tblGrid>
      <w:tr w:rsidR="002410E6" w14:paraId="2E5375A9" w14:textId="77777777" w:rsidTr="0055724F">
        <w:tc>
          <w:tcPr>
            <w:tcW w:w="9026" w:type="dxa"/>
            <w:shd w:val="clear" w:color="auto" w:fill="D9F2D0" w:themeFill="accent6" w:themeFillTint="33"/>
          </w:tcPr>
          <w:p w14:paraId="155C67FE" w14:textId="5E5735CE" w:rsidR="002410E6" w:rsidRPr="00F8167D" w:rsidRDefault="002410E6" w:rsidP="00DE52C9">
            <w:pPr>
              <w:rPr>
                <w:b/>
                <w:bCs/>
              </w:rPr>
            </w:pPr>
            <w:r w:rsidRPr="0022024C">
              <w:rPr>
                <w:b/>
              </w:rPr>
              <w:lastRenderedPageBreak/>
              <w:t>Question</w:t>
            </w:r>
            <w:r w:rsidR="00CE0F77">
              <w:rPr>
                <w:b/>
              </w:rPr>
              <w:t xml:space="preserve">s: Scope 3 Emissions Factors </w:t>
            </w:r>
          </w:p>
          <w:p w14:paraId="300966BB" w14:textId="6D811142" w:rsidR="0041037A" w:rsidRPr="000802D3" w:rsidRDefault="00AC427B" w:rsidP="00DE52C9">
            <w:r w:rsidRPr="00CE0F77">
              <w:t xml:space="preserve">At present, unverified supplier </w:t>
            </w:r>
            <w:r w:rsidR="00B12F0A" w:rsidRPr="00CE0F77">
              <w:t>emissions factors</w:t>
            </w:r>
            <w:r w:rsidR="00E43673" w:rsidRPr="00CE0F77">
              <w:t xml:space="preserve"> </w:t>
            </w:r>
            <w:r w:rsidR="00B12F0A" w:rsidRPr="00CE0F77">
              <w:t>are</w:t>
            </w:r>
            <w:r w:rsidR="00842D31" w:rsidRPr="00CE0F77">
              <w:t xml:space="preserve"> not included in the Data Quality Framework</w:t>
            </w:r>
            <w:r w:rsidR="005420EA" w:rsidRPr="00CE0F77">
              <w:t xml:space="preserve"> </w:t>
            </w:r>
            <w:r w:rsidR="000802D3">
              <w:t xml:space="preserve">and the option is not currently adopted in </w:t>
            </w:r>
            <w:r w:rsidR="0055724F" w:rsidRPr="00CE0F77">
              <w:t>the Methodological Guidance.</w:t>
            </w:r>
          </w:p>
          <w:p w14:paraId="0032D16B" w14:textId="77777777" w:rsidR="0041037A" w:rsidRDefault="0041037A" w:rsidP="00DE52C9"/>
          <w:p w14:paraId="7BDC07C8" w14:textId="3209C285" w:rsidR="0041037A" w:rsidRDefault="000802D3" w:rsidP="00DE52C9">
            <w:r w:rsidRPr="000802D3">
              <w:rPr>
                <w:b/>
                <w:bCs/>
              </w:rPr>
              <w:t>8A</w:t>
            </w:r>
            <w:r w:rsidR="0041037A">
              <w:t xml:space="preserve">: </w:t>
            </w:r>
            <w:r w:rsidR="00842D31">
              <w:t>Should unverified supplier data be</w:t>
            </w:r>
            <w:r w:rsidR="00B12F0A">
              <w:t xml:space="preserve"> allowed? </w:t>
            </w:r>
            <w:r w:rsidR="0041037A">
              <w:t xml:space="preserve"> </w:t>
            </w:r>
          </w:p>
          <w:p w14:paraId="2D2AFBE9" w14:textId="236E43C9" w:rsidR="0041037A" w:rsidRDefault="000802D3" w:rsidP="00DE52C9">
            <w:r w:rsidRPr="000802D3">
              <w:rPr>
                <w:b/>
                <w:bCs/>
              </w:rPr>
              <w:t>8B</w:t>
            </w:r>
            <w:r w:rsidR="0041037A" w:rsidRPr="000802D3">
              <w:rPr>
                <w:b/>
                <w:bCs/>
              </w:rPr>
              <w:t>:</w:t>
            </w:r>
            <w:r w:rsidR="0041037A">
              <w:t xml:space="preserve"> </w:t>
            </w:r>
            <w:r w:rsidR="00B12F0A">
              <w:t xml:space="preserve">If </w:t>
            </w:r>
            <w:r w:rsidR="0041037A">
              <w:t>yes</w:t>
            </w:r>
            <w:r w:rsidR="00B12F0A">
              <w:t xml:space="preserve">, </w:t>
            </w:r>
            <w:r w:rsidR="00880E32">
              <w:t xml:space="preserve">should </w:t>
            </w:r>
            <w:r w:rsidR="00BF4CB6">
              <w:t xml:space="preserve">criteria or other standards </w:t>
            </w:r>
            <w:r w:rsidR="00580A31">
              <w:t xml:space="preserve">need to </w:t>
            </w:r>
            <w:r w:rsidR="00880E32">
              <w:t xml:space="preserve">be met to allow </w:t>
            </w:r>
            <w:r w:rsidR="00BF4CB6">
              <w:t>their</w:t>
            </w:r>
            <w:r w:rsidR="00880E32">
              <w:t xml:space="preserve"> inclusion? </w:t>
            </w:r>
          </w:p>
          <w:p w14:paraId="3593602E" w14:textId="3B6A7CD1" w:rsidR="00B12F0A" w:rsidRDefault="000802D3" w:rsidP="00DE52C9">
            <w:r w:rsidRPr="000802D3">
              <w:rPr>
                <w:b/>
                <w:bCs/>
              </w:rPr>
              <w:t>8C</w:t>
            </w:r>
            <w:r w:rsidR="0041037A" w:rsidRPr="000802D3">
              <w:rPr>
                <w:b/>
                <w:bCs/>
              </w:rPr>
              <w:t>:</w:t>
            </w:r>
            <w:r w:rsidR="0041037A">
              <w:t xml:space="preserve"> </w:t>
            </w:r>
            <w:r>
              <w:t>If yes, w</w:t>
            </w:r>
            <w:r w:rsidR="00880E32">
              <w:t xml:space="preserve">hat </w:t>
            </w:r>
            <w:r w:rsidR="00B12F0A">
              <w:t>data quality ranking</w:t>
            </w:r>
            <w:r w:rsidR="00A451F7">
              <w:t>/s</w:t>
            </w:r>
            <w:r w:rsidR="00B12F0A">
              <w:t xml:space="preserve"> should </w:t>
            </w:r>
            <w:r w:rsidR="00BF4CB6">
              <w:t xml:space="preserve">unverified supplier </w:t>
            </w:r>
            <w:r w:rsidR="007D3FA9">
              <w:t>emissions factors</w:t>
            </w:r>
            <w:r w:rsidR="00BF4CB6">
              <w:t xml:space="preserve"> </w:t>
            </w:r>
            <w:r w:rsidR="00B12F0A">
              <w:t xml:space="preserve">receive in the Data Quality Framework? </w:t>
            </w:r>
            <w:r w:rsidR="007D3FA9">
              <w:t xml:space="preserve"> </w:t>
            </w:r>
          </w:p>
          <w:p w14:paraId="644253C6" w14:textId="77777777" w:rsidR="00322A09" w:rsidRPr="000802D3" w:rsidRDefault="00322A09" w:rsidP="00DE52C9">
            <w:pPr>
              <w:rPr>
                <w:i/>
                <w:iCs/>
              </w:rPr>
            </w:pPr>
          </w:p>
          <w:p w14:paraId="70A969F9" w14:textId="29A8ED15" w:rsidR="002410E6" w:rsidRPr="00F8167D" w:rsidRDefault="00A66F13" w:rsidP="00DE52C9">
            <w:pPr>
              <w:rPr>
                <w:i/>
                <w:iCs/>
              </w:rPr>
            </w:pPr>
            <w:r>
              <w:rPr>
                <w:i/>
                <w:iCs/>
              </w:rPr>
              <w:t>R</w:t>
            </w:r>
            <w:r w:rsidR="00322A09" w:rsidRPr="000802D3">
              <w:rPr>
                <w:i/>
                <w:iCs/>
              </w:rPr>
              <w:t>efer to Method</w:t>
            </w:r>
            <w:r w:rsidR="006C7183" w:rsidRPr="000802D3">
              <w:rPr>
                <w:i/>
                <w:iCs/>
              </w:rPr>
              <w:t>ological</w:t>
            </w:r>
            <w:r w:rsidR="00322A09" w:rsidRPr="000802D3">
              <w:rPr>
                <w:i/>
                <w:iCs/>
              </w:rPr>
              <w:t xml:space="preserve"> Guidance Chapters 14-15 Scope 2 &amp; 3 for</w:t>
            </w:r>
            <w:r w:rsidR="000E4292" w:rsidRPr="000802D3">
              <w:rPr>
                <w:i/>
                <w:iCs/>
              </w:rPr>
              <w:t xml:space="preserve"> more information about Scope 3 </w:t>
            </w:r>
            <w:r w:rsidR="007D3FA9" w:rsidRPr="000802D3">
              <w:rPr>
                <w:i/>
                <w:iCs/>
              </w:rPr>
              <w:t xml:space="preserve">data, methods and standards. </w:t>
            </w:r>
          </w:p>
        </w:tc>
      </w:tr>
    </w:tbl>
    <w:p w14:paraId="45237D0A" w14:textId="77777777" w:rsidR="00DE52C9" w:rsidRPr="00DE52C9" w:rsidRDefault="00DE52C9" w:rsidP="009458AA">
      <w:pPr>
        <w:spacing w:after="0" w:line="240" w:lineRule="auto"/>
        <w:rPr>
          <w:sz w:val="18"/>
          <w:szCs w:val="18"/>
        </w:rPr>
      </w:pPr>
    </w:p>
    <w:p w14:paraId="001A600A" w14:textId="77777777" w:rsidR="001E62B2" w:rsidRDefault="001E62B2" w:rsidP="009458AA">
      <w:pPr>
        <w:pStyle w:val="Style3"/>
        <w:spacing w:before="0"/>
        <w:ind w:left="567" w:hanging="567"/>
      </w:pPr>
      <w:bookmarkStart w:id="80" w:name="_Ref208567583"/>
      <w:bookmarkStart w:id="81" w:name="_Ref208567782"/>
      <w:bookmarkStart w:id="82" w:name="_Toc225269968"/>
      <w:r>
        <w:t>Quality assurance</w:t>
      </w:r>
      <w:bookmarkEnd w:id="80"/>
      <w:bookmarkEnd w:id="81"/>
      <w:bookmarkEnd w:id="82"/>
    </w:p>
    <w:p w14:paraId="0EE31F40" w14:textId="77777777" w:rsidR="001E62B2" w:rsidRDefault="001E62B2" w:rsidP="001E62B2">
      <w:r>
        <w:t>The entity shall implement quality assurance procedures including:</w:t>
      </w:r>
    </w:p>
    <w:p w14:paraId="3A3295E5" w14:textId="741171C5" w:rsidR="001E62B2" w:rsidRDefault="00ED264D" w:rsidP="00076B9B">
      <w:pPr>
        <w:pStyle w:val="ListParagraph"/>
        <w:numPr>
          <w:ilvl w:val="0"/>
          <w:numId w:val="13"/>
        </w:numPr>
      </w:pPr>
      <w:r>
        <w:t xml:space="preserve">conducting </w:t>
      </w:r>
      <w:r w:rsidR="001E62B2">
        <w:t>internal review of calculations and data</w:t>
      </w:r>
    </w:p>
    <w:p w14:paraId="41AD4A83" w14:textId="77777777" w:rsidR="001E62B2" w:rsidRDefault="001E62B2" w:rsidP="00076B9B">
      <w:pPr>
        <w:pStyle w:val="ListParagraph"/>
        <w:numPr>
          <w:ilvl w:val="0"/>
          <w:numId w:val="13"/>
        </w:numPr>
      </w:pPr>
      <w:r>
        <w:t>documenting review findings and corrections</w:t>
      </w:r>
    </w:p>
    <w:p w14:paraId="30106B38" w14:textId="05473594" w:rsidR="001E62B2" w:rsidRDefault="00B20C11" w:rsidP="00076B9B">
      <w:pPr>
        <w:pStyle w:val="ListParagraph"/>
        <w:numPr>
          <w:ilvl w:val="0"/>
          <w:numId w:val="13"/>
        </w:numPr>
      </w:pPr>
      <w:r>
        <w:t xml:space="preserve">undertaking </w:t>
      </w:r>
      <w:r w:rsidR="001E62B2">
        <w:t>periodic assessment of data collection procedures.</w:t>
      </w:r>
    </w:p>
    <w:p w14:paraId="00EDFED7" w14:textId="77777777" w:rsidR="001E62B2" w:rsidRDefault="001E62B2" w:rsidP="001E62B2">
      <w:r>
        <w:t xml:space="preserve">All estimation methods and data used to generate a </w:t>
      </w:r>
      <w:r w:rsidRPr="00794F1F">
        <w:t>GHG inventory</w:t>
      </w:r>
      <w:r>
        <w:t xml:space="preserve"> shall be documented and, where necessary, retained to allow a quality assurance or verification process to be conducted. </w:t>
      </w:r>
    </w:p>
    <w:p w14:paraId="45563A1F" w14:textId="77777777" w:rsidR="001E62B2" w:rsidRDefault="001E62B2" w:rsidP="001E62B2">
      <w:r>
        <w:t>Additional data from independent sources should also be collected and retained to facilitate verification of activity data. Independent data that are collected to allow verification of activity data should be obtained from a recognised reputable source or where site-specific data are collected should be obtained using equipment that is calibrated according to a recognised standard.</w:t>
      </w:r>
    </w:p>
    <w:p w14:paraId="1800A410" w14:textId="77777777" w:rsidR="001E62B2" w:rsidRDefault="001E62B2" w:rsidP="009458AA">
      <w:pPr>
        <w:pStyle w:val="Style7"/>
        <w:spacing w:before="0" w:after="0" w:line="240" w:lineRule="auto"/>
      </w:pPr>
      <w:bookmarkStart w:id="83" w:name="_Toc225269969"/>
      <w:bookmarkStart w:id="84" w:name="Reporting"/>
      <w:r>
        <w:t>Reporting</w:t>
      </w:r>
      <w:bookmarkEnd w:id="83"/>
      <w:r>
        <w:t xml:space="preserve"> </w:t>
      </w:r>
    </w:p>
    <w:p w14:paraId="6BA2AEDC" w14:textId="77777777" w:rsidR="001E62B2" w:rsidRDefault="001E62B2" w:rsidP="009458AA">
      <w:pPr>
        <w:pStyle w:val="Style3"/>
        <w:spacing w:before="0" w:after="0" w:line="240" w:lineRule="auto"/>
        <w:ind w:left="567" w:hanging="567"/>
      </w:pPr>
      <w:bookmarkStart w:id="85" w:name="_Toc225269970"/>
      <w:bookmarkEnd w:id="84"/>
      <w:r>
        <w:t>Required information and documentation</w:t>
      </w:r>
      <w:bookmarkEnd w:id="85"/>
    </w:p>
    <w:p w14:paraId="5B1B1ED6" w14:textId="77777777" w:rsidR="001E62B2" w:rsidRDefault="001E62B2" w:rsidP="001E62B2">
      <w:r>
        <w:t xml:space="preserve">A complete emissions report provides sufficient information for informed decision-making and verification. Requirements can differ depending on the intended goal of the inventory. If reporting to a third party, the entity should check their requirements for reporting. </w:t>
      </w:r>
    </w:p>
    <w:p w14:paraId="3A7AEDC1" w14:textId="77777777" w:rsidR="001E62B2" w:rsidRDefault="001E62B2" w:rsidP="001E62B2">
      <w:r>
        <w:t xml:space="preserve">To meet the minimum requirement of these Guidelines, entities shall report the following. </w:t>
      </w:r>
    </w:p>
    <w:p w14:paraId="18FFE22D" w14:textId="77777777" w:rsidR="001E62B2" w:rsidRDefault="001E62B2" w:rsidP="001E62B2">
      <w:pPr>
        <w:pStyle w:val="ListParagraph"/>
        <w:numPr>
          <w:ilvl w:val="0"/>
          <w:numId w:val="7"/>
        </w:numPr>
        <w:spacing w:line="278" w:lineRule="auto"/>
      </w:pPr>
      <w:r>
        <w:t>Entity information:</w:t>
      </w:r>
    </w:p>
    <w:p w14:paraId="2B94A2C1" w14:textId="77777777" w:rsidR="001E62B2" w:rsidRDefault="001E62B2" w:rsidP="00076B9B">
      <w:pPr>
        <w:pStyle w:val="ListParagraph"/>
        <w:numPr>
          <w:ilvl w:val="0"/>
          <w:numId w:val="17"/>
        </w:numPr>
        <w:spacing w:line="278" w:lineRule="auto"/>
      </w:pPr>
      <w:r>
        <w:t>reporting entity name and ABN</w:t>
      </w:r>
    </w:p>
    <w:p w14:paraId="003487C1" w14:textId="77777777" w:rsidR="001E62B2" w:rsidRDefault="001E62B2" w:rsidP="00076B9B">
      <w:pPr>
        <w:pStyle w:val="ListParagraph"/>
        <w:numPr>
          <w:ilvl w:val="0"/>
          <w:numId w:val="17"/>
        </w:numPr>
        <w:spacing w:line="278" w:lineRule="auto"/>
      </w:pPr>
      <w:r>
        <w:t>a</w:t>
      </w:r>
      <w:r w:rsidRPr="00131D6E">
        <w:t xml:space="preserve"> summary business profile of the entity (e.g. </w:t>
      </w:r>
      <w:r>
        <w:t>AFF activity types</w:t>
      </w:r>
      <w:r w:rsidRPr="00131D6E">
        <w:t>, properties, localities)</w:t>
      </w:r>
    </w:p>
    <w:p w14:paraId="7A48AF15" w14:textId="77777777" w:rsidR="001E62B2" w:rsidRDefault="001E62B2" w:rsidP="00076B9B">
      <w:pPr>
        <w:pStyle w:val="ListParagraph"/>
        <w:numPr>
          <w:ilvl w:val="0"/>
          <w:numId w:val="17"/>
        </w:numPr>
        <w:spacing w:line="278" w:lineRule="auto"/>
      </w:pPr>
      <w:r>
        <w:t>organisational and reporting boundaries, including the consolidation approach used to set the organisational boundary</w:t>
      </w:r>
    </w:p>
    <w:p w14:paraId="5171ACC5" w14:textId="77777777" w:rsidR="001E62B2" w:rsidRDefault="001E62B2" w:rsidP="00076B9B">
      <w:pPr>
        <w:pStyle w:val="ListParagraph"/>
        <w:numPr>
          <w:ilvl w:val="0"/>
          <w:numId w:val="17"/>
        </w:numPr>
        <w:spacing w:line="278" w:lineRule="auto"/>
      </w:pPr>
      <w:r>
        <w:t>responsible person and contact information.</w:t>
      </w:r>
    </w:p>
    <w:p w14:paraId="10FDD843" w14:textId="77777777" w:rsidR="001E62B2" w:rsidRDefault="001E62B2" w:rsidP="001E62B2">
      <w:pPr>
        <w:pStyle w:val="ListParagraph"/>
        <w:numPr>
          <w:ilvl w:val="0"/>
          <w:numId w:val="7"/>
        </w:numPr>
        <w:spacing w:line="278" w:lineRule="auto"/>
      </w:pPr>
      <w:r>
        <w:t>Summary information containing:</w:t>
      </w:r>
    </w:p>
    <w:p w14:paraId="755E3BE2" w14:textId="77777777" w:rsidR="001E62B2" w:rsidRDefault="001E62B2" w:rsidP="00076B9B">
      <w:pPr>
        <w:pStyle w:val="ListParagraph"/>
        <w:numPr>
          <w:ilvl w:val="0"/>
          <w:numId w:val="17"/>
        </w:numPr>
        <w:spacing w:line="278" w:lineRule="auto"/>
      </w:pPr>
      <w:r>
        <w:t>reporting period(s) covered</w:t>
      </w:r>
    </w:p>
    <w:p w14:paraId="3B2C3A1F" w14:textId="77777777" w:rsidR="001E62B2" w:rsidRDefault="001E62B2" w:rsidP="00076B9B">
      <w:pPr>
        <w:pStyle w:val="ListParagraph"/>
        <w:numPr>
          <w:ilvl w:val="0"/>
          <w:numId w:val="17"/>
        </w:numPr>
        <w:spacing w:line="278" w:lineRule="auto"/>
      </w:pPr>
      <w:r>
        <w:t xml:space="preserve">information on the base year or period (where relevant) </w:t>
      </w:r>
    </w:p>
    <w:p w14:paraId="505DF59F" w14:textId="38CDFE46" w:rsidR="000F1606" w:rsidRDefault="001E62B2" w:rsidP="000F1606">
      <w:pPr>
        <w:pStyle w:val="ListParagraph"/>
        <w:numPr>
          <w:ilvl w:val="0"/>
          <w:numId w:val="17"/>
        </w:numPr>
        <w:spacing w:line="278" w:lineRule="auto"/>
      </w:pPr>
      <w:r>
        <w:t xml:space="preserve">total </w:t>
      </w:r>
      <w:r w:rsidR="000F1606">
        <w:t xml:space="preserve">mass of </w:t>
      </w:r>
      <w:r>
        <w:t xml:space="preserve">emissions </w:t>
      </w:r>
      <w:r w:rsidDel="007A6C73">
        <w:t xml:space="preserve">by scope </w:t>
      </w:r>
      <w:r w:rsidR="000F1606">
        <w:t xml:space="preserve">in metric tonnes of each reported </w:t>
      </w:r>
      <w:r w:rsidR="00F853EF">
        <w:t>gas</w:t>
      </w:r>
      <w:r w:rsidR="007A6C73">
        <w:t xml:space="preserve"> </w:t>
      </w:r>
    </w:p>
    <w:p w14:paraId="3FA4AED1" w14:textId="0EAC6EF6" w:rsidR="000F1606" w:rsidRDefault="000F1606" w:rsidP="000F1606">
      <w:pPr>
        <w:pStyle w:val="ListParagraph"/>
        <w:numPr>
          <w:ilvl w:val="0"/>
          <w:numId w:val="17"/>
        </w:numPr>
        <w:spacing w:line="278" w:lineRule="auto"/>
      </w:pPr>
      <w:r>
        <w:t xml:space="preserve">total mass of emissions by scope </w:t>
      </w:r>
      <w:r w:rsidR="001E62B2" w:rsidDel="0055086E">
        <w:t>in</w:t>
      </w:r>
      <w:r w:rsidR="001E62B2">
        <w:t xml:space="preserve"> metric tonnes </w:t>
      </w:r>
      <w:r w:rsidR="001E62B2" w:rsidDel="007A6C73">
        <w:t>of</w:t>
      </w:r>
      <w:r w:rsidR="001E62B2">
        <w:t xml:space="preserve"> </w:t>
      </w:r>
      <w:r w:rsidR="001E62B2" w:rsidRPr="00834BEA">
        <w:t>CO₂-e</w:t>
      </w:r>
      <w:r w:rsidR="007A6C73">
        <w:t xml:space="preserve"> </w:t>
      </w:r>
    </w:p>
    <w:p w14:paraId="6D7AD0F9" w14:textId="77777777" w:rsidR="001E62B2" w:rsidRDefault="001E62B2" w:rsidP="00076B9B">
      <w:pPr>
        <w:pStyle w:val="ListParagraph"/>
        <w:numPr>
          <w:ilvl w:val="0"/>
          <w:numId w:val="17"/>
        </w:numPr>
        <w:spacing w:line="278" w:lineRule="auto"/>
      </w:pPr>
      <w:r>
        <w:lastRenderedPageBreak/>
        <w:t>material changes in boundaries (e.g. due to entity restructure) or methods</w:t>
      </w:r>
    </w:p>
    <w:p w14:paraId="1BAFE41C" w14:textId="77777777" w:rsidR="001E62B2" w:rsidRDefault="001E62B2" w:rsidP="00076B9B">
      <w:pPr>
        <w:pStyle w:val="ListParagraph"/>
        <w:numPr>
          <w:ilvl w:val="0"/>
          <w:numId w:val="17"/>
        </w:numPr>
        <w:spacing w:line="278" w:lineRule="auto"/>
      </w:pPr>
      <w:r>
        <w:t xml:space="preserve">comparison with base year or previous reporting period (where relevant) </w:t>
      </w:r>
    </w:p>
    <w:p w14:paraId="45CEBF31" w14:textId="77777777" w:rsidR="001E62B2" w:rsidRDefault="001E62B2" w:rsidP="00076B9B">
      <w:pPr>
        <w:pStyle w:val="ListParagraph"/>
        <w:numPr>
          <w:ilvl w:val="0"/>
          <w:numId w:val="17"/>
        </w:numPr>
        <w:spacing w:line="278" w:lineRule="auto"/>
      </w:pPr>
      <w:r>
        <w:t>significant events affecting emissions (e.g. bushfire, destocking in drought).</w:t>
      </w:r>
    </w:p>
    <w:p w14:paraId="27899D69" w14:textId="77777777" w:rsidR="001E62B2" w:rsidRDefault="001E62B2" w:rsidP="001E62B2">
      <w:pPr>
        <w:pStyle w:val="ListParagraph"/>
        <w:numPr>
          <w:ilvl w:val="0"/>
          <w:numId w:val="7"/>
        </w:numPr>
        <w:spacing w:line="278" w:lineRule="auto"/>
      </w:pPr>
      <w:r>
        <w:t>Detailed emissions and removals inventory:</w:t>
      </w:r>
    </w:p>
    <w:p w14:paraId="65687A1E" w14:textId="55F7C480" w:rsidR="001E62B2" w:rsidRDefault="001E62B2" w:rsidP="00076B9B">
      <w:pPr>
        <w:pStyle w:val="ListParagraph"/>
        <w:numPr>
          <w:ilvl w:val="0"/>
          <w:numId w:val="17"/>
        </w:numPr>
        <w:spacing w:line="278" w:lineRule="auto"/>
      </w:pPr>
      <w:r>
        <w:t>emissions and removal</w:t>
      </w:r>
      <w:r w:rsidR="00FE4333">
        <w:t>s</w:t>
      </w:r>
      <w:r>
        <w:t xml:space="preserve"> by scope, source or sink category, gas type, in mass of gas and CO</w:t>
      </w:r>
      <w:r w:rsidRPr="00857FD3">
        <w:rPr>
          <w:vertAlign w:val="subscript"/>
        </w:rPr>
        <w:t>2</w:t>
      </w:r>
      <w:r w:rsidRPr="001547F1">
        <w:t>-</w:t>
      </w:r>
      <w:r>
        <w:t xml:space="preserve">e </w:t>
      </w:r>
    </w:p>
    <w:p w14:paraId="7421BAD8" w14:textId="1BD16E05" w:rsidR="001E62B2" w:rsidRDefault="001E62B2" w:rsidP="00076B9B">
      <w:pPr>
        <w:pStyle w:val="ListParagraph"/>
        <w:numPr>
          <w:ilvl w:val="0"/>
          <w:numId w:val="17"/>
        </w:numPr>
        <w:spacing w:line="278" w:lineRule="auto"/>
      </w:pPr>
      <w:r>
        <w:t xml:space="preserve">biogenic carbon </w:t>
      </w:r>
      <w:r w:rsidR="00C07243">
        <w:t>shall</w:t>
      </w:r>
      <w:r>
        <w:t xml:space="preserve"> be reported </w:t>
      </w:r>
      <w:r w:rsidR="00E36CD5">
        <w:t xml:space="preserve">separately from </w:t>
      </w:r>
      <w:r w:rsidR="00DE709B">
        <w:t xml:space="preserve">non-biogenic </w:t>
      </w:r>
      <w:r>
        <w:t>carbon</w:t>
      </w:r>
    </w:p>
    <w:p w14:paraId="4D09EA87" w14:textId="77777777" w:rsidR="001E62B2" w:rsidRDefault="001E62B2" w:rsidP="00076B9B">
      <w:pPr>
        <w:pStyle w:val="ListParagraph"/>
        <w:numPr>
          <w:ilvl w:val="0"/>
          <w:numId w:val="17"/>
        </w:numPr>
        <w:spacing w:line="278" w:lineRule="auto"/>
      </w:pPr>
      <w:r>
        <w:t>method level applied for each source and sink estimated</w:t>
      </w:r>
    </w:p>
    <w:p w14:paraId="107712D7" w14:textId="77777777" w:rsidR="001E62B2" w:rsidRDefault="001E62B2" w:rsidP="00076B9B">
      <w:pPr>
        <w:pStyle w:val="ListParagraph"/>
        <w:numPr>
          <w:ilvl w:val="0"/>
          <w:numId w:val="17"/>
        </w:numPr>
        <w:spacing w:line="278" w:lineRule="auto"/>
      </w:pPr>
      <w:r>
        <w:t>activity data for each source and sink estimated</w:t>
      </w:r>
    </w:p>
    <w:p w14:paraId="431A74C2" w14:textId="77777777" w:rsidR="001E62B2" w:rsidRDefault="001E62B2" w:rsidP="00076B9B">
      <w:pPr>
        <w:pStyle w:val="ListParagraph"/>
        <w:numPr>
          <w:ilvl w:val="0"/>
          <w:numId w:val="17"/>
        </w:numPr>
        <w:spacing w:line="278" w:lineRule="auto"/>
      </w:pPr>
      <w:r>
        <w:t>quality score for each method and data source</w:t>
      </w:r>
    </w:p>
    <w:p w14:paraId="68FE0839" w14:textId="77777777" w:rsidR="001E62B2" w:rsidRDefault="001E62B2" w:rsidP="00076B9B">
      <w:pPr>
        <w:pStyle w:val="ListParagraph"/>
        <w:numPr>
          <w:ilvl w:val="0"/>
          <w:numId w:val="17"/>
        </w:numPr>
        <w:spacing w:line="278" w:lineRule="auto"/>
      </w:pPr>
      <w:r>
        <w:t>d</w:t>
      </w:r>
      <w:r w:rsidRPr="00131D6E">
        <w:t xml:space="preserve">isclosure of any omitted </w:t>
      </w:r>
      <w:r>
        <w:t xml:space="preserve">or excluded </w:t>
      </w:r>
      <w:r w:rsidRPr="00131D6E">
        <w:t xml:space="preserve">sources </w:t>
      </w:r>
      <w:r>
        <w:t xml:space="preserve">and sinks </w:t>
      </w:r>
      <w:r w:rsidRPr="00131D6E">
        <w:t>(see materiality for details of what shall be included)</w:t>
      </w:r>
      <w:r>
        <w:t>.</w:t>
      </w:r>
    </w:p>
    <w:p w14:paraId="748E5310" w14:textId="77777777" w:rsidR="001E62B2" w:rsidRDefault="001E62B2" w:rsidP="001E62B2">
      <w:pPr>
        <w:pStyle w:val="ListParagraph"/>
        <w:numPr>
          <w:ilvl w:val="0"/>
          <w:numId w:val="7"/>
        </w:numPr>
        <w:spacing w:line="278" w:lineRule="auto"/>
      </w:pPr>
      <w:r>
        <w:t>Methodology documentation:</w:t>
      </w:r>
    </w:p>
    <w:p w14:paraId="13157D48" w14:textId="77777777" w:rsidR="001E62B2" w:rsidRDefault="001E62B2" w:rsidP="00076B9B">
      <w:pPr>
        <w:pStyle w:val="ListParagraph"/>
        <w:numPr>
          <w:ilvl w:val="0"/>
          <w:numId w:val="17"/>
        </w:numPr>
        <w:spacing w:line="278" w:lineRule="auto"/>
      </w:pPr>
      <w:r>
        <w:t xml:space="preserve">version of </w:t>
      </w:r>
      <w:r w:rsidRPr="000A7338">
        <w:rPr>
          <w:rFonts w:eastAsiaTheme="minorEastAsia"/>
        </w:rPr>
        <w:t>Methodolog</w:t>
      </w:r>
      <w:r>
        <w:rPr>
          <w:rFonts w:eastAsiaTheme="minorEastAsia"/>
        </w:rPr>
        <w:t>ical</w:t>
      </w:r>
      <w:r>
        <w:t xml:space="preserve"> Guidance applied</w:t>
      </w:r>
    </w:p>
    <w:p w14:paraId="3A73FF5C" w14:textId="77777777" w:rsidR="001E62B2" w:rsidRDefault="001E62B2" w:rsidP="00076B9B">
      <w:pPr>
        <w:pStyle w:val="ListParagraph"/>
        <w:numPr>
          <w:ilvl w:val="0"/>
          <w:numId w:val="17"/>
        </w:numPr>
        <w:spacing w:line="278" w:lineRule="auto"/>
      </w:pPr>
      <w:r>
        <w:t>details of any GHG calculation tools used</w:t>
      </w:r>
    </w:p>
    <w:p w14:paraId="0F183BD9" w14:textId="77777777" w:rsidR="001E62B2" w:rsidRDefault="001E62B2" w:rsidP="00076B9B">
      <w:pPr>
        <w:pStyle w:val="ListParagraph"/>
        <w:numPr>
          <w:ilvl w:val="0"/>
          <w:numId w:val="17"/>
        </w:numPr>
        <w:spacing w:line="278" w:lineRule="auto"/>
      </w:pPr>
      <w:r>
        <w:t>data collection procedures</w:t>
      </w:r>
    </w:p>
    <w:p w14:paraId="2FBCBBFD" w14:textId="77777777" w:rsidR="001E62B2" w:rsidRDefault="001E62B2" w:rsidP="00076B9B">
      <w:pPr>
        <w:pStyle w:val="ListParagraph"/>
        <w:numPr>
          <w:ilvl w:val="0"/>
          <w:numId w:val="17"/>
        </w:numPr>
        <w:spacing w:line="278" w:lineRule="auto"/>
      </w:pPr>
      <w:r>
        <w:t>quality assurance measures.</w:t>
      </w:r>
    </w:p>
    <w:p w14:paraId="7684AFAD" w14:textId="73022F5A" w:rsidR="001E62B2" w:rsidRDefault="001E62B2" w:rsidP="001E62B2">
      <w:pPr>
        <w:pStyle w:val="ListParagraph"/>
        <w:numPr>
          <w:ilvl w:val="0"/>
          <w:numId w:val="7"/>
        </w:numPr>
        <w:spacing w:line="278" w:lineRule="auto"/>
      </w:pPr>
      <w:r>
        <w:t xml:space="preserve">Details of </w:t>
      </w:r>
      <w:r w:rsidR="006905FE">
        <w:t xml:space="preserve">any </w:t>
      </w:r>
      <w:r>
        <w:t>c</w:t>
      </w:r>
      <w:r w:rsidRPr="00B469C4">
        <w:t xml:space="preserve">arbon credits </w:t>
      </w:r>
      <w:r>
        <w:t xml:space="preserve">as per Chapter 9.6. </w:t>
      </w:r>
    </w:p>
    <w:p w14:paraId="5B5466B9" w14:textId="77777777" w:rsidR="001E62B2" w:rsidRDefault="001E62B2" w:rsidP="001E62B2">
      <w:r>
        <w:t>The entity may report the inventory by geographic or operational unit where the entity operates multiple:</w:t>
      </w:r>
    </w:p>
    <w:p w14:paraId="4FF5B02E" w14:textId="77777777" w:rsidR="001E62B2" w:rsidRDefault="001E62B2" w:rsidP="00076B9B">
      <w:pPr>
        <w:pStyle w:val="ListParagraph"/>
        <w:numPr>
          <w:ilvl w:val="0"/>
          <w:numId w:val="17"/>
        </w:numPr>
        <w:spacing w:line="278" w:lineRule="auto"/>
      </w:pPr>
      <w:r>
        <w:t>properties or production sites</w:t>
      </w:r>
    </w:p>
    <w:p w14:paraId="1F74C0E9" w14:textId="77777777" w:rsidR="001E62B2" w:rsidRDefault="001E62B2" w:rsidP="00076B9B">
      <w:pPr>
        <w:pStyle w:val="ListParagraph"/>
        <w:numPr>
          <w:ilvl w:val="0"/>
          <w:numId w:val="17"/>
        </w:numPr>
        <w:spacing w:line="278" w:lineRule="auto"/>
      </w:pPr>
      <w:r>
        <w:t>enterprise types (e.g. cropping and livestock)</w:t>
      </w:r>
    </w:p>
    <w:p w14:paraId="5D196935" w14:textId="77777777" w:rsidR="001E62B2" w:rsidRDefault="001E62B2" w:rsidP="00076B9B">
      <w:pPr>
        <w:pStyle w:val="ListParagraph"/>
        <w:numPr>
          <w:ilvl w:val="0"/>
          <w:numId w:val="17"/>
        </w:numPr>
        <w:spacing w:line="278" w:lineRule="auto"/>
      </w:pPr>
      <w:r>
        <w:t xml:space="preserve">management systems. </w:t>
      </w:r>
    </w:p>
    <w:p w14:paraId="32E609CB" w14:textId="77777777" w:rsidR="001E62B2" w:rsidRDefault="001E62B2" w:rsidP="00BE68D0">
      <w:pPr>
        <w:pStyle w:val="Style3"/>
        <w:ind w:left="567" w:hanging="567"/>
      </w:pPr>
      <w:bookmarkStart w:id="86" w:name="_Toc225269971"/>
      <w:r>
        <w:t>Reporting format</w:t>
      </w:r>
      <w:bookmarkEnd w:id="86"/>
    </w:p>
    <w:p w14:paraId="3E128E08" w14:textId="77777777" w:rsidR="001E62B2" w:rsidRDefault="001E62B2" w:rsidP="001E62B2">
      <w:r>
        <w:t>The entity shall:</w:t>
      </w:r>
    </w:p>
    <w:p w14:paraId="68DFA836" w14:textId="62E2D71F" w:rsidR="001E62B2" w:rsidRDefault="001E62B2" w:rsidP="00076B9B">
      <w:pPr>
        <w:pStyle w:val="ListParagraph"/>
        <w:numPr>
          <w:ilvl w:val="0"/>
          <w:numId w:val="17"/>
        </w:numPr>
        <w:spacing w:line="278" w:lineRule="auto"/>
      </w:pPr>
      <w:r>
        <w:t xml:space="preserve">use </w:t>
      </w:r>
      <w:r w:rsidR="003E0237">
        <w:t>reporting</w:t>
      </w:r>
      <w:r>
        <w:t xml:space="preserve"> templates provided at </w:t>
      </w:r>
      <w:r w:rsidRPr="00633899">
        <w:rPr>
          <w:b/>
        </w:rPr>
        <w:t xml:space="preserve">Appendix </w:t>
      </w:r>
      <w:r w:rsidR="00D24534">
        <w:rPr>
          <w:b/>
        </w:rPr>
        <w:t>E</w:t>
      </w:r>
    </w:p>
    <w:p w14:paraId="6745219E" w14:textId="33639C46" w:rsidR="001E62B2" w:rsidRDefault="001E62B2" w:rsidP="00076B9B">
      <w:pPr>
        <w:pStyle w:val="ListParagraph"/>
        <w:numPr>
          <w:ilvl w:val="0"/>
          <w:numId w:val="17"/>
        </w:numPr>
        <w:spacing w:line="278" w:lineRule="auto"/>
      </w:pPr>
      <w:r>
        <w:t>ensure units of measurement</w:t>
      </w:r>
      <w:r w:rsidR="006114D1">
        <w:t xml:space="preserve"> are provided for </w:t>
      </w:r>
      <w:r w:rsidR="00343DB4">
        <w:t xml:space="preserve">all </w:t>
      </w:r>
      <w:r w:rsidR="006114D1">
        <w:t>quantitative data</w:t>
      </w:r>
      <w:r>
        <w:t>.</w:t>
      </w:r>
    </w:p>
    <w:p w14:paraId="622789DB" w14:textId="77777777" w:rsidR="001E62B2" w:rsidRDefault="001E62B2" w:rsidP="00BE68D0">
      <w:pPr>
        <w:pStyle w:val="Style3"/>
        <w:ind w:left="567" w:hanging="567"/>
      </w:pPr>
      <w:bookmarkStart w:id="87" w:name="_Toc225269972"/>
      <w:bookmarkStart w:id="88" w:name="_Ref208796673"/>
      <w:r>
        <w:t>Frequency of reporting</w:t>
      </w:r>
      <w:bookmarkEnd w:id="87"/>
    </w:p>
    <w:p w14:paraId="21E08022" w14:textId="77777777" w:rsidR="001E62B2" w:rsidRDefault="001E62B2" w:rsidP="001E62B2">
      <w:pPr>
        <w:spacing w:after="0" w:line="240" w:lineRule="auto"/>
      </w:pPr>
      <w:r>
        <w:t xml:space="preserve">The frequency of reporting depends on the goal of the inventory and third-party requirements. </w:t>
      </w:r>
    </w:p>
    <w:p w14:paraId="3CA06F92" w14:textId="77777777" w:rsidR="001E62B2" w:rsidRDefault="001E62B2" w:rsidP="001E62B2">
      <w:pPr>
        <w:spacing w:after="0" w:line="240" w:lineRule="auto"/>
      </w:pPr>
    </w:p>
    <w:p w14:paraId="71E4F7FF" w14:textId="77777777" w:rsidR="001E62B2" w:rsidRDefault="001E62B2" w:rsidP="001E62B2">
      <w:r>
        <w:t>Entities should review and update their GHG inventory annually. This can help entities to:</w:t>
      </w:r>
    </w:p>
    <w:p w14:paraId="780AE82C" w14:textId="77777777" w:rsidR="001E62B2" w:rsidRDefault="001E62B2" w:rsidP="00076B9B">
      <w:pPr>
        <w:pStyle w:val="ListParagraph"/>
        <w:numPr>
          <w:ilvl w:val="0"/>
          <w:numId w:val="22"/>
        </w:numPr>
      </w:pPr>
      <w:r>
        <w:t xml:space="preserve">identify additional emission sources from new activities </w:t>
      </w:r>
    </w:p>
    <w:p w14:paraId="5579C79C" w14:textId="77777777" w:rsidR="001E62B2" w:rsidRDefault="001E62B2" w:rsidP="00076B9B">
      <w:pPr>
        <w:pStyle w:val="ListParagraph"/>
        <w:numPr>
          <w:ilvl w:val="0"/>
          <w:numId w:val="22"/>
        </w:numPr>
      </w:pPr>
      <w:r>
        <w:t>keep on top of activity data, methods and emission factors, as required</w:t>
      </w:r>
    </w:p>
    <w:p w14:paraId="3BEB8D9B" w14:textId="77777777" w:rsidR="001E62B2" w:rsidRPr="00133261" w:rsidRDefault="001E62B2" w:rsidP="00076B9B">
      <w:pPr>
        <w:pStyle w:val="ListParagraph"/>
        <w:numPr>
          <w:ilvl w:val="0"/>
          <w:numId w:val="22"/>
        </w:numPr>
      </w:pPr>
      <w:r>
        <w:t>collate annual emissions data.</w:t>
      </w:r>
    </w:p>
    <w:p w14:paraId="56A4364B" w14:textId="77777777" w:rsidR="001E62B2" w:rsidRDefault="001E62B2" w:rsidP="00BE68D0">
      <w:pPr>
        <w:pStyle w:val="Style3"/>
        <w:ind w:left="567" w:hanging="567"/>
      </w:pPr>
      <w:bookmarkStart w:id="89" w:name="_Toc225269973"/>
      <w:r>
        <w:t xml:space="preserve">Reporting </w:t>
      </w:r>
      <w:bookmarkEnd w:id="88"/>
      <w:r>
        <w:t>period</w:t>
      </w:r>
      <w:bookmarkEnd w:id="89"/>
    </w:p>
    <w:p w14:paraId="74C3C3EB" w14:textId="48EDD047" w:rsidR="001E62B2" w:rsidRDefault="001E62B2" w:rsidP="001E62B2">
      <w:pPr>
        <w:pStyle w:val="Heading4"/>
        <w:numPr>
          <w:ilvl w:val="0"/>
          <w:numId w:val="0"/>
        </w:numPr>
        <w:ind w:left="864" w:hanging="864"/>
      </w:pPr>
      <w:r>
        <w:t xml:space="preserve">Single year </w:t>
      </w:r>
    </w:p>
    <w:p w14:paraId="1540050F" w14:textId="1E56B253" w:rsidR="001E62B2" w:rsidRDefault="001E62B2" w:rsidP="001E62B2">
      <w:r>
        <w:t>The entity shall use a single-year reporting period. This can be a 12-month period aligned with current financial reports,</w:t>
      </w:r>
      <w:r w:rsidDel="00851E47">
        <w:t xml:space="preserve"> </w:t>
      </w:r>
      <w:r w:rsidR="00253DCE">
        <w:t xml:space="preserve">and can be </w:t>
      </w:r>
      <w:r>
        <w:t xml:space="preserve">a financial or calendar year, dependent on the goal of the inventory and any relevant third-party requirements. </w:t>
      </w:r>
    </w:p>
    <w:p w14:paraId="540EDF7F" w14:textId="77777777" w:rsidR="001E62B2" w:rsidRDefault="001E62B2" w:rsidP="001E62B2">
      <w:r>
        <w:lastRenderedPageBreak/>
        <w:t xml:space="preserve">When reporting, the entity should identify any significant seasonal variations or exceptional events affecting emissions during the reporting period. </w:t>
      </w:r>
    </w:p>
    <w:p w14:paraId="59A0FD2D" w14:textId="644B5E5F" w:rsidR="001E62B2" w:rsidRPr="005C2B2A" w:rsidRDefault="001E62B2" w:rsidP="001E62B2">
      <w:pPr>
        <w:pStyle w:val="Heading4"/>
        <w:numPr>
          <w:ilvl w:val="0"/>
          <w:numId w:val="0"/>
        </w:numPr>
        <w:ind w:left="864" w:hanging="864"/>
        <w:rPr>
          <w:i w:val="0"/>
        </w:rPr>
      </w:pPr>
      <w:r w:rsidRPr="005C2B2A">
        <w:t>Multi-year average</w:t>
      </w:r>
    </w:p>
    <w:p w14:paraId="101D92B9" w14:textId="6982FA94" w:rsidR="001E62B2" w:rsidRDefault="00B31DDC" w:rsidP="001E62B2">
      <w:r w:rsidRPr="00DD60BF">
        <w:t xml:space="preserve">In addition to reporting </w:t>
      </w:r>
      <w:r w:rsidR="008531AD" w:rsidRPr="00DD60BF">
        <w:t>for a single-year reporting period it</w:t>
      </w:r>
      <w:r w:rsidRPr="00DD60BF">
        <w:t xml:space="preserve"> is recommended that entities also report a multi-year average</w:t>
      </w:r>
      <w:r w:rsidR="008531AD" w:rsidRPr="00DD60BF">
        <w:t>.</w:t>
      </w:r>
      <w:r w:rsidRPr="00DD60BF">
        <w:t xml:space="preserve"> </w:t>
      </w:r>
      <w:r w:rsidR="00724DAD" w:rsidRPr="00DD60BF">
        <w:t>Similar</w:t>
      </w:r>
      <w:r w:rsidR="00B51B47">
        <w:t>ly</w:t>
      </w:r>
      <w:r w:rsidR="00724DAD" w:rsidRPr="00DD60BF">
        <w:t xml:space="preserve"> to the rationale for setting a base period rather than a base year (Section 7)</w:t>
      </w:r>
      <w:r w:rsidR="00F13348">
        <w:t>,</w:t>
      </w:r>
      <w:r w:rsidR="00724DAD" w:rsidRPr="00DD60BF">
        <w:t xml:space="preserve"> </w:t>
      </w:r>
      <w:r w:rsidR="001E62B2" w:rsidRPr="00DD60BF">
        <w:t xml:space="preserve">some production systems can </w:t>
      </w:r>
      <w:r w:rsidR="00584B76" w:rsidRPr="00DD60BF">
        <w:t>have</w:t>
      </w:r>
      <w:r w:rsidR="001E62B2" w:rsidRPr="00DD60BF">
        <w:t xml:space="preserve"> large interannual variability due to factors such as climate or production cycles. As such, a single year of data will often not be representative of an entity’s normal operations.</w:t>
      </w:r>
    </w:p>
    <w:p w14:paraId="599281D9" w14:textId="054BD0E0" w:rsidR="001E62B2" w:rsidRDefault="00D93C01" w:rsidP="001E62B2">
      <w:r>
        <w:t>Ideally,</w:t>
      </w:r>
      <w:r w:rsidR="001E62B2">
        <w:t xml:space="preserve"> a multi-year average should cover multiple </w:t>
      </w:r>
      <w:r w:rsidR="004B3ACD">
        <w:t xml:space="preserve">consecutive </w:t>
      </w:r>
      <w:r w:rsidR="001E62B2">
        <w:t xml:space="preserve">production cycles and consider climatic cycles relevant to the location and production system. A period of 3-5 years can be </w:t>
      </w:r>
      <w:r w:rsidR="001E62B2" w:rsidRPr="005621F4">
        <w:t>representative for tracking emissions and removals over time</w:t>
      </w:r>
      <w:r w:rsidR="001E62B2">
        <w:t>.</w:t>
      </w:r>
    </w:p>
    <w:p w14:paraId="648C35F9" w14:textId="77777777" w:rsidR="001E62B2" w:rsidRDefault="001E62B2" w:rsidP="001E62B2">
      <w:pPr>
        <w:spacing w:line="278" w:lineRule="auto"/>
      </w:pPr>
      <w:r>
        <w:t>To report a multi-year average the entity shall:</w:t>
      </w:r>
    </w:p>
    <w:p w14:paraId="71FF90FB" w14:textId="77777777" w:rsidR="001E62B2" w:rsidRPr="0065646A" w:rsidRDefault="001E62B2" w:rsidP="001E62B2">
      <w:pPr>
        <w:spacing w:line="278" w:lineRule="auto"/>
        <w:rPr>
          <w:b/>
          <w:bCs/>
        </w:rPr>
      </w:pPr>
      <w:r w:rsidRPr="0065646A">
        <w:rPr>
          <w:b/>
          <w:bCs/>
        </w:rPr>
        <w:t xml:space="preserve">Step 1: </w:t>
      </w:r>
      <w:r>
        <w:rPr>
          <w:b/>
          <w:bCs/>
        </w:rPr>
        <w:t xml:space="preserve">Select the multi-year </w:t>
      </w:r>
      <w:r w:rsidRPr="0065646A">
        <w:rPr>
          <w:b/>
          <w:bCs/>
        </w:rPr>
        <w:t>period</w:t>
      </w:r>
    </w:p>
    <w:p w14:paraId="7469F33A" w14:textId="77777777" w:rsidR="001E62B2" w:rsidRDefault="001E62B2" w:rsidP="00076B9B">
      <w:pPr>
        <w:pStyle w:val="ListParagraph"/>
        <w:numPr>
          <w:ilvl w:val="0"/>
          <w:numId w:val="30"/>
        </w:numPr>
        <w:spacing w:line="278" w:lineRule="auto"/>
      </w:pPr>
      <w:r>
        <w:t>Define the number of contiguous years that will be averaged, in the same manner that a multi-year base period would be defined (as per Chapter 7.1).</w:t>
      </w:r>
    </w:p>
    <w:p w14:paraId="1FA4F6A0" w14:textId="77777777" w:rsidR="001E62B2" w:rsidRDefault="001E62B2" w:rsidP="00076B9B">
      <w:pPr>
        <w:pStyle w:val="ListParagraph"/>
        <w:numPr>
          <w:ilvl w:val="0"/>
          <w:numId w:val="30"/>
        </w:numPr>
        <w:spacing w:line="278" w:lineRule="auto"/>
      </w:pPr>
      <w:r>
        <w:t>If a base period has been established the entity should apply the same number of years for the reporting year average.</w:t>
      </w:r>
    </w:p>
    <w:p w14:paraId="16962A06" w14:textId="77777777" w:rsidR="001E62B2" w:rsidRPr="0065646A" w:rsidRDefault="001E62B2" w:rsidP="001E62B2">
      <w:pPr>
        <w:spacing w:line="278" w:lineRule="auto"/>
        <w:rPr>
          <w:b/>
          <w:bCs/>
        </w:rPr>
      </w:pPr>
      <w:r w:rsidRPr="0065646A">
        <w:rPr>
          <w:b/>
          <w:bCs/>
        </w:rPr>
        <w:t xml:space="preserve">Step 2: </w:t>
      </w:r>
      <w:r>
        <w:rPr>
          <w:b/>
          <w:bCs/>
        </w:rPr>
        <w:t>Calculate</w:t>
      </w:r>
      <w:r w:rsidRPr="0065646A">
        <w:rPr>
          <w:b/>
          <w:bCs/>
        </w:rPr>
        <w:t xml:space="preserve"> the </w:t>
      </w:r>
      <w:r>
        <w:rPr>
          <w:b/>
          <w:bCs/>
        </w:rPr>
        <w:t>multi-year</w:t>
      </w:r>
      <w:r w:rsidRPr="0065646A">
        <w:rPr>
          <w:b/>
          <w:bCs/>
        </w:rPr>
        <w:t xml:space="preserve"> average </w:t>
      </w:r>
    </w:p>
    <w:p w14:paraId="19D6F01D" w14:textId="77777777" w:rsidR="001E62B2" w:rsidRDefault="001E62B2" w:rsidP="00076B9B">
      <w:pPr>
        <w:pStyle w:val="ListParagraph"/>
        <w:numPr>
          <w:ilvl w:val="0"/>
          <w:numId w:val="30"/>
        </w:numPr>
        <w:spacing w:line="278" w:lineRule="auto"/>
      </w:pPr>
      <w:r>
        <w:t>For each new reporting year, shift the period forward by one year and calculate the average.</w:t>
      </w:r>
    </w:p>
    <w:p w14:paraId="65C64A65" w14:textId="77777777" w:rsidR="001E62B2" w:rsidRPr="0065646A" w:rsidRDefault="001E62B2" w:rsidP="001E62B2">
      <w:pPr>
        <w:spacing w:line="278" w:lineRule="auto"/>
        <w:rPr>
          <w:b/>
          <w:bCs/>
        </w:rPr>
      </w:pPr>
      <w:r w:rsidRPr="0065646A">
        <w:rPr>
          <w:b/>
          <w:bCs/>
        </w:rPr>
        <w:t>Step 3: Document assumptions and exclusions</w:t>
      </w:r>
    </w:p>
    <w:p w14:paraId="0320F7EF" w14:textId="77777777" w:rsidR="001E62B2" w:rsidRDefault="001E62B2" w:rsidP="00076B9B">
      <w:pPr>
        <w:pStyle w:val="ListParagraph"/>
        <w:numPr>
          <w:ilvl w:val="0"/>
          <w:numId w:val="30"/>
        </w:numPr>
        <w:spacing w:line="278" w:lineRule="auto"/>
      </w:pPr>
      <w:r>
        <w:t>Record the selected period and rationale for the choice</w:t>
      </w:r>
    </w:p>
    <w:p w14:paraId="22D44D3D" w14:textId="77777777" w:rsidR="001E62B2" w:rsidRDefault="001E62B2" w:rsidP="00076B9B">
      <w:pPr>
        <w:pStyle w:val="ListParagraph"/>
        <w:numPr>
          <w:ilvl w:val="0"/>
          <w:numId w:val="30"/>
        </w:numPr>
        <w:spacing w:line="278" w:lineRule="auto"/>
      </w:pPr>
      <w:r>
        <w:t xml:space="preserve">Document any events excluded due to atypical events and justify the exclusion </w:t>
      </w:r>
    </w:p>
    <w:p w14:paraId="45A3E698" w14:textId="77777777" w:rsidR="001E62B2" w:rsidRDefault="001E62B2" w:rsidP="00BE68D0">
      <w:pPr>
        <w:pStyle w:val="Style3"/>
        <w:ind w:left="567" w:hanging="567"/>
      </w:pPr>
      <w:bookmarkStart w:id="90" w:name="_Toc225269974"/>
      <w:r>
        <w:t>Base year reporting</w:t>
      </w:r>
      <w:bookmarkEnd w:id="90"/>
    </w:p>
    <w:p w14:paraId="3BD21FFF" w14:textId="77777777" w:rsidR="001E62B2" w:rsidRDefault="001E62B2" w:rsidP="001E62B2">
      <w:pPr>
        <w:spacing w:line="278" w:lineRule="auto"/>
      </w:pPr>
      <w:r>
        <w:t xml:space="preserve">Where the entity has established a base year </w:t>
      </w:r>
      <w:r w:rsidDel="00A7322A">
        <w:t xml:space="preserve">(or base period) </w:t>
      </w:r>
      <w:r>
        <w:t xml:space="preserve">the entity shall: </w:t>
      </w:r>
    </w:p>
    <w:p w14:paraId="07225E1F" w14:textId="77777777" w:rsidR="001E62B2" w:rsidRDefault="001E62B2" w:rsidP="00076B9B">
      <w:pPr>
        <w:pStyle w:val="ListParagraph"/>
        <w:numPr>
          <w:ilvl w:val="0"/>
          <w:numId w:val="30"/>
        </w:numPr>
        <w:spacing w:line="278" w:lineRule="auto"/>
      </w:pPr>
      <w:r>
        <w:t xml:space="preserve">report the base year </w:t>
      </w:r>
      <w:r w:rsidDel="00A7322A">
        <w:t xml:space="preserve">(or base period) </w:t>
      </w:r>
      <w:r>
        <w:t>chosen and the rationale for the selection</w:t>
      </w:r>
    </w:p>
    <w:p w14:paraId="4C816EA1" w14:textId="77777777" w:rsidR="001E62B2" w:rsidRDefault="001E62B2" w:rsidP="00076B9B">
      <w:pPr>
        <w:pStyle w:val="ListParagraph"/>
        <w:numPr>
          <w:ilvl w:val="0"/>
          <w:numId w:val="30"/>
        </w:numPr>
        <w:spacing w:line="278" w:lineRule="auto"/>
      </w:pPr>
      <w:r>
        <w:t>report the base year review and recalculation policy</w:t>
      </w:r>
    </w:p>
    <w:p w14:paraId="1C7DE624" w14:textId="77777777" w:rsidR="001E62B2" w:rsidRDefault="001E62B2" w:rsidP="00076B9B">
      <w:pPr>
        <w:pStyle w:val="ListParagraph"/>
        <w:numPr>
          <w:ilvl w:val="0"/>
          <w:numId w:val="30"/>
        </w:numPr>
        <w:spacing w:line="278" w:lineRule="auto"/>
      </w:pPr>
      <w:r>
        <w:t>report the base year inventory in accordance with the requirements in Chapter 7.1</w:t>
      </w:r>
    </w:p>
    <w:p w14:paraId="24F2A9C7" w14:textId="77777777" w:rsidR="001E62B2" w:rsidRDefault="001E62B2" w:rsidP="00076B9B">
      <w:pPr>
        <w:pStyle w:val="ListParagraph"/>
        <w:numPr>
          <w:ilvl w:val="0"/>
          <w:numId w:val="30"/>
        </w:numPr>
        <w:spacing w:line="278" w:lineRule="auto"/>
      </w:pPr>
      <w:r>
        <w:t>explain and document the nature and rationale for any recalculations following Chapter 7.2</w:t>
      </w:r>
    </w:p>
    <w:p w14:paraId="0C6801B3" w14:textId="77777777" w:rsidR="001E62B2" w:rsidRDefault="001E62B2" w:rsidP="00076B9B">
      <w:pPr>
        <w:pStyle w:val="ListParagraph"/>
        <w:numPr>
          <w:ilvl w:val="0"/>
          <w:numId w:val="30"/>
        </w:numPr>
        <w:spacing w:line="278" w:lineRule="auto"/>
      </w:pPr>
      <w:r>
        <w:t xml:space="preserve">report both the original and adjusted base year. </w:t>
      </w:r>
    </w:p>
    <w:p w14:paraId="0D15F1AB" w14:textId="694B2D4B" w:rsidR="001E62B2" w:rsidRDefault="001E62B2" w:rsidP="00BE68D0">
      <w:pPr>
        <w:pStyle w:val="Style3"/>
        <w:ind w:left="567" w:hanging="567"/>
      </w:pPr>
      <w:bookmarkStart w:id="91" w:name="_Toc225269975"/>
      <w:r>
        <w:t>Treatment of carbon credits and renewable energy</w:t>
      </w:r>
      <w:bookmarkEnd w:id="91"/>
    </w:p>
    <w:p w14:paraId="1DE4E518" w14:textId="5A1D4776" w:rsidR="001E62B2" w:rsidRDefault="001E62B2" w:rsidP="001E62B2">
      <w:pPr>
        <w:pStyle w:val="Heading3"/>
        <w:numPr>
          <w:ilvl w:val="0"/>
          <w:numId w:val="0"/>
        </w:numPr>
      </w:pPr>
      <w:r>
        <w:t>Carbon credit projects</w:t>
      </w:r>
    </w:p>
    <w:p w14:paraId="7741E6EC" w14:textId="752E9E16" w:rsidR="00EB7180" w:rsidRDefault="00C05DE1" w:rsidP="00410CA2">
      <w:r>
        <w:t>The</w:t>
      </w:r>
      <w:r w:rsidR="00EB7180">
        <w:t xml:space="preserve"> </w:t>
      </w:r>
      <w:r w:rsidR="00EB7180" w:rsidRPr="00EB7180">
        <w:t xml:space="preserve">greenhouse gas inventory totals </w:t>
      </w:r>
      <w:r>
        <w:t xml:space="preserve">reported by an entity </w:t>
      </w:r>
      <w:r w:rsidR="00EB7180" w:rsidRPr="00EB7180">
        <w:t xml:space="preserve">shall reflect </w:t>
      </w:r>
      <w:r w:rsidR="00560B80">
        <w:t xml:space="preserve">all </w:t>
      </w:r>
      <w:r w:rsidR="00EB7180" w:rsidRPr="00EB7180">
        <w:t xml:space="preserve">emissions and removals </w:t>
      </w:r>
      <w:r w:rsidR="00560B80">
        <w:t xml:space="preserve">occurring </w:t>
      </w:r>
      <w:r w:rsidR="00EB7180" w:rsidRPr="00EB7180">
        <w:t xml:space="preserve">within the organisational boundary and shall not be </w:t>
      </w:r>
      <w:r w:rsidR="00322AA9">
        <w:t>adjusted</w:t>
      </w:r>
      <w:r w:rsidR="00EB7180" w:rsidRPr="00EB7180">
        <w:t xml:space="preserve"> </w:t>
      </w:r>
      <w:proofErr w:type="gramStart"/>
      <w:r w:rsidR="00EB7180" w:rsidRPr="00EB7180">
        <w:t>through the use of</w:t>
      </w:r>
      <w:proofErr w:type="gramEnd"/>
      <w:r w:rsidR="00EB7180" w:rsidRPr="00EB7180">
        <w:t xml:space="preserve"> carbon credits.</w:t>
      </w:r>
    </w:p>
    <w:p w14:paraId="72AB377F" w14:textId="223024CA" w:rsidR="00410CA2" w:rsidRDefault="001E62B2" w:rsidP="00410CA2">
      <w:r w:rsidRPr="00FB6486">
        <w:lastRenderedPageBreak/>
        <w:t>If</w:t>
      </w:r>
      <w:r w:rsidRPr="00AC6CF0">
        <w:rPr>
          <w:i/>
          <w:iCs/>
        </w:rPr>
        <w:t xml:space="preserve"> </w:t>
      </w:r>
      <w:r>
        <w:t>a</w:t>
      </w:r>
      <w:r w:rsidRPr="00D57BCF" w:rsidDel="00D57BCF">
        <w:t xml:space="preserve"> </w:t>
      </w:r>
      <w:r>
        <w:t>registered carbon credit project occurs within the organisational boundary:</w:t>
      </w:r>
    </w:p>
    <w:p w14:paraId="656FF59C" w14:textId="04ADD3F1" w:rsidR="00410CA2" w:rsidRPr="00410CA2" w:rsidRDefault="00B14FFC" w:rsidP="00343DB4">
      <w:pPr>
        <w:pStyle w:val="ListParagraph"/>
        <w:numPr>
          <w:ilvl w:val="0"/>
          <w:numId w:val="18"/>
        </w:numPr>
        <w:spacing w:line="278" w:lineRule="auto"/>
      </w:pPr>
      <w:r>
        <w:t xml:space="preserve">the entity shall </w:t>
      </w:r>
      <w:r w:rsidR="00410CA2">
        <w:t>r</w:t>
      </w:r>
      <w:r w:rsidR="001E62B2">
        <w:t xml:space="preserve">eport all emissions and removals </w:t>
      </w:r>
      <w:r w:rsidR="00410CA2" w:rsidRPr="00410CA2">
        <w:t xml:space="preserve">arising from project areas and activities within the </w:t>
      </w:r>
      <w:r w:rsidR="001E47BC">
        <w:t>reporting</w:t>
      </w:r>
      <w:r w:rsidR="00410CA2" w:rsidRPr="00410CA2">
        <w:t xml:space="preserve"> boundary in the </w:t>
      </w:r>
      <w:r w:rsidR="00410CA2">
        <w:t xml:space="preserve">entity </w:t>
      </w:r>
      <w:r w:rsidR="00410CA2" w:rsidRPr="00410CA2">
        <w:t>inventory</w:t>
      </w:r>
      <w:r w:rsidR="00F82810">
        <w:t xml:space="preserve">, and for LULUCF activities, </w:t>
      </w:r>
      <w:r w:rsidR="00E74E91">
        <w:t>report</w:t>
      </w:r>
      <w:r w:rsidR="00F82810">
        <w:t xml:space="preserve"> spatial information on locations or areas subject to carbon credit projects</w:t>
      </w:r>
      <w:r w:rsidR="0006452E">
        <w:t xml:space="preserve"> within the entity reporting boundary</w:t>
      </w:r>
    </w:p>
    <w:p w14:paraId="4743E415" w14:textId="73BF7DA7" w:rsidR="00410CA2" w:rsidRPr="00410CA2" w:rsidRDefault="00501292" w:rsidP="00343DB4">
      <w:pPr>
        <w:pStyle w:val="ListParagraph"/>
        <w:numPr>
          <w:ilvl w:val="0"/>
          <w:numId w:val="18"/>
        </w:numPr>
        <w:spacing w:line="278" w:lineRule="auto"/>
      </w:pPr>
      <w:r>
        <w:t>w</w:t>
      </w:r>
      <w:r w:rsidR="00410CA2" w:rsidRPr="00410CA2">
        <w:t xml:space="preserve">hen estimating emissions and removals from </w:t>
      </w:r>
      <w:r w:rsidR="00410CA2">
        <w:t>LULUCF</w:t>
      </w:r>
      <w:r w:rsidR="00410CA2" w:rsidRPr="00410CA2">
        <w:t xml:space="preserve"> activities, the entity shall quantify</w:t>
      </w:r>
      <w:r w:rsidR="00560B80">
        <w:t xml:space="preserve"> carbon </w:t>
      </w:r>
      <w:r w:rsidR="00410CA2" w:rsidRPr="00343DB4">
        <w:t>stock changes across all relevant land areas and activities</w:t>
      </w:r>
      <w:r w:rsidR="00410CA2" w:rsidRPr="00410CA2">
        <w:t xml:space="preserve"> within the reporting boundary</w:t>
      </w:r>
      <w:r w:rsidR="009E0081">
        <w:t xml:space="preserve"> </w:t>
      </w:r>
    </w:p>
    <w:p w14:paraId="489A015F" w14:textId="39DBD008" w:rsidR="00B67A26" w:rsidRDefault="00501292" w:rsidP="002C2BDA">
      <w:pPr>
        <w:pStyle w:val="ListParagraph"/>
        <w:numPr>
          <w:ilvl w:val="0"/>
          <w:numId w:val="18"/>
        </w:numPr>
        <w:spacing w:line="278" w:lineRule="auto"/>
      </w:pPr>
      <w:r>
        <w:t>e</w:t>
      </w:r>
      <w:r w:rsidR="00410CA2" w:rsidRPr="00410CA2">
        <w:t xml:space="preserve">missions reductions or removals that are eligible for the issuance of carbon credits under a crediting scheme shall </w:t>
      </w:r>
      <w:r w:rsidR="001E47BC">
        <w:t>a</w:t>
      </w:r>
      <w:r w:rsidR="00516EA5">
        <w:t>dditionally</w:t>
      </w:r>
      <w:r w:rsidR="001E47BC">
        <w:t xml:space="preserve"> </w:t>
      </w:r>
      <w:r w:rsidR="00410CA2" w:rsidRPr="00410CA2">
        <w:t xml:space="preserve">be </w:t>
      </w:r>
      <w:r w:rsidR="00410CA2" w:rsidRPr="00343DB4">
        <w:t>reported separately from inventory totals</w:t>
      </w:r>
      <w:r w:rsidR="00B053C5">
        <w:t>.</w:t>
      </w:r>
    </w:p>
    <w:p w14:paraId="63E2949E" w14:textId="74A7D6AB" w:rsidR="001E62B2" w:rsidRDefault="00B67A26" w:rsidP="00B67A26">
      <w:r>
        <w:t>T</w:t>
      </w:r>
      <w:r w:rsidR="00566C2E">
        <w:t>he entity shall d</w:t>
      </w:r>
      <w:r w:rsidR="001E62B2">
        <w:t>ocument project information as supplementary data</w:t>
      </w:r>
      <w:r w:rsidR="00410CA2">
        <w:t xml:space="preserve"> </w:t>
      </w:r>
      <w:r w:rsidR="00566C2E">
        <w:t>(</w:t>
      </w:r>
      <w:r w:rsidR="00410CA2">
        <w:t>as per the reporting table at Appendix E</w:t>
      </w:r>
      <w:r w:rsidR="00566C2E">
        <w:t>)</w:t>
      </w:r>
      <w:r w:rsidR="001E62B2">
        <w:t>:</w:t>
      </w:r>
    </w:p>
    <w:p w14:paraId="066C56EE" w14:textId="65E35A20" w:rsidR="001E62B2" w:rsidRDefault="00BE1805" w:rsidP="00B67A26">
      <w:pPr>
        <w:pStyle w:val="ListParagraph"/>
        <w:numPr>
          <w:ilvl w:val="0"/>
          <w:numId w:val="18"/>
        </w:numPr>
        <w:spacing w:line="278" w:lineRule="auto"/>
      </w:pPr>
      <w:r>
        <w:t>c</w:t>
      </w:r>
      <w:r w:rsidR="00C039EC">
        <w:t>arbon crediting scheme (e.g. Aus</w:t>
      </w:r>
      <w:r w:rsidR="005D5F80">
        <w:t>t</w:t>
      </w:r>
      <w:r w:rsidR="00C039EC">
        <w:t xml:space="preserve">ralian Carbon Credit Unit (ACCU) Scheme), </w:t>
      </w:r>
      <w:r w:rsidR="001E62B2">
        <w:t>project methodology and crediting period</w:t>
      </w:r>
    </w:p>
    <w:p w14:paraId="054FA0A9" w14:textId="77777777" w:rsidR="001E62B2" w:rsidRDefault="001E62B2" w:rsidP="00343DB4">
      <w:pPr>
        <w:pStyle w:val="ListParagraph"/>
        <w:numPr>
          <w:ilvl w:val="0"/>
          <w:numId w:val="18"/>
        </w:numPr>
        <w:spacing w:line="278" w:lineRule="auto"/>
      </w:pPr>
      <w:r>
        <w:t xml:space="preserve">area of land under the project (hectares) </w:t>
      </w:r>
    </w:p>
    <w:p w14:paraId="5AD32FB6" w14:textId="77777777" w:rsidR="001E62B2" w:rsidRDefault="001E62B2" w:rsidP="00343DB4">
      <w:pPr>
        <w:pStyle w:val="ListParagraph"/>
        <w:numPr>
          <w:ilvl w:val="0"/>
          <w:numId w:val="18"/>
        </w:numPr>
        <w:spacing w:line="278" w:lineRule="auto"/>
      </w:pPr>
      <w:r>
        <w:t xml:space="preserve">the project number and / or the Lot/DP (Deposited Plan) details of the land, where relevant </w:t>
      </w:r>
    </w:p>
    <w:p w14:paraId="72DA3B6C" w14:textId="77777777" w:rsidR="001E62B2" w:rsidRDefault="001E62B2" w:rsidP="00343DB4">
      <w:pPr>
        <w:pStyle w:val="ListParagraph"/>
        <w:numPr>
          <w:ilvl w:val="0"/>
          <w:numId w:val="18"/>
        </w:numPr>
        <w:spacing w:line="278" w:lineRule="auto"/>
      </w:pPr>
      <w:r>
        <w:t xml:space="preserve">credits generated (t CO₂-e) during the reporting period </w:t>
      </w:r>
    </w:p>
    <w:p w14:paraId="39268410" w14:textId="77777777" w:rsidR="001E62B2" w:rsidRDefault="001E62B2" w:rsidP="00343DB4">
      <w:pPr>
        <w:pStyle w:val="ListParagraph"/>
        <w:numPr>
          <w:ilvl w:val="0"/>
          <w:numId w:val="18"/>
        </w:numPr>
        <w:spacing w:line="278" w:lineRule="auto"/>
      </w:pPr>
      <w:r>
        <w:t>disposition of credits (sold, retained, or retired).</w:t>
      </w:r>
    </w:p>
    <w:p w14:paraId="15A52DF6" w14:textId="77777777" w:rsidR="001E62B2" w:rsidRDefault="001E62B2" w:rsidP="001E62B2">
      <w:pPr>
        <w:pStyle w:val="Heading3"/>
        <w:numPr>
          <w:ilvl w:val="0"/>
          <w:numId w:val="0"/>
        </w:numPr>
      </w:pPr>
      <w:r>
        <w:t>Purchased credits</w:t>
      </w:r>
    </w:p>
    <w:p w14:paraId="7CE0E92A" w14:textId="15E4E900" w:rsidR="001E62B2" w:rsidRPr="006F4C10" w:rsidRDefault="001E62B2" w:rsidP="001E62B2">
      <w:r>
        <w:t>Carbon credits</w:t>
      </w:r>
      <w:r w:rsidRPr="006F4C10">
        <w:t xml:space="preserve"> </w:t>
      </w:r>
      <w:r w:rsidR="00177613">
        <w:t xml:space="preserve">generated </w:t>
      </w:r>
      <w:r w:rsidRPr="006F4C10">
        <w:t xml:space="preserve">outside the </w:t>
      </w:r>
      <w:r>
        <w:t>organisational</w:t>
      </w:r>
      <w:r w:rsidRPr="006F4C10">
        <w:t xml:space="preserve"> boundary </w:t>
      </w:r>
      <w:r w:rsidR="00177613">
        <w:t>and purchased by the entity</w:t>
      </w:r>
      <w:r w:rsidRPr="006F4C10">
        <w:t xml:space="preserve"> </w:t>
      </w:r>
      <w:r>
        <w:t>shall</w:t>
      </w:r>
      <w:r w:rsidRPr="006F4C10">
        <w:t xml:space="preserve"> </w:t>
      </w:r>
      <w:r>
        <w:t>not be included in the GHG inventory</w:t>
      </w:r>
      <w:r w:rsidR="00516EA5">
        <w:t xml:space="preserve"> </w:t>
      </w:r>
      <w:r>
        <w:t xml:space="preserve">but may </w:t>
      </w:r>
      <w:r w:rsidRPr="006F4C10">
        <w:t>be reported separately</w:t>
      </w:r>
      <w:r w:rsidR="00673666">
        <w:t xml:space="preserve"> as per the</w:t>
      </w:r>
      <w:r w:rsidR="00E84DD5">
        <w:t xml:space="preserve"> reporting table for carbon crediting projects at Appendix E.</w:t>
      </w:r>
    </w:p>
    <w:p w14:paraId="5B5DF64E" w14:textId="77777777" w:rsidR="001E62B2" w:rsidRDefault="001E62B2" w:rsidP="001E62B2">
      <w:pPr>
        <w:pStyle w:val="Heading3"/>
        <w:numPr>
          <w:ilvl w:val="0"/>
          <w:numId w:val="0"/>
        </w:numPr>
      </w:pPr>
      <w:r>
        <w:t>Renewable energy projects</w:t>
      </w:r>
    </w:p>
    <w:p w14:paraId="3EBEE687" w14:textId="77777777" w:rsidR="001E62B2" w:rsidRDefault="001E62B2" w:rsidP="001E62B2">
      <w:r>
        <w:t>If the entity has a large-scale renewable energy generation project within its organisational boundary it shall:</w:t>
      </w:r>
    </w:p>
    <w:p w14:paraId="3C9E9ADD" w14:textId="77777777" w:rsidR="001E62B2" w:rsidRDefault="001E62B2" w:rsidP="00076B9B">
      <w:pPr>
        <w:pStyle w:val="ListParagraph"/>
        <w:numPr>
          <w:ilvl w:val="0"/>
          <w:numId w:val="19"/>
        </w:numPr>
      </w:pPr>
      <w:r>
        <w:t>report renewable energy produced on-site and exported as supplementary information</w:t>
      </w:r>
    </w:p>
    <w:p w14:paraId="2BA7F79D" w14:textId="77777777" w:rsidR="001E62B2" w:rsidRDefault="001E62B2" w:rsidP="00076B9B">
      <w:pPr>
        <w:pStyle w:val="ListParagraph"/>
        <w:numPr>
          <w:ilvl w:val="0"/>
          <w:numId w:val="19"/>
        </w:numPr>
        <w:spacing w:line="278" w:lineRule="auto"/>
      </w:pPr>
      <w:r>
        <w:t>not include emission reductions for renewable energy where certificates are created and sold.</w:t>
      </w:r>
    </w:p>
    <w:p w14:paraId="703C78B9" w14:textId="77777777" w:rsidR="00600B77" w:rsidRDefault="00600B77" w:rsidP="00D7070A">
      <w:pPr>
        <w:pStyle w:val="Heading1"/>
        <w:keepNext w:val="0"/>
        <w:keepLines w:val="0"/>
        <w:spacing w:before="120"/>
        <w:ind w:left="420" w:hanging="420"/>
      </w:pPr>
      <w:bookmarkStart w:id="92" w:name="_Toc225269976"/>
      <w:r>
        <w:t>Estimating the GHG intensity of products</w:t>
      </w:r>
      <w:bookmarkEnd w:id="92"/>
      <w:r>
        <w:t xml:space="preserve"> </w:t>
      </w:r>
    </w:p>
    <w:p w14:paraId="4EE62CAF" w14:textId="191AED66" w:rsidR="00600B77" w:rsidRDefault="00600B77" w:rsidP="00600B77">
      <w:r>
        <w:t xml:space="preserve">Emissions data collected for the </w:t>
      </w:r>
      <w:r w:rsidRPr="00BD2B84">
        <w:t xml:space="preserve">entity-level </w:t>
      </w:r>
      <w:r>
        <w:t>inventory can be used for calculating the c</w:t>
      </w:r>
      <w:r w:rsidRPr="00644D51">
        <w:t>radle-to-gate</w:t>
      </w:r>
      <w:r>
        <w:t xml:space="preserve"> GHG intensity of products. This estimate of product emissions intensity (expressed as GHG per unit of product) provides</w:t>
      </w:r>
      <w:r w:rsidRPr="00644D51">
        <w:t xml:space="preserve"> </w:t>
      </w:r>
      <w:r>
        <w:t>an indicative</w:t>
      </w:r>
      <w:r w:rsidRPr="00644D51">
        <w:t xml:space="preserve"> quantitative performance metric that organisations can use to </w:t>
      </w:r>
      <w:r>
        <w:t xml:space="preserve">monitor progress over time and </w:t>
      </w:r>
      <w:r w:rsidRPr="00644D51">
        <w:t>communicate to internal and external stakeholders</w:t>
      </w:r>
      <w:r>
        <w:t xml:space="preserve">. </w:t>
      </w:r>
    </w:p>
    <w:p w14:paraId="6F4D1208" w14:textId="74190B14" w:rsidR="00600B77" w:rsidRDefault="00600B77" w:rsidP="00600B77">
      <w:r>
        <w:t xml:space="preserve">If entities </w:t>
      </w:r>
      <w:r w:rsidR="000D121B">
        <w:t xml:space="preserve">wish to </w:t>
      </w:r>
      <w:r>
        <w:t>estimate product emission intensit</w:t>
      </w:r>
      <w:r w:rsidR="000D121B">
        <w:t>y,</w:t>
      </w:r>
      <w:r>
        <w:t xml:space="preserve"> they shall follow the</w:t>
      </w:r>
      <w:r w:rsidR="002410E6">
        <w:t xml:space="preserve"> steps outlined below. </w:t>
      </w:r>
    </w:p>
    <w:p w14:paraId="7AB9C2A6" w14:textId="14D8AC34" w:rsidR="00600B77" w:rsidRDefault="00AE6702" w:rsidP="007B17BA">
      <w:pPr>
        <w:pStyle w:val="Heading2"/>
        <w:ind w:left="0" w:firstLine="0"/>
      </w:pPr>
      <w:bookmarkStart w:id="93" w:name="_Toc225269977"/>
      <w:r>
        <w:lastRenderedPageBreak/>
        <w:t>Method overview</w:t>
      </w:r>
      <w:bookmarkEnd w:id="93"/>
      <w:r>
        <w:t xml:space="preserve"> </w:t>
      </w:r>
    </w:p>
    <w:p w14:paraId="436D6359" w14:textId="308332CE" w:rsidR="00600B77" w:rsidRDefault="00600B77" w:rsidP="00600B77">
      <w:r>
        <w:t>These Guidelines employ a simplified attributional approach</w:t>
      </w:r>
      <w:r w:rsidDel="009C163F">
        <w:t xml:space="preserve"> for</w:t>
      </w:r>
      <w:r>
        <w:t xml:space="preserve"> calculating product emissions intensity,</w:t>
      </w:r>
      <w:r w:rsidRPr="00383C0F">
        <w:t xml:space="preserve"> by </w:t>
      </w:r>
      <w:r w:rsidRPr="003F044D">
        <w:t>attributing the entity’s emissions from a</w:t>
      </w:r>
      <w:r w:rsidR="000D121B">
        <w:t xml:space="preserve"> production</w:t>
      </w:r>
      <w:r w:rsidRPr="003F044D">
        <w:t xml:space="preserve"> period to the products produced </w:t>
      </w:r>
      <w:r>
        <w:t xml:space="preserve">during </w:t>
      </w:r>
      <w:r w:rsidRPr="003F044D">
        <w:t>that period</w:t>
      </w:r>
      <w:r w:rsidRPr="00B22CDE">
        <w:t>.</w:t>
      </w:r>
    </w:p>
    <w:p w14:paraId="56892FB6" w14:textId="77777777" w:rsidR="00600B77" w:rsidRDefault="00600B77" w:rsidP="00600B77">
      <w:pPr>
        <w:pStyle w:val="Heading3"/>
        <w:numPr>
          <w:ilvl w:val="0"/>
          <w:numId w:val="0"/>
        </w:numPr>
        <w:ind w:left="720" w:hanging="720"/>
      </w:pPr>
      <w:r>
        <w:t xml:space="preserve">Limitations </w:t>
      </w:r>
    </w:p>
    <w:p w14:paraId="79DE98F6" w14:textId="6F05A63A" w:rsidR="00B06675" w:rsidRPr="00B06675" w:rsidRDefault="00B06675" w:rsidP="00DE4F12">
      <w:r w:rsidRPr="00B06675">
        <w:t xml:space="preserve">These Guidelines do not provide requirements and guidance for calculating the </w:t>
      </w:r>
      <w:r w:rsidR="001021B0">
        <w:t xml:space="preserve">full </w:t>
      </w:r>
      <w:r w:rsidRPr="00B06675">
        <w:t xml:space="preserve">carbon footprint of a product. The product carbon footprint calculated according to the GHG Protocol Product Life Cycle Accounting and Reporting Standard and ISO 14067 covers the </w:t>
      </w:r>
      <w:r w:rsidR="001021B0">
        <w:t>whole</w:t>
      </w:r>
      <w:r w:rsidRPr="00B06675">
        <w:t xml:space="preserve"> product life cycle from cradle to end of product life. When applied consistently, these standards can be used to benchmark and compare the emission intensity of products between producers. </w:t>
      </w:r>
    </w:p>
    <w:p w14:paraId="4ECF4D72" w14:textId="21B6D898" w:rsidR="00B06675" w:rsidRPr="00B06675" w:rsidRDefault="00B06675" w:rsidP="00DE4F12">
      <w:r w:rsidRPr="00B06675">
        <w:t xml:space="preserve">The estimated product emissions intensity calculated according to these Guidelines is a </w:t>
      </w:r>
      <w:r w:rsidR="0060147F">
        <w:t>‘</w:t>
      </w:r>
      <w:r w:rsidRPr="00B06675">
        <w:t>partial carbon footprint</w:t>
      </w:r>
      <w:r w:rsidR="0060147F">
        <w:t>’</w:t>
      </w:r>
      <w:r w:rsidRPr="00B06675">
        <w:t xml:space="preserve">. This is estimated using annual data collection and estimation (aggregated over the relevant production period if this is &gt; 1 year). The results are only relevant to the entity and are not directly comparable with the emissions intensities of products produced by other entities.   </w:t>
      </w:r>
    </w:p>
    <w:p w14:paraId="48293EF9" w14:textId="639759D2" w:rsidR="00B06675" w:rsidRPr="00B06675" w:rsidRDefault="00B06675" w:rsidP="00DE4F12">
      <w:r w:rsidRPr="00B06675">
        <w:t xml:space="preserve">GHG Protocol and ISO also recognise that AFF products can store biogenic carbon and require or allow separate reporting of this storage. The Guidelines only provide methods for tracking the biogenic carbon content in </w:t>
      </w:r>
      <w:r w:rsidRPr="00DE4F12">
        <w:t>harvested wood products</w:t>
      </w:r>
      <w:r w:rsidRPr="00B06675">
        <w:t>.</w:t>
      </w:r>
    </w:p>
    <w:p w14:paraId="7161A85A" w14:textId="196B1B0B" w:rsidR="00B06675" w:rsidRPr="00B06675" w:rsidRDefault="00B06675" w:rsidP="008F353C">
      <w:r w:rsidRPr="00B06675">
        <w:t>Due to these differences</w:t>
      </w:r>
      <w:r w:rsidR="00DE4F12">
        <w:t>,</w:t>
      </w:r>
      <w:r w:rsidRPr="00B06675">
        <w:t xml:space="preserve"> entities should ensure the estimation method and documentation meet the requirements of specific programs or external stakeholders</w:t>
      </w:r>
      <w:r w:rsidR="001021B0">
        <w:t>. S</w:t>
      </w:r>
      <w:r w:rsidRPr="00B06675">
        <w:t xml:space="preserve">ee Section 2.3 for more detail on limitations. </w:t>
      </w:r>
    </w:p>
    <w:tbl>
      <w:tblPr>
        <w:tblStyle w:val="TableGrid"/>
        <w:tblW w:w="0" w:type="auto"/>
        <w:tblInd w:w="0" w:type="dxa"/>
        <w:tblBorders>
          <w:top w:val="single" w:sz="4" w:space="0" w:color="auto"/>
          <w:left w:val="single" w:sz="4" w:space="0" w:color="auto"/>
          <w:bottom w:val="single" w:sz="4" w:space="0" w:color="auto"/>
          <w:right w:val="single" w:sz="4" w:space="0" w:color="auto"/>
        </w:tblBorders>
        <w:shd w:val="clear" w:color="auto" w:fill="D9F2D0" w:themeFill="accent6" w:themeFillTint="33"/>
        <w:tblLook w:val="04A0" w:firstRow="1" w:lastRow="0" w:firstColumn="1" w:lastColumn="0" w:noHBand="0" w:noVBand="1"/>
      </w:tblPr>
      <w:tblGrid>
        <w:gridCol w:w="9016"/>
      </w:tblGrid>
      <w:tr w:rsidR="00600B77" w14:paraId="740E4BCE" w14:textId="77777777" w:rsidTr="00DE4F12">
        <w:tc>
          <w:tcPr>
            <w:tcW w:w="9016" w:type="dxa"/>
            <w:shd w:val="clear" w:color="auto" w:fill="D9F2D0" w:themeFill="accent6" w:themeFillTint="33"/>
          </w:tcPr>
          <w:p w14:paraId="48280D05" w14:textId="1AEFFCF0" w:rsidR="00600B77" w:rsidRPr="003073A6" w:rsidRDefault="00600B77">
            <w:pPr>
              <w:rPr>
                <w:b/>
                <w:bCs/>
              </w:rPr>
            </w:pPr>
            <w:r w:rsidRPr="003073A6">
              <w:rPr>
                <w:b/>
                <w:bCs/>
              </w:rPr>
              <w:t>Question</w:t>
            </w:r>
            <w:r w:rsidR="00F8167D">
              <w:rPr>
                <w:b/>
                <w:bCs/>
              </w:rPr>
              <w:t>s</w:t>
            </w:r>
            <w:r w:rsidRPr="003073A6">
              <w:rPr>
                <w:b/>
                <w:bCs/>
              </w:rPr>
              <w:t xml:space="preserve">: </w:t>
            </w:r>
            <w:r>
              <w:rPr>
                <w:b/>
                <w:bCs/>
              </w:rPr>
              <w:t xml:space="preserve">Limitations of the emissions intensity </w:t>
            </w:r>
            <w:r w:rsidR="00AE6702">
              <w:rPr>
                <w:b/>
                <w:bCs/>
              </w:rPr>
              <w:t xml:space="preserve">method </w:t>
            </w:r>
            <w:r w:rsidR="00B716F4">
              <w:rPr>
                <w:b/>
                <w:bCs/>
              </w:rPr>
              <w:t>in these Guidelines</w:t>
            </w:r>
          </w:p>
          <w:p w14:paraId="62502C40" w14:textId="1A89B100" w:rsidR="00600B77" w:rsidRDefault="00600B77">
            <w:r>
              <w:t>The approach for estimating product emissions intensity is designed to allow producers to reuse data collected for their annual entity-inventory. Once subdivision and allocation rules have been established, it is expected that product emissions intensities can be calculated with minimal additional data.</w:t>
            </w:r>
          </w:p>
          <w:p w14:paraId="38BE7ABA" w14:textId="77777777" w:rsidR="00600B77" w:rsidRDefault="00600B77"/>
          <w:p w14:paraId="7E77057D" w14:textId="6410C1B3" w:rsidR="00600B77" w:rsidRPr="00F5338D" w:rsidRDefault="00600B77">
            <w:r>
              <w:t xml:space="preserve">While this approach applies many of the principles </w:t>
            </w:r>
            <w:r w:rsidRPr="00F62655">
              <w:t>from the GHG Protocol Product Life Cycle Accounting and Reporting Standard and ISO 14067</w:t>
            </w:r>
            <w:r>
              <w:t xml:space="preserve">, the emissions intensities produced under these Guidelines </w:t>
            </w:r>
            <w:r w:rsidR="00BD3680">
              <w:t>could be in</w:t>
            </w:r>
            <w:r>
              <w:t>consistent with results generated using those standards.</w:t>
            </w:r>
          </w:p>
          <w:p w14:paraId="371A7709" w14:textId="77777777" w:rsidR="00600B77" w:rsidRDefault="00600B77"/>
          <w:p w14:paraId="1E6B9C81" w14:textId="6E9222D1" w:rsidR="00600B77" w:rsidRPr="000E20DA" w:rsidRDefault="00F8167D">
            <w:r w:rsidRPr="00F8167D">
              <w:rPr>
                <w:b/>
                <w:bCs/>
              </w:rPr>
              <w:t>10A</w:t>
            </w:r>
            <w:r>
              <w:t xml:space="preserve"> </w:t>
            </w:r>
            <w:r w:rsidR="00600B77" w:rsidRPr="000E20DA">
              <w:t xml:space="preserve">Will the emissions intensities calculated using the Guidelines approach be useful for producers to track improvements over time and for business-to-business communication? </w:t>
            </w:r>
          </w:p>
          <w:p w14:paraId="215FD22A" w14:textId="0D4935B0" w:rsidR="000741BF" w:rsidRDefault="00F8167D" w:rsidP="00F8167D">
            <w:r w:rsidRPr="00F8167D">
              <w:rPr>
                <w:b/>
                <w:bCs/>
              </w:rPr>
              <w:t>10B</w:t>
            </w:r>
            <w:r>
              <w:t xml:space="preserve"> </w:t>
            </w:r>
            <w:r w:rsidR="00600B77" w:rsidRPr="000E20DA">
              <w:t>If not, what changes or additional guidance would make the approach more useful for these purposes?</w:t>
            </w:r>
          </w:p>
        </w:tc>
      </w:tr>
    </w:tbl>
    <w:p w14:paraId="174F3BCD" w14:textId="77777777" w:rsidR="0099118E" w:rsidRDefault="0099118E" w:rsidP="00600B77"/>
    <w:tbl>
      <w:tblPr>
        <w:tblStyle w:val="TableGrid"/>
        <w:tblW w:w="0" w:type="auto"/>
        <w:tblInd w:w="5" w:type="dxa"/>
        <w:shd w:val="clear" w:color="auto" w:fill="CAEDFB" w:themeFill="accent4" w:themeFillTint="33"/>
        <w:tblLook w:val="04A0" w:firstRow="1" w:lastRow="0" w:firstColumn="1" w:lastColumn="0" w:noHBand="0" w:noVBand="1"/>
      </w:tblPr>
      <w:tblGrid>
        <w:gridCol w:w="9011"/>
      </w:tblGrid>
      <w:tr w:rsidR="00600B77" w14:paraId="2BDC1E92" w14:textId="77777777">
        <w:tc>
          <w:tcPr>
            <w:tcW w:w="9016" w:type="dxa"/>
            <w:tcBorders>
              <w:top w:val="single" w:sz="4" w:space="0" w:color="auto"/>
              <w:left w:val="single" w:sz="4" w:space="0" w:color="auto"/>
              <w:bottom w:val="single" w:sz="4" w:space="0" w:color="auto"/>
              <w:right w:val="single" w:sz="4" w:space="0" w:color="auto"/>
            </w:tcBorders>
            <w:shd w:val="clear" w:color="auto" w:fill="CAEDFB" w:themeFill="accent4" w:themeFillTint="33"/>
          </w:tcPr>
          <w:p w14:paraId="0D40C55C" w14:textId="269924DB" w:rsidR="0029141D" w:rsidRDefault="0029141D" w:rsidP="0029141D">
            <w:pPr>
              <w:spacing w:after="160"/>
              <w:rPr>
                <w:b/>
                <w:bCs/>
              </w:rPr>
            </w:pPr>
            <w:r w:rsidRPr="00C31BA3">
              <w:rPr>
                <w:b/>
                <w:bCs/>
              </w:rPr>
              <w:t xml:space="preserve">Box 1: </w:t>
            </w:r>
            <w:r>
              <w:rPr>
                <w:b/>
                <w:bCs/>
              </w:rPr>
              <w:t xml:space="preserve">Attributional and </w:t>
            </w:r>
            <w:r w:rsidRPr="00C31BA3">
              <w:rPr>
                <w:b/>
                <w:bCs/>
              </w:rPr>
              <w:t>consequential</w:t>
            </w:r>
            <w:r>
              <w:rPr>
                <w:b/>
                <w:bCs/>
              </w:rPr>
              <w:t xml:space="preserve"> life cycle assessment</w:t>
            </w:r>
            <w:r w:rsidR="00C03A4E">
              <w:rPr>
                <w:b/>
                <w:bCs/>
              </w:rPr>
              <w:t xml:space="preserve"> (LCA)</w:t>
            </w:r>
          </w:p>
          <w:p w14:paraId="08E01E16" w14:textId="5B29C379" w:rsidR="0029141D" w:rsidRDefault="0029141D" w:rsidP="0029141D">
            <w:pPr>
              <w:spacing w:after="160" w:line="259" w:lineRule="auto"/>
            </w:pPr>
            <w:r w:rsidRPr="00C31BA3">
              <w:t xml:space="preserve">There are </w:t>
            </w:r>
            <w:r w:rsidR="00F23A64">
              <w:t>2</w:t>
            </w:r>
            <w:r w:rsidRPr="00C31BA3">
              <w:t xml:space="preserve"> alternative </w:t>
            </w:r>
            <w:r w:rsidR="00DE51C4">
              <w:t>approaches</w:t>
            </w:r>
            <w:r w:rsidRPr="00C31BA3">
              <w:t xml:space="preserve"> commonly applied in </w:t>
            </w:r>
            <w:r>
              <w:t>life cycle assessment</w:t>
            </w:r>
            <w:r w:rsidRPr="00C31BA3">
              <w:t xml:space="preserve">: </w:t>
            </w:r>
            <w:r w:rsidRPr="00507C4E">
              <w:rPr>
                <w:i/>
                <w:iCs/>
              </w:rPr>
              <w:t xml:space="preserve">attributional </w:t>
            </w:r>
            <w:r w:rsidRPr="00507C4E">
              <w:t xml:space="preserve">and </w:t>
            </w:r>
            <w:r w:rsidRPr="00507C4E">
              <w:rPr>
                <w:i/>
                <w:iCs/>
              </w:rPr>
              <w:t>consequential</w:t>
            </w:r>
            <w:r>
              <w:rPr>
                <w:i/>
                <w:iCs/>
              </w:rPr>
              <w:t xml:space="preserve">. </w:t>
            </w:r>
          </w:p>
          <w:p w14:paraId="3DC17004" w14:textId="052E62FA" w:rsidR="00C03A4E" w:rsidRDefault="00C03A4E" w:rsidP="00C03A4E">
            <w:r>
              <w:t>In</w:t>
            </w:r>
            <w:r w:rsidR="0029141D">
              <w:t xml:space="preserve"> </w:t>
            </w:r>
            <w:r w:rsidR="0029141D" w:rsidRPr="00C03A4E">
              <w:rPr>
                <w:b/>
                <w:bCs/>
              </w:rPr>
              <w:t>attributional LCA</w:t>
            </w:r>
            <w:r w:rsidR="0029141D">
              <w:t>, the</w:t>
            </w:r>
            <w:r w:rsidR="0029141D" w:rsidRPr="00407CF9">
              <w:t xml:space="preserve"> climate impacts of a product </w:t>
            </w:r>
            <w:r w:rsidR="0029141D">
              <w:t xml:space="preserve">are estimated by </w:t>
            </w:r>
            <w:r w:rsidR="0029141D" w:rsidRPr="00407CF9">
              <w:t>summing the emission</w:t>
            </w:r>
            <w:r w:rsidR="0029141D">
              <w:t>s</w:t>
            </w:r>
            <w:r w:rsidR="0029141D" w:rsidRPr="00407CF9">
              <w:t xml:space="preserve"> and removals over the product’s life cycle. Where multiple products are produced, allocation of </w:t>
            </w:r>
            <w:r w:rsidR="00EB2E54">
              <w:t>emissions</w:t>
            </w:r>
            <w:r w:rsidR="0029141D" w:rsidRPr="00407CF9">
              <w:t xml:space="preserve"> between products is based on </w:t>
            </w:r>
            <w:r w:rsidR="00EB2E54">
              <w:t>characteristics</w:t>
            </w:r>
            <w:r w:rsidR="0029141D" w:rsidRPr="00407CF9">
              <w:t xml:space="preserve"> such as energy content, mass or economic value. This approach is commonly used for GHG inventories and product reporting.</w:t>
            </w:r>
          </w:p>
          <w:p w14:paraId="10B1968A" w14:textId="77777777" w:rsidR="00C03A4E" w:rsidRDefault="00C03A4E" w:rsidP="00C03A4E">
            <w:pPr>
              <w:rPr>
                <w:b/>
                <w:bCs/>
              </w:rPr>
            </w:pPr>
          </w:p>
          <w:p w14:paraId="2D0ECD06" w14:textId="3EA5F4F1" w:rsidR="00600B77" w:rsidRDefault="00C03A4E" w:rsidP="00C03A4E">
            <w:r>
              <w:t>I</w:t>
            </w:r>
            <w:r w:rsidR="0029141D">
              <w:t xml:space="preserve">n </w:t>
            </w:r>
            <w:r w:rsidR="0029141D" w:rsidRPr="00C03A4E">
              <w:rPr>
                <w:b/>
                <w:bCs/>
              </w:rPr>
              <w:t>consequential LCA</w:t>
            </w:r>
            <w:r w:rsidR="003B5116">
              <w:rPr>
                <w:b/>
                <w:bCs/>
              </w:rPr>
              <w:t>,</w:t>
            </w:r>
            <w:r w:rsidR="0029141D">
              <w:t xml:space="preserve"> the climate impacts </w:t>
            </w:r>
            <w:r w:rsidR="0029141D" w:rsidRPr="006914B8">
              <w:t xml:space="preserve">of a specific decision or change in the system </w:t>
            </w:r>
            <w:proofErr w:type="gramStart"/>
            <w:r w:rsidR="0029141D" w:rsidRPr="006914B8">
              <w:t>as a whole</w:t>
            </w:r>
            <w:r>
              <w:t xml:space="preserve"> are</w:t>
            </w:r>
            <w:proofErr w:type="gramEnd"/>
            <w:r>
              <w:t xml:space="preserve"> estimated</w:t>
            </w:r>
            <w:r w:rsidR="0029141D" w:rsidRPr="006914B8">
              <w:t>. It</w:t>
            </w:r>
            <w:r w:rsidR="0029141D">
              <w:t xml:space="preserve"> is a form of scenario analysis that</w:t>
            </w:r>
            <w:r w:rsidR="0029141D" w:rsidRPr="006914B8">
              <w:t xml:space="preserve"> considers market</w:t>
            </w:r>
            <w:r w:rsidR="0029141D">
              <w:t xml:space="preserve"> effects and </w:t>
            </w:r>
            <w:r w:rsidR="0029141D" w:rsidRPr="006914B8">
              <w:t xml:space="preserve">knock-on </w:t>
            </w:r>
            <w:r w:rsidR="0029141D">
              <w:t>emissions impacts</w:t>
            </w:r>
            <w:r w:rsidR="0029141D" w:rsidRPr="006914B8">
              <w:t xml:space="preserve"> </w:t>
            </w:r>
            <w:r w:rsidR="0029141D">
              <w:t xml:space="preserve">associated with </w:t>
            </w:r>
            <w:r w:rsidR="0029141D" w:rsidRPr="006914B8">
              <w:t>production</w:t>
            </w:r>
            <w:r w:rsidR="0029141D">
              <w:t xml:space="preserve"> decisions. For example, the system-wide emissions impacts of the decision to</w:t>
            </w:r>
            <w:r w:rsidR="0029141D" w:rsidRPr="00AA7A44">
              <w:t xml:space="preserve"> produce more product, change a process, or avoid producing something</w:t>
            </w:r>
            <w:r w:rsidR="0029141D">
              <w:t>. This requires more complex modelling than attributional LCA.</w:t>
            </w:r>
            <w:r w:rsidR="000741BF">
              <w:t xml:space="preserve"> </w:t>
            </w:r>
            <w:r w:rsidR="0029141D" w:rsidRPr="002B0EEC">
              <w:t>Consequential approaches are most useful for policy analysis or decisions about interventions.</w:t>
            </w:r>
          </w:p>
        </w:tc>
      </w:tr>
    </w:tbl>
    <w:p w14:paraId="368D9424" w14:textId="40E4BCF7" w:rsidR="00600B77" w:rsidRDefault="003E663A" w:rsidP="007B17BA">
      <w:pPr>
        <w:pStyle w:val="Heading2"/>
        <w:ind w:left="0" w:firstLine="0"/>
      </w:pPr>
      <w:bookmarkStart w:id="94" w:name="_Toc225269978"/>
      <w:r>
        <w:lastRenderedPageBreak/>
        <w:t>Steps for estimating product emission intensity</w:t>
      </w:r>
      <w:bookmarkEnd w:id="94"/>
      <w:r>
        <w:t xml:space="preserve"> </w:t>
      </w:r>
    </w:p>
    <w:p w14:paraId="7078FF65" w14:textId="677E66E4" w:rsidR="00600B77" w:rsidRDefault="00F339C8" w:rsidP="00776ED3">
      <w:pPr>
        <w:pStyle w:val="Heading3"/>
        <w:numPr>
          <w:ilvl w:val="0"/>
          <w:numId w:val="0"/>
        </w:numPr>
      </w:pPr>
      <w:r>
        <w:t xml:space="preserve">Step 1: </w:t>
      </w:r>
      <w:r w:rsidR="00600B77">
        <w:t>Establish the system boundary</w:t>
      </w:r>
    </w:p>
    <w:p w14:paraId="4C0F0735" w14:textId="004D1CE6" w:rsidR="00F339C8" w:rsidRDefault="00600B77" w:rsidP="00600B77">
      <w:r w:rsidRPr="00741E77">
        <w:t xml:space="preserve">As a first step, entities </w:t>
      </w:r>
      <w:r w:rsidRPr="00C83FA6">
        <w:t>should</w:t>
      </w:r>
      <w:r w:rsidRPr="00741E77">
        <w:t xml:space="preserve"> clearly define and document the system boundaries fo</w:t>
      </w:r>
      <w:r>
        <w:t xml:space="preserve">r the product emissions intensity </w:t>
      </w:r>
      <w:r w:rsidRPr="00741E77">
        <w:t>analysis, specifying whether the assessment is cradle-to-gate or includes additional stages</w:t>
      </w:r>
      <w:r w:rsidR="00561132">
        <w:t xml:space="preserve"> to the factory or distribution gates</w:t>
      </w:r>
      <w:r>
        <w:t xml:space="preserve"> (see Figure 1 and / or Appendix A for guidance). </w:t>
      </w:r>
      <w:r w:rsidR="00D3368E">
        <w:t>I</w:t>
      </w:r>
      <w:r w:rsidR="00F339C8">
        <w:t xml:space="preserve">t </w:t>
      </w:r>
      <w:r w:rsidR="00DA5275">
        <w:t>can</w:t>
      </w:r>
      <w:r w:rsidR="00F339C8">
        <w:t xml:space="preserve"> be helpful for entities to begin with </w:t>
      </w:r>
      <w:r w:rsidR="00F339C8" w:rsidRPr="005303F8">
        <w:t>a cradle-to-gate analysis</w:t>
      </w:r>
      <w:r w:rsidR="00F339C8">
        <w:t>, particularly where multiple products are produced</w:t>
      </w:r>
      <w:r w:rsidR="00F339C8" w:rsidRPr="005303F8">
        <w:t xml:space="preserve">. This </w:t>
      </w:r>
      <w:r w:rsidR="00F339C8">
        <w:t xml:space="preserve">approach </w:t>
      </w:r>
      <w:r w:rsidR="00F339C8" w:rsidRPr="005303F8">
        <w:t xml:space="preserve">ensures accurate </w:t>
      </w:r>
      <w:r w:rsidR="00F339C8">
        <w:t>quantification</w:t>
      </w:r>
      <w:r w:rsidR="00F339C8" w:rsidRPr="005303F8">
        <w:t xml:space="preserve"> of the emissions intensity of </w:t>
      </w:r>
      <w:r w:rsidR="00F339C8">
        <w:t>the raw</w:t>
      </w:r>
      <w:r w:rsidR="00F339C8" w:rsidRPr="005303F8">
        <w:t xml:space="preserve"> product</w:t>
      </w:r>
      <w:r w:rsidR="00F339C8">
        <w:t>s</w:t>
      </w:r>
      <w:r w:rsidR="00F339C8" w:rsidRPr="005303F8">
        <w:t xml:space="preserve"> at the </w:t>
      </w:r>
      <w:r w:rsidR="00811B25">
        <w:t>cradle-to-</w:t>
      </w:r>
      <w:r w:rsidR="00F339C8" w:rsidRPr="005303F8">
        <w:t xml:space="preserve">gate before incorporating </w:t>
      </w:r>
      <w:r w:rsidR="00F339C8">
        <w:t xml:space="preserve">additional </w:t>
      </w:r>
      <w:r w:rsidR="00347AFE" w:rsidRPr="005303F8">
        <w:t>stages.</w:t>
      </w:r>
      <w:r w:rsidR="00347AFE">
        <w:t xml:space="preserve"> </w:t>
      </w:r>
      <w:r w:rsidR="00F339C8">
        <w:t xml:space="preserve">However, in cases where it is complex </w:t>
      </w:r>
      <w:r w:rsidR="009F5E9C">
        <w:t xml:space="preserve">or onerous </w:t>
      </w:r>
      <w:r w:rsidR="00F339C8">
        <w:t xml:space="preserve">to partition fuel or energy use between </w:t>
      </w:r>
      <w:r w:rsidR="00561132">
        <w:t xml:space="preserve">the </w:t>
      </w:r>
      <w:r w:rsidR="00F339C8">
        <w:t>‘</w:t>
      </w:r>
      <w:r w:rsidR="00561132">
        <w:t>cradle-to</w:t>
      </w:r>
      <w:r w:rsidR="00F339C8">
        <w:t xml:space="preserve">-gate’ and ‘post-gate’ boundaries, </w:t>
      </w:r>
      <w:r w:rsidR="007B6A34">
        <w:t>entities may choose to</w:t>
      </w:r>
      <w:r w:rsidR="009F5E9C">
        <w:t xml:space="preserve"> undertake </w:t>
      </w:r>
      <w:r w:rsidR="00DB65D5">
        <w:t xml:space="preserve">a full </w:t>
      </w:r>
      <w:r w:rsidR="009F5E9C">
        <w:t xml:space="preserve">analysis </w:t>
      </w:r>
      <w:r w:rsidR="00DB65D5">
        <w:t xml:space="preserve">to whichever gate is appropriate for their production system. </w:t>
      </w:r>
    </w:p>
    <w:p w14:paraId="6383089B" w14:textId="4FADBD08" w:rsidR="00600B77" w:rsidRDefault="00DB65D5" w:rsidP="00E07E10">
      <w:pPr>
        <w:pStyle w:val="Heading3"/>
        <w:numPr>
          <w:ilvl w:val="0"/>
          <w:numId w:val="0"/>
        </w:numPr>
        <w:ind w:left="720" w:hanging="720"/>
      </w:pPr>
      <w:r>
        <w:t xml:space="preserve">Step 2: </w:t>
      </w:r>
      <w:r w:rsidR="00600B77" w:rsidRPr="002B4889">
        <w:t>Identify</w:t>
      </w:r>
      <w:r w:rsidR="00600B77">
        <w:t xml:space="preserve"> and classify production </w:t>
      </w:r>
      <w:r w:rsidR="00600B77" w:rsidRPr="00F5056C">
        <w:t>system</w:t>
      </w:r>
      <w:r w:rsidR="00600B77">
        <w:t xml:space="preserve"> outputs </w:t>
      </w:r>
    </w:p>
    <w:p w14:paraId="46858042" w14:textId="27A051D1" w:rsidR="00772FAB" w:rsidRDefault="00600B77" w:rsidP="00600B77">
      <w:r w:rsidRPr="002B79DD">
        <w:t xml:space="preserve">Agricultural, forestry, fisheries </w:t>
      </w:r>
      <w:r>
        <w:t xml:space="preserve">and aquaculture </w:t>
      </w:r>
      <w:r w:rsidRPr="002B79DD">
        <w:t>operations</w:t>
      </w:r>
      <w:r>
        <w:t xml:space="preserve"> often produce more than one product. For example, grain growers commonly produce oilseeds or legume crops in addition to cereals; mixed farming systems produce both crops and livestock products; and fishing operations</w:t>
      </w:r>
      <w:r w:rsidR="00DA5275">
        <w:t xml:space="preserve"> </w:t>
      </w:r>
      <w:r w:rsidR="00802D0A">
        <w:t>might</w:t>
      </w:r>
      <w:r w:rsidDel="00DA5275">
        <w:t xml:space="preserve"> </w:t>
      </w:r>
      <w:r>
        <w:t xml:space="preserve">catch a mix of species. </w:t>
      </w:r>
      <w:r w:rsidR="00D1418A">
        <w:t xml:space="preserve">The </w:t>
      </w:r>
      <w:r w:rsidR="00D1418A" w:rsidRPr="006074A6">
        <w:t xml:space="preserve">production of many agriculture, forestry, fisheries, and aquaculture commodities generates </w:t>
      </w:r>
      <w:r w:rsidR="00D1418A">
        <w:t>multiple outputs</w:t>
      </w:r>
      <w:r w:rsidR="00D1418A" w:rsidRPr="006074A6">
        <w:t xml:space="preserve"> that </w:t>
      </w:r>
      <w:r w:rsidR="00ED5192">
        <w:t>can</w:t>
      </w:r>
      <w:r w:rsidR="00D1418A" w:rsidRPr="006074A6">
        <w:t xml:space="preserve"> have subsequent uses.</w:t>
      </w:r>
    </w:p>
    <w:p w14:paraId="290EB985" w14:textId="730667E6" w:rsidR="00600B77" w:rsidRDefault="00327574" w:rsidP="00600B77">
      <w:r>
        <w:t>Sharing</w:t>
      </w:r>
      <w:r w:rsidR="004E3B47">
        <w:t xml:space="preserve"> emissions </w:t>
      </w:r>
      <w:r w:rsidR="00076103">
        <w:t xml:space="preserve">amongst </w:t>
      </w:r>
      <w:r w:rsidR="00B57410">
        <w:t>different outputs is</w:t>
      </w:r>
      <w:r w:rsidR="00600B77">
        <w:t xml:space="preserve"> relatively straightforward when the inputs to each product can be easily separated, such as between irrigated cotton and livestock, where the inputs to each enterprise are quite distinct. Complexity arises when inputs are shared by </w:t>
      </w:r>
      <w:r w:rsidR="0017316A">
        <w:t xml:space="preserve">multiple </w:t>
      </w:r>
      <w:r w:rsidR="00600B77">
        <w:t>products, such as in a sheep grazing system producing both wool and meat, or where residues from one system become inputs to another (e.g. manure used as a fertiliser</w:t>
      </w:r>
      <w:proofErr w:type="gramStart"/>
      <w:r w:rsidR="00600B77" w:rsidRPr="00E447EC">
        <w:t>)</w:t>
      </w:r>
      <w:proofErr w:type="gramEnd"/>
      <w:r w:rsidR="00600B77">
        <w:t xml:space="preserve"> or crop stubble used for grazing</w:t>
      </w:r>
      <w:r w:rsidR="00600B77" w:rsidRPr="00E447EC">
        <w:t>.</w:t>
      </w:r>
      <w:r w:rsidR="00600B77">
        <w:t xml:space="preserve">  </w:t>
      </w:r>
    </w:p>
    <w:p w14:paraId="137A332A" w14:textId="09669706" w:rsidR="00B57410" w:rsidRDefault="00B57410" w:rsidP="00B57410">
      <w:r>
        <w:t>W</w:t>
      </w:r>
      <w:r w:rsidRPr="00DD3F5E">
        <w:t xml:space="preserve">hen multiple </w:t>
      </w:r>
      <w:r w:rsidR="008265B5">
        <w:t>products</w:t>
      </w:r>
      <w:r w:rsidRPr="00DD3F5E">
        <w:t xml:space="preserve"> are produced</w:t>
      </w:r>
      <w:r>
        <w:t xml:space="preserve"> </w:t>
      </w:r>
      <w:r w:rsidRPr="00453AAE">
        <w:t xml:space="preserve">from shared </w:t>
      </w:r>
      <w:r>
        <w:t xml:space="preserve">input </w:t>
      </w:r>
      <w:r w:rsidRPr="00453AAE">
        <w:t xml:space="preserve">resources or processes, the entity’s emissions </w:t>
      </w:r>
      <w:r>
        <w:t xml:space="preserve">shall </w:t>
      </w:r>
      <w:r w:rsidRPr="00453AAE">
        <w:t xml:space="preserve">be </w:t>
      </w:r>
      <w:r>
        <w:t>shared</w:t>
      </w:r>
      <w:r w:rsidRPr="00453AAE">
        <w:t xml:space="preserve"> among the </w:t>
      </w:r>
      <w:r w:rsidR="008265B5">
        <w:t>products</w:t>
      </w:r>
      <w:r w:rsidRPr="00453AAE">
        <w:t xml:space="preserve"> to estimate the emissions intensity of each individual product</w:t>
      </w:r>
      <w:r>
        <w:t xml:space="preserve">. </w:t>
      </w:r>
    </w:p>
    <w:p w14:paraId="460EB413" w14:textId="5C514933" w:rsidR="00D53C3E" w:rsidRDefault="00B57410" w:rsidP="00600B77">
      <w:r>
        <w:t xml:space="preserve">The way outputs </w:t>
      </w:r>
      <w:r w:rsidRPr="006074A6">
        <w:t>are classified</w:t>
      </w:r>
      <w:r>
        <w:t xml:space="preserve"> </w:t>
      </w:r>
      <w:r w:rsidR="00FC3AC9">
        <w:t>–</w:t>
      </w:r>
      <w:r>
        <w:t xml:space="preserve"> </w:t>
      </w:r>
      <w:r w:rsidRPr="006074A6">
        <w:t xml:space="preserve">as </w:t>
      </w:r>
      <w:r>
        <w:t>main</w:t>
      </w:r>
      <w:r w:rsidR="003E05A9">
        <w:t xml:space="preserve"> product</w:t>
      </w:r>
      <w:r>
        <w:t>, by</w:t>
      </w:r>
      <w:r w:rsidRPr="006074A6">
        <w:t>-product</w:t>
      </w:r>
      <w:r>
        <w:t>,</w:t>
      </w:r>
      <w:r w:rsidRPr="006074A6">
        <w:t xml:space="preserve"> resid</w:t>
      </w:r>
      <w:r>
        <w:t xml:space="preserve">ual output or waste </w:t>
      </w:r>
      <w:r w:rsidR="00BB3417">
        <w:t>–</w:t>
      </w:r>
      <w:r>
        <w:t xml:space="preserve"> </w:t>
      </w:r>
      <w:r w:rsidR="00A91E35">
        <w:t>determines whether</w:t>
      </w:r>
      <w:r w:rsidRPr="006074A6">
        <w:t xml:space="preserve"> emissions </w:t>
      </w:r>
      <w:r w:rsidR="00A91E35">
        <w:t xml:space="preserve">are </w:t>
      </w:r>
      <w:r w:rsidRPr="006074A6">
        <w:t>a</w:t>
      </w:r>
      <w:r>
        <w:t>llocated</w:t>
      </w:r>
      <w:r w:rsidRPr="006074A6">
        <w:t xml:space="preserve"> to them</w:t>
      </w:r>
      <w:r>
        <w:t>.</w:t>
      </w:r>
    </w:p>
    <w:p w14:paraId="48FDDEEC" w14:textId="26B7D527" w:rsidR="00A813C9" w:rsidRDefault="00A813C9" w:rsidP="00600B77">
      <w:r>
        <w:t>If the</w:t>
      </w:r>
      <w:r w:rsidRPr="006074A6">
        <w:t xml:space="preserve"> </w:t>
      </w:r>
      <w:r>
        <w:t>output</w:t>
      </w:r>
      <w:r w:rsidRPr="006074A6">
        <w:t xml:space="preserve"> is the primary aim of production</w:t>
      </w:r>
      <w:r>
        <w:t xml:space="preserve">, then it is classified as a </w:t>
      </w:r>
      <w:r w:rsidRPr="008265B5">
        <w:rPr>
          <w:i/>
          <w:iCs/>
        </w:rPr>
        <w:t>main product</w:t>
      </w:r>
      <w:r>
        <w:t xml:space="preserve">. </w:t>
      </w:r>
      <w:r w:rsidR="00322F59">
        <w:t xml:space="preserve">There may be more than one main product, such as </w:t>
      </w:r>
      <w:r w:rsidR="0096451B">
        <w:t xml:space="preserve">meat and wool </w:t>
      </w:r>
      <w:r w:rsidR="007821DC">
        <w:t xml:space="preserve">from </w:t>
      </w:r>
      <w:r w:rsidR="0096451B">
        <w:t xml:space="preserve">sheep. </w:t>
      </w:r>
      <w:r>
        <w:t xml:space="preserve">If the output has a subsequent use </w:t>
      </w:r>
      <w:r w:rsidRPr="001C39F5">
        <w:rPr>
          <w:i/>
        </w:rPr>
        <w:t>and</w:t>
      </w:r>
      <w:r>
        <w:t xml:space="preserve"> is sold, it is classified as a </w:t>
      </w:r>
      <w:r w:rsidRPr="008265B5">
        <w:rPr>
          <w:i/>
          <w:iCs/>
        </w:rPr>
        <w:t>by-product</w:t>
      </w:r>
      <w:r>
        <w:rPr>
          <w:rStyle w:val="FootnoteReference"/>
        </w:rPr>
        <w:footnoteReference w:id="10"/>
      </w:r>
      <w:r>
        <w:t xml:space="preserve">. If it has a subsequent use but is not sold, then it is classified as a </w:t>
      </w:r>
      <w:r w:rsidRPr="008265B5">
        <w:rPr>
          <w:i/>
          <w:iCs/>
        </w:rPr>
        <w:t>residual output</w:t>
      </w:r>
      <w:r>
        <w:t xml:space="preserve">. If the output does not have a subsequent use, it is classified as </w:t>
      </w:r>
      <w:r w:rsidRPr="008265B5">
        <w:rPr>
          <w:i/>
          <w:iCs/>
        </w:rPr>
        <w:t>waste</w:t>
      </w:r>
      <w:r>
        <w:t>.</w:t>
      </w:r>
      <w:r w:rsidR="004150FE">
        <w:t xml:space="preserve"> Residual outputs and waste are not allocated emissions. </w:t>
      </w:r>
      <w:r w:rsidR="00D42139">
        <w:t>See Key Terms for definitions.</w:t>
      </w:r>
    </w:p>
    <w:p w14:paraId="26CB4E5A" w14:textId="6FD75BCF" w:rsidR="00772FAB" w:rsidRDefault="00772FAB" w:rsidP="00772FAB">
      <w:r w:rsidRPr="006074A6">
        <w:lastRenderedPageBreak/>
        <w:t>This approach</w:t>
      </w:r>
      <w:r>
        <w:t xml:space="preserve"> to defining by-products and residual outputs </w:t>
      </w:r>
      <w:r w:rsidRPr="006074A6">
        <w:t xml:space="preserve">reflects the principle that </w:t>
      </w:r>
      <w:r>
        <w:t xml:space="preserve">the outputs generating economic benefit to the producer should </w:t>
      </w:r>
      <w:r w:rsidR="00762F5F">
        <w:t>be assigned</w:t>
      </w:r>
      <w:r>
        <w:t xml:space="preserve"> a share of</w:t>
      </w:r>
      <w:r w:rsidR="00B57410">
        <w:t xml:space="preserve"> emissions. </w:t>
      </w:r>
      <w:r w:rsidR="00DC48E0">
        <w:t xml:space="preserve"> </w:t>
      </w:r>
    </w:p>
    <w:p w14:paraId="6B209E11" w14:textId="1489D13C" w:rsidR="00772FAB" w:rsidRDefault="00600B77" w:rsidP="00600B77">
      <w:r>
        <w:t xml:space="preserve">Entities shall identify all outputs from the production system and classify them as main </w:t>
      </w:r>
      <w:r w:rsidRPr="00AC7EA4">
        <w:t xml:space="preserve">products, </w:t>
      </w:r>
      <w:r>
        <w:t>by-products, residual outputs</w:t>
      </w:r>
      <w:r w:rsidRPr="00AC7EA4">
        <w:t xml:space="preserve"> and wastes</w:t>
      </w:r>
      <w:r>
        <w:t xml:space="preserve"> according to the decision tree at Figure 2. </w:t>
      </w:r>
    </w:p>
    <w:p w14:paraId="029F5497" w14:textId="7CFF75D3" w:rsidR="00600B77" w:rsidRDefault="00600B77" w:rsidP="00600B77">
      <w:pPr>
        <w:rPr>
          <w:b/>
          <w:bCs/>
        </w:rPr>
      </w:pPr>
      <w:r w:rsidRPr="00AC7EA4">
        <w:rPr>
          <w:b/>
          <w:bCs/>
        </w:rPr>
        <w:t xml:space="preserve">Figure </w:t>
      </w:r>
      <w:r>
        <w:rPr>
          <w:b/>
          <w:bCs/>
        </w:rPr>
        <w:t xml:space="preserve">2: </w:t>
      </w:r>
      <w:r w:rsidR="009A0B39">
        <w:rPr>
          <w:b/>
          <w:bCs/>
        </w:rPr>
        <w:t>C</w:t>
      </w:r>
      <w:r>
        <w:rPr>
          <w:b/>
          <w:bCs/>
        </w:rPr>
        <w:t>lassifying outputs as</w:t>
      </w:r>
      <w:r w:rsidDel="009A0B39">
        <w:rPr>
          <w:b/>
          <w:bCs/>
        </w:rPr>
        <w:t xml:space="preserve"> </w:t>
      </w:r>
      <w:r w:rsidRPr="00772FAB">
        <w:rPr>
          <w:b/>
          <w:bCs/>
        </w:rPr>
        <w:t xml:space="preserve">main product, by-product, residual </w:t>
      </w:r>
      <w:r w:rsidR="00772FAB">
        <w:rPr>
          <w:b/>
          <w:bCs/>
        </w:rPr>
        <w:t>output</w:t>
      </w:r>
      <w:r w:rsidRPr="00772FAB">
        <w:rPr>
          <w:b/>
          <w:bCs/>
        </w:rPr>
        <w:t xml:space="preserve"> or waste</w:t>
      </w:r>
    </w:p>
    <w:p w14:paraId="36A103EF" w14:textId="35A18409" w:rsidR="0062753B" w:rsidRDefault="0062753B" w:rsidP="00600B77">
      <w:pPr>
        <w:rPr>
          <w:b/>
          <w:bCs/>
        </w:rPr>
      </w:pPr>
      <w:r>
        <w:rPr>
          <w:noProof/>
        </w:rPr>
        <w:drawing>
          <wp:inline distT="0" distB="0" distL="0" distR="0" wp14:anchorId="3A462D2E" wp14:editId="7DC3460B">
            <wp:extent cx="5731510" cy="4311650"/>
            <wp:effectExtent l="0" t="0" r="2540" b="0"/>
            <wp:docPr id="437063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63214" name=""/>
                    <pic:cNvPicPr/>
                  </pic:nvPicPr>
                  <pic:blipFill>
                    <a:blip r:embed="rId64"/>
                    <a:stretch>
                      <a:fillRect/>
                    </a:stretch>
                  </pic:blipFill>
                  <pic:spPr>
                    <a:xfrm>
                      <a:off x="0" y="0"/>
                      <a:ext cx="5731510" cy="4311650"/>
                    </a:xfrm>
                    <a:prstGeom prst="rect">
                      <a:avLst/>
                    </a:prstGeom>
                  </pic:spPr>
                </pic:pic>
              </a:graphicData>
            </a:graphic>
          </wp:inline>
        </w:drawing>
      </w:r>
    </w:p>
    <w:p w14:paraId="4364BA87" w14:textId="439A2125" w:rsidR="00772FAB" w:rsidRPr="003073A6" w:rsidRDefault="00772FAB" w:rsidP="00772FAB">
      <w:pPr>
        <w:pBdr>
          <w:top w:val="single" w:sz="4" w:space="1" w:color="auto"/>
          <w:left w:val="single" w:sz="4" w:space="4" w:color="auto"/>
          <w:bottom w:val="single" w:sz="4" w:space="1" w:color="auto"/>
          <w:right w:val="single" w:sz="4" w:space="4" w:color="auto"/>
        </w:pBdr>
        <w:shd w:val="clear" w:color="auto" w:fill="D9F2D0" w:themeFill="accent6" w:themeFillTint="33"/>
        <w:rPr>
          <w:b/>
          <w:bCs/>
        </w:rPr>
      </w:pPr>
      <w:r w:rsidRPr="003073A6">
        <w:rPr>
          <w:b/>
          <w:bCs/>
        </w:rPr>
        <w:t>Question</w:t>
      </w:r>
      <w:r w:rsidR="009F4996">
        <w:rPr>
          <w:b/>
          <w:bCs/>
        </w:rPr>
        <w:t>:</w:t>
      </w:r>
      <w:r w:rsidRPr="003073A6">
        <w:rPr>
          <w:b/>
          <w:bCs/>
        </w:rPr>
        <w:t xml:space="preserve"> </w:t>
      </w:r>
      <w:r>
        <w:rPr>
          <w:b/>
          <w:bCs/>
        </w:rPr>
        <w:t>Classification of products</w:t>
      </w:r>
    </w:p>
    <w:p w14:paraId="6D7BD34C" w14:textId="0575A8EA" w:rsidR="00772FAB" w:rsidRDefault="00772FAB" w:rsidP="00772FAB">
      <w:pPr>
        <w:pBdr>
          <w:top w:val="single" w:sz="4" w:space="1" w:color="auto"/>
          <w:left w:val="single" w:sz="4" w:space="4" w:color="auto"/>
          <w:bottom w:val="single" w:sz="4" w:space="1" w:color="auto"/>
          <w:right w:val="single" w:sz="4" w:space="4" w:color="auto"/>
        </w:pBdr>
        <w:shd w:val="clear" w:color="auto" w:fill="D9F2D0" w:themeFill="accent6" w:themeFillTint="33"/>
      </w:pPr>
      <w:r w:rsidRPr="006074A6">
        <w:t xml:space="preserve">The decision tree in Figure </w:t>
      </w:r>
      <w:r>
        <w:t>2</w:t>
      </w:r>
      <w:r w:rsidRPr="006074A6">
        <w:t xml:space="preserve"> uses objective criteria to </w:t>
      </w:r>
      <w:r>
        <w:t xml:space="preserve">classify </w:t>
      </w:r>
      <w:r w:rsidRPr="006074A6">
        <w:t xml:space="preserve">outputs into </w:t>
      </w:r>
      <w:r w:rsidR="000560B9">
        <w:t>4</w:t>
      </w:r>
      <w:r w:rsidRPr="006074A6">
        <w:t xml:space="preserve"> categories: main product, by-product, resid</w:t>
      </w:r>
      <w:r>
        <w:t>ual output</w:t>
      </w:r>
      <w:r w:rsidRPr="006074A6">
        <w:t xml:space="preserve">, and waste. </w:t>
      </w:r>
    </w:p>
    <w:p w14:paraId="5BA06E96" w14:textId="77777777" w:rsidR="009F4996" w:rsidRDefault="00772FAB" w:rsidP="00772FAB">
      <w:pPr>
        <w:pBdr>
          <w:top w:val="single" w:sz="4" w:space="1" w:color="auto"/>
          <w:left w:val="single" w:sz="4" w:space="4" w:color="auto"/>
          <w:bottom w:val="single" w:sz="4" w:space="1" w:color="auto"/>
          <w:right w:val="single" w:sz="4" w:space="4" w:color="auto"/>
        </w:pBdr>
        <w:shd w:val="clear" w:color="auto" w:fill="D9F2D0" w:themeFill="accent6" w:themeFillTint="33"/>
      </w:pPr>
      <w:r>
        <w:t xml:space="preserve">In this scheme, manure that is sold would be treated as a by-product, whereas manure that is reused on farm and not sold would be treated as a residual output.  </w:t>
      </w:r>
    </w:p>
    <w:p w14:paraId="5560C445" w14:textId="75D6864A" w:rsidR="00600B77" w:rsidRPr="00772FAB" w:rsidRDefault="009F4996" w:rsidP="00772FAB">
      <w:pPr>
        <w:pBdr>
          <w:top w:val="single" w:sz="4" w:space="1" w:color="auto"/>
          <w:left w:val="single" w:sz="4" w:space="4" w:color="auto"/>
          <w:bottom w:val="single" w:sz="4" w:space="1" w:color="auto"/>
          <w:right w:val="single" w:sz="4" w:space="4" w:color="auto"/>
        </w:pBdr>
        <w:shd w:val="clear" w:color="auto" w:fill="D9F2D0" w:themeFill="accent6" w:themeFillTint="33"/>
      </w:pPr>
      <w:r w:rsidRPr="009F4996">
        <w:rPr>
          <w:b/>
          <w:bCs/>
        </w:rPr>
        <w:t>10C</w:t>
      </w:r>
      <w:r w:rsidR="00772FAB" w:rsidRPr="009F4996">
        <w:rPr>
          <w:b/>
          <w:bCs/>
        </w:rPr>
        <w:t xml:space="preserve"> </w:t>
      </w:r>
      <w:r w:rsidR="00772FAB" w:rsidRPr="00E250CE">
        <w:t xml:space="preserve">Does the proposed product classification decision tree provide a clear and practical approach for distinguishing between main product, by-product, </w:t>
      </w:r>
      <w:r w:rsidR="00772FAB">
        <w:t>residual output</w:t>
      </w:r>
      <w:r w:rsidR="00772FAB" w:rsidRPr="00E250CE">
        <w:t>, and waste?</w:t>
      </w:r>
    </w:p>
    <w:p w14:paraId="6FC3E8D0" w14:textId="2E751BE8" w:rsidR="00600B77" w:rsidRDefault="004150FE" w:rsidP="004150FE">
      <w:pPr>
        <w:pStyle w:val="Heading3"/>
        <w:numPr>
          <w:ilvl w:val="0"/>
          <w:numId w:val="0"/>
        </w:numPr>
        <w:ind w:left="720" w:hanging="720"/>
      </w:pPr>
      <w:r>
        <w:t xml:space="preserve">Step 3: </w:t>
      </w:r>
      <w:r w:rsidR="00600B77">
        <w:t>Identify units of analysis</w:t>
      </w:r>
    </w:p>
    <w:p w14:paraId="49C76A79" w14:textId="4586159B" w:rsidR="00600B77" w:rsidRDefault="00600B77" w:rsidP="00600B77">
      <w:r>
        <w:t>The choice of analysis units for the emissions intensity calculation is a key decision,</w:t>
      </w:r>
      <w:r w:rsidRPr="00B0493E">
        <w:t xml:space="preserve"> </w:t>
      </w:r>
      <w:r>
        <w:t>as it can standardise reporting and</w:t>
      </w:r>
      <w:r w:rsidRPr="008D3350">
        <w:t xml:space="preserve"> facilitate compariso</w:t>
      </w:r>
      <w:r w:rsidRPr="00114550">
        <w:t>n</w:t>
      </w:r>
      <w:r>
        <w:t xml:space="preserve"> as well as help inform</w:t>
      </w:r>
      <w:r w:rsidRPr="00114550">
        <w:t xml:space="preserve"> farm management decisions</w:t>
      </w:r>
      <w:r>
        <w:t xml:space="preserve">. The relevant quantification reference </w:t>
      </w:r>
      <w:r w:rsidRPr="00B7064B">
        <w:t>for products that can fulfil different functions</w:t>
      </w:r>
      <w:r>
        <w:t xml:space="preserve"> is called a </w:t>
      </w:r>
      <w:r w:rsidRPr="00FF5A7F">
        <w:t>declared unit</w:t>
      </w:r>
      <w:r>
        <w:rPr>
          <w:b/>
          <w:bCs/>
        </w:rPr>
        <w:t xml:space="preserve">. </w:t>
      </w:r>
      <w:r>
        <w:t>The declared unit is the unit by which the product is commonly sold at the farm gate, such as 1 kg seed cotton or 1</w:t>
      </w:r>
      <w:r w:rsidR="005629EC">
        <w:t xml:space="preserve"> </w:t>
      </w:r>
      <w:r>
        <w:t xml:space="preserve">kg greasy wool. Declared units for common commodities are listed in Table 10. </w:t>
      </w:r>
    </w:p>
    <w:p w14:paraId="024C87FE" w14:textId="77777777" w:rsidR="00600B77" w:rsidRPr="00B4087D" w:rsidRDefault="00600B77" w:rsidP="00600B77">
      <w:r w:rsidRPr="00B4087D">
        <w:lastRenderedPageBreak/>
        <w:t>Emissions intensity sh</w:t>
      </w:r>
      <w:r>
        <w:t>all</w:t>
      </w:r>
      <w:r w:rsidRPr="00B4087D">
        <w:t xml:space="preserve"> be expressed</w:t>
      </w:r>
      <w:r>
        <w:t xml:space="preserve"> as </w:t>
      </w:r>
      <w:r w:rsidRPr="0093695B">
        <w:t xml:space="preserve">kg </w:t>
      </w:r>
      <w:r w:rsidRPr="003D579B">
        <w:rPr>
          <w:rFonts w:eastAsia="Times New Roman" w:cs="Times New Roman"/>
          <w:iCs/>
          <w:kern w:val="0"/>
          <w:lang w:eastAsia="en-AU"/>
          <w14:ligatures w14:val="none"/>
        </w:rPr>
        <w:t>CO₂-e</w:t>
      </w:r>
      <w:r w:rsidRPr="0093695B">
        <w:t xml:space="preserve"> per </w:t>
      </w:r>
      <w:r w:rsidRPr="00B4087D">
        <w:t>declared unit</w:t>
      </w:r>
      <w:r>
        <w:t xml:space="preserve"> (</w:t>
      </w:r>
      <w:r w:rsidRPr="0093695B">
        <w:t>unit of analysis</w:t>
      </w:r>
      <w:r>
        <w:t>)</w:t>
      </w:r>
      <w:r w:rsidRPr="00B4087D">
        <w:t>, which is generally the unit of sale for that product type.</w:t>
      </w:r>
    </w:p>
    <w:p w14:paraId="4D09BB31" w14:textId="77777777" w:rsidR="00600B77" w:rsidRPr="002168BF" w:rsidRDefault="00600B77" w:rsidP="00600B77">
      <w:pPr>
        <w:shd w:val="clear" w:color="auto" w:fill="E8E8E8" w:themeFill="background2"/>
        <w:rPr>
          <w:rFonts w:ascii="Aptos Narrow" w:eastAsia="Times New Roman" w:hAnsi="Aptos Narrow" w:cs="Times New Roman"/>
          <w:b/>
          <w:bCs/>
          <w:color w:val="000000"/>
          <w:kern w:val="0"/>
          <w:lang w:eastAsia="en-AU"/>
          <w14:ligatures w14:val="none"/>
        </w:rPr>
      </w:pPr>
      <w:r w:rsidRPr="00DD180C">
        <w:rPr>
          <w:rFonts w:ascii="Aptos Narrow" w:eastAsia="Times New Roman" w:hAnsi="Aptos Narrow" w:cs="Times New Roman"/>
          <w:b/>
          <w:color w:val="000000"/>
          <w:kern w:val="0"/>
          <w:lang w:eastAsia="en-AU"/>
          <w14:ligatures w14:val="none"/>
        </w:rPr>
        <w:t>Table</w:t>
      </w:r>
      <w:r>
        <w:rPr>
          <w:rFonts w:ascii="Aptos Narrow" w:eastAsia="Times New Roman" w:hAnsi="Aptos Narrow" w:cs="Times New Roman"/>
          <w:b/>
          <w:color w:val="000000"/>
          <w:kern w:val="0"/>
          <w:lang w:eastAsia="en-AU"/>
          <w14:ligatures w14:val="none"/>
        </w:rPr>
        <w:t xml:space="preserve"> 10: Commonly used declared units for </w:t>
      </w:r>
      <w:r w:rsidRPr="007E3766">
        <w:rPr>
          <w:rFonts w:ascii="Aptos Narrow" w:eastAsia="Times New Roman" w:hAnsi="Aptos Narrow" w:cs="Times New Roman"/>
          <w:b/>
          <w:color w:val="000000"/>
          <w:kern w:val="0"/>
          <w:lang w:eastAsia="en-AU"/>
          <w14:ligatures w14:val="none"/>
        </w:rPr>
        <w:t>agricultural, forestry, fisheries and aquaculture</w:t>
      </w:r>
      <w:r>
        <w:rPr>
          <w:rFonts w:ascii="Aptos Narrow" w:eastAsia="Times New Roman" w:hAnsi="Aptos Narrow" w:cs="Times New Roman"/>
          <w:b/>
          <w:color w:val="000000"/>
          <w:kern w:val="0"/>
          <w:lang w:eastAsia="en-AU"/>
          <w14:ligatures w14:val="none"/>
        </w:rPr>
        <w:t xml:space="preserve"> commodities (cradle-to-gate unless otherwise specified)</w:t>
      </w:r>
    </w:p>
    <w:tbl>
      <w:tblPr>
        <w:tblStyle w:val="TableGrid"/>
        <w:tblW w:w="92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5812"/>
      </w:tblGrid>
      <w:tr w:rsidR="00600B77" w14:paraId="0FC8F8BA" w14:textId="77777777" w:rsidTr="00332556">
        <w:trPr>
          <w:tblHeader/>
        </w:trPr>
        <w:tc>
          <w:tcPr>
            <w:tcW w:w="3392" w:type="dxa"/>
          </w:tcPr>
          <w:p w14:paraId="095F2F2F" w14:textId="77777777" w:rsidR="00600B77" w:rsidRDefault="00600B77">
            <w:pPr>
              <w:shd w:val="clear" w:color="auto" w:fill="E8E8E8" w:themeFill="background2"/>
              <w:rPr>
                <w:b/>
                <w:bCs/>
              </w:rPr>
            </w:pPr>
            <w:r>
              <w:rPr>
                <w:b/>
                <w:bCs/>
              </w:rPr>
              <w:t>Commodity</w:t>
            </w:r>
          </w:p>
        </w:tc>
        <w:tc>
          <w:tcPr>
            <w:tcW w:w="5812" w:type="dxa"/>
          </w:tcPr>
          <w:p w14:paraId="23A1C32A" w14:textId="77777777" w:rsidR="00600B77" w:rsidRDefault="00600B77">
            <w:pPr>
              <w:shd w:val="clear" w:color="auto" w:fill="E8E8E8" w:themeFill="background2"/>
              <w:rPr>
                <w:b/>
                <w:bCs/>
              </w:rPr>
            </w:pPr>
            <w:r>
              <w:rPr>
                <w:b/>
                <w:bCs/>
              </w:rPr>
              <w:t>Declared unit</w:t>
            </w:r>
          </w:p>
        </w:tc>
      </w:tr>
      <w:tr w:rsidR="00600B77" w14:paraId="0A3E96F8" w14:textId="77777777">
        <w:tc>
          <w:tcPr>
            <w:tcW w:w="3392" w:type="dxa"/>
          </w:tcPr>
          <w:p w14:paraId="2BFAC293" w14:textId="77777777" w:rsidR="00600B77" w:rsidRPr="007A5E25" w:rsidRDefault="00600B77">
            <w:r w:rsidRPr="007A5E25">
              <w:t>Milk</w:t>
            </w:r>
          </w:p>
        </w:tc>
        <w:tc>
          <w:tcPr>
            <w:tcW w:w="5812" w:type="dxa"/>
          </w:tcPr>
          <w:p w14:paraId="4E07546C" w14:textId="77777777" w:rsidR="00600B77" w:rsidRDefault="00600B77">
            <w:pPr>
              <w:rPr>
                <w:b/>
                <w:bCs/>
              </w:rPr>
            </w:pPr>
            <w:r>
              <w:t>1kg fat-and-protein-corrected milk</w:t>
            </w:r>
          </w:p>
        </w:tc>
      </w:tr>
      <w:tr w:rsidR="00600B77" w14:paraId="459F2FBD" w14:textId="77777777">
        <w:tc>
          <w:tcPr>
            <w:tcW w:w="3392" w:type="dxa"/>
          </w:tcPr>
          <w:p w14:paraId="1E325281" w14:textId="77777777" w:rsidR="00600B77" w:rsidRPr="007A5E25" w:rsidRDefault="00600B77">
            <w:r w:rsidRPr="007A5E25">
              <w:t>Wool</w:t>
            </w:r>
          </w:p>
        </w:tc>
        <w:tc>
          <w:tcPr>
            <w:tcW w:w="5812" w:type="dxa"/>
          </w:tcPr>
          <w:p w14:paraId="0B93F15D" w14:textId="77777777" w:rsidR="00600B77" w:rsidRDefault="00600B77">
            <w:pPr>
              <w:rPr>
                <w:b/>
                <w:bCs/>
              </w:rPr>
            </w:pPr>
            <w:r>
              <w:t>1kg greasy wool</w:t>
            </w:r>
          </w:p>
        </w:tc>
      </w:tr>
      <w:tr w:rsidR="00600B77" w14:paraId="6420537D" w14:textId="77777777">
        <w:tc>
          <w:tcPr>
            <w:tcW w:w="3392" w:type="dxa"/>
          </w:tcPr>
          <w:p w14:paraId="06F72CEC" w14:textId="77777777" w:rsidR="00600B77" w:rsidRPr="0003215D" w:rsidRDefault="00600B77">
            <w:r w:rsidRPr="0003215D">
              <w:t xml:space="preserve">Pork </w:t>
            </w:r>
          </w:p>
        </w:tc>
        <w:tc>
          <w:tcPr>
            <w:tcW w:w="5812" w:type="dxa"/>
          </w:tcPr>
          <w:p w14:paraId="5383033E" w14:textId="77777777" w:rsidR="00600B77" w:rsidRPr="009A7607" w:rsidRDefault="00600B77">
            <w:r>
              <w:t xml:space="preserve">1kg </w:t>
            </w:r>
            <w:r w:rsidRPr="009A7607">
              <w:t>live weight</w:t>
            </w:r>
          </w:p>
        </w:tc>
      </w:tr>
      <w:tr w:rsidR="00600B77" w14:paraId="68D2EDB5" w14:textId="77777777">
        <w:tc>
          <w:tcPr>
            <w:tcW w:w="3392" w:type="dxa"/>
          </w:tcPr>
          <w:p w14:paraId="472FC6D0" w14:textId="77777777" w:rsidR="00600B77" w:rsidRPr="00302511" w:rsidRDefault="00600B77">
            <w:r w:rsidRPr="00302511">
              <w:t>Red meat</w:t>
            </w:r>
          </w:p>
        </w:tc>
        <w:tc>
          <w:tcPr>
            <w:tcW w:w="5812" w:type="dxa"/>
          </w:tcPr>
          <w:p w14:paraId="0EEB02B1" w14:textId="77777777" w:rsidR="00600B77" w:rsidRPr="00302511" w:rsidRDefault="00600B77">
            <w:r>
              <w:t>1kg</w:t>
            </w:r>
            <w:r w:rsidRPr="00302511">
              <w:t xml:space="preserve"> live weight</w:t>
            </w:r>
          </w:p>
        </w:tc>
      </w:tr>
      <w:tr w:rsidR="00600B77" w14:paraId="669F1610" w14:textId="77777777">
        <w:tc>
          <w:tcPr>
            <w:tcW w:w="3392" w:type="dxa"/>
          </w:tcPr>
          <w:p w14:paraId="7EF61570" w14:textId="77777777" w:rsidR="00600B77" w:rsidRPr="00302511" w:rsidRDefault="00600B77">
            <w:r>
              <w:t>Eggs</w:t>
            </w:r>
          </w:p>
        </w:tc>
        <w:tc>
          <w:tcPr>
            <w:tcW w:w="5812" w:type="dxa"/>
          </w:tcPr>
          <w:p w14:paraId="41A15DFA" w14:textId="77777777" w:rsidR="00600B77" w:rsidRPr="00EF1EEF" w:rsidRDefault="00600B77">
            <w:r w:rsidRPr="002168BF">
              <w:t xml:space="preserve">Per dozen eggs </w:t>
            </w:r>
            <w:r>
              <w:t>or 1kg eggs</w:t>
            </w:r>
          </w:p>
        </w:tc>
      </w:tr>
      <w:tr w:rsidR="00600B77" w14:paraId="1750BA2C" w14:textId="77777777">
        <w:tc>
          <w:tcPr>
            <w:tcW w:w="3392" w:type="dxa"/>
          </w:tcPr>
          <w:p w14:paraId="001E4047" w14:textId="77777777" w:rsidR="00600B77" w:rsidRPr="00302511" w:rsidRDefault="00600B77">
            <w:r>
              <w:t>Grains</w:t>
            </w:r>
          </w:p>
        </w:tc>
        <w:tc>
          <w:tcPr>
            <w:tcW w:w="5812" w:type="dxa"/>
          </w:tcPr>
          <w:p w14:paraId="23949CD1" w14:textId="77777777" w:rsidR="00600B77" w:rsidRPr="00302511" w:rsidDel="0097787A" w:rsidRDefault="00600B77">
            <w:r>
              <w:t>1kg grain</w:t>
            </w:r>
          </w:p>
        </w:tc>
      </w:tr>
      <w:tr w:rsidR="00600B77" w14:paraId="29B429F8" w14:textId="77777777">
        <w:tc>
          <w:tcPr>
            <w:tcW w:w="3392" w:type="dxa"/>
          </w:tcPr>
          <w:p w14:paraId="0F02ED59" w14:textId="77777777" w:rsidR="00600B77" w:rsidRPr="00302511" w:rsidRDefault="00600B77">
            <w:pPr>
              <w:tabs>
                <w:tab w:val="left" w:pos="1665"/>
              </w:tabs>
            </w:pPr>
            <w:r>
              <w:t>Cotton</w:t>
            </w:r>
            <w:r>
              <w:tab/>
            </w:r>
          </w:p>
        </w:tc>
        <w:tc>
          <w:tcPr>
            <w:tcW w:w="5812" w:type="dxa"/>
          </w:tcPr>
          <w:p w14:paraId="7E582E1E" w14:textId="5C16A40A" w:rsidR="00600B77" w:rsidRDefault="00600B77">
            <w:r>
              <w:t>1kg seed cotton (cradle-to-gate</w:t>
            </w:r>
          </w:p>
          <w:p w14:paraId="17EE3D58" w14:textId="77777777" w:rsidR="00600B77" w:rsidRPr="00302511" w:rsidDel="0097787A" w:rsidRDefault="00600B77">
            <w:r>
              <w:t>kg cotton lint and kg seed (cradle-to-factory gate)</w:t>
            </w:r>
          </w:p>
        </w:tc>
      </w:tr>
      <w:tr w:rsidR="00600B77" w14:paraId="7DD3F9CA" w14:textId="77777777">
        <w:tc>
          <w:tcPr>
            <w:tcW w:w="3392" w:type="dxa"/>
          </w:tcPr>
          <w:p w14:paraId="7FBAD021" w14:textId="77777777" w:rsidR="00600B77" w:rsidRDefault="00600B77">
            <w:pPr>
              <w:tabs>
                <w:tab w:val="left" w:pos="1665"/>
              </w:tabs>
            </w:pPr>
            <w:r>
              <w:t>Sugarcane</w:t>
            </w:r>
          </w:p>
        </w:tc>
        <w:tc>
          <w:tcPr>
            <w:tcW w:w="5812" w:type="dxa"/>
          </w:tcPr>
          <w:p w14:paraId="3CCF754E" w14:textId="51C6C6D4" w:rsidR="00600B77" w:rsidRDefault="00600B77">
            <w:r>
              <w:t>1 tonne harvested sugarcane</w:t>
            </w:r>
          </w:p>
        </w:tc>
      </w:tr>
      <w:tr w:rsidR="00600B77" w14:paraId="4900AC2E" w14:textId="77777777">
        <w:tc>
          <w:tcPr>
            <w:tcW w:w="3392" w:type="dxa"/>
          </w:tcPr>
          <w:p w14:paraId="4822AD06" w14:textId="77777777" w:rsidR="00600B77" w:rsidRDefault="00600B77">
            <w:pPr>
              <w:tabs>
                <w:tab w:val="left" w:pos="1665"/>
              </w:tabs>
            </w:pPr>
            <w:r>
              <w:t>Rice</w:t>
            </w:r>
          </w:p>
        </w:tc>
        <w:tc>
          <w:tcPr>
            <w:tcW w:w="5812" w:type="dxa"/>
          </w:tcPr>
          <w:p w14:paraId="755495B8" w14:textId="77777777" w:rsidR="00600B77" w:rsidRDefault="00600B77">
            <w:r>
              <w:t>1kg paddy rice</w:t>
            </w:r>
          </w:p>
        </w:tc>
      </w:tr>
      <w:tr w:rsidR="00600B77" w14:paraId="47FE0E53" w14:textId="77777777">
        <w:tc>
          <w:tcPr>
            <w:tcW w:w="3392" w:type="dxa"/>
          </w:tcPr>
          <w:p w14:paraId="39DA2FC3" w14:textId="77777777" w:rsidR="00600B77" w:rsidRDefault="00600B77">
            <w:pPr>
              <w:tabs>
                <w:tab w:val="left" w:pos="1665"/>
              </w:tabs>
            </w:pPr>
            <w:r>
              <w:t>Vegetables</w:t>
            </w:r>
          </w:p>
        </w:tc>
        <w:tc>
          <w:tcPr>
            <w:tcW w:w="5812" w:type="dxa"/>
          </w:tcPr>
          <w:p w14:paraId="02671786" w14:textId="77777777" w:rsidR="00600B77" w:rsidRDefault="00600B77">
            <w:r>
              <w:t>1kg</w:t>
            </w:r>
            <w:r w:rsidDel="00537E99">
              <w:t xml:space="preserve"> </w:t>
            </w:r>
            <w:r>
              <w:t>fresh produce and/or $1 revenue generated</w:t>
            </w:r>
          </w:p>
        </w:tc>
      </w:tr>
      <w:tr w:rsidR="00600B77" w14:paraId="12268B76" w14:textId="77777777">
        <w:tc>
          <w:tcPr>
            <w:tcW w:w="3392" w:type="dxa"/>
          </w:tcPr>
          <w:p w14:paraId="78786B28" w14:textId="461CA979" w:rsidR="00600B77" w:rsidRDefault="00600B77">
            <w:pPr>
              <w:tabs>
                <w:tab w:val="left" w:pos="1665"/>
              </w:tabs>
            </w:pPr>
            <w:r>
              <w:t xml:space="preserve">Fruit </w:t>
            </w:r>
          </w:p>
        </w:tc>
        <w:tc>
          <w:tcPr>
            <w:tcW w:w="5812" w:type="dxa"/>
          </w:tcPr>
          <w:p w14:paraId="3EB3C8AE" w14:textId="2748DD79" w:rsidR="00600B77" w:rsidRDefault="00600B77">
            <w:r>
              <w:t>1kg</w:t>
            </w:r>
            <w:r w:rsidDel="00537E99">
              <w:t xml:space="preserve"> </w:t>
            </w:r>
            <w:r>
              <w:t xml:space="preserve">fresh produce and/or $1 revenue generated </w:t>
            </w:r>
          </w:p>
        </w:tc>
      </w:tr>
      <w:tr w:rsidR="009B051D" w14:paraId="1AD17B29" w14:textId="77777777">
        <w:tc>
          <w:tcPr>
            <w:tcW w:w="3392" w:type="dxa"/>
          </w:tcPr>
          <w:p w14:paraId="7CC0D8D4" w14:textId="4971D78D" w:rsidR="009B051D" w:rsidRDefault="009B051D">
            <w:pPr>
              <w:tabs>
                <w:tab w:val="left" w:pos="1665"/>
              </w:tabs>
            </w:pPr>
            <w:r>
              <w:t>Nuts</w:t>
            </w:r>
          </w:p>
        </w:tc>
        <w:tc>
          <w:tcPr>
            <w:tcW w:w="5812" w:type="dxa"/>
          </w:tcPr>
          <w:p w14:paraId="0D4B3F8B" w14:textId="22EF3FAE" w:rsidR="009B051D" w:rsidRDefault="008D6467">
            <w:r>
              <w:t>1kg</w:t>
            </w:r>
            <w:r w:rsidDel="00537E99">
              <w:t xml:space="preserve"> </w:t>
            </w:r>
            <w:r>
              <w:t xml:space="preserve">fresh produce (hulled or unhulled) and/or $1 revenue generated </w:t>
            </w:r>
          </w:p>
        </w:tc>
      </w:tr>
      <w:tr w:rsidR="00600B77" w14:paraId="24EF32FA" w14:textId="77777777">
        <w:tc>
          <w:tcPr>
            <w:tcW w:w="3392" w:type="dxa"/>
          </w:tcPr>
          <w:p w14:paraId="6BC0F5F2" w14:textId="77777777" w:rsidR="00600B77" w:rsidRDefault="00600B77">
            <w:pPr>
              <w:tabs>
                <w:tab w:val="left" w:pos="1665"/>
              </w:tabs>
            </w:pPr>
            <w:r>
              <w:t>Vine fruit (table grapes, kiwi fruit &amp; passionfruit)</w:t>
            </w:r>
          </w:p>
        </w:tc>
        <w:tc>
          <w:tcPr>
            <w:tcW w:w="5812" w:type="dxa"/>
          </w:tcPr>
          <w:p w14:paraId="64A83B13" w14:textId="77777777" w:rsidR="00600B77" w:rsidRPr="0004640E" w:rsidRDefault="00600B77">
            <w:r>
              <w:t>1kg</w:t>
            </w:r>
            <w:r w:rsidDel="00537E99">
              <w:t xml:space="preserve"> </w:t>
            </w:r>
            <w:r>
              <w:t xml:space="preserve">fresh fruit and/or $1 revenue generated </w:t>
            </w:r>
          </w:p>
        </w:tc>
      </w:tr>
      <w:tr w:rsidR="00600B77" w14:paraId="5963CBAF" w14:textId="77777777">
        <w:tc>
          <w:tcPr>
            <w:tcW w:w="3392" w:type="dxa"/>
          </w:tcPr>
          <w:p w14:paraId="078369F4" w14:textId="77777777" w:rsidR="00600B77" w:rsidRDefault="00600B77">
            <w:pPr>
              <w:tabs>
                <w:tab w:val="left" w:pos="1665"/>
              </w:tabs>
            </w:pPr>
            <w:r>
              <w:t>Wine grapes</w:t>
            </w:r>
          </w:p>
        </w:tc>
        <w:tc>
          <w:tcPr>
            <w:tcW w:w="5812" w:type="dxa"/>
          </w:tcPr>
          <w:p w14:paraId="578473E8" w14:textId="77777777" w:rsidR="00600B77" w:rsidRDefault="00600B77">
            <w:r>
              <w:t>1 kg grape (cradle-to-gate)</w:t>
            </w:r>
          </w:p>
          <w:p w14:paraId="0F5F62F3" w14:textId="77777777" w:rsidR="00600B77" w:rsidRPr="0004640E" w:rsidRDefault="00600B77">
            <w:r>
              <w:t>1 ML wine produced and packaged (cradle to factory gate)</w:t>
            </w:r>
          </w:p>
        </w:tc>
      </w:tr>
      <w:tr w:rsidR="00600B77" w14:paraId="6A0CF04E" w14:textId="77777777">
        <w:tc>
          <w:tcPr>
            <w:tcW w:w="3392" w:type="dxa"/>
          </w:tcPr>
          <w:p w14:paraId="6489D662" w14:textId="77777777" w:rsidR="00600B77" w:rsidRDefault="00600B77">
            <w:pPr>
              <w:tabs>
                <w:tab w:val="left" w:pos="1665"/>
              </w:tabs>
            </w:pPr>
            <w:r>
              <w:t>Buffalo industry</w:t>
            </w:r>
          </w:p>
        </w:tc>
        <w:tc>
          <w:tcPr>
            <w:tcW w:w="5812" w:type="dxa"/>
          </w:tcPr>
          <w:p w14:paraId="16F25754" w14:textId="77777777" w:rsidR="00600B77" w:rsidRPr="00076C37" w:rsidRDefault="00600B77">
            <w:r>
              <w:t xml:space="preserve">1 head sent to slaughter &amp; export </w:t>
            </w:r>
            <w:r w:rsidRPr="00FF5A7F">
              <w:t>and</w:t>
            </w:r>
            <w:r>
              <w:rPr>
                <w:b/>
                <w:bCs/>
              </w:rPr>
              <w:t xml:space="preserve"> </w:t>
            </w:r>
            <w:r>
              <w:t>1kg fat-and-protein-corrected milk</w:t>
            </w:r>
          </w:p>
        </w:tc>
      </w:tr>
      <w:tr w:rsidR="00600B77" w14:paraId="12B1732F" w14:textId="77777777">
        <w:tc>
          <w:tcPr>
            <w:tcW w:w="3392" w:type="dxa"/>
          </w:tcPr>
          <w:p w14:paraId="0D6BC26C" w14:textId="77777777" w:rsidR="00600B77" w:rsidRDefault="00600B77">
            <w:pPr>
              <w:tabs>
                <w:tab w:val="left" w:pos="1665"/>
              </w:tabs>
            </w:pPr>
            <w:r>
              <w:t>Deer meat</w:t>
            </w:r>
          </w:p>
        </w:tc>
        <w:tc>
          <w:tcPr>
            <w:tcW w:w="5812" w:type="dxa"/>
          </w:tcPr>
          <w:p w14:paraId="7A0E53CA" w14:textId="77777777" w:rsidR="00600B77" w:rsidRDefault="00600B77">
            <w:r>
              <w:t xml:space="preserve">1 head sent to slaughter &amp; export </w:t>
            </w:r>
            <w:r w:rsidRPr="00C24D2E">
              <w:t>and</w:t>
            </w:r>
            <w:r>
              <w:t xml:space="preserve"> 1kg velvet antler produced in the reporting year</w:t>
            </w:r>
          </w:p>
        </w:tc>
      </w:tr>
      <w:tr w:rsidR="00600B77" w14:paraId="7E34A7D4" w14:textId="77777777">
        <w:tc>
          <w:tcPr>
            <w:tcW w:w="3392" w:type="dxa"/>
          </w:tcPr>
          <w:p w14:paraId="3C9C7CDC" w14:textId="77777777" w:rsidR="00600B77" w:rsidRPr="0054468A" w:rsidRDefault="00600B77">
            <w:pPr>
              <w:tabs>
                <w:tab w:val="left" w:pos="1665"/>
              </w:tabs>
            </w:pPr>
            <w:r w:rsidRPr="0054468A">
              <w:t>Finfish</w:t>
            </w:r>
            <w:r w:rsidRPr="0054468A">
              <w:rPr>
                <w:rStyle w:val="FootnoteReference"/>
              </w:rPr>
              <w:footnoteReference w:id="11"/>
            </w:r>
            <w:r w:rsidRPr="0054468A">
              <w:t xml:space="preserve"> </w:t>
            </w:r>
          </w:p>
        </w:tc>
        <w:tc>
          <w:tcPr>
            <w:tcW w:w="5812" w:type="dxa"/>
          </w:tcPr>
          <w:p w14:paraId="5A6ED2E5" w14:textId="77777777" w:rsidR="00600B77" w:rsidRPr="0054468A" w:rsidRDefault="00600B77">
            <w:r w:rsidRPr="0054468A">
              <w:t>1 kg weight harvested -</w:t>
            </w:r>
            <w:r>
              <w:t xml:space="preserve"> </w:t>
            </w:r>
            <w:r w:rsidRPr="0054468A">
              <w:t>whole</w:t>
            </w:r>
          </w:p>
          <w:p w14:paraId="689D8643" w14:textId="77777777" w:rsidR="00600B77" w:rsidRPr="0054468A" w:rsidRDefault="00600B77">
            <w:r w:rsidRPr="0054468A">
              <w:t>1 kg fillet (boneless)</w:t>
            </w:r>
            <w:r w:rsidRPr="0054468A" w:rsidDel="00593F65">
              <w:t xml:space="preserve"> </w:t>
            </w:r>
          </w:p>
        </w:tc>
      </w:tr>
      <w:tr w:rsidR="00600B77" w14:paraId="3C7B70F8" w14:textId="77777777">
        <w:tc>
          <w:tcPr>
            <w:tcW w:w="3392" w:type="dxa"/>
          </w:tcPr>
          <w:p w14:paraId="45177B02" w14:textId="77777777" w:rsidR="00600B77" w:rsidRDefault="00600B77">
            <w:pPr>
              <w:tabs>
                <w:tab w:val="left" w:pos="1665"/>
              </w:tabs>
            </w:pPr>
            <w:r>
              <w:t xml:space="preserve">Oysters </w:t>
            </w:r>
          </w:p>
        </w:tc>
        <w:tc>
          <w:tcPr>
            <w:tcW w:w="5812" w:type="dxa"/>
          </w:tcPr>
          <w:p w14:paraId="30D6D378" w14:textId="77777777" w:rsidR="00600B77" w:rsidRDefault="00600B77">
            <w:r>
              <w:t>Per dozen or 1kg liveweight</w:t>
            </w:r>
          </w:p>
        </w:tc>
      </w:tr>
      <w:tr w:rsidR="00600B77" w14:paraId="48AE72BF" w14:textId="77777777">
        <w:tc>
          <w:tcPr>
            <w:tcW w:w="3392" w:type="dxa"/>
          </w:tcPr>
          <w:p w14:paraId="66A9B3C8" w14:textId="77777777" w:rsidR="00600B77" w:rsidRDefault="00600B77">
            <w:pPr>
              <w:tabs>
                <w:tab w:val="left" w:pos="1665"/>
              </w:tabs>
            </w:pPr>
            <w:r>
              <w:t>Other Shellfish</w:t>
            </w:r>
          </w:p>
        </w:tc>
        <w:tc>
          <w:tcPr>
            <w:tcW w:w="5812" w:type="dxa"/>
          </w:tcPr>
          <w:p w14:paraId="1762E9C2" w14:textId="77777777" w:rsidR="00600B77" w:rsidRPr="003D0427" w:rsidRDefault="00600B77">
            <w:r w:rsidRPr="003D579B">
              <w:t>1kg pre-package weight</w:t>
            </w:r>
          </w:p>
        </w:tc>
      </w:tr>
      <w:tr w:rsidR="00600B77" w14:paraId="0D994A48" w14:textId="77777777">
        <w:tc>
          <w:tcPr>
            <w:tcW w:w="3392" w:type="dxa"/>
          </w:tcPr>
          <w:p w14:paraId="6774D6DC" w14:textId="77777777" w:rsidR="00600B77" w:rsidRPr="00EF1EEF" w:rsidRDefault="00600B77">
            <w:pPr>
              <w:tabs>
                <w:tab w:val="left" w:pos="1665"/>
              </w:tabs>
            </w:pPr>
            <w:r w:rsidRPr="002168BF">
              <w:t>Crustaceans (prawns, crabs)</w:t>
            </w:r>
          </w:p>
        </w:tc>
        <w:tc>
          <w:tcPr>
            <w:tcW w:w="5812" w:type="dxa"/>
          </w:tcPr>
          <w:p w14:paraId="0863AF16" w14:textId="77777777" w:rsidR="00600B77" w:rsidRDefault="00600B77">
            <w:r w:rsidRPr="002168BF">
              <w:t xml:space="preserve">Per kg </w:t>
            </w:r>
            <w:r>
              <w:t>liveweight (cradle to gate)</w:t>
            </w:r>
          </w:p>
          <w:p w14:paraId="73408773" w14:textId="77777777" w:rsidR="00600B77" w:rsidRDefault="00600B77">
            <w:r>
              <w:t xml:space="preserve">per kg </w:t>
            </w:r>
            <w:r w:rsidRPr="002168BF">
              <w:t>of peeled or processed meat</w:t>
            </w:r>
            <w:r>
              <w:t xml:space="preserve"> (cradle-to- factory-gate))</w:t>
            </w:r>
          </w:p>
        </w:tc>
      </w:tr>
      <w:tr w:rsidR="00600B77" w14:paraId="1DE4E951" w14:textId="77777777">
        <w:tc>
          <w:tcPr>
            <w:tcW w:w="3392" w:type="dxa"/>
          </w:tcPr>
          <w:p w14:paraId="4CC3573D" w14:textId="77777777" w:rsidR="00600B77" w:rsidRPr="00EF1EEF" w:rsidRDefault="00600B77">
            <w:pPr>
              <w:tabs>
                <w:tab w:val="left" w:pos="1665"/>
              </w:tabs>
            </w:pPr>
            <w:r>
              <w:t>S</w:t>
            </w:r>
            <w:r w:rsidRPr="002168BF">
              <w:t>awlogs</w:t>
            </w:r>
            <w:r>
              <w:t xml:space="preserve">  </w:t>
            </w:r>
          </w:p>
        </w:tc>
        <w:tc>
          <w:tcPr>
            <w:tcW w:w="5812" w:type="dxa"/>
          </w:tcPr>
          <w:p w14:paraId="7CF6AA01" w14:textId="77777777" w:rsidR="00600B77" w:rsidRPr="00EF1EEF" w:rsidRDefault="00600B77">
            <w:r w:rsidRPr="002168BF">
              <w:t>Per cubic metre (m³)</w:t>
            </w:r>
          </w:p>
        </w:tc>
      </w:tr>
    </w:tbl>
    <w:p w14:paraId="20023528" w14:textId="77777777" w:rsidR="00C120AB" w:rsidRDefault="00C120AB" w:rsidP="00712A45"/>
    <w:tbl>
      <w:tblPr>
        <w:tblStyle w:val="TableGrid"/>
        <w:tblW w:w="9351" w:type="dxa"/>
        <w:tblInd w:w="0" w:type="dxa"/>
        <w:tblBorders>
          <w:top w:val="single" w:sz="4" w:space="0" w:color="auto"/>
          <w:left w:val="single" w:sz="4" w:space="0" w:color="auto"/>
          <w:bottom w:val="single" w:sz="4" w:space="0" w:color="auto"/>
          <w:right w:val="single" w:sz="4" w:space="0" w:color="auto"/>
        </w:tblBorders>
        <w:shd w:val="clear" w:color="auto" w:fill="D9F2D0" w:themeFill="accent6" w:themeFillTint="33"/>
        <w:tblLook w:val="04A0" w:firstRow="1" w:lastRow="0" w:firstColumn="1" w:lastColumn="0" w:noHBand="0" w:noVBand="1"/>
      </w:tblPr>
      <w:tblGrid>
        <w:gridCol w:w="9351"/>
      </w:tblGrid>
      <w:tr w:rsidR="00712A45" w14:paraId="1FF0C6A1" w14:textId="77777777" w:rsidTr="008A4164">
        <w:tc>
          <w:tcPr>
            <w:tcW w:w="9351" w:type="dxa"/>
            <w:shd w:val="clear" w:color="auto" w:fill="D9F2D0" w:themeFill="accent6" w:themeFillTint="33"/>
          </w:tcPr>
          <w:p w14:paraId="172EC110" w14:textId="66B47767" w:rsidR="00712A45" w:rsidRDefault="00712A45" w:rsidP="00712A45">
            <w:pPr>
              <w:pStyle w:val="paragraph"/>
              <w:pBdr>
                <w:top w:val="single" w:sz="4" w:space="1" w:color="000000"/>
                <w:left w:val="single" w:sz="4" w:space="4" w:color="000000"/>
                <w:right w:val="single" w:sz="4" w:space="4" w:color="000000"/>
              </w:pBdr>
              <w:shd w:val="clear" w:color="auto" w:fill="D9F2D0"/>
              <w:spacing w:before="0" w:beforeAutospacing="0" w:after="0" w:afterAutospacing="0"/>
              <w:textAlignment w:val="baseline"/>
              <w:rPr>
                <w:rFonts w:ascii="Segoe UI" w:hAnsi="Segoe UI" w:cs="Segoe UI"/>
                <w:sz w:val="18"/>
                <w:szCs w:val="18"/>
              </w:rPr>
            </w:pPr>
            <w:r>
              <w:rPr>
                <w:rStyle w:val="normaltextrun"/>
                <w:rFonts w:ascii="Aptos" w:eastAsiaTheme="majorEastAsia" w:hAnsi="Aptos" w:cs="Segoe UI"/>
                <w:b/>
                <w:bCs/>
                <w:sz w:val="22"/>
                <w:szCs w:val="22"/>
              </w:rPr>
              <w:t>Questio</w:t>
            </w:r>
            <w:r w:rsidR="009F4996">
              <w:rPr>
                <w:rStyle w:val="normaltextrun"/>
                <w:rFonts w:ascii="Aptos" w:eastAsiaTheme="majorEastAsia" w:hAnsi="Aptos" w:cs="Segoe UI"/>
                <w:b/>
                <w:bCs/>
                <w:sz w:val="22"/>
                <w:szCs w:val="22"/>
              </w:rPr>
              <w:t xml:space="preserve">ns: </w:t>
            </w:r>
            <w:r>
              <w:rPr>
                <w:rStyle w:val="normaltextrun"/>
                <w:rFonts w:ascii="Aptos" w:eastAsiaTheme="majorEastAsia" w:hAnsi="Aptos" w:cs="Segoe UI"/>
                <w:b/>
                <w:bCs/>
                <w:sz w:val="22"/>
                <w:szCs w:val="22"/>
              </w:rPr>
              <w:t>Declared unit</w:t>
            </w:r>
            <w:r>
              <w:rPr>
                <w:rStyle w:val="eop"/>
                <w:rFonts w:ascii="Aptos" w:eastAsiaTheme="majorEastAsia" w:hAnsi="Aptos" w:cs="Segoe UI"/>
                <w:sz w:val="22"/>
                <w:szCs w:val="22"/>
                <w:bdr w:val="none" w:sz="0" w:space="0" w:color="auto" w:frame="1"/>
                <w:shd w:val="clear" w:color="auto" w:fill="C6C6C6"/>
              </w:rPr>
              <w:t> </w:t>
            </w:r>
          </w:p>
          <w:p w14:paraId="77B13F6D" w14:textId="70A97020" w:rsidR="00712A45" w:rsidRDefault="00712A45" w:rsidP="00712A45">
            <w:pPr>
              <w:pStyle w:val="paragraph"/>
              <w:pBdr>
                <w:left w:val="single" w:sz="4" w:space="4" w:color="000000"/>
                <w:right w:val="single" w:sz="4" w:space="4" w:color="000000"/>
              </w:pBdr>
              <w:shd w:val="clear" w:color="auto" w:fill="D9F2D0"/>
              <w:spacing w:before="0" w:beforeAutospacing="0" w:after="0" w:afterAutospacing="0"/>
              <w:textAlignment w:val="baseline"/>
              <w:rPr>
                <w:rStyle w:val="eop"/>
                <w:rFonts w:ascii="Aptos" w:eastAsiaTheme="majorEastAsia" w:hAnsi="Aptos" w:cs="Segoe UI"/>
                <w:sz w:val="22"/>
                <w:szCs w:val="22"/>
                <w:bdr w:val="none" w:sz="0" w:space="0" w:color="auto" w:frame="1"/>
                <w:shd w:val="clear" w:color="auto" w:fill="C6C6C6"/>
              </w:rPr>
            </w:pPr>
            <w:r>
              <w:rPr>
                <w:rStyle w:val="normaltextrun"/>
                <w:rFonts w:ascii="Aptos" w:eastAsiaTheme="majorEastAsia" w:hAnsi="Aptos" w:cs="Segoe UI"/>
                <w:sz w:val="22"/>
                <w:szCs w:val="22"/>
              </w:rPr>
              <w:t xml:space="preserve">Table 10 lists potential declared units for key </w:t>
            </w:r>
            <w:r w:rsidR="008A4164">
              <w:rPr>
                <w:rStyle w:val="normaltextrun"/>
                <w:rFonts w:ascii="Aptos" w:eastAsiaTheme="majorEastAsia" w:hAnsi="Aptos" w:cs="Segoe UI"/>
                <w:sz w:val="22"/>
                <w:szCs w:val="22"/>
              </w:rPr>
              <w:t xml:space="preserve">AFF </w:t>
            </w:r>
            <w:r>
              <w:rPr>
                <w:rStyle w:val="normaltextrun"/>
                <w:rFonts w:ascii="Aptos" w:eastAsiaTheme="majorEastAsia" w:hAnsi="Aptos" w:cs="Segoe UI"/>
                <w:sz w:val="22"/>
                <w:szCs w:val="22"/>
              </w:rPr>
              <w:t>commodities when reporting cradle-to-gate emissions intensities. </w:t>
            </w:r>
          </w:p>
          <w:p w14:paraId="3C2EE9E3" w14:textId="77777777" w:rsidR="00712A45" w:rsidRDefault="00712A45" w:rsidP="00712A45">
            <w:pPr>
              <w:pStyle w:val="paragraph"/>
              <w:pBdr>
                <w:left w:val="single" w:sz="4" w:space="4" w:color="000000"/>
                <w:right w:val="single" w:sz="4" w:space="4" w:color="000000"/>
              </w:pBdr>
              <w:shd w:val="clear" w:color="auto" w:fill="D9F2D0"/>
              <w:spacing w:before="0" w:beforeAutospacing="0" w:after="0" w:afterAutospacing="0"/>
              <w:textAlignment w:val="baseline"/>
              <w:rPr>
                <w:rFonts w:ascii="Segoe UI" w:hAnsi="Segoe UI" w:cs="Segoe UI"/>
                <w:sz w:val="18"/>
                <w:szCs w:val="18"/>
              </w:rPr>
            </w:pPr>
          </w:p>
          <w:p w14:paraId="6FF0D75F" w14:textId="608BAB51" w:rsidR="009839A3" w:rsidRDefault="009F4996" w:rsidP="009839A3">
            <w:pPr>
              <w:pStyle w:val="paragraph"/>
              <w:pBdr>
                <w:left w:val="single" w:sz="4" w:space="4" w:color="000000"/>
                <w:right w:val="single" w:sz="4" w:space="4" w:color="000000"/>
              </w:pBdr>
              <w:shd w:val="clear" w:color="auto" w:fill="D9F2D0"/>
              <w:spacing w:before="0" w:beforeAutospacing="0" w:after="0" w:afterAutospacing="0"/>
              <w:ind w:left="420" w:hanging="420"/>
              <w:textAlignment w:val="baseline"/>
              <w:rPr>
                <w:rStyle w:val="normaltextrun"/>
                <w:rFonts w:ascii="Aptos" w:eastAsiaTheme="majorEastAsia" w:hAnsi="Aptos" w:cs="Segoe UI"/>
                <w:sz w:val="22"/>
                <w:szCs w:val="22"/>
              </w:rPr>
            </w:pPr>
            <w:r>
              <w:rPr>
                <w:rStyle w:val="normaltextrun"/>
                <w:rFonts w:ascii="Aptos" w:eastAsiaTheme="majorEastAsia" w:hAnsi="Aptos" w:cs="Segoe UI"/>
                <w:b/>
                <w:bCs/>
                <w:sz w:val="22"/>
                <w:szCs w:val="22"/>
              </w:rPr>
              <w:t>10D</w:t>
            </w:r>
            <w:r w:rsidR="009839A3">
              <w:rPr>
                <w:rStyle w:val="normaltextrun"/>
                <w:rFonts w:ascii="Aptos" w:eastAsiaTheme="majorEastAsia" w:hAnsi="Aptos" w:cs="Segoe UI"/>
                <w:sz w:val="22"/>
                <w:szCs w:val="22"/>
              </w:rPr>
              <w:t xml:space="preserve"> </w:t>
            </w:r>
            <w:r w:rsidR="00712A45">
              <w:rPr>
                <w:rStyle w:val="normaltextrun"/>
                <w:rFonts w:ascii="Aptos" w:eastAsiaTheme="majorEastAsia" w:hAnsi="Aptos" w:cs="Segoe UI"/>
                <w:sz w:val="22"/>
                <w:szCs w:val="22"/>
              </w:rPr>
              <w:t>Are the proposed declared unit in Table 10 appropriate for a cradle-to-gate system boundary?</w:t>
            </w:r>
          </w:p>
          <w:p w14:paraId="0E70FEEF" w14:textId="32BB2030" w:rsidR="00712A45" w:rsidRPr="0099118E" w:rsidRDefault="009F4996" w:rsidP="0099118E">
            <w:pPr>
              <w:pStyle w:val="paragraph"/>
              <w:pBdr>
                <w:left w:val="single" w:sz="4" w:space="4" w:color="000000"/>
                <w:right w:val="single" w:sz="4" w:space="4" w:color="000000"/>
              </w:pBdr>
              <w:shd w:val="clear" w:color="auto" w:fill="D9F2D0"/>
              <w:spacing w:before="0" w:beforeAutospacing="0" w:after="0" w:afterAutospacing="0"/>
              <w:ind w:left="420" w:hanging="420"/>
              <w:textAlignment w:val="baseline"/>
              <w:rPr>
                <w:rFonts w:ascii="Aptos" w:eastAsiaTheme="majorEastAsia" w:hAnsi="Aptos"/>
                <w:sz w:val="22"/>
                <w:szCs w:val="22"/>
              </w:rPr>
            </w:pPr>
            <w:r w:rsidRPr="009F4996">
              <w:rPr>
                <w:rStyle w:val="normaltextrun"/>
                <w:rFonts w:ascii="Aptos" w:eastAsiaTheme="majorEastAsia" w:hAnsi="Aptos" w:cs="Segoe UI"/>
                <w:b/>
                <w:bCs/>
                <w:sz w:val="22"/>
                <w:szCs w:val="22"/>
              </w:rPr>
              <w:t xml:space="preserve">10E </w:t>
            </w:r>
            <w:r w:rsidR="00712A45">
              <w:rPr>
                <w:rStyle w:val="normaltextrun"/>
                <w:rFonts w:ascii="Aptos" w:eastAsiaTheme="majorEastAsia" w:hAnsi="Aptos" w:cs="Segoe UI"/>
                <w:sz w:val="22"/>
                <w:szCs w:val="22"/>
              </w:rPr>
              <w:t>Are there other standard units commonly used for cradle-to-factory-gate</w:t>
            </w:r>
            <w:r w:rsidR="009839A3">
              <w:rPr>
                <w:rStyle w:val="normaltextrun"/>
                <w:rFonts w:ascii="Aptos" w:eastAsiaTheme="majorEastAsia" w:hAnsi="Aptos" w:cs="Segoe UI"/>
                <w:sz w:val="22"/>
                <w:szCs w:val="22"/>
              </w:rPr>
              <w:t xml:space="preserve"> </w:t>
            </w:r>
            <w:r w:rsidR="009839A3" w:rsidRPr="009839A3">
              <w:rPr>
                <w:rStyle w:val="normaltextrun"/>
                <w:rFonts w:ascii="Aptos" w:eastAsiaTheme="majorEastAsia" w:hAnsi="Aptos" w:cs="Segoe UI"/>
                <w:sz w:val="22"/>
                <w:szCs w:val="22"/>
              </w:rPr>
              <w:t xml:space="preserve">or cradle-to-distribution-gate </w:t>
            </w:r>
            <w:r w:rsidR="00712A45">
              <w:rPr>
                <w:rStyle w:val="normaltextrun"/>
                <w:rFonts w:ascii="Aptos" w:eastAsiaTheme="majorEastAsia" w:hAnsi="Aptos" w:cs="Segoe UI"/>
                <w:sz w:val="22"/>
                <w:szCs w:val="22"/>
              </w:rPr>
              <w:t>that should be consider</w:t>
            </w:r>
            <w:r w:rsidR="009839A3">
              <w:rPr>
                <w:rStyle w:val="normaltextrun"/>
                <w:rFonts w:ascii="Aptos" w:eastAsiaTheme="majorEastAsia" w:hAnsi="Aptos" w:cs="Segoe UI"/>
                <w:sz w:val="22"/>
                <w:szCs w:val="22"/>
              </w:rPr>
              <w:t xml:space="preserve">ed </w:t>
            </w:r>
            <w:r w:rsidR="00712A45">
              <w:rPr>
                <w:rStyle w:val="normaltextrun"/>
                <w:rFonts w:ascii="Aptos" w:eastAsiaTheme="majorEastAsia" w:hAnsi="Aptos" w:cs="Segoe UI"/>
                <w:sz w:val="22"/>
                <w:szCs w:val="22"/>
              </w:rPr>
              <w:t>for inclusion?</w:t>
            </w:r>
            <w:r w:rsidR="00712A45" w:rsidRPr="009839A3">
              <w:rPr>
                <w:rStyle w:val="normaltextrun"/>
                <w:rFonts w:eastAsiaTheme="majorEastAsia"/>
              </w:rPr>
              <w:t> </w:t>
            </w:r>
          </w:p>
        </w:tc>
      </w:tr>
    </w:tbl>
    <w:p w14:paraId="7634367F" w14:textId="424D0694" w:rsidR="00600B77" w:rsidRDefault="00776ED3" w:rsidP="005B37E2">
      <w:pPr>
        <w:pStyle w:val="Heading3"/>
        <w:numPr>
          <w:ilvl w:val="0"/>
          <w:numId w:val="0"/>
        </w:numPr>
      </w:pPr>
      <w:r>
        <w:lastRenderedPageBreak/>
        <w:t xml:space="preserve">Step 4: </w:t>
      </w:r>
      <w:r w:rsidR="00600B77">
        <w:t xml:space="preserve">Identify relevant processes </w:t>
      </w:r>
    </w:p>
    <w:p w14:paraId="4C1B9A5A" w14:textId="4CCC3368" w:rsidR="004C1672" w:rsidRDefault="002A1B0B" w:rsidP="00600B77">
      <w:r>
        <w:rPr>
          <w:lang w:val="en-GB"/>
        </w:rPr>
        <w:t>Based on</w:t>
      </w:r>
      <w:r w:rsidR="00600B77">
        <w:rPr>
          <w:lang w:val="en-GB"/>
        </w:rPr>
        <w:t xml:space="preserve"> the</w:t>
      </w:r>
      <w:r w:rsidR="00600B77" w:rsidRPr="00C530C3">
        <w:rPr>
          <w:lang w:val="en-GB"/>
        </w:rPr>
        <w:t xml:space="preserve"> system boundary</w:t>
      </w:r>
      <w:r w:rsidR="00600B77">
        <w:rPr>
          <w:lang w:val="en-GB"/>
        </w:rPr>
        <w:t xml:space="preserve"> established</w:t>
      </w:r>
      <w:r w:rsidR="00337985">
        <w:rPr>
          <w:lang w:val="en-GB"/>
        </w:rPr>
        <w:t xml:space="preserve"> in Step 1,</w:t>
      </w:r>
      <w:r w:rsidR="00600B77">
        <w:rPr>
          <w:lang w:val="en-GB"/>
        </w:rPr>
        <w:t xml:space="preserve"> entities </w:t>
      </w:r>
      <w:r w:rsidR="00600B77" w:rsidRPr="00903F4C">
        <w:rPr>
          <w:lang w:val="en-GB"/>
        </w:rPr>
        <w:t>shall</w:t>
      </w:r>
      <w:r w:rsidR="00600B77">
        <w:rPr>
          <w:lang w:val="en-GB"/>
        </w:rPr>
        <w:t xml:space="preserve"> determine </w:t>
      </w:r>
      <w:r w:rsidR="00600B77">
        <w:t>which emissions and removals processes from the entity-level inventory are relevant for inclusion in the product emissions intensity calculations.</w:t>
      </w:r>
    </w:p>
    <w:p w14:paraId="59FD3E0B" w14:textId="0E413DD5" w:rsidR="00600B77" w:rsidRDefault="00600B77" w:rsidP="00600B77">
      <w:r>
        <w:t>In most cases</w:t>
      </w:r>
      <w:r w:rsidRPr="00DD1FDC">
        <w:t xml:space="preserve"> emissions associated with capital goods, corporate overhead activities, business travel and employee commuting</w:t>
      </w:r>
      <w:r w:rsidRPr="009B18B6">
        <w:t xml:space="preserve"> do not make </w:t>
      </w:r>
      <w:r>
        <w:t xml:space="preserve">a </w:t>
      </w:r>
      <w:r w:rsidRPr="009B18B6">
        <w:t xml:space="preserve">material contribution to the product </w:t>
      </w:r>
      <w:r w:rsidRPr="00DD1FDC">
        <w:t xml:space="preserve">emissions intensity </w:t>
      </w:r>
      <w:r>
        <w:t xml:space="preserve">and </w:t>
      </w:r>
      <w:r w:rsidR="00C46BAB">
        <w:t>may</w:t>
      </w:r>
      <w:r>
        <w:t xml:space="preserve"> be excluded</w:t>
      </w:r>
      <w:r w:rsidRPr="009B18B6">
        <w:t>.</w:t>
      </w:r>
      <w:r>
        <w:t xml:space="preserve"> An</w:t>
      </w:r>
      <w:r w:rsidRPr="00DD1FDC">
        <w:t xml:space="preserve"> entity may </w:t>
      </w:r>
      <w:r>
        <w:t xml:space="preserve">choose to </w:t>
      </w:r>
      <w:r w:rsidRPr="00DD1FDC">
        <w:t xml:space="preserve">include these processes if they </w:t>
      </w:r>
      <w:r>
        <w:t>consider these processes to be</w:t>
      </w:r>
      <w:r w:rsidRPr="00DD1FDC">
        <w:t xml:space="preserve"> relevant</w:t>
      </w:r>
      <w:r>
        <w:t>,</w:t>
      </w:r>
      <w:r w:rsidRPr="006C411D">
        <w:t xml:space="preserve"> </w:t>
      </w:r>
      <w:r>
        <w:t>such as</w:t>
      </w:r>
      <w:r w:rsidRPr="006C411D">
        <w:t xml:space="preserve"> </w:t>
      </w:r>
      <w:r>
        <w:t>where they support</w:t>
      </w:r>
      <w:r w:rsidRPr="006C411D">
        <w:t xml:space="preserve"> business </w:t>
      </w:r>
      <w:r>
        <w:t>objectives</w:t>
      </w:r>
      <w:r w:rsidRPr="006C411D">
        <w:t xml:space="preserve">, </w:t>
      </w:r>
      <w:r>
        <w:t>present meaningful</w:t>
      </w:r>
      <w:r w:rsidRPr="006C411D">
        <w:t xml:space="preserve"> reduction </w:t>
      </w:r>
      <w:r>
        <w:t>opportunities or represent a relatively significant</w:t>
      </w:r>
      <w:r w:rsidRPr="006C411D">
        <w:t xml:space="preserve"> impact.</w:t>
      </w:r>
      <w:r>
        <w:t xml:space="preserve"> </w:t>
      </w:r>
    </w:p>
    <w:p w14:paraId="6342138C" w14:textId="6D313B6F" w:rsidR="00600B77" w:rsidRDefault="00600B77" w:rsidP="00600B77">
      <w:r>
        <w:t xml:space="preserve">Emissions from </w:t>
      </w:r>
      <w:r w:rsidRPr="00A70E85">
        <w:t xml:space="preserve">land clearing and removals from revegetation or regeneration activities </w:t>
      </w:r>
      <w:r w:rsidR="00A17AA6">
        <w:t>may</w:t>
      </w:r>
      <w:r w:rsidRPr="00A70E85">
        <w:t xml:space="preserve"> be </w:t>
      </w:r>
      <w:r w:rsidR="00A17AA6">
        <w:t>shared amongst</w:t>
      </w:r>
      <w:r w:rsidRPr="00A70E85">
        <w:t xml:space="preserve"> products when applicable.</w:t>
      </w:r>
      <w:r w:rsidRPr="00A70E85">
        <w:rPr>
          <w:i/>
          <w:iCs/>
        </w:rPr>
        <w:t xml:space="preserve"> </w:t>
      </w:r>
      <w:r w:rsidRPr="00A70E85">
        <w:t xml:space="preserve">Refer to </w:t>
      </w:r>
      <w:r w:rsidR="00A70E85" w:rsidRPr="00A70E85">
        <w:t xml:space="preserve">Section 10.3 </w:t>
      </w:r>
      <w:r w:rsidRPr="00A70E85">
        <w:t>for guidance on the treatment of different LULUCF activities within product emissions intensity calculations.</w:t>
      </w:r>
      <w:r>
        <w:t xml:space="preserve"> </w:t>
      </w:r>
    </w:p>
    <w:p w14:paraId="78F4BCBF" w14:textId="31A72954" w:rsidR="00600B77" w:rsidRPr="004457BA" w:rsidRDefault="00A45D4B" w:rsidP="00A45D4B">
      <w:pPr>
        <w:pStyle w:val="Heading3"/>
        <w:numPr>
          <w:ilvl w:val="0"/>
          <w:numId w:val="0"/>
        </w:numPr>
        <w:ind w:left="720" w:hanging="720"/>
      </w:pPr>
      <w:r>
        <w:t xml:space="preserve">Step 5: </w:t>
      </w:r>
      <w:r w:rsidR="00600B77">
        <w:t>Select emissions a</w:t>
      </w:r>
      <w:r w:rsidR="00600B77" w:rsidRPr="004457BA">
        <w:t>llocat</w:t>
      </w:r>
      <w:r w:rsidR="00600B77">
        <w:t>ion process</w:t>
      </w:r>
      <w:r w:rsidR="00600B77" w:rsidRPr="004457BA">
        <w:t xml:space="preserve"> </w:t>
      </w:r>
    </w:p>
    <w:p w14:paraId="5FF9D1E3" w14:textId="731F1F75" w:rsidR="00600B77" w:rsidRPr="003D579B" w:rsidRDefault="00E22916" w:rsidP="00600B77">
      <w:pPr>
        <w:rPr>
          <w:rFonts w:ascii="Aptos" w:hAnsi="Aptos"/>
        </w:rPr>
      </w:pPr>
      <w:r w:rsidRPr="00E22916">
        <w:rPr>
          <w:rFonts w:ascii="Aptos" w:hAnsi="Aptos"/>
        </w:rPr>
        <w:t>Entities should assign emissions to products in a production system with multiple outputs by applying the following hierarchy:</w:t>
      </w:r>
    </w:p>
    <w:p w14:paraId="2AABDB71" w14:textId="77777777" w:rsidR="00003FF3" w:rsidRDefault="0091555F" w:rsidP="00A45D4B">
      <w:pPr>
        <w:pStyle w:val="ListParagraph"/>
        <w:numPr>
          <w:ilvl w:val="0"/>
          <w:numId w:val="75"/>
        </w:numPr>
      </w:pPr>
      <w:r w:rsidRPr="0091555F">
        <w:t xml:space="preserve">Where possible, subdivide production systems. Subdivision involves disaggregating a multi-output production system into subprocesses or stages so that inputs and emissions can be directly </w:t>
      </w:r>
      <w:r>
        <w:t>assigned to</w:t>
      </w:r>
      <w:r w:rsidRPr="0091555F">
        <w:t xml:space="preserve"> individual products. For example, tracking the amount of fertiliser applied to different crops</w:t>
      </w:r>
      <w:r>
        <w:t xml:space="preserve"> - </w:t>
      </w:r>
      <w:r w:rsidRPr="0091555F">
        <w:t>along with the associated Scope 1 and Scope 3 emissions. Subdivision generally provides the most accurate results.</w:t>
      </w:r>
    </w:p>
    <w:p w14:paraId="1B2B03A7" w14:textId="7AE6649D" w:rsidR="00A45D4B" w:rsidRDefault="00600B77" w:rsidP="00A45D4B">
      <w:pPr>
        <w:pStyle w:val="ListParagraph"/>
        <w:numPr>
          <w:ilvl w:val="0"/>
          <w:numId w:val="75"/>
        </w:numPr>
      </w:pPr>
      <w:r w:rsidRPr="00A45D4B">
        <w:t>Where subdivision is not possible (due to shared processes) or not feasible (due to data</w:t>
      </w:r>
      <w:r w:rsidR="00954405">
        <w:t xml:space="preserve"> availability</w:t>
      </w:r>
      <w:r w:rsidRPr="00A45D4B">
        <w:t>), apply an industry agreed allocation rule (if relevant)</w:t>
      </w:r>
    </w:p>
    <w:p w14:paraId="6C1F5D16" w14:textId="31123C34" w:rsidR="00A45D4B" w:rsidRDefault="00600B77" w:rsidP="00A45D4B">
      <w:pPr>
        <w:pStyle w:val="ListParagraph"/>
        <w:numPr>
          <w:ilvl w:val="0"/>
          <w:numId w:val="75"/>
        </w:numPr>
      </w:pPr>
      <w:r w:rsidRPr="00A45D4B">
        <w:t xml:space="preserve">Where subdivision is not feasible and there is no appropriate </w:t>
      </w:r>
      <w:r w:rsidR="00B61D37">
        <w:t xml:space="preserve">product category or </w:t>
      </w:r>
      <w:r w:rsidRPr="00A45D4B">
        <w:t>industry</w:t>
      </w:r>
      <w:r w:rsidR="00EF51FF">
        <w:t>-</w:t>
      </w:r>
      <w:r w:rsidR="00B61D37">
        <w:t xml:space="preserve">relevant </w:t>
      </w:r>
      <w:r w:rsidRPr="00A45D4B">
        <w:t xml:space="preserve">allocation rule, allocate based on causal relationships. That is, </w:t>
      </w:r>
      <w:r w:rsidR="0045626D">
        <w:t>allocate</w:t>
      </w:r>
      <w:r w:rsidRPr="00A45D4B">
        <w:t xml:space="preserve"> emissions amongst products in a </w:t>
      </w:r>
      <w:r w:rsidR="00954405">
        <w:t>manner</w:t>
      </w:r>
      <w:r w:rsidRPr="00A45D4B">
        <w:t xml:space="preserve"> that reflects why</w:t>
      </w:r>
      <w:r w:rsidR="00A45D4B">
        <w:t>,</w:t>
      </w:r>
      <w:r w:rsidRPr="00A45D4B">
        <w:t xml:space="preserve"> and how</w:t>
      </w:r>
      <w:r w:rsidR="00A45D4B">
        <w:t>,</w:t>
      </w:r>
      <w:r w:rsidRPr="00A45D4B">
        <w:t xml:space="preserve"> the emissions occurred based on the inputs, energy, or biological processes that bring each product into existence. For example, the </w:t>
      </w:r>
      <w:proofErr w:type="spellStart"/>
      <w:r w:rsidRPr="00A45D4B">
        <w:t>metabolisable</w:t>
      </w:r>
      <w:proofErr w:type="spellEnd"/>
      <w:r w:rsidRPr="00A45D4B">
        <w:t xml:space="preserve"> energy used to produce milk versus calves (pregnancy/growth). This approach reflects how the system generates emissions as it creates the products, rather than the static properties of the finished products.</w:t>
      </w:r>
    </w:p>
    <w:p w14:paraId="350671CF" w14:textId="669F149C" w:rsidR="00600B77" w:rsidRPr="00812A76" w:rsidRDefault="00600B77" w:rsidP="00812A76">
      <w:pPr>
        <w:pStyle w:val="ListParagraph"/>
        <w:numPr>
          <w:ilvl w:val="0"/>
          <w:numId w:val="75"/>
        </w:numPr>
      </w:pPr>
      <w:r w:rsidRPr="00A45D4B">
        <w:t xml:space="preserve">Where causal relationships cannot be used as the basis for allocation, the physical properties of the finished products (such as product mass or energy content) or the economic value of the product </w:t>
      </w:r>
      <w:r w:rsidR="003B4C52">
        <w:t>may</w:t>
      </w:r>
      <w:r w:rsidRPr="00A45D4B">
        <w:t xml:space="preserve"> be used. These methods do not necessarily reflect how emissions are caused. Instead, they provide a consistent and practical way to divide emissions when a clear causal link cannot be demonstrated.  </w:t>
      </w:r>
    </w:p>
    <w:p w14:paraId="5348EE36" w14:textId="37CD1E8B" w:rsidR="00600B77" w:rsidRDefault="00600B77" w:rsidP="00600B77">
      <w:r w:rsidRPr="00AF4082">
        <w:t xml:space="preserve">The choice of allocation method can significantly influence results. </w:t>
      </w:r>
      <w:r>
        <w:t>Allocation based on p</w:t>
      </w:r>
      <w:r w:rsidRPr="00AF4082">
        <w:t>hysical</w:t>
      </w:r>
      <w:r>
        <w:t xml:space="preserve"> properties</w:t>
      </w:r>
      <w:r w:rsidRPr="00AF4082">
        <w:t>, such as mass-based allocation, can be misleading when products differ greatly in value or function</w:t>
      </w:r>
      <w:r>
        <w:t>. F</w:t>
      </w:r>
      <w:r w:rsidRPr="00AF4082">
        <w:t>or example,</w:t>
      </w:r>
      <w:r w:rsidRPr="00483BE3">
        <w:t xml:space="preserve"> </w:t>
      </w:r>
      <w:r>
        <w:t>cull ewes versus prime lambs or cotton lint versus cotton seed</w:t>
      </w:r>
      <w:r w:rsidRPr="00AF4082">
        <w:t xml:space="preserve">. Similarly, energy content is not an appropriate allocation factor when products are not </w:t>
      </w:r>
      <w:r>
        <w:t xml:space="preserve">both </w:t>
      </w:r>
      <w:r w:rsidRPr="00AF4082">
        <w:t xml:space="preserve">energy products, such as </w:t>
      </w:r>
      <w:r>
        <w:t xml:space="preserve">intercropped </w:t>
      </w:r>
      <w:r w:rsidRPr="00AF4082">
        <w:t xml:space="preserve">canola </w:t>
      </w:r>
      <w:r>
        <w:t xml:space="preserve">and </w:t>
      </w:r>
      <w:r w:rsidRPr="00AF4082">
        <w:t xml:space="preserve">chickpeas. Therefore, physical </w:t>
      </w:r>
      <w:r>
        <w:t xml:space="preserve">attribute </w:t>
      </w:r>
      <w:r w:rsidRPr="00AF4082">
        <w:t xml:space="preserve">allocation should only be used when </w:t>
      </w:r>
      <w:r w:rsidR="00B35E67">
        <w:t>products</w:t>
      </w:r>
      <w:r w:rsidRPr="00AF4082">
        <w:t xml:space="preserve"> serve similar purposes </w:t>
      </w:r>
      <w:r>
        <w:t xml:space="preserve">in the </w:t>
      </w:r>
      <w:r w:rsidRPr="00AF4082">
        <w:t>market</w:t>
      </w:r>
      <w:r>
        <w:t xml:space="preserve">. </w:t>
      </w:r>
    </w:p>
    <w:p w14:paraId="2FE7698E" w14:textId="158A643E" w:rsidR="00600B77" w:rsidRDefault="00600B77" w:rsidP="00600B77">
      <w:r>
        <w:t>E</w:t>
      </w:r>
      <w:r w:rsidRPr="001E635E">
        <w:t xml:space="preserve">conomic allocation </w:t>
      </w:r>
      <w:r>
        <w:t>is often used because</w:t>
      </w:r>
      <w:r w:rsidRPr="001E635E">
        <w:t xml:space="preserve"> it reflects the rationale for implementing a multi-product production system </w:t>
      </w:r>
      <w:r>
        <w:t xml:space="preserve">and because it can be used for </w:t>
      </w:r>
      <w:r w:rsidRPr="001E635E">
        <w:t>product</w:t>
      </w:r>
      <w:r>
        <w:t xml:space="preserve"> mixes with</w:t>
      </w:r>
      <w:r w:rsidRPr="001E635E">
        <w:t xml:space="preserve"> diverse functions. Because agricultural commodity prices are often volatile, economic allocation </w:t>
      </w:r>
      <w:r w:rsidRPr="001E635E">
        <w:lastRenderedPageBreak/>
        <w:t>should be based on prices averaged over several years. When applying economic allocation, the emissions share for a product is determined by the ratio of its revenue to the total revenue for the activity.</w:t>
      </w:r>
      <w:r w:rsidR="002A15E3">
        <w:t xml:space="preserve"> </w:t>
      </w:r>
      <w:r w:rsidR="007E75C0">
        <w:t>Note, mass balance is not preserved where economic (or energy) allocation is applied</w:t>
      </w:r>
      <w:r w:rsidR="007E75C0">
        <w:rPr>
          <w:rStyle w:val="FootnoteReference"/>
        </w:rPr>
        <w:footnoteReference w:id="12"/>
      </w:r>
      <w:r w:rsidR="007E75C0">
        <w:t>.</w:t>
      </w:r>
    </w:p>
    <w:p w14:paraId="5BC9418E" w14:textId="3C163C5F" w:rsidR="00600B77" w:rsidRDefault="00600B77" w:rsidP="00600B77">
      <w:r w:rsidRPr="00037896">
        <w:t>Agreed allocation approaches have been established for some production systems through participatory processes (e.g. International Dairy Federation)</w:t>
      </w:r>
      <w:r>
        <w:t>. Where nationally agreed sector-specific allocation rules exist, these should be applied. Some schemes specify allocation rules that must be followed to access specific markets (e.g. EU Renewable Energy Directive).</w:t>
      </w:r>
      <w:r w:rsidR="002A15E3" w:rsidRPr="002A15E3">
        <w:rPr>
          <w:rFonts w:eastAsia="Segoe UI"/>
        </w:rPr>
        <w:t xml:space="preserve"> </w:t>
      </w:r>
      <w:r w:rsidR="002A15E3">
        <w:rPr>
          <w:rFonts w:eastAsia="Segoe UI"/>
        </w:rPr>
        <w:t xml:space="preserve">Where no </w:t>
      </w:r>
      <w:r w:rsidR="00CE199A">
        <w:rPr>
          <w:rFonts w:eastAsia="Segoe UI"/>
        </w:rPr>
        <w:t xml:space="preserve">relevant </w:t>
      </w:r>
      <w:r w:rsidR="002A15E3">
        <w:rPr>
          <w:rFonts w:eastAsia="Segoe UI"/>
        </w:rPr>
        <w:t>agreed rules are available</w:t>
      </w:r>
      <w:r w:rsidR="00FB39B4">
        <w:rPr>
          <w:rFonts w:eastAsia="Segoe UI"/>
        </w:rPr>
        <w:t>,</w:t>
      </w:r>
      <w:r w:rsidR="002A15E3">
        <w:rPr>
          <w:rFonts w:eastAsia="Segoe UI"/>
        </w:rPr>
        <w:t xml:space="preserve"> entities should undertake sensitivity analysis to assess how results respond to different allocation </w:t>
      </w:r>
      <w:r w:rsidR="007E75C0">
        <w:rPr>
          <w:rFonts w:eastAsia="Segoe UI"/>
        </w:rPr>
        <w:t>factors</w:t>
      </w:r>
      <w:r w:rsidR="002A15E3">
        <w:rPr>
          <w:rFonts w:eastAsia="Segoe UI"/>
        </w:rPr>
        <w:t>.</w:t>
      </w:r>
      <w:r w:rsidR="002A15E3">
        <w:t xml:space="preserve"> </w:t>
      </w:r>
    </w:p>
    <w:p w14:paraId="52E4BDAD" w14:textId="1475D7B1" w:rsidR="00600B77" w:rsidRDefault="00600B77" w:rsidP="00600B77">
      <w:pPr>
        <w:rPr>
          <w:rFonts w:eastAsia="Segoe UI"/>
        </w:rPr>
      </w:pPr>
      <w:r w:rsidDel="00563AAF">
        <w:t>All allocation choices involve a degree of subjectivity.</w:t>
      </w:r>
      <w:r w:rsidRPr="002C777A" w:rsidDel="00563AAF">
        <w:rPr>
          <w:rFonts w:eastAsia="Segoe UI"/>
        </w:rPr>
        <w:t xml:space="preserve"> </w:t>
      </w:r>
      <w:r w:rsidRPr="00E67322">
        <w:rPr>
          <w:rFonts w:eastAsia="Segoe UI"/>
        </w:rPr>
        <w:t xml:space="preserve">Entities </w:t>
      </w:r>
      <w:r>
        <w:rPr>
          <w:rFonts w:eastAsia="Segoe UI"/>
        </w:rPr>
        <w:t>shall</w:t>
      </w:r>
      <w:r w:rsidRPr="00E67322">
        <w:rPr>
          <w:rFonts w:eastAsia="Segoe UI"/>
        </w:rPr>
        <w:t xml:space="preserve"> document the chosen allocation method in their product </w:t>
      </w:r>
      <w:r>
        <w:rPr>
          <w:rFonts w:eastAsia="Segoe UI"/>
        </w:rPr>
        <w:t>emissions intensity calculation</w:t>
      </w:r>
      <w:r w:rsidRPr="00E67322">
        <w:rPr>
          <w:rFonts w:eastAsia="Segoe UI"/>
        </w:rPr>
        <w:t xml:space="preserve">, including a justification for why the method and factors </w:t>
      </w:r>
      <w:r>
        <w:rPr>
          <w:rFonts w:eastAsia="Segoe UI"/>
        </w:rPr>
        <w:t>were chosen.</w:t>
      </w:r>
      <w:r w:rsidRPr="00E67322">
        <w:rPr>
          <w:rFonts w:eastAsia="Segoe UI"/>
        </w:rPr>
        <w:t xml:space="preserve"> </w:t>
      </w:r>
      <w:r w:rsidRPr="00AE67BC">
        <w:rPr>
          <w:rFonts w:eastAsia="Segoe UI"/>
        </w:rPr>
        <w:t>Once selected, allocation rules should be applied consistently</w:t>
      </w:r>
      <w:r w:rsidRPr="00E67322">
        <w:rPr>
          <w:rFonts w:eastAsia="Segoe UI"/>
        </w:rPr>
        <w:t xml:space="preserve">. </w:t>
      </w:r>
    </w:p>
    <w:p w14:paraId="3197668D" w14:textId="77777777" w:rsidR="00600B77" w:rsidRPr="002C777A" w:rsidRDefault="00600B77" w:rsidP="00600B77">
      <w:r w:rsidRPr="002C777A">
        <w:t xml:space="preserve">Use the decision tree at Figure </w:t>
      </w:r>
      <w:r>
        <w:t>3</w:t>
      </w:r>
      <w:r w:rsidRPr="002C777A">
        <w:t xml:space="preserve"> to determine </w:t>
      </w:r>
      <w:r>
        <w:t xml:space="preserve">the applicable approach for sharing emissions amongst products. </w:t>
      </w:r>
    </w:p>
    <w:p w14:paraId="1845F9B4" w14:textId="180628FE" w:rsidR="00600B77" w:rsidRDefault="00600B77" w:rsidP="00600B77">
      <w:pPr>
        <w:rPr>
          <w:rFonts w:eastAsia="Segoe UI"/>
          <w:b/>
          <w:bCs/>
        </w:rPr>
      </w:pPr>
      <w:r w:rsidRPr="003D0419">
        <w:rPr>
          <w:rFonts w:eastAsia="Segoe UI"/>
          <w:b/>
          <w:bCs/>
        </w:rPr>
        <w:t xml:space="preserve">Figure </w:t>
      </w:r>
      <w:r>
        <w:rPr>
          <w:rFonts w:eastAsia="Segoe UI"/>
          <w:b/>
          <w:bCs/>
        </w:rPr>
        <w:t>3: D</w:t>
      </w:r>
      <w:r w:rsidRPr="00567B99">
        <w:rPr>
          <w:rFonts w:eastAsia="Segoe UI"/>
          <w:b/>
          <w:bCs/>
        </w:rPr>
        <w:t>ecision tree for choosing allocation method</w:t>
      </w:r>
      <w:r w:rsidR="00176D08">
        <w:rPr>
          <w:rFonts w:eastAsia="Segoe UI"/>
          <w:b/>
          <w:bCs/>
        </w:rPr>
        <w:t>\</w:t>
      </w:r>
    </w:p>
    <w:p w14:paraId="2DE39077" w14:textId="5E8912FD" w:rsidR="00176D08" w:rsidRPr="003D0419" w:rsidRDefault="00176D08" w:rsidP="00600B77">
      <w:pPr>
        <w:rPr>
          <w:rFonts w:eastAsia="Segoe UI"/>
          <w:b/>
          <w:bCs/>
        </w:rPr>
      </w:pPr>
      <w:r>
        <w:rPr>
          <w:noProof/>
        </w:rPr>
        <w:drawing>
          <wp:inline distT="0" distB="0" distL="0" distR="0" wp14:anchorId="4BAA6414" wp14:editId="194A23BB">
            <wp:extent cx="5731510" cy="4044950"/>
            <wp:effectExtent l="0" t="0" r="2540" b="0"/>
            <wp:docPr id="980644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44570" name=""/>
                    <pic:cNvPicPr/>
                  </pic:nvPicPr>
                  <pic:blipFill>
                    <a:blip r:embed="rId65"/>
                    <a:stretch>
                      <a:fillRect/>
                    </a:stretch>
                  </pic:blipFill>
                  <pic:spPr>
                    <a:xfrm>
                      <a:off x="0" y="0"/>
                      <a:ext cx="5731510" cy="4044950"/>
                    </a:xfrm>
                    <a:prstGeom prst="rect">
                      <a:avLst/>
                    </a:prstGeom>
                  </pic:spPr>
                </pic:pic>
              </a:graphicData>
            </a:graphic>
          </wp:inline>
        </w:drawing>
      </w:r>
    </w:p>
    <w:p w14:paraId="5E0FAED9" w14:textId="2494DA4E" w:rsidR="00600B77" w:rsidRDefault="00600B77" w:rsidP="00600B77">
      <w:pPr>
        <w:rPr>
          <w:noProof/>
        </w:rPr>
      </w:pPr>
      <w:r w:rsidRPr="00227237">
        <w:rPr>
          <w:noProof/>
        </w:rPr>
        <w:t xml:space="preserve"> </w:t>
      </w:r>
      <w:r w:rsidR="00B150E5" w:rsidRPr="00B150E5">
        <w:rPr>
          <w:noProof/>
        </w:rPr>
        <w:t xml:space="preserve"> </w:t>
      </w:r>
    </w:p>
    <w:p w14:paraId="1AB3AF59" w14:textId="5F2EE38E" w:rsidR="00600B77" w:rsidRDefault="00600B77" w:rsidP="00600B77">
      <w:r>
        <w:lastRenderedPageBreak/>
        <w:t xml:space="preserve">The choice </w:t>
      </w:r>
      <w:r w:rsidR="008437B9">
        <w:t>to subdivide or</w:t>
      </w:r>
      <w:r>
        <w:t xml:space="preserve"> allocat</w:t>
      </w:r>
      <w:r w:rsidR="008437B9">
        <w:t>e</w:t>
      </w:r>
      <w:r>
        <w:t xml:space="preserve"> determines the order of the next steps in calculating product emissions intensities.</w:t>
      </w:r>
    </w:p>
    <w:p w14:paraId="0774B7D4" w14:textId="23C0F22F" w:rsidR="006A5525" w:rsidRDefault="00F62F2B" w:rsidP="00956D98">
      <w:pPr>
        <w:pStyle w:val="ListParagraph"/>
        <w:numPr>
          <w:ilvl w:val="0"/>
          <w:numId w:val="19"/>
        </w:numPr>
      </w:pPr>
      <w:r>
        <w:t>W</w:t>
      </w:r>
      <w:r w:rsidR="006D11D7" w:rsidRPr="00041E44">
        <w:t xml:space="preserve">here </w:t>
      </w:r>
      <w:r w:rsidR="00CE66C0" w:rsidRPr="00041E44">
        <w:t xml:space="preserve">production systems </w:t>
      </w:r>
      <w:r w:rsidR="003E2AAE" w:rsidRPr="00041E44">
        <w:t>and</w:t>
      </w:r>
      <w:r w:rsidR="008437B9">
        <w:t xml:space="preserve"> their</w:t>
      </w:r>
      <w:r w:rsidR="003E2AAE" w:rsidRPr="00041E44">
        <w:t xml:space="preserve"> processes </w:t>
      </w:r>
      <w:r w:rsidR="006D11D7" w:rsidRPr="00041E44">
        <w:t xml:space="preserve">can be subdivided, identify the relevant emissions sources for each product, collect the data, calculate inventory GHG emissions, and divide emissions by production quantity for </w:t>
      </w:r>
      <w:r w:rsidR="006A387F" w:rsidRPr="00041E44">
        <w:t xml:space="preserve">each </w:t>
      </w:r>
      <w:r w:rsidR="006D11D7" w:rsidRPr="00041E44">
        <w:t xml:space="preserve">product </w:t>
      </w:r>
    </w:p>
    <w:p w14:paraId="0E4C7E8A" w14:textId="4B08F8D5" w:rsidR="00041E44" w:rsidRPr="00041E44" w:rsidRDefault="00F62F2B" w:rsidP="00333901">
      <w:pPr>
        <w:pStyle w:val="ListParagraph"/>
        <w:numPr>
          <w:ilvl w:val="0"/>
          <w:numId w:val="19"/>
        </w:numPr>
      </w:pPr>
      <w:r>
        <w:t>I</w:t>
      </w:r>
      <w:r w:rsidR="00041E44" w:rsidRPr="00041E44">
        <w:t xml:space="preserve">f </w:t>
      </w:r>
      <w:r w:rsidR="008437B9">
        <w:t xml:space="preserve">an allocation rule </w:t>
      </w:r>
      <w:r w:rsidR="004B00D7">
        <w:t>is</w:t>
      </w:r>
      <w:r w:rsidR="008437B9">
        <w:t xml:space="preserve"> applied</w:t>
      </w:r>
      <w:r w:rsidR="00F6797B">
        <w:t xml:space="preserve"> to </w:t>
      </w:r>
      <w:r w:rsidR="004B00D7">
        <w:t>share</w:t>
      </w:r>
      <w:r w:rsidR="00F6797B">
        <w:t xml:space="preserve"> </w:t>
      </w:r>
      <w:r w:rsidR="00041E44" w:rsidRPr="00041E44">
        <w:t>emissions a</w:t>
      </w:r>
      <w:r w:rsidR="004B00D7">
        <w:t>mongst</w:t>
      </w:r>
      <w:r w:rsidR="00041E44" w:rsidRPr="00041E44">
        <w:t xml:space="preserve"> the entity’s </w:t>
      </w:r>
      <w:r w:rsidR="00F6797B">
        <w:t>outputs</w:t>
      </w:r>
      <w:r w:rsidR="00041E44" w:rsidRPr="00041E44">
        <w:t>, collect the relevant data, calculate the inventory GHG emissions, distribute the emissions according to the allocation rule, and then divide the allocated emissions by the production quantity for each main product or by-product.</w:t>
      </w:r>
    </w:p>
    <w:p w14:paraId="70F0425A" w14:textId="2726A619" w:rsidR="00600B77" w:rsidRPr="00960207" w:rsidRDefault="00152507" w:rsidP="00152507">
      <w:pPr>
        <w:pStyle w:val="Heading3"/>
        <w:numPr>
          <w:ilvl w:val="0"/>
          <w:numId w:val="0"/>
        </w:numPr>
        <w:ind w:left="720" w:hanging="720"/>
      </w:pPr>
      <w:r>
        <w:t xml:space="preserve">Step 6: </w:t>
      </w:r>
      <w:r w:rsidR="00600B77" w:rsidRPr="00960207">
        <w:t>C</w:t>
      </w:r>
      <w:r w:rsidR="00600B77">
        <w:t xml:space="preserve">ollect data and calculate emissions </w:t>
      </w:r>
    </w:p>
    <w:p w14:paraId="4C2E5CD2" w14:textId="77777777" w:rsidR="00600B77" w:rsidRDefault="00600B77" w:rsidP="00152507">
      <w:pPr>
        <w:pStyle w:val="Style1"/>
      </w:pPr>
      <w:r>
        <w:t>Quantifying production</w:t>
      </w:r>
    </w:p>
    <w:p w14:paraId="29ABD44F" w14:textId="72F262F7" w:rsidR="00600B77" w:rsidRDefault="00600B77" w:rsidP="00600B77">
      <w:r w:rsidRPr="003640EA">
        <w:t xml:space="preserve">In most cases, the quantity of products produced should be based on sales records for the relevant </w:t>
      </w:r>
      <w:r w:rsidR="008112AD">
        <w:t>pr</w:t>
      </w:r>
      <w:r w:rsidR="00E7046A">
        <w:t>oduction</w:t>
      </w:r>
      <w:r w:rsidRPr="003640EA">
        <w:t xml:space="preserve"> period. </w:t>
      </w:r>
      <w:r w:rsidR="00BF471F" w:rsidRPr="00BF471F">
        <w:t>Where a portion of production is used on-far</w:t>
      </w:r>
      <w:r w:rsidR="001B6BD3">
        <w:t xml:space="preserve">m </w:t>
      </w:r>
      <w:r w:rsidR="00AF72A8">
        <w:t>–</w:t>
      </w:r>
      <w:r w:rsidR="001B6BD3">
        <w:t xml:space="preserve"> </w:t>
      </w:r>
      <w:r w:rsidR="00BF471F" w:rsidRPr="00BF471F">
        <w:t>such as crops grown for livestock feed with only the surplus sold</w:t>
      </w:r>
      <w:r w:rsidR="001B6BD3">
        <w:t xml:space="preserve"> </w:t>
      </w:r>
      <w:r w:rsidR="00AF72A8">
        <w:t>–</w:t>
      </w:r>
      <w:r w:rsidR="001B6BD3">
        <w:t xml:space="preserve"> </w:t>
      </w:r>
      <w:r w:rsidR="00A475B9" w:rsidRPr="003640EA">
        <w:t xml:space="preserve">the quantity </w:t>
      </w:r>
      <w:r w:rsidR="00A475B9">
        <w:t xml:space="preserve">of products is </w:t>
      </w:r>
      <w:r w:rsidR="00A475B9" w:rsidRPr="003640EA">
        <w:t>the amount harvested rather than the amount sold</w:t>
      </w:r>
      <w:r w:rsidR="00BF471F" w:rsidRPr="00BF471F">
        <w:t>. Entities may also choose to estimate emissions intensity for on-farm production before the point of sale (e.g</w:t>
      </w:r>
      <w:r w:rsidR="001B6BD3">
        <w:t>.</w:t>
      </w:r>
      <w:r w:rsidR="00BF471F" w:rsidRPr="00BF471F">
        <w:t xml:space="preserve"> emissions per unit of liveweight gain rather than per unit sold). This approach can support farm management decisions and help track the effectiveness of mitigation measures</w:t>
      </w:r>
      <w:r w:rsidR="001B6BD3">
        <w:t>.</w:t>
      </w:r>
    </w:p>
    <w:p w14:paraId="3FFCA361" w14:textId="77777777" w:rsidR="00600B77" w:rsidRDefault="00600B77" w:rsidP="00152507">
      <w:pPr>
        <w:pStyle w:val="Style1"/>
      </w:pPr>
      <w:r>
        <w:t xml:space="preserve">Quantifying the emissions </w:t>
      </w:r>
    </w:p>
    <w:p w14:paraId="2B73E7B5" w14:textId="48915F28" w:rsidR="00E71231" w:rsidRDefault="00600B77" w:rsidP="00E04081">
      <w:r>
        <w:t>E</w:t>
      </w:r>
      <w:r w:rsidRPr="00626194">
        <w:t>missions</w:t>
      </w:r>
      <w:r>
        <w:t xml:space="preserve"> and removals</w:t>
      </w:r>
      <w:r w:rsidRPr="00626194">
        <w:t xml:space="preserve"> data </w:t>
      </w:r>
      <w:r>
        <w:t xml:space="preserve">for each relevant process, as </w:t>
      </w:r>
      <w:r w:rsidRPr="00626194">
        <w:t>collect</w:t>
      </w:r>
      <w:r>
        <w:t>ed</w:t>
      </w:r>
      <w:r w:rsidRPr="00626194">
        <w:t xml:space="preserve"> for the entity-level inventory</w:t>
      </w:r>
      <w:r>
        <w:t>,</w:t>
      </w:r>
      <w:r w:rsidRPr="00626194">
        <w:t xml:space="preserve"> </w:t>
      </w:r>
      <w:r>
        <w:t xml:space="preserve">shall be </w:t>
      </w:r>
      <w:r w:rsidR="004012DA">
        <w:t xml:space="preserve">shared </w:t>
      </w:r>
      <w:r w:rsidR="00805880">
        <w:t>amongst</w:t>
      </w:r>
      <w:r w:rsidR="004012DA">
        <w:t xml:space="preserve"> </w:t>
      </w:r>
      <w:r w:rsidRPr="00626194">
        <w:t>products</w:t>
      </w:r>
      <w:r>
        <w:t xml:space="preserve"> in accordance with the rules established using </w:t>
      </w:r>
      <w:r w:rsidR="00721B05">
        <w:t>Step 3</w:t>
      </w:r>
      <w:r>
        <w:t xml:space="preserve"> and the </w:t>
      </w:r>
      <w:r w:rsidR="007B17BA">
        <w:t xml:space="preserve">sector specific </w:t>
      </w:r>
      <w:r>
        <w:t xml:space="preserve">guidance in </w:t>
      </w:r>
      <w:r w:rsidR="007B17BA">
        <w:t>Section 10.3.</w:t>
      </w:r>
    </w:p>
    <w:p w14:paraId="64817643" w14:textId="7DA686AB" w:rsidR="00600B77" w:rsidRDefault="00600B77" w:rsidP="00600B77">
      <w:r>
        <w:t>For multi-product systems, entities should</w:t>
      </w:r>
      <w:r w:rsidRPr="00A00145">
        <w:t xml:space="preserve"> </w:t>
      </w:r>
      <w:r>
        <w:t>maintain</w:t>
      </w:r>
      <w:r w:rsidRPr="00A00145">
        <w:t xml:space="preserve"> detailed records of </w:t>
      </w:r>
      <w:r>
        <w:t xml:space="preserve">inputs at the individual product-level (where this is possible) rather than at the entity level. Recording inputs applied to specific products </w:t>
      </w:r>
      <w:r w:rsidR="00083BDC">
        <w:t>–</w:t>
      </w:r>
      <w:r>
        <w:t xml:space="preserve"> such as </w:t>
      </w:r>
      <w:r w:rsidRPr="00A00145">
        <w:t>fuel use, fertiliser and herbicide applied</w:t>
      </w:r>
      <w:r>
        <w:t xml:space="preserve"> or feed consumption </w:t>
      </w:r>
      <w:r w:rsidR="00083BDC">
        <w:t>–</w:t>
      </w:r>
      <w:r>
        <w:t xml:space="preserve"> and using these data to estimate emissions ensures accurate </w:t>
      </w:r>
      <w:r w:rsidR="00FA0B6B">
        <w:t>assignment</w:t>
      </w:r>
      <w:r>
        <w:t xml:space="preserve"> and minimises the need for allocations.</w:t>
      </w:r>
      <w:r w:rsidRPr="00A00145">
        <w:t xml:space="preserve"> </w:t>
      </w:r>
      <w:r>
        <w:t>Where</w:t>
      </w:r>
      <w:r w:rsidRPr="00A00145">
        <w:t xml:space="preserve"> </w:t>
      </w:r>
      <w:r>
        <w:t>product specific</w:t>
      </w:r>
      <w:r w:rsidRPr="00A00145">
        <w:t xml:space="preserve"> </w:t>
      </w:r>
      <w:r>
        <w:t>d</w:t>
      </w:r>
      <w:r w:rsidRPr="00A00145">
        <w:t xml:space="preserve">ata </w:t>
      </w:r>
      <w:r>
        <w:t>are un</w:t>
      </w:r>
      <w:r w:rsidRPr="00A00145">
        <w:t xml:space="preserve">available, </w:t>
      </w:r>
      <w:r>
        <w:t>entity-level data</w:t>
      </w:r>
      <w:r w:rsidR="003B55CC">
        <w:t xml:space="preserve"> </w:t>
      </w:r>
      <w:r w:rsidR="00173C98">
        <w:t>may</w:t>
      </w:r>
      <w:r w:rsidRPr="00A00145" w:rsidDel="003B55CC">
        <w:t xml:space="preserve"> </w:t>
      </w:r>
      <w:r w:rsidRPr="00A00145">
        <w:t xml:space="preserve">be </w:t>
      </w:r>
      <w:r>
        <w:t>subdivided using representative values, such as fertiliser application rates (kg/ha) combined with the areas planted</w:t>
      </w:r>
      <w:r w:rsidRPr="00A00145">
        <w:t>.</w:t>
      </w:r>
    </w:p>
    <w:p w14:paraId="55A2D3DC" w14:textId="5D2B633B" w:rsidR="00600B77" w:rsidRDefault="00600B77" w:rsidP="00600B77">
      <w:r>
        <w:t>All emissions and removals should be converted to CO</w:t>
      </w:r>
      <w:r w:rsidRPr="00BB4166">
        <w:rPr>
          <w:vertAlign w:val="subscript"/>
        </w:rPr>
        <w:t>2</w:t>
      </w:r>
      <w:r>
        <w:t>-e</w:t>
      </w:r>
      <w:r w:rsidR="001649E7">
        <w:t xml:space="preserve"> (where a conversion is required)</w:t>
      </w:r>
      <w:r>
        <w:t>. Emissions and removals should then be summed across processes within each</w:t>
      </w:r>
      <w:r w:rsidR="00A70E85">
        <w:t xml:space="preserve"> production</w:t>
      </w:r>
      <w:r>
        <w:t xml:space="preserve"> stage </w:t>
      </w:r>
      <w:r w:rsidR="00822685">
        <w:t>to determine the total emissions from producing each product.</w:t>
      </w:r>
      <w:r w:rsidR="00822685" w:rsidRPr="00E649A5">
        <w:t xml:space="preserve"> </w:t>
      </w:r>
      <w:r w:rsidR="00982B8B">
        <w:t>R</w:t>
      </w:r>
      <w:r w:rsidR="0034187B">
        <w:t xml:space="preserve">efer to Section 10.3 for treatment of </w:t>
      </w:r>
      <w:r w:rsidR="007D1062">
        <w:t>LULUCF emissions and removals</w:t>
      </w:r>
      <w:r w:rsidR="007C3B2A">
        <w:t xml:space="preserve"> within product emissions intensity calculations</w:t>
      </w:r>
      <w:r w:rsidR="007D1062">
        <w:t xml:space="preserve">.  </w:t>
      </w:r>
      <w:r w:rsidR="0034187B">
        <w:t xml:space="preserve"> </w:t>
      </w:r>
    </w:p>
    <w:p w14:paraId="62A691DC" w14:textId="1CA46E49" w:rsidR="00600B77" w:rsidRDefault="00600B77" w:rsidP="00600B77">
      <w:r>
        <w:t xml:space="preserve">Abatement for which carbon credits have been created shall not be included in product emissions intensity calculations. For example, if </w:t>
      </w:r>
      <w:proofErr w:type="spellStart"/>
      <w:r>
        <w:t>silvopastoral</w:t>
      </w:r>
      <w:proofErr w:type="spellEnd"/>
      <w:r>
        <w:t xml:space="preserve"> tree planting has generated carbon credits that have been sold, this removal shall not be included in the calculation of product emissions intensity of the cattle.</w:t>
      </w:r>
    </w:p>
    <w:p w14:paraId="2B369730" w14:textId="6B366CE7" w:rsidR="00600B77" w:rsidRPr="00255107" w:rsidRDefault="00600B77" w:rsidP="00600B77">
      <w:r w:rsidRPr="00255107">
        <w:t>For transparency</w:t>
      </w:r>
      <w:r>
        <w:t>,</w:t>
      </w:r>
      <w:r w:rsidR="00893391" w:rsidRPr="00893391">
        <w:t xml:space="preserve"> </w:t>
      </w:r>
      <w:r w:rsidR="00893391">
        <w:t xml:space="preserve">product emissions intensities should be recorded both with and without </w:t>
      </w:r>
      <w:r w:rsidRPr="00255107">
        <w:t xml:space="preserve">emissions and removals </w:t>
      </w:r>
      <w:r>
        <w:t>from</w:t>
      </w:r>
      <w:r w:rsidRPr="00255107">
        <w:t xml:space="preserve"> land </w:t>
      </w:r>
      <w:r>
        <w:t>clearing and revegetation/regeneration</w:t>
      </w:r>
      <w:r w:rsidR="00893391">
        <w:t>.</w:t>
      </w:r>
      <w:r w:rsidR="00307ED5">
        <w:t xml:space="preserve"> </w:t>
      </w:r>
    </w:p>
    <w:p w14:paraId="6852E659" w14:textId="77777777" w:rsidR="00600B77" w:rsidRDefault="00600B77" w:rsidP="003B3B6E">
      <w:pPr>
        <w:pStyle w:val="Style1"/>
      </w:pPr>
      <w:r>
        <w:t>Calculate the emissions intensity</w:t>
      </w:r>
    </w:p>
    <w:p w14:paraId="303DD6FE" w14:textId="77777777" w:rsidR="005465DB" w:rsidRPr="00834462" w:rsidRDefault="005465DB" w:rsidP="005465DB">
      <w:r w:rsidRPr="00834462">
        <w:t>The emissions intensity is calculated by dividing the</w:t>
      </w:r>
      <w:r>
        <w:t xml:space="preserve"> total</w:t>
      </w:r>
      <w:r w:rsidRPr="00834462">
        <w:t xml:space="preserve"> </w:t>
      </w:r>
      <w:r>
        <w:t>e</w:t>
      </w:r>
      <w:r w:rsidRPr="00834462">
        <w:t xml:space="preserve">missions </w:t>
      </w:r>
      <w:r>
        <w:t>and removals associated with producing</w:t>
      </w:r>
      <w:r w:rsidRPr="00834462">
        <w:t xml:space="preserve"> the product by the quantity of product produced during that period. </w:t>
      </w:r>
    </w:p>
    <w:p w14:paraId="55FB8840" w14:textId="76BC479C" w:rsidR="00CB1A31" w:rsidRDefault="00CB1A31" w:rsidP="00840376">
      <w:r w:rsidRPr="00CB1A31">
        <w:lastRenderedPageBreak/>
        <w:t xml:space="preserve">For products with multi-year production cycles (e.g. sugar cane, some livestock and aquaculture systems), emissions associated with </w:t>
      </w:r>
      <w:r w:rsidR="00A05438">
        <w:t xml:space="preserve">specific </w:t>
      </w:r>
      <w:r w:rsidRPr="00CB1A31">
        <w:t>products can occur across several years. To address this, annual emissions estimates are aggregated across the full production cycle, and emissions intensity is calculated using total production cycle emissions and total production cycle output.  Similarly</w:t>
      </w:r>
      <w:r>
        <w:t>,</w:t>
      </w:r>
      <w:r w:rsidRPr="00CB1A31">
        <w:t xml:space="preserve"> for production cycles that are shorter than 12 months but straddle </w:t>
      </w:r>
      <w:r w:rsidR="00F23A64">
        <w:t>2</w:t>
      </w:r>
      <w:r w:rsidRPr="00CB1A31">
        <w:t xml:space="preserve"> years (for example, a sorghum crop sown in September that is harvested in March), the emissions are aggregated across the production cycle to determine the emissions relevant to that sorghum crop. </w:t>
      </w:r>
    </w:p>
    <w:p w14:paraId="47848331" w14:textId="68DFE433" w:rsidR="00600B77" w:rsidRDefault="00600B77" w:rsidP="007B17BA">
      <w:pPr>
        <w:pStyle w:val="Heading2"/>
        <w:ind w:left="0" w:firstLine="0"/>
      </w:pPr>
      <w:bookmarkStart w:id="95" w:name="_Toc225269979"/>
      <w:r>
        <w:t>Sector specific guidance and other allocation considerations</w:t>
      </w:r>
      <w:bookmarkEnd w:id="95"/>
    </w:p>
    <w:p w14:paraId="41A9B708" w14:textId="193DB841" w:rsidR="00600B77" w:rsidRDefault="00600B77" w:rsidP="00600B77">
      <w:pPr>
        <w:pStyle w:val="Heading3"/>
        <w:numPr>
          <w:ilvl w:val="0"/>
          <w:numId w:val="0"/>
        </w:numPr>
      </w:pPr>
      <w:r>
        <w:t>Crop rotations</w:t>
      </w:r>
    </w:p>
    <w:p w14:paraId="26DF8BA5" w14:textId="43FAFA7F" w:rsidR="00600B77" w:rsidRDefault="00600B77" w:rsidP="00600B77">
      <w:r w:rsidRPr="00A00145">
        <w:t>Each crop in the rotation sh</w:t>
      </w:r>
      <w:r>
        <w:t>all</w:t>
      </w:r>
      <w:r w:rsidRPr="00A00145">
        <w:t xml:space="preserve"> be considered separately, with emissions attributed to each separate crop product type. This is important because some crops, such as canola, require higher levels of fertiliser and pesticides than others such as cereals. Emissions from residue decomposition</w:t>
      </w:r>
      <w:r w:rsidR="00F656EA">
        <w:t>, including during fallow periods</w:t>
      </w:r>
      <w:r w:rsidR="007F0A22">
        <w:t>,</w:t>
      </w:r>
      <w:r w:rsidRPr="00A00145">
        <w:t xml:space="preserve"> s</w:t>
      </w:r>
      <w:r>
        <w:t>hall</w:t>
      </w:r>
      <w:r w:rsidRPr="00A00145">
        <w:t xml:space="preserve"> be attributed to the crop from which the residue was derived. </w:t>
      </w:r>
      <w:r>
        <w:t>W</w:t>
      </w:r>
      <w:r w:rsidRPr="009A0408">
        <w:t>here crop stubble and manure</w:t>
      </w:r>
      <w:r>
        <w:t xml:space="preserve"> are not sold</w:t>
      </w:r>
      <w:r w:rsidRPr="009A0408">
        <w:t xml:space="preserve">, they are treated as </w:t>
      </w:r>
      <w:r>
        <w:t>residual outputs and</w:t>
      </w:r>
      <w:r w:rsidDel="003434A1">
        <w:t xml:space="preserve"> </w:t>
      </w:r>
      <w:r>
        <w:t>no</w:t>
      </w:r>
      <w:r w:rsidR="003434A1">
        <w:t>t allocated a</w:t>
      </w:r>
      <w:r>
        <w:t xml:space="preserve"> share of crop or livestock production emissions. </w:t>
      </w:r>
    </w:p>
    <w:p w14:paraId="68FCF555" w14:textId="77777777" w:rsidR="00600B77" w:rsidRDefault="00600B77" w:rsidP="00600B77">
      <w:pPr>
        <w:pStyle w:val="Heading4"/>
        <w:numPr>
          <w:ilvl w:val="0"/>
          <w:numId w:val="0"/>
        </w:numPr>
      </w:pPr>
      <w:r>
        <w:t>Legume crops in rotation</w:t>
      </w:r>
    </w:p>
    <w:p w14:paraId="4B5CA727" w14:textId="31F71246" w:rsidR="00600B77" w:rsidRDefault="00600B77" w:rsidP="00600B77">
      <w:r>
        <w:t>Legume crops are commonly sown in rotation with cereals and oilseeds. Legumes fix atmospheric nitrogen which is used by the plant.</w:t>
      </w:r>
      <w:r w:rsidDel="003A3611">
        <w:t xml:space="preserve"> </w:t>
      </w:r>
      <w:r>
        <w:t>Decomposition of legume crop residues increases soil nitrogen (N) levels, thus potentially reducing the amount of synthetic fertiliser required by the subsequent crop, and therefore the</w:t>
      </w:r>
      <w:r w:rsidRPr="00627AC6">
        <w:t xml:space="preserve"> scope 3 fertiliser emissions</w:t>
      </w:r>
      <w:r>
        <w:t>. In some LCA studies and databases, the legume crop is credited with an emissions reduction based on the estimated reduction in N fertiliser required by the subsequent cereal or oilseed crop. In these Guidelines, no credit shall be applied. The benefit of the legume, if any, will be shown as reduced emissions at the entity level</w:t>
      </w:r>
      <w:r w:rsidR="004E712A">
        <w:t>,</w:t>
      </w:r>
      <w:r w:rsidR="006D27C6">
        <w:t xml:space="preserve"> </w:t>
      </w:r>
      <w:r>
        <w:t>and reduced emissions intensity for the subsequent crop</w:t>
      </w:r>
      <w:r w:rsidR="006D27C6">
        <w:t>, if N fertiliser input is reduced.</w:t>
      </w:r>
    </w:p>
    <w:p w14:paraId="3C8564E0" w14:textId="77777777" w:rsidR="00600B77" w:rsidRDefault="00600B77" w:rsidP="00600B77">
      <w:pPr>
        <w:pStyle w:val="Heading4"/>
        <w:numPr>
          <w:ilvl w:val="0"/>
          <w:numId w:val="0"/>
        </w:numPr>
        <w:ind w:left="864" w:hanging="864"/>
      </w:pPr>
      <w:r>
        <w:t>Cover crops/green manure crops</w:t>
      </w:r>
    </w:p>
    <w:p w14:paraId="647BB9D1" w14:textId="65C91790" w:rsidR="00600B77" w:rsidRDefault="00600B77" w:rsidP="00600B77">
      <w:r>
        <w:t>Cover crops, also known as green manure crops, are planted to enhance soil organic matter levels and provide ground cover to avoid erosion.</w:t>
      </w:r>
      <w:r w:rsidDel="005F17B7">
        <w:t xml:space="preserve"> </w:t>
      </w:r>
      <w:r>
        <w:t>Often legumes are used as cover crops, and these can also contribute to enhancing soil N levels. As cover crops are not harvested for products,</w:t>
      </w:r>
      <w:r w:rsidDel="001D1B72">
        <w:t xml:space="preserve"> </w:t>
      </w:r>
      <w:r>
        <w:t>all emissions and removals shall be attributed to the subsequent cash crop, including N</w:t>
      </w:r>
      <w:r w:rsidRPr="00725C06">
        <w:rPr>
          <w:vertAlign w:val="subscript"/>
        </w:rPr>
        <w:t>2</w:t>
      </w:r>
      <w:r>
        <w:t xml:space="preserve">O emissions from decomposition of the cover crop’s biomass. </w:t>
      </w:r>
    </w:p>
    <w:p w14:paraId="506481EE" w14:textId="77777777" w:rsidR="00600B77" w:rsidRPr="00BA3A93" w:rsidRDefault="00600B77" w:rsidP="00600B77">
      <w:pPr>
        <w:pStyle w:val="Heading3"/>
        <w:numPr>
          <w:ilvl w:val="0"/>
          <w:numId w:val="0"/>
        </w:numPr>
      </w:pPr>
      <w:r w:rsidRPr="00BA3A93">
        <w:t>Mixed farming</w:t>
      </w:r>
    </w:p>
    <w:p w14:paraId="3AD96127" w14:textId="39EA3650" w:rsidR="00600B77" w:rsidRDefault="00600B77" w:rsidP="00600B77">
      <w:r>
        <w:t>In mixed farming systems, where a pasture phase is incorporated into the crop rotation, increased soil N due to pasture legumes can reduce the amount of synthetic N fertiliser required by the subsequent crop or crops. Soil organic matter levels often increase under the pasture phase, increasing soil carbon levels and</w:t>
      </w:r>
      <w:r w:rsidRPr="009E3499">
        <w:t xml:space="preserve"> </w:t>
      </w:r>
      <w:r>
        <w:t>soil fertility, and subsequent crops benefit from a pest and disease break. After harvest of cash crops, livestock commonly graze crop stubble and spilled grain and deposit urine and dung, potentially reducing crop residue emissions. Livestock graze weeds during fallow periods, reducing requirements for herbicides and/or cultivation.</w:t>
      </w:r>
    </w:p>
    <w:p w14:paraId="4070D8E7" w14:textId="77777777" w:rsidR="00600B77" w:rsidRDefault="00600B77" w:rsidP="00600B77">
      <w:r>
        <w:t>Consistent with the treatment of legumes and cover crops</w:t>
      </w:r>
      <w:r w:rsidDel="00442D29">
        <w:t xml:space="preserve">, </w:t>
      </w:r>
      <w:r>
        <w:t>no credit for reduced emissions is attributed to the livestock.</w:t>
      </w:r>
    </w:p>
    <w:p w14:paraId="443DF78D" w14:textId="2384F4B4" w:rsidR="00600B77" w:rsidRPr="00976D49" w:rsidRDefault="00600B77" w:rsidP="00600B77">
      <w:r w:rsidRPr="00976D49">
        <w:lastRenderedPageBreak/>
        <w:t xml:space="preserve">Enteric fermentation, (paddock) manure emissions and emissions from pasture establishment (e.g. fuel, scope 3 seed production) </w:t>
      </w:r>
      <w:r>
        <w:t>shall</w:t>
      </w:r>
      <w:r w:rsidRPr="00976D49">
        <w:t xml:space="preserve"> be attributed to the livestock system</w:t>
      </w:r>
      <w:r>
        <w:t>.</w:t>
      </w:r>
      <w:r w:rsidRPr="00976D49">
        <w:t xml:space="preserve"> </w:t>
      </w:r>
      <w:r>
        <w:t>E</w:t>
      </w:r>
      <w:r w:rsidRPr="00976D49">
        <w:t>missions from crop</w:t>
      </w:r>
      <w:r>
        <w:t>ping</w:t>
      </w:r>
      <w:r w:rsidRPr="00976D49">
        <w:t xml:space="preserve"> activities, including spraying out or ploughing the pasture to prepare for cropping, </w:t>
      </w:r>
      <w:r>
        <w:t>shall</w:t>
      </w:r>
      <w:r w:rsidRPr="00976D49">
        <w:t xml:space="preserve"> be attributed to the cropping system. </w:t>
      </w:r>
    </w:p>
    <w:p w14:paraId="184EA9B4" w14:textId="77777777" w:rsidR="00600B77" w:rsidRPr="00BA3A93" w:rsidRDefault="00600B77" w:rsidP="00600B77">
      <w:pPr>
        <w:pStyle w:val="Heading3"/>
        <w:numPr>
          <w:ilvl w:val="0"/>
          <w:numId w:val="0"/>
        </w:numPr>
      </w:pPr>
      <w:r w:rsidRPr="00BA3A93">
        <w:t>Sheep</w:t>
      </w:r>
      <w:r>
        <w:t xml:space="preserve"> meat and wool</w:t>
      </w:r>
    </w:p>
    <w:p w14:paraId="1CD10AD3" w14:textId="51A32D76" w:rsidR="00600B77" w:rsidRPr="00BE24A5" w:rsidRDefault="00600B77" w:rsidP="00600B77">
      <w:r>
        <w:t>Sheep breeds are either dual purpose</w:t>
      </w:r>
      <w:r w:rsidR="00C060D6">
        <w:t xml:space="preserve"> </w:t>
      </w:r>
      <w:r w:rsidR="007D456C">
        <w:t>–</w:t>
      </w:r>
      <w:r>
        <w:t xml:space="preserve"> or grown primarily</w:t>
      </w:r>
      <w:r w:rsidDel="00A90383">
        <w:t xml:space="preserve"> </w:t>
      </w:r>
      <w:r>
        <w:t xml:space="preserve">for meat as the main product with wool as a by-product </w:t>
      </w:r>
      <w:r w:rsidR="00332072">
        <w:t>–</w:t>
      </w:r>
      <w:r>
        <w:t xml:space="preserve"> or vice versa. Allocation between sheep meat and wool sh</w:t>
      </w:r>
      <w:r w:rsidR="000721A2">
        <w:t>ould</w:t>
      </w:r>
      <w:r>
        <w:t xml:space="preserve"> be based on a biophysical relationship, using protein mass allocation as recommended by </w:t>
      </w:r>
      <w:r w:rsidRPr="00C55E65">
        <w:t>Wiedemann et al. (2015)</w:t>
      </w:r>
      <w:r w:rsidRPr="00C55E65">
        <w:rPr>
          <w:rStyle w:val="FootnoteReference"/>
        </w:rPr>
        <w:footnoteReference w:id="13"/>
      </w:r>
      <w:r w:rsidRPr="00C55E65">
        <w:t>. This</w:t>
      </w:r>
      <w:r>
        <w:t xml:space="preserve"> assumes 18% of liveweight and 100% of clean fleece dry matter is protein.</w:t>
      </w:r>
    </w:p>
    <w:p w14:paraId="1A990F7B" w14:textId="77777777" w:rsidR="00600B77" w:rsidRPr="000F5C25" w:rsidRDefault="00600B77" w:rsidP="00600B77">
      <w:pPr>
        <w:pStyle w:val="Heading3"/>
        <w:numPr>
          <w:ilvl w:val="0"/>
          <w:numId w:val="0"/>
        </w:numPr>
      </w:pPr>
      <w:r>
        <w:t>M</w:t>
      </w:r>
      <w:r w:rsidRPr="000F5C25">
        <w:t>eat production</w:t>
      </w:r>
    </w:p>
    <w:p w14:paraId="7CF39874" w14:textId="1ABE0A87" w:rsidR="00C060D6" w:rsidRDefault="00600B77" w:rsidP="00C060D6">
      <w:pPr>
        <w:rPr>
          <w:rFonts w:eastAsiaTheme="minorEastAsia"/>
        </w:rPr>
      </w:pPr>
      <w:r w:rsidRPr="588329F0">
        <w:rPr>
          <w:rFonts w:eastAsiaTheme="minorEastAsia"/>
        </w:rPr>
        <w:t>In meat production systems</w:t>
      </w:r>
      <w:r>
        <w:rPr>
          <w:rFonts w:eastAsiaTheme="minorEastAsia"/>
        </w:rPr>
        <w:t xml:space="preserve"> that do not have significant by-products,</w:t>
      </w:r>
      <w:r w:rsidRPr="588329F0">
        <w:rPr>
          <w:rFonts w:eastAsiaTheme="minorEastAsia"/>
        </w:rPr>
        <w:t xml:space="preserve"> including </w:t>
      </w:r>
      <w:r>
        <w:rPr>
          <w:rFonts w:eastAsiaTheme="minorEastAsia"/>
        </w:rPr>
        <w:t xml:space="preserve">grass-fed </w:t>
      </w:r>
      <w:r w:rsidRPr="588329F0">
        <w:rPr>
          <w:rFonts w:eastAsiaTheme="minorEastAsia"/>
        </w:rPr>
        <w:t>beef, feedlot</w:t>
      </w:r>
      <w:r>
        <w:rPr>
          <w:rFonts w:eastAsiaTheme="minorEastAsia"/>
        </w:rPr>
        <w:t xml:space="preserve"> beef, self-fleecing sheep and</w:t>
      </w:r>
      <w:r w:rsidRPr="588329F0">
        <w:rPr>
          <w:rFonts w:eastAsiaTheme="minorEastAsia"/>
        </w:rPr>
        <w:t xml:space="preserve"> goat</w:t>
      </w:r>
      <w:r>
        <w:rPr>
          <w:rFonts w:eastAsiaTheme="minorEastAsia"/>
        </w:rPr>
        <w:t xml:space="preserve">s, all emissions in the reporting period should be attributed </w:t>
      </w:r>
      <w:r w:rsidRPr="588329F0">
        <w:rPr>
          <w:rFonts w:eastAsiaTheme="minorEastAsia"/>
        </w:rPr>
        <w:t>to liveweight sold</w:t>
      </w:r>
      <w:r>
        <w:rPr>
          <w:rFonts w:eastAsiaTheme="minorEastAsia"/>
        </w:rPr>
        <w:t xml:space="preserve"> during the reporting period</w:t>
      </w:r>
      <w:r w:rsidRPr="588329F0">
        <w:rPr>
          <w:rFonts w:eastAsiaTheme="minorEastAsia"/>
        </w:rPr>
        <w:t xml:space="preserve">. </w:t>
      </w:r>
    </w:p>
    <w:p w14:paraId="282C91E1" w14:textId="77777777" w:rsidR="00600B77" w:rsidRPr="00C060D6" w:rsidRDefault="00600B77" w:rsidP="00C060D6">
      <w:pPr>
        <w:pStyle w:val="Heading3"/>
        <w:numPr>
          <w:ilvl w:val="0"/>
          <w:numId w:val="0"/>
        </w:numPr>
      </w:pPr>
      <w:r w:rsidRPr="00BA3A93">
        <w:t xml:space="preserve">Dairy </w:t>
      </w:r>
    </w:p>
    <w:p w14:paraId="50E52267" w14:textId="23F67F58" w:rsidR="00600B77" w:rsidRDefault="00600B77" w:rsidP="00600B77">
      <w:r w:rsidRPr="00ED39FF">
        <w:t>The main product of a d</w:t>
      </w:r>
      <w:r>
        <w:t>ai</w:t>
      </w:r>
      <w:r w:rsidRPr="00ED39FF">
        <w:t xml:space="preserve">ry system is milk, and the </w:t>
      </w:r>
      <w:r>
        <w:t>by</w:t>
      </w:r>
      <w:r w:rsidRPr="00ED39FF">
        <w:t xml:space="preserve">-products are </w:t>
      </w:r>
      <w:r>
        <w:t>surplus</w:t>
      </w:r>
      <w:r w:rsidRPr="00ED39FF">
        <w:t xml:space="preserve"> calves and </w:t>
      </w:r>
      <w:r>
        <w:t xml:space="preserve">culled </w:t>
      </w:r>
      <w:r w:rsidRPr="00ED39FF">
        <w:t>cows.</w:t>
      </w:r>
      <w:r>
        <w:t xml:space="preserve"> The International Dairy Federation </w:t>
      </w:r>
      <w:r w:rsidR="005A7413">
        <w:t xml:space="preserve">(IDF) </w:t>
      </w:r>
      <w:r>
        <w:t>has determined that allocation between milk and meat shall be based on the relative energy requirement of milk production vs growth (IDF, 2022)</w:t>
      </w:r>
      <w:r>
        <w:rPr>
          <w:rStyle w:val="FootnoteReference"/>
        </w:rPr>
        <w:footnoteReference w:id="14"/>
      </w:r>
      <w:r>
        <w:t>.</w:t>
      </w:r>
    </w:p>
    <w:p w14:paraId="0165B611" w14:textId="638F3264" w:rsidR="00600B77" w:rsidRDefault="00600B77" w:rsidP="00600B77">
      <w:r w:rsidRPr="003D4373">
        <w:t xml:space="preserve">Where dairy bulls are raised for beef, an energy-based allocation </w:t>
      </w:r>
      <w:r w:rsidR="000F3B17">
        <w:t xml:space="preserve">may </w:t>
      </w:r>
      <w:r w:rsidRPr="003D4373">
        <w:t xml:space="preserve">be applied, following the IDF (2022) approach, as updated by Nemecek and </w:t>
      </w:r>
      <w:proofErr w:type="spellStart"/>
      <w:r w:rsidRPr="003D4373">
        <w:t>Thoma</w:t>
      </w:r>
      <w:proofErr w:type="spellEnd"/>
      <w:r w:rsidRPr="003D4373">
        <w:t xml:space="preserve"> (202</w:t>
      </w:r>
      <w:r>
        <w:t>0</w:t>
      </w:r>
      <w:r w:rsidRPr="003D4373">
        <w:t>)</w:t>
      </w:r>
      <w:r w:rsidRPr="00F179A6">
        <w:rPr>
          <w:rStyle w:val="FootnoteReference"/>
          <w:rFonts w:ascii="Aptos" w:eastAsia="Aptos" w:hAnsi="Aptos" w:cs="Aptos"/>
          <w:color w:val="000000" w:themeColor="text1"/>
        </w:rPr>
        <w:t xml:space="preserve"> </w:t>
      </w:r>
      <w:r w:rsidRPr="007B5197">
        <w:rPr>
          <w:rStyle w:val="FootnoteReference"/>
          <w:rFonts w:ascii="Aptos" w:eastAsia="Aptos" w:hAnsi="Aptos" w:cs="Aptos"/>
          <w:color w:val="000000" w:themeColor="text1"/>
        </w:rPr>
        <w:footnoteReference w:id="15"/>
      </w:r>
      <w:r w:rsidRPr="003D4373">
        <w:t>, and further refined by Ineichen et al. (2022)</w:t>
      </w:r>
      <w:r>
        <w:rPr>
          <w:rStyle w:val="FootnoteReference"/>
        </w:rPr>
        <w:footnoteReference w:id="16"/>
      </w:r>
      <w:r w:rsidRPr="003D4373">
        <w:t>.</w:t>
      </w:r>
    </w:p>
    <w:p w14:paraId="36066C30" w14:textId="48AC350E" w:rsidR="00600B77" w:rsidRDefault="00600B77" w:rsidP="00600B77">
      <w:pPr>
        <w:rPr>
          <w:b/>
          <w:bCs/>
        </w:rPr>
      </w:pPr>
      <w:r>
        <w:t xml:space="preserve">Following IDF and </w:t>
      </w:r>
      <w:r w:rsidR="00FB47BE">
        <w:t>(Livestock Environmental Assessment and Performance Partnership (</w:t>
      </w:r>
      <w:r>
        <w:t>LEAP</w:t>
      </w:r>
      <w:r w:rsidR="00FB47BE">
        <w:t>)</w:t>
      </w:r>
      <w:r>
        <w:t xml:space="preserve"> guidelines</w:t>
      </w:r>
      <w:r>
        <w:rPr>
          <w:rStyle w:val="FootnoteReference"/>
        </w:rPr>
        <w:footnoteReference w:id="17"/>
      </w:r>
      <w:r>
        <w:t xml:space="preserve">, manure and biogas produced from manure should be considered a </w:t>
      </w:r>
      <w:r w:rsidR="006536FE">
        <w:t>’</w:t>
      </w:r>
      <w:r>
        <w:t>residue</w:t>
      </w:r>
      <w:r w:rsidR="006536FE">
        <w:t>’</w:t>
      </w:r>
      <w:r>
        <w:t xml:space="preserve"> (herein called residual output). Therefore, manure is not allocated emissions from livestock production; only emissions from processing, transport and land application are attributed to the manure. The IDF guidelines also suggest that, alternatively, manure can be classified as waste (with no emissions attributed) or as a by-product, with a share of the emissions from livestock production allocated based on economic allocation. The LEAP guidelines provide an example of biophysical relationship for allocation between milk, meat and manure.</w:t>
      </w:r>
    </w:p>
    <w:p w14:paraId="2F714841" w14:textId="77777777" w:rsidR="00600B77" w:rsidRPr="00463CD0" w:rsidDel="00FA3594" w:rsidRDefault="00600B77" w:rsidP="00600B77">
      <w:pPr>
        <w:pStyle w:val="Heading3"/>
        <w:numPr>
          <w:ilvl w:val="0"/>
          <w:numId w:val="0"/>
        </w:numPr>
      </w:pPr>
      <w:r w:rsidRPr="00463CD0" w:rsidDel="00FA3594">
        <w:t>Cotton</w:t>
      </w:r>
    </w:p>
    <w:p w14:paraId="27EDAA40" w14:textId="0421EDAB" w:rsidR="00600B77" w:rsidDel="00FA3594" w:rsidRDefault="00600B77" w:rsidP="00600B77">
      <w:r>
        <w:rPr>
          <w:rFonts w:eastAsiaTheme="minorEastAsia"/>
        </w:rPr>
        <w:t>When post-production processes for cotton are included in the system boundary,</w:t>
      </w:r>
      <w:r w:rsidRPr="588329F0" w:rsidDel="00FA3594">
        <w:rPr>
          <w:rFonts w:eastAsiaTheme="minorEastAsia"/>
        </w:rPr>
        <w:t xml:space="preserve"> allocation between lint</w:t>
      </w:r>
      <w:r>
        <w:rPr>
          <w:rFonts w:eastAsiaTheme="minorEastAsia"/>
        </w:rPr>
        <w:t xml:space="preserve">, </w:t>
      </w:r>
      <w:r w:rsidRPr="588329F0" w:rsidDel="00FA3594">
        <w:rPr>
          <w:rFonts w:eastAsiaTheme="minorEastAsia"/>
        </w:rPr>
        <w:t xml:space="preserve">seed </w:t>
      </w:r>
      <w:r>
        <w:rPr>
          <w:rFonts w:eastAsiaTheme="minorEastAsia"/>
        </w:rPr>
        <w:t>and</w:t>
      </w:r>
      <w:r w:rsidRPr="588329F0" w:rsidDel="00FA3594">
        <w:rPr>
          <w:rFonts w:eastAsiaTheme="minorEastAsia"/>
        </w:rPr>
        <w:t xml:space="preserve"> </w:t>
      </w:r>
      <w:r>
        <w:rPr>
          <w:rFonts w:eastAsiaTheme="minorEastAsia"/>
        </w:rPr>
        <w:t>other by-products</w:t>
      </w:r>
      <w:r w:rsidRPr="588329F0" w:rsidDel="00FA3594">
        <w:rPr>
          <w:rFonts w:eastAsiaTheme="minorEastAsia"/>
        </w:rPr>
        <w:t xml:space="preserve"> is based on economic allocation, </w:t>
      </w:r>
      <w:r>
        <w:rPr>
          <w:rFonts w:eastAsiaTheme="minorEastAsia"/>
        </w:rPr>
        <w:t>consistent with</w:t>
      </w:r>
      <w:r w:rsidRPr="588329F0" w:rsidDel="00FA3594">
        <w:rPr>
          <w:rFonts w:eastAsiaTheme="minorEastAsia"/>
        </w:rPr>
        <w:t xml:space="preserve"> the </w:t>
      </w:r>
      <w:r w:rsidRPr="588329F0" w:rsidDel="00FA3594">
        <w:rPr>
          <w:rFonts w:eastAsiaTheme="minorEastAsia"/>
        </w:rPr>
        <w:lastRenderedPageBreak/>
        <w:t xml:space="preserve">international industry life cycle assessment approach </w:t>
      </w:r>
      <w:r>
        <w:rPr>
          <w:rFonts w:eastAsiaTheme="minorEastAsia"/>
        </w:rPr>
        <w:t>outlined by</w:t>
      </w:r>
      <w:r w:rsidRPr="588329F0">
        <w:rPr>
          <w:rFonts w:eastAsiaTheme="minorEastAsia"/>
        </w:rPr>
        <w:t xml:space="preserve"> </w:t>
      </w:r>
      <w:proofErr w:type="spellStart"/>
      <w:r w:rsidRPr="588329F0" w:rsidDel="00FA3594">
        <w:rPr>
          <w:rFonts w:eastAsiaTheme="minorEastAsia"/>
        </w:rPr>
        <w:t>Cascale</w:t>
      </w:r>
      <w:proofErr w:type="spellEnd"/>
      <w:r w:rsidRPr="588329F0" w:rsidDel="00FA3594">
        <w:rPr>
          <w:rFonts w:eastAsiaTheme="minorEastAsia"/>
        </w:rPr>
        <w:t xml:space="preserve"> (2024)</w:t>
      </w:r>
      <w:r w:rsidDel="00FA3594">
        <w:rPr>
          <w:rStyle w:val="FootnoteReference"/>
          <w:rFonts w:eastAsiaTheme="minorEastAsia"/>
        </w:rPr>
        <w:footnoteReference w:id="18"/>
      </w:r>
      <w:r w:rsidRPr="588329F0" w:rsidDel="00FA3594">
        <w:rPr>
          <w:rFonts w:eastAsiaTheme="minorEastAsia"/>
        </w:rPr>
        <w:t xml:space="preserve">. </w:t>
      </w:r>
      <w:r>
        <w:rPr>
          <w:rFonts w:eastAsiaTheme="minorEastAsia"/>
        </w:rPr>
        <w:t>T</w:t>
      </w:r>
      <w:r w:rsidRPr="588329F0" w:rsidDel="00FA3594">
        <w:rPr>
          <w:rFonts w:eastAsiaTheme="minorEastAsia"/>
        </w:rPr>
        <w:t xml:space="preserve">he </w:t>
      </w:r>
      <w:r>
        <w:rPr>
          <w:rFonts w:eastAsiaTheme="minorEastAsia"/>
        </w:rPr>
        <w:t>Australian cotton industry appl</w:t>
      </w:r>
      <w:r w:rsidR="00F32B6B">
        <w:rPr>
          <w:rFonts w:eastAsiaTheme="minorEastAsia"/>
        </w:rPr>
        <w:t>ies</w:t>
      </w:r>
      <w:r>
        <w:rPr>
          <w:rFonts w:eastAsiaTheme="minorEastAsia"/>
        </w:rPr>
        <w:t xml:space="preserve"> an economic allocation of 83% to lint</w:t>
      </w:r>
      <w:r w:rsidR="003F469E">
        <w:rPr>
          <w:rFonts w:eastAsiaTheme="minorEastAsia"/>
        </w:rPr>
        <w:t>. This</w:t>
      </w:r>
      <w:r>
        <w:rPr>
          <w:rFonts w:eastAsiaTheme="minorEastAsia"/>
        </w:rPr>
        <w:t xml:space="preserve"> is not materially different from the internationally </w:t>
      </w:r>
      <w:r w:rsidRPr="00923703">
        <w:rPr>
          <w:rFonts w:eastAsiaTheme="minorEastAsia"/>
        </w:rPr>
        <w:t>agreed allocation of 82.7%</w:t>
      </w:r>
      <w:r>
        <w:rPr>
          <w:rFonts w:eastAsiaTheme="minorEastAsia"/>
        </w:rPr>
        <w:t>.</w:t>
      </w:r>
    </w:p>
    <w:p w14:paraId="63A91B69" w14:textId="77777777" w:rsidR="00600B77" w:rsidRDefault="00600B77" w:rsidP="00600B77">
      <w:pPr>
        <w:pStyle w:val="Heading3"/>
        <w:numPr>
          <w:ilvl w:val="0"/>
          <w:numId w:val="0"/>
        </w:numPr>
      </w:pPr>
      <w:r w:rsidRPr="008A011F">
        <w:t>Perennial production</w:t>
      </w:r>
      <w:r>
        <w:t xml:space="preserve"> systems</w:t>
      </w:r>
    </w:p>
    <w:p w14:paraId="698D73E4" w14:textId="38C34261" w:rsidR="00600B77" w:rsidRDefault="00600B77" w:rsidP="00600B77">
      <w:pPr>
        <w:rPr>
          <w:rFonts w:eastAsiaTheme="minorEastAsia"/>
        </w:rPr>
      </w:pPr>
      <w:r>
        <w:rPr>
          <w:rFonts w:eastAsiaTheme="minorEastAsia"/>
        </w:rPr>
        <w:t xml:space="preserve">For perennial crops, such as sugar cane a farm generally comprises fields at different ages, managed such that each year the mature crop is harvested. Emissions intensity should be estimated by attributing all emissions in the </w:t>
      </w:r>
      <w:r w:rsidR="00A70E85">
        <w:rPr>
          <w:rFonts w:eastAsiaTheme="minorEastAsia"/>
        </w:rPr>
        <w:t>production</w:t>
      </w:r>
      <w:r>
        <w:rPr>
          <w:rFonts w:eastAsiaTheme="minorEastAsia"/>
        </w:rPr>
        <w:t xml:space="preserve"> period to the products sold in that period.</w:t>
      </w:r>
    </w:p>
    <w:p w14:paraId="72A3EF7B" w14:textId="77777777" w:rsidR="00600B77" w:rsidRDefault="00600B77" w:rsidP="00600B77">
      <w:pPr>
        <w:rPr>
          <w:rFonts w:eastAsiaTheme="majorEastAsia" w:cstheme="majorBidi"/>
          <w:color w:val="0F4761" w:themeColor="accent1" w:themeShade="BF"/>
          <w:sz w:val="28"/>
          <w:szCs w:val="28"/>
        </w:rPr>
      </w:pPr>
      <w:r>
        <w:rPr>
          <w:rFonts w:eastAsiaTheme="majorEastAsia" w:cstheme="majorBidi"/>
          <w:color w:val="0F4761" w:themeColor="accent1" w:themeShade="BF"/>
          <w:sz w:val="28"/>
          <w:szCs w:val="28"/>
        </w:rPr>
        <w:t>B</w:t>
      </w:r>
      <w:r w:rsidRPr="006E5947">
        <w:rPr>
          <w:rFonts w:eastAsiaTheme="majorEastAsia" w:cstheme="majorBidi"/>
          <w:color w:val="0F4761" w:themeColor="accent1" w:themeShade="BF"/>
          <w:sz w:val="28"/>
          <w:szCs w:val="28"/>
        </w:rPr>
        <w:t>iomass residues</w:t>
      </w:r>
      <w:r>
        <w:rPr>
          <w:rFonts w:eastAsiaTheme="majorEastAsia" w:cstheme="majorBidi"/>
          <w:color w:val="0F4761" w:themeColor="accent1" w:themeShade="BF"/>
          <w:sz w:val="28"/>
          <w:szCs w:val="28"/>
        </w:rPr>
        <w:t xml:space="preserve"> and waste</w:t>
      </w:r>
    </w:p>
    <w:p w14:paraId="78DB6CDF" w14:textId="2CEDB38A" w:rsidR="00600B77" w:rsidRPr="00604B29" w:rsidRDefault="00600B77" w:rsidP="00604B29">
      <w:pPr>
        <w:rPr>
          <w:rFonts w:eastAsiaTheme="minorEastAsia"/>
        </w:rPr>
      </w:pPr>
      <w:r w:rsidRPr="00604B29">
        <w:rPr>
          <w:rFonts w:eastAsiaTheme="minorEastAsia"/>
        </w:rPr>
        <w:t xml:space="preserve">Where crop stubble and manure have no subsequent use, they are treated as waste, and no emissions are allocated to them. Emissions from subsequent management of these waste materials, such as burning stubble or covering a manure pond, should be attributed to the products of the crop or livestock production system from which they originated. This reflects the principle that waste management emissions are attributed to the products of the production system. For example, emissions from on-farm manure handling </w:t>
      </w:r>
      <w:r w:rsidR="00865243" w:rsidRPr="00604B29">
        <w:rPr>
          <w:rFonts w:eastAsiaTheme="minorEastAsia"/>
        </w:rPr>
        <w:t>–</w:t>
      </w:r>
      <w:r w:rsidRPr="00604B29">
        <w:rPr>
          <w:rFonts w:eastAsiaTheme="minorEastAsia"/>
        </w:rPr>
        <w:t xml:space="preserve"> such as constructing a manure pond where biogas is captured and flared (not used as an energy source) </w:t>
      </w:r>
      <w:r w:rsidR="00865243" w:rsidRPr="00604B29">
        <w:rPr>
          <w:rFonts w:eastAsiaTheme="minorEastAsia"/>
        </w:rPr>
        <w:t xml:space="preserve">– </w:t>
      </w:r>
      <w:r w:rsidRPr="00604B29">
        <w:rPr>
          <w:rFonts w:eastAsiaTheme="minorEastAsia"/>
        </w:rPr>
        <w:t>are attributed to the livestock products.</w:t>
      </w:r>
    </w:p>
    <w:p w14:paraId="14EC8EDE" w14:textId="52A9732A" w:rsidR="00600B77" w:rsidRPr="001D312F" w:rsidRDefault="00600B77" w:rsidP="00600B77">
      <w:pPr>
        <w:rPr>
          <w:rFonts w:eastAsiaTheme="minorEastAsia"/>
        </w:rPr>
      </w:pPr>
      <w:r w:rsidRPr="00604B29">
        <w:rPr>
          <w:rFonts w:eastAsiaTheme="minorEastAsia"/>
        </w:rPr>
        <w:t xml:space="preserve">Crop stubble and manure can also serve as valuable </w:t>
      </w:r>
      <w:r w:rsidRPr="001D312F">
        <w:rPr>
          <w:rFonts w:eastAsiaTheme="minorEastAsia"/>
        </w:rPr>
        <w:t xml:space="preserve">resources. </w:t>
      </w:r>
      <w:r w:rsidRPr="002D282B">
        <w:rPr>
          <w:rFonts w:eastAsiaTheme="minorEastAsia"/>
        </w:rPr>
        <w:t>They m</w:t>
      </w:r>
      <w:r w:rsidR="00FA3BA5" w:rsidRPr="002D282B">
        <w:rPr>
          <w:rFonts w:eastAsiaTheme="minorEastAsia"/>
        </w:rPr>
        <w:t>ight</w:t>
      </w:r>
      <w:r w:rsidRPr="002D282B">
        <w:rPr>
          <w:rFonts w:eastAsiaTheme="minorEastAsia"/>
        </w:rPr>
        <w:t xml:space="preserve"> be applied as soil amendment to maintain soil health and nutrient cycling or used as feedstock for bioenergy </w:t>
      </w:r>
      <w:r w:rsidRPr="001D312F">
        <w:rPr>
          <w:rFonts w:eastAsiaTheme="minorEastAsia"/>
        </w:rPr>
        <w:t>and biochar. Where crops stubble or manure has a subsequent use</w:t>
      </w:r>
      <w:r w:rsidR="00560BDE" w:rsidRPr="001D312F">
        <w:rPr>
          <w:rFonts w:eastAsiaTheme="minorEastAsia"/>
        </w:rPr>
        <w:t xml:space="preserve"> or sold</w:t>
      </w:r>
      <w:r w:rsidRPr="001D312F">
        <w:rPr>
          <w:rFonts w:eastAsiaTheme="minorEastAsia"/>
        </w:rPr>
        <w:t>, they are defined as residu</w:t>
      </w:r>
      <w:r w:rsidR="00560BDE" w:rsidRPr="001D312F">
        <w:rPr>
          <w:rFonts w:eastAsiaTheme="minorEastAsia"/>
        </w:rPr>
        <w:t>al outputs or by-products</w:t>
      </w:r>
      <w:r w:rsidRPr="001D312F">
        <w:rPr>
          <w:rFonts w:eastAsiaTheme="minorEastAsia"/>
        </w:rPr>
        <w:t xml:space="preserve"> – see Figure 2. In these cases, emissions associated with collection, transport and processing should </w:t>
      </w:r>
      <w:r w:rsidR="00560BDE" w:rsidRPr="001D312F">
        <w:rPr>
          <w:rFonts w:eastAsiaTheme="minorEastAsia"/>
        </w:rPr>
        <w:t xml:space="preserve">also </w:t>
      </w:r>
      <w:r w:rsidRPr="001D312F">
        <w:rPr>
          <w:rFonts w:eastAsiaTheme="minorEastAsia"/>
        </w:rPr>
        <w:t xml:space="preserve">be attributed to the subsequent production system.  </w:t>
      </w:r>
    </w:p>
    <w:p w14:paraId="523184D5" w14:textId="77777777" w:rsidR="00600B77" w:rsidRDefault="00600B77" w:rsidP="00600B77">
      <w:pPr>
        <w:spacing w:after="0" w:line="240" w:lineRule="auto"/>
      </w:pPr>
      <w:r w:rsidRPr="0009352D">
        <w:t>For example, if manure is</w:t>
      </w:r>
      <w:r>
        <w:t>:</w:t>
      </w:r>
      <w:r w:rsidRPr="0009352D">
        <w:t xml:space="preserve"> </w:t>
      </w:r>
    </w:p>
    <w:p w14:paraId="50C1C355" w14:textId="2DE7E6CA" w:rsidR="00600B77" w:rsidRDefault="00600B77" w:rsidP="00600B77">
      <w:pPr>
        <w:pStyle w:val="ListParagraph"/>
        <w:numPr>
          <w:ilvl w:val="0"/>
          <w:numId w:val="36"/>
        </w:numPr>
        <w:spacing w:after="0" w:line="240" w:lineRule="auto"/>
      </w:pPr>
      <w:r w:rsidRPr="0009352D">
        <w:t>pelletised as an organic fertiliser,</w:t>
      </w:r>
      <w:r w:rsidRPr="0052330A">
        <w:t xml:space="preserve"> emissions </w:t>
      </w:r>
      <w:r>
        <w:t>from</w:t>
      </w:r>
      <w:r w:rsidRPr="0052330A">
        <w:t xml:space="preserve"> collection, transport and processing are allocated to the manure</w:t>
      </w:r>
      <w:r w:rsidR="006A2F66">
        <w:t>.</w:t>
      </w:r>
      <w:r>
        <w:t xml:space="preserve"> These</w:t>
      </w:r>
      <w:r w:rsidRPr="0052330A">
        <w:t xml:space="preserve"> emissions are</w:t>
      </w:r>
      <w:r>
        <w:t xml:space="preserve"> then</w:t>
      </w:r>
      <w:r w:rsidRPr="0052330A">
        <w:t xml:space="preserve"> included in the </w:t>
      </w:r>
      <w:r>
        <w:t xml:space="preserve">emissions </w:t>
      </w:r>
      <w:r w:rsidRPr="0052330A">
        <w:t>intensity of the product</w:t>
      </w:r>
      <w:r>
        <w:t xml:space="preserve"> </w:t>
      </w:r>
      <w:r w:rsidR="004F19D9">
        <w:t xml:space="preserve">to </w:t>
      </w:r>
      <w:r w:rsidRPr="0052330A">
        <w:t xml:space="preserve">which the manure </w:t>
      </w:r>
      <w:r>
        <w:t>was applied as</w:t>
      </w:r>
      <w:r w:rsidRPr="0052330A">
        <w:t xml:space="preserve"> an input. </w:t>
      </w:r>
    </w:p>
    <w:p w14:paraId="346F798F" w14:textId="37F68E3B" w:rsidR="00600B77" w:rsidRDefault="00600B77" w:rsidP="00600B77">
      <w:pPr>
        <w:pStyle w:val="ListParagraph"/>
        <w:numPr>
          <w:ilvl w:val="0"/>
          <w:numId w:val="36"/>
        </w:numPr>
        <w:spacing w:after="0" w:line="240" w:lineRule="auto"/>
      </w:pPr>
      <w:r>
        <w:t>applied</w:t>
      </w:r>
      <w:r w:rsidRPr="0052330A">
        <w:t xml:space="preserve"> on-farm, the emissions</w:t>
      </w:r>
      <w:r w:rsidR="00A70E85">
        <w:t xml:space="preserve"> from use of manure as fertiliser </w:t>
      </w:r>
      <w:r w:rsidRPr="0052330A">
        <w:t>are included in the entity</w:t>
      </w:r>
      <w:r>
        <w:t>’s</w:t>
      </w:r>
      <w:r w:rsidRPr="0052330A">
        <w:t xml:space="preserve"> GHG inventory and</w:t>
      </w:r>
      <w:r w:rsidR="00204060">
        <w:t xml:space="preserve"> assigned</w:t>
      </w:r>
      <w:r w:rsidRPr="0052330A" w:rsidDel="00204060">
        <w:t xml:space="preserve"> </w:t>
      </w:r>
      <w:r w:rsidRPr="0052330A">
        <w:t xml:space="preserve">to the product(s) to which the manure is applied. </w:t>
      </w:r>
    </w:p>
    <w:p w14:paraId="33972915" w14:textId="10010444" w:rsidR="00600B77" w:rsidRPr="0052330A" w:rsidRDefault="00600B77" w:rsidP="00600B77">
      <w:pPr>
        <w:pStyle w:val="ListParagraph"/>
        <w:numPr>
          <w:ilvl w:val="0"/>
          <w:numId w:val="36"/>
        </w:numPr>
        <w:spacing w:after="0" w:line="240" w:lineRule="auto"/>
      </w:pPr>
      <w:r w:rsidRPr="0052330A">
        <w:t xml:space="preserve">digested to produce biogas </w:t>
      </w:r>
      <w:r>
        <w:t>for sale</w:t>
      </w:r>
      <w:r w:rsidRPr="0052330A">
        <w:t xml:space="preserve"> emissions </w:t>
      </w:r>
      <w:r>
        <w:t>from</w:t>
      </w:r>
      <w:r w:rsidRPr="0052330A">
        <w:t xml:space="preserve"> collection, transport and processing are</w:t>
      </w:r>
      <w:r w:rsidR="00D05C35">
        <w:t xml:space="preserve"> shared</w:t>
      </w:r>
      <w:r w:rsidRPr="0052330A" w:rsidDel="00D05C35">
        <w:t xml:space="preserve"> </w:t>
      </w:r>
      <w:r w:rsidRPr="0052330A">
        <w:t>to the biogas product.</w:t>
      </w:r>
    </w:p>
    <w:p w14:paraId="490FE511" w14:textId="77777777" w:rsidR="00600B77" w:rsidRDefault="00600B77" w:rsidP="00600B77">
      <w:pPr>
        <w:spacing w:after="0" w:line="240" w:lineRule="auto"/>
      </w:pPr>
    </w:p>
    <w:p w14:paraId="01D3A03C" w14:textId="1CB9915C" w:rsidR="00600B77" w:rsidRPr="000516AE" w:rsidRDefault="00600B77" w:rsidP="00600B77">
      <w:pPr>
        <w:rPr>
          <w:rFonts w:eastAsiaTheme="minorEastAsia"/>
        </w:rPr>
      </w:pPr>
      <w:r w:rsidRPr="000516AE">
        <w:rPr>
          <w:rFonts w:eastAsiaTheme="minorEastAsia"/>
        </w:rPr>
        <w:t>Other example of potential AFF residu</w:t>
      </w:r>
      <w:r w:rsidR="008B4EA4">
        <w:rPr>
          <w:rFonts w:eastAsiaTheme="minorEastAsia"/>
        </w:rPr>
        <w:t>es</w:t>
      </w:r>
      <w:r w:rsidRPr="000516AE">
        <w:rPr>
          <w:rFonts w:eastAsiaTheme="minorEastAsia"/>
        </w:rPr>
        <w:t xml:space="preserve"> include tree bark, sawdust, shellfish shells, fish processing waste.</w:t>
      </w:r>
    </w:p>
    <w:p w14:paraId="2EB6D638" w14:textId="77777777" w:rsidR="00600B77" w:rsidRPr="00E80282" w:rsidRDefault="00600B77" w:rsidP="00600B77">
      <w:pPr>
        <w:pStyle w:val="Style1"/>
        <w:rPr>
          <w:i w:val="0"/>
          <w:iCs w:val="0"/>
          <w:sz w:val="28"/>
          <w:szCs w:val="28"/>
        </w:rPr>
      </w:pPr>
      <w:r w:rsidRPr="00E80282">
        <w:rPr>
          <w:i w:val="0"/>
          <w:iCs w:val="0"/>
          <w:sz w:val="28"/>
          <w:szCs w:val="28"/>
        </w:rPr>
        <w:t xml:space="preserve">Infrequent </w:t>
      </w:r>
      <w:r>
        <w:rPr>
          <w:i w:val="0"/>
          <w:iCs w:val="0"/>
          <w:sz w:val="28"/>
          <w:szCs w:val="28"/>
        </w:rPr>
        <w:t>i</w:t>
      </w:r>
      <w:r w:rsidRPr="00E80282">
        <w:rPr>
          <w:i w:val="0"/>
          <w:iCs w:val="0"/>
          <w:sz w:val="28"/>
          <w:szCs w:val="28"/>
        </w:rPr>
        <w:t>nputs</w:t>
      </w:r>
    </w:p>
    <w:p w14:paraId="3744F392" w14:textId="5B724CCA" w:rsidR="00600B77" w:rsidRDefault="00600B77" w:rsidP="00600B77">
      <w:pPr>
        <w:rPr>
          <w:rFonts w:eastAsiaTheme="minorEastAsia"/>
        </w:rPr>
      </w:pPr>
      <w:r w:rsidRPr="00E80282">
        <w:rPr>
          <w:rFonts w:eastAsiaTheme="minorEastAsia"/>
        </w:rPr>
        <w:t xml:space="preserve">For infrequent inputs, such as lime application, emissions from these sources should be distributed between products over a specified period. In these Guidelines, the period should be equivalent to the frequency at which the input is applied. The emission should be evenly distributed over the period (e.g. </w:t>
      </w:r>
      <w:r>
        <w:rPr>
          <w:rFonts w:eastAsiaTheme="minorEastAsia"/>
        </w:rPr>
        <w:t xml:space="preserve">if </w:t>
      </w:r>
      <w:r w:rsidRPr="00E80282">
        <w:rPr>
          <w:rFonts w:eastAsiaTheme="minorEastAsia"/>
        </w:rPr>
        <w:t>lime is applied every 5 years</w:t>
      </w:r>
      <w:r>
        <w:rPr>
          <w:rFonts w:eastAsiaTheme="minorEastAsia"/>
        </w:rPr>
        <w:t xml:space="preserve"> emissions are divided by 5</w:t>
      </w:r>
      <w:r w:rsidRPr="00E80282">
        <w:rPr>
          <w:rFonts w:eastAsiaTheme="minorEastAsia"/>
        </w:rPr>
        <w:t>)</w:t>
      </w:r>
      <w:r>
        <w:rPr>
          <w:rFonts w:eastAsiaTheme="minorEastAsia"/>
        </w:rPr>
        <w:t xml:space="preserve"> </w:t>
      </w:r>
      <w:r w:rsidRPr="00E80282">
        <w:rPr>
          <w:rFonts w:eastAsiaTheme="minorEastAsia"/>
        </w:rPr>
        <w:t>and the annual amount allocated to the product</w:t>
      </w:r>
      <w:r>
        <w:rPr>
          <w:rFonts w:eastAsiaTheme="minorEastAsia"/>
        </w:rPr>
        <w:t>s</w:t>
      </w:r>
      <w:r w:rsidRPr="00E80282">
        <w:rPr>
          <w:rFonts w:eastAsiaTheme="minorEastAsia"/>
        </w:rPr>
        <w:t xml:space="preserve"> in accordance the relevant allocation method.</w:t>
      </w:r>
    </w:p>
    <w:p w14:paraId="6B40EE9F" w14:textId="77777777" w:rsidR="00600B77" w:rsidRDefault="00600B77" w:rsidP="00600B77">
      <w:pPr>
        <w:rPr>
          <w:rFonts w:eastAsiaTheme="minorEastAsia"/>
        </w:rPr>
      </w:pPr>
      <w:r>
        <w:rPr>
          <w:rFonts w:eastAsiaTheme="minorEastAsia"/>
        </w:rPr>
        <w:lastRenderedPageBreak/>
        <w:t xml:space="preserve">Note, the treatment of infrequent inputs in GHG product emissions intensity is distinct from treatment in an annual entity GHG inventory.   </w:t>
      </w:r>
    </w:p>
    <w:p w14:paraId="350F27A6" w14:textId="4834CD36" w:rsidR="00600B77" w:rsidRPr="00D977F5" w:rsidRDefault="00600B77" w:rsidP="00600B77">
      <w:pPr>
        <w:pStyle w:val="Heading3"/>
        <w:numPr>
          <w:ilvl w:val="0"/>
          <w:numId w:val="0"/>
        </w:numPr>
      </w:pPr>
      <w:r w:rsidRPr="00D977F5">
        <w:t>Cap</w:t>
      </w:r>
      <w:r>
        <w:t>i</w:t>
      </w:r>
      <w:r w:rsidRPr="00D977F5">
        <w:t xml:space="preserve">tal </w:t>
      </w:r>
      <w:r w:rsidR="00EC0206">
        <w:t>g</w:t>
      </w:r>
      <w:r w:rsidRPr="00D977F5">
        <w:t>ood</w:t>
      </w:r>
      <w:r>
        <w:t>s</w:t>
      </w:r>
    </w:p>
    <w:p w14:paraId="2170D5B6" w14:textId="69301C9F" w:rsidR="00600B77" w:rsidRDefault="00600B77" w:rsidP="00600B77">
      <w:pPr>
        <w:rPr>
          <w:rFonts w:eastAsiaTheme="minorEastAsia"/>
        </w:rPr>
      </w:pPr>
      <w:r>
        <w:rPr>
          <w:rFonts w:eastAsiaTheme="minorEastAsia"/>
        </w:rPr>
        <w:t xml:space="preserve">If an entity chooses to include capital good these emissions should be distributed evenly </w:t>
      </w:r>
      <w:r w:rsidRPr="00E80282">
        <w:rPr>
          <w:rFonts w:eastAsiaTheme="minorEastAsia"/>
        </w:rPr>
        <w:t xml:space="preserve">over a period equivalent to the </w:t>
      </w:r>
      <w:r>
        <w:rPr>
          <w:rFonts w:eastAsiaTheme="minorEastAsia"/>
        </w:rPr>
        <w:t xml:space="preserve">service life of the capital goods </w:t>
      </w:r>
      <w:r w:rsidRPr="00E80282">
        <w:rPr>
          <w:rFonts w:eastAsiaTheme="minorEastAsia"/>
        </w:rPr>
        <w:t>and the annual amount allocated to the product in accordance the relevant allocation method.</w:t>
      </w:r>
    </w:p>
    <w:tbl>
      <w:tblPr>
        <w:tblStyle w:val="TableGrid"/>
        <w:tblW w:w="0" w:type="auto"/>
        <w:tblInd w:w="0" w:type="dxa"/>
        <w:tblBorders>
          <w:top w:val="single" w:sz="4" w:space="0" w:color="auto"/>
          <w:left w:val="single" w:sz="4" w:space="0" w:color="auto"/>
          <w:bottom w:val="single" w:sz="4" w:space="0" w:color="auto"/>
          <w:right w:val="single" w:sz="4" w:space="0" w:color="auto"/>
        </w:tblBorders>
        <w:shd w:val="clear" w:color="auto" w:fill="D9F2D0" w:themeFill="accent6" w:themeFillTint="33"/>
        <w:tblLook w:val="04A0" w:firstRow="1" w:lastRow="0" w:firstColumn="1" w:lastColumn="0" w:noHBand="0" w:noVBand="1"/>
      </w:tblPr>
      <w:tblGrid>
        <w:gridCol w:w="9016"/>
      </w:tblGrid>
      <w:tr w:rsidR="00C06C32" w14:paraId="45E6F796" w14:textId="77777777" w:rsidTr="00C06C32">
        <w:tc>
          <w:tcPr>
            <w:tcW w:w="9026" w:type="dxa"/>
            <w:shd w:val="clear" w:color="auto" w:fill="D9F2D0" w:themeFill="accent6" w:themeFillTint="33"/>
          </w:tcPr>
          <w:p w14:paraId="19D4FD40" w14:textId="1EA1A371" w:rsidR="00C06C32" w:rsidRPr="00886DB1" w:rsidRDefault="00C06C32" w:rsidP="00600B77">
            <w:pPr>
              <w:rPr>
                <w:rFonts w:eastAsiaTheme="minorEastAsia"/>
                <w:b/>
                <w:bCs/>
              </w:rPr>
            </w:pPr>
            <w:r w:rsidRPr="00886DB1">
              <w:rPr>
                <w:rFonts w:eastAsiaTheme="minorEastAsia"/>
                <w:b/>
                <w:bCs/>
              </w:rPr>
              <w:t>Question</w:t>
            </w:r>
            <w:r w:rsidR="009F4996">
              <w:rPr>
                <w:rFonts w:eastAsiaTheme="minorEastAsia"/>
                <w:b/>
                <w:bCs/>
              </w:rPr>
              <w:t>s:</w:t>
            </w:r>
            <w:r w:rsidRPr="00886DB1">
              <w:rPr>
                <w:rFonts w:eastAsiaTheme="minorEastAsia"/>
                <w:b/>
                <w:bCs/>
              </w:rPr>
              <w:t xml:space="preserve"> Product category rules or industry allocation methods</w:t>
            </w:r>
          </w:p>
          <w:p w14:paraId="4EE3E5BB" w14:textId="77777777" w:rsidR="00C06C32" w:rsidRDefault="00C06C32" w:rsidP="00600B77">
            <w:pPr>
              <w:rPr>
                <w:rFonts w:eastAsiaTheme="minorEastAsia"/>
              </w:rPr>
            </w:pPr>
          </w:p>
          <w:p w14:paraId="5CFF7CC2" w14:textId="0CE5999E" w:rsidR="002D63DF" w:rsidRDefault="009F4996" w:rsidP="00600B77">
            <w:pPr>
              <w:rPr>
                <w:rFonts w:eastAsiaTheme="minorEastAsia"/>
              </w:rPr>
            </w:pPr>
            <w:r w:rsidRPr="009F4996">
              <w:rPr>
                <w:rFonts w:eastAsiaTheme="minorEastAsia"/>
                <w:b/>
                <w:bCs/>
              </w:rPr>
              <w:t>10F</w:t>
            </w:r>
            <w:r w:rsidR="00E22852">
              <w:rPr>
                <w:rFonts w:eastAsiaTheme="minorEastAsia"/>
              </w:rPr>
              <w:t xml:space="preserve"> </w:t>
            </w:r>
            <w:r w:rsidR="002D63DF">
              <w:rPr>
                <w:rFonts w:eastAsiaTheme="minorEastAsia"/>
              </w:rPr>
              <w:t xml:space="preserve">Where noted, are the product category or allocation rules referenced in Section 10.3 appropriate for Australian production systems? </w:t>
            </w:r>
          </w:p>
          <w:p w14:paraId="25A94C9B" w14:textId="069E2116" w:rsidR="00E34EFE" w:rsidRDefault="009F4996" w:rsidP="00600B77">
            <w:pPr>
              <w:rPr>
                <w:rFonts w:eastAsiaTheme="minorEastAsia"/>
              </w:rPr>
            </w:pPr>
            <w:r w:rsidRPr="009F4996">
              <w:rPr>
                <w:rFonts w:eastAsiaTheme="minorEastAsia"/>
                <w:b/>
                <w:bCs/>
              </w:rPr>
              <w:t>10G</w:t>
            </w:r>
            <w:r w:rsidR="002E64E7">
              <w:rPr>
                <w:rFonts w:eastAsiaTheme="minorEastAsia"/>
              </w:rPr>
              <w:t xml:space="preserve"> </w:t>
            </w:r>
            <w:r w:rsidR="00C06C32">
              <w:rPr>
                <w:rFonts w:eastAsiaTheme="minorEastAsia"/>
              </w:rPr>
              <w:t>Are you aware of any</w:t>
            </w:r>
            <w:r w:rsidR="002E64E7">
              <w:rPr>
                <w:rFonts w:eastAsiaTheme="minorEastAsia"/>
              </w:rPr>
              <w:t xml:space="preserve"> other</w:t>
            </w:r>
            <w:r w:rsidR="00C06C32" w:rsidDel="002E64E7">
              <w:rPr>
                <w:rFonts w:eastAsiaTheme="minorEastAsia"/>
              </w:rPr>
              <w:t xml:space="preserve"> </w:t>
            </w:r>
            <w:r w:rsidR="00E34EFE">
              <w:rPr>
                <w:rFonts w:eastAsiaTheme="minorEastAsia"/>
              </w:rPr>
              <w:t xml:space="preserve">product category rules or industry preferred allocation methods that we should reference in the Guidelines? </w:t>
            </w:r>
          </w:p>
          <w:p w14:paraId="5374E0F5" w14:textId="0B31851F" w:rsidR="00C06C32" w:rsidRDefault="009F4996" w:rsidP="00600B77">
            <w:pPr>
              <w:rPr>
                <w:rFonts w:eastAsiaTheme="minorEastAsia"/>
              </w:rPr>
            </w:pPr>
            <w:r w:rsidRPr="009F4996">
              <w:rPr>
                <w:rFonts w:eastAsiaTheme="minorEastAsia"/>
                <w:b/>
                <w:bCs/>
              </w:rPr>
              <w:t xml:space="preserve">10H </w:t>
            </w:r>
            <w:r w:rsidR="00E34EFE">
              <w:rPr>
                <w:rFonts w:eastAsiaTheme="minorEastAsia"/>
              </w:rPr>
              <w:t xml:space="preserve">If yes, </w:t>
            </w:r>
            <w:r w:rsidR="00886DB1">
              <w:rPr>
                <w:rFonts w:eastAsiaTheme="minorEastAsia"/>
              </w:rPr>
              <w:t xml:space="preserve">please provide relevant references. </w:t>
            </w:r>
            <w:r w:rsidR="00E34EFE">
              <w:rPr>
                <w:rFonts w:eastAsiaTheme="minorEastAsia"/>
              </w:rPr>
              <w:t xml:space="preserve"> </w:t>
            </w:r>
          </w:p>
        </w:tc>
      </w:tr>
    </w:tbl>
    <w:p w14:paraId="2BF6B53A" w14:textId="77777777" w:rsidR="00C06C32" w:rsidRDefault="00C06C32" w:rsidP="009458AA">
      <w:pPr>
        <w:spacing w:after="0" w:line="240" w:lineRule="auto"/>
        <w:rPr>
          <w:rFonts w:eastAsiaTheme="minorEastAsia"/>
        </w:rPr>
      </w:pPr>
    </w:p>
    <w:p w14:paraId="6C2802B7" w14:textId="77777777" w:rsidR="00AE1F04" w:rsidRPr="00132245" w:rsidRDefault="00AE1F04" w:rsidP="009458AA">
      <w:pPr>
        <w:pStyle w:val="Style1"/>
        <w:spacing w:before="0" w:after="0" w:line="240" w:lineRule="auto"/>
        <w:rPr>
          <w:i w:val="0"/>
          <w:iCs w:val="0"/>
          <w:sz w:val="28"/>
          <w:szCs w:val="28"/>
        </w:rPr>
      </w:pPr>
      <w:r>
        <w:rPr>
          <w:i w:val="0"/>
          <w:iCs w:val="0"/>
          <w:sz w:val="28"/>
          <w:szCs w:val="28"/>
        </w:rPr>
        <w:t xml:space="preserve">Land Use, </w:t>
      </w:r>
      <w:r w:rsidRPr="00132245">
        <w:rPr>
          <w:i w:val="0"/>
          <w:iCs w:val="0"/>
          <w:sz w:val="28"/>
          <w:szCs w:val="28"/>
        </w:rPr>
        <w:t>Land Use Change</w:t>
      </w:r>
      <w:r>
        <w:rPr>
          <w:i w:val="0"/>
          <w:iCs w:val="0"/>
          <w:sz w:val="28"/>
          <w:szCs w:val="28"/>
        </w:rPr>
        <w:t xml:space="preserve"> and Forestry</w:t>
      </w:r>
    </w:p>
    <w:p w14:paraId="55FD22B6" w14:textId="77777777" w:rsidR="00AE1F04" w:rsidRPr="0045175A" w:rsidRDefault="00AE1F04" w:rsidP="00AE1F04">
      <w:pPr>
        <w:pStyle w:val="Heading4"/>
        <w:numPr>
          <w:ilvl w:val="0"/>
          <w:numId w:val="0"/>
        </w:numPr>
        <w:ind w:left="864" w:hanging="864"/>
      </w:pPr>
      <w:r w:rsidRPr="0045175A">
        <w:t>Land clearing</w:t>
      </w:r>
    </w:p>
    <w:p w14:paraId="6B29803F" w14:textId="77777777" w:rsidR="00AE1F04" w:rsidRDefault="00AE1F04" w:rsidP="00AE1F04">
      <w:r>
        <w:t xml:space="preserve">All emissions associated with land clearing are attributable to products when the land-use change: </w:t>
      </w:r>
    </w:p>
    <w:p w14:paraId="3229F2D0" w14:textId="77777777" w:rsidR="00AE1F04" w:rsidRDefault="00AE1F04" w:rsidP="00AE1F04">
      <w:pPr>
        <w:pStyle w:val="ListParagraph"/>
        <w:numPr>
          <w:ilvl w:val="0"/>
          <w:numId w:val="56"/>
        </w:numPr>
      </w:pPr>
      <w:r>
        <w:t xml:space="preserve">results from human intervention with the intent of creating a product, and </w:t>
      </w:r>
    </w:p>
    <w:p w14:paraId="0E54EE35" w14:textId="77777777" w:rsidR="00AE1F04" w:rsidRDefault="00AE1F04" w:rsidP="00AE1F04">
      <w:pPr>
        <w:pStyle w:val="ListParagraph"/>
        <w:numPr>
          <w:ilvl w:val="0"/>
          <w:numId w:val="55"/>
        </w:numPr>
        <w:ind w:left="709"/>
      </w:pPr>
      <w:r>
        <w:t xml:space="preserve">has occurred within 20 years </w:t>
      </w:r>
      <w:r w:rsidDel="00EE021B">
        <w:t>of</w:t>
      </w:r>
      <w:r>
        <w:t xml:space="preserve"> the assessment period. </w:t>
      </w:r>
    </w:p>
    <w:p w14:paraId="6B431628" w14:textId="0898443B" w:rsidR="00AE1F04" w:rsidRDefault="00AE1F04" w:rsidP="00AE1F04">
      <w:r>
        <w:t>This means that land clearing resulting from human intervention with the intent of creating a product occurring 21 years prior to the assessment period is not attributable to products.</w:t>
      </w:r>
    </w:p>
    <w:p w14:paraId="07B5F180" w14:textId="77777777" w:rsidR="00AE1F04" w:rsidRDefault="00AE1F04" w:rsidP="00AE1F04">
      <w:pPr>
        <w:pStyle w:val="ListParagraph"/>
        <w:ind w:left="0"/>
      </w:pPr>
      <w:r>
        <w:t>Land clearing emissions and removals shall be distributed using a</w:t>
      </w:r>
      <w:r w:rsidRPr="005F6045">
        <w:t xml:space="preserve"> linear decline</w:t>
      </w:r>
      <w:r>
        <w:t xml:space="preserve"> over 20 years, or over the duration of a single rotation or harvest cycle (whichever is the longer period).</w:t>
      </w:r>
    </w:p>
    <w:p w14:paraId="69FE5D71" w14:textId="77777777" w:rsidR="00AE1F04" w:rsidRDefault="00AE1F04" w:rsidP="00AE1F04">
      <w:pPr>
        <w:pStyle w:val="ListParagraph"/>
        <w:ind w:left="0"/>
      </w:pPr>
    </w:p>
    <w:p w14:paraId="5E539CC1" w14:textId="77777777" w:rsidR="00AE1F04" w:rsidRDefault="00AE1F04" w:rsidP="00AE1F04">
      <w:pPr>
        <w:pStyle w:val="ListParagraph"/>
        <w:ind w:left="0"/>
      </w:pPr>
      <w:r>
        <w:t>Each year the</w:t>
      </w:r>
      <w:r w:rsidRPr="005B546B">
        <w:t xml:space="preserve"> annual</w:t>
      </w:r>
      <w:r>
        <w:t xml:space="preserve">ised land clearing </w:t>
      </w:r>
      <w:r w:rsidRPr="005B546B">
        <w:t xml:space="preserve">impacts </w:t>
      </w:r>
      <w:r>
        <w:t>shall</w:t>
      </w:r>
      <w:r w:rsidRPr="005B546B">
        <w:t xml:space="preserve"> be allocated across </w:t>
      </w:r>
      <w:r>
        <w:t xml:space="preserve">all </w:t>
      </w:r>
      <w:r w:rsidRPr="005B546B">
        <w:t>products produced in that year</w:t>
      </w:r>
      <w:r>
        <w:t>,</w:t>
      </w:r>
      <w:r w:rsidRPr="005B546B">
        <w:t xml:space="preserve"> in proportion to the emissions</w:t>
      </w:r>
      <w:r w:rsidRPr="005B546B">
        <w:rPr>
          <w:rFonts w:ascii="Cambria Math" w:hAnsi="Cambria Math" w:cs="Cambria Math"/>
        </w:rPr>
        <w:t>‑</w:t>
      </w:r>
      <w:r w:rsidRPr="005B546B">
        <w:t>intensity allocation method selected for those products (see Section 1</w:t>
      </w:r>
      <w:r>
        <w:t>0</w:t>
      </w:r>
      <w:r w:rsidRPr="005B546B">
        <w:t>.6)</w:t>
      </w:r>
      <w:r>
        <w:t>.</w:t>
      </w:r>
    </w:p>
    <w:p w14:paraId="48B176BF" w14:textId="77777777" w:rsidR="00AE1F04" w:rsidRDefault="00AE1F04" w:rsidP="00AE1F04">
      <w:pPr>
        <w:pStyle w:val="ListParagraph"/>
        <w:ind w:left="0"/>
      </w:pPr>
    </w:p>
    <w:p w14:paraId="5B256709" w14:textId="77777777" w:rsidR="00AE1F04" w:rsidRDefault="00AE1F04" w:rsidP="00AE1F04">
      <w:pPr>
        <w:pStyle w:val="ListParagraph"/>
        <w:ind w:left="0"/>
      </w:pPr>
      <w:r>
        <w:t>See the LULUCF Methodological Guidance (Appendix A2.6) for methods for estimating and amortising land clearing impacts.</w:t>
      </w:r>
    </w:p>
    <w:tbl>
      <w:tblPr>
        <w:tblStyle w:val="TableGrid"/>
        <w:tblW w:w="0" w:type="auto"/>
        <w:tblInd w:w="0" w:type="dxa"/>
        <w:tblBorders>
          <w:top w:val="single" w:sz="4" w:space="0" w:color="auto"/>
          <w:left w:val="single" w:sz="4" w:space="0" w:color="auto"/>
          <w:bottom w:val="single" w:sz="4" w:space="0" w:color="auto"/>
          <w:right w:val="single" w:sz="4" w:space="0" w:color="auto"/>
        </w:tblBorders>
        <w:shd w:val="clear" w:color="auto" w:fill="D9F2D0" w:themeFill="accent6" w:themeFillTint="33"/>
        <w:tblLook w:val="04A0" w:firstRow="1" w:lastRow="0" w:firstColumn="1" w:lastColumn="0" w:noHBand="0" w:noVBand="1"/>
      </w:tblPr>
      <w:tblGrid>
        <w:gridCol w:w="9016"/>
      </w:tblGrid>
      <w:tr w:rsidR="00C93828" w14:paraId="6EEBEBB8" w14:textId="77777777" w:rsidTr="00C93828">
        <w:tc>
          <w:tcPr>
            <w:tcW w:w="9026" w:type="dxa"/>
            <w:shd w:val="clear" w:color="auto" w:fill="D9F2D0" w:themeFill="accent6" w:themeFillTint="33"/>
          </w:tcPr>
          <w:p w14:paraId="77ED9FCE" w14:textId="7C225F34" w:rsidR="00C93828" w:rsidRPr="00C93828" w:rsidRDefault="00C93828" w:rsidP="00C93828">
            <w:pPr>
              <w:rPr>
                <w:b/>
                <w:bCs/>
              </w:rPr>
            </w:pPr>
            <w:r w:rsidRPr="005A79A6">
              <w:rPr>
                <w:b/>
                <w:bCs/>
              </w:rPr>
              <w:t xml:space="preserve">Question: </w:t>
            </w:r>
            <w:r>
              <w:rPr>
                <w:b/>
                <w:bCs/>
              </w:rPr>
              <w:t>Treatment of</w:t>
            </w:r>
            <w:r w:rsidRPr="005A79A6">
              <w:rPr>
                <w:b/>
                <w:bCs/>
              </w:rPr>
              <w:t xml:space="preserve"> land </w:t>
            </w:r>
            <w:r>
              <w:rPr>
                <w:b/>
                <w:bCs/>
              </w:rPr>
              <w:t>clearing</w:t>
            </w:r>
            <w:r w:rsidRPr="005A79A6">
              <w:rPr>
                <w:b/>
                <w:bCs/>
              </w:rPr>
              <w:t xml:space="preserve"> impacts</w:t>
            </w:r>
            <w:r>
              <w:rPr>
                <w:b/>
                <w:bCs/>
              </w:rPr>
              <w:t xml:space="preserve"> – distribution approach</w:t>
            </w:r>
          </w:p>
          <w:p w14:paraId="72189599" w14:textId="77777777" w:rsidR="00C93828" w:rsidRDefault="00C93828" w:rsidP="00C93828">
            <w:r>
              <w:t>The GHG Protocol Product Life Cycle Standard recommends distributing land-use change emissions</w:t>
            </w:r>
            <w:r w:rsidDel="006E5872">
              <w:t xml:space="preserve"> </w:t>
            </w:r>
            <w:r>
              <w:t xml:space="preserve">evenly over a period of either 20 years, or the length of single harvest cycle or rotation (whichever is longer).  </w:t>
            </w:r>
          </w:p>
          <w:p w14:paraId="34300C63" w14:textId="77777777" w:rsidR="00C93828" w:rsidRDefault="00C93828" w:rsidP="00C93828"/>
          <w:p w14:paraId="32580AE8" w14:textId="77777777" w:rsidR="00C93828" w:rsidRDefault="00C93828" w:rsidP="00C93828">
            <w:r w:rsidRPr="00576C50">
              <w:t xml:space="preserve">These Guidelines propose </w:t>
            </w:r>
            <w:r>
              <w:t>adopting</w:t>
            </w:r>
            <w:r w:rsidRPr="00576C50">
              <w:t xml:space="preserve"> a </w:t>
            </w:r>
            <w:r w:rsidRPr="32320CD0">
              <w:rPr>
                <w:b/>
                <w:bCs/>
              </w:rPr>
              <w:t>20</w:t>
            </w:r>
            <w:r>
              <w:rPr>
                <w:b/>
                <w:bCs/>
              </w:rPr>
              <w:t>-</w:t>
            </w:r>
            <w:r w:rsidRPr="32320CD0">
              <w:rPr>
                <w:b/>
                <w:bCs/>
              </w:rPr>
              <w:t>year</w:t>
            </w:r>
            <w:r w:rsidRPr="00576C50">
              <w:rPr>
                <w:b/>
                <w:bCs/>
              </w:rPr>
              <w:t xml:space="preserve"> linear decline approach</w:t>
            </w:r>
            <w:r w:rsidRPr="00576C50">
              <w:t xml:space="preserve">. This method recognises that entities </w:t>
            </w:r>
            <w:r>
              <w:t>could</w:t>
            </w:r>
            <w:r w:rsidRPr="00576C50">
              <w:t xml:space="preserve"> </w:t>
            </w:r>
            <w:r>
              <w:t xml:space="preserve">have limited ability </w:t>
            </w:r>
            <w:r w:rsidRPr="00576C50">
              <w:t xml:space="preserve">to identify </w:t>
            </w:r>
            <w:r>
              <w:t>land use</w:t>
            </w:r>
            <w:r w:rsidRPr="00576C50">
              <w:t xml:space="preserve"> change events that occurred within the past 20 years. </w:t>
            </w:r>
            <w:r>
              <w:t>A</w:t>
            </w:r>
            <w:r w:rsidRPr="00576C50">
              <w:t xml:space="preserve"> linear decline helps reduce the risk that emissions from historical land clearing are not appropriately </w:t>
            </w:r>
            <w:r>
              <w:t xml:space="preserve">assigned, </w:t>
            </w:r>
            <w:r w:rsidRPr="00576C50">
              <w:t xml:space="preserve">either </w:t>
            </w:r>
            <w:r>
              <w:t>to</w:t>
            </w:r>
            <w:r w:rsidRPr="00576C50">
              <w:t xml:space="preserve"> the current entity’s products or those of the previous landholder.</w:t>
            </w:r>
            <w:r>
              <w:t xml:space="preserve"> That is, by requiring entities to assign more emissions to products produced closer to the date of the clearing, it reduces the chance that emissions go unassigned to any product in later years, for example if the land has changed ownership and records of the earlier clearing event are not maintained.  </w:t>
            </w:r>
          </w:p>
          <w:p w14:paraId="76A7310F" w14:textId="77777777" w:rsidR="00C93828" w:rsidRPr="00576C50" w:rsidRDefault="00C93828" w:rsidP="00C93828"/>
          <w:p w14:paraId="0711F0EF" w14:textId="77777777" w:rsidR="00C93828" w:rsidRPr="00576C50" w:rsidRDefault="00C93828" w:rsidP="00C93828">
            <w:r w:rsidRPr="00C432D1">
              <w:lastRenderedPageBreak/>
              <w:t>This approach also reduces the risk of under</w:t>
            </w:r>
            <w:r w:rsidRPr="00C432D1">
              <w:rPr>
                <w:rFonts w:ascii="Cambria Math" w:hAnsi="Cambria Math" w:cs="Cambria Math"/>
              </w:rPr>
              <w:t>‑</w:t>
            </w:r>
            <w:r w:rsidRPr="00C432D1">
              <w:t>accounting where land cleared for agriculture is subsequently taken out of production within 20 years of the clearing event.</w:t>
            </w:r>
          </w:p>
          <w:p w14:paraId="5654A444" w14:textId="77777777" w:rsidR="00C93828" w:rsidRPr="0064696F" w:rsidRDefault="00C93828" w:rsidP="00C93828">
            <w:pPr>
              <w:rPr>
                <w:b/>
              </w:rPr>
            </w:pPr>
          </w:p>
          <w:p w14:paraId="43BE19AD" w14:textId="082E9B53" w:rsidR="00C93828" w:rsidRDefault="00C93828" w:rsidP="00C93828">
            <w:pPr>
              <w:pStyle w:val="ListParagraph"/>
              <w:ind w:left="0"/>
            </w:pPr>
            <w:r w:rsidRPr="009F4996">
              <w:rPr>
                <w:b/>
                <w:bCs/>
              </w:rPr>
              <w:t>10</w:t>
            </w:r>
            <w:r>
              <w:rPr>
                <w:b/>
                <w:bCs/>
              </w:rPr>
              <w:t>I</w:t>
            </w:r>
            <w:r>
              <w:t xml:space="preserve"> </w:t>
            </w:r>
            <w:r w:rsidRPr="001F22EF">
              <w:t>Is the proposed 20</w:t>
            </w:r>
            <w:r w:rsidRPr="001F22EF">
              <w:noBreakHyphen/>
              <w:t xml:space="preserve">year linear approach </w:t>
            </w:r>
            <w:r>
              <w:t xml:space="preserve">for distributing land clearing emissions </w:t>
            </w:r>
            <w:r w:rsidRPr="001F22EF">
              <w:t xml:space="preserve">appropriate? </w:t>
            </w:r>
            <w:r>
              <w:t>Please explain your reasoning.</w:t>
            </w:r>
          </w:p>
        </w:tc>
      </w:tr>
    </w:tbl>
    <w:p w14:paraId="313F2596" w14:textId="77777777" w:rsidR="00AE1F04" w:rsidRPr="00931E79" w:rsidRDefault="00AE1F04" w:rsidP="009458AA">
      <w:pPr>
        <w:pStyle w:val="Style1"/>
        <w:spacing w:before="0" w:after="0" w:line="240" w:lineRule="auto"/>
        <w:ind w:left="0" w:firstLine="0"/>
        <w:rPr>
          <w:rFonts w:eastAsiaTheme="minorHAnsi" w:cstheme="minorBidi"/>
          <w:i w:val="0"/>
          <w:iCs w:val="0"/>
          <w:color w:val="auto"/>
        </w:rPr>
      </w:pPr>
    </w:p>
    <w:p w14:paraId="5E91B96B" w14:textId="77777777" w:rsidR="00AE1F04" w:rsidRPr="00451890" w:rsidRDefault="00AE1F04" w:rsidP="00451890">
      <w:pPr>
        <w:rPr>
          <w:rFonts w:eastAsiaTheme="majorEastAsia" w:cstheme="majorBidi"/>
          <w:i/>
          <w:iCs/>
          <w:color w:val="0F4761" w:themeColor="accent1" w:themeShade="BF"/>
        </w:rPr>
      </w:pPr>
      <w:r w:rsidRPr="00132245">
        <w:rPr>
          <w:rFonts w:eastAsiaTheme="majorEastAsia" w:cstheme="majorBidi"/>
          <w:i/>
          <w:iCs/>
          <w:color w:val="0F4761" w:themeColor="accent1" w:themeShade="BF"/>
        </w:rPr>
        <w:t>Revegetation (environmental plantings) and human-induced regeneration</w:t>
      </w:r>
      <w:r w:rsidRPr="00451890">
        <w:rPr>
          <w:rFonts w:eastAsiaTheme="majorEastAsia" w:cstheme="majorBidi"/>
          <w:i/>
          <w:iCs/>
          <w:color w:val="0F4761" w:themeColor="accent1" w:themeShade="BF"/>
        </w:rPr>
        <w:t xml:space="preserve"> </w:t>
      </w:r>
    </w:p>
    <w:p w14:paraId="1783141E" w14:textId="22EAFC08" w:rsidR="00AE1F04" w:rsidRPr="00BF051C" w:rsidRDefault="00AE1F04" w:rsidP="00AE1F04">
      <w:r>
        <w:t xml:space="preserve">Emissions and removals arising from revegetation activities (excluding plantings established for forestry) and from human-induced natural regeneration </w:t>
      </w:r>
      <w:r w:rsidRPr="00F17517">
        <w:t xml:space="preserve">within </w:t>
      </w:r>
      <w:r>
        <w:t>an</w:t>
      </w:r>
      <w:r w:rsidRPr="00F17517">
        <w:t xml:space="preserve"> entity’s </w:t>
      </w:r>
      <w:r>
        <w:t xml:space="preserve">reporting boundary may be </w:t>
      </w:r>
      <w:r w:rsidR="009610D7">
        <w:t xml:space="preserve">assigned </w:t>
      </w:r>
      <w:r>
        <w:t xml:space="preserve">to products. Product emissions intensity estimates shall be reported with and without environmental plantings and human-induced regeneration.    </w:t>
      </w:r>
    </w:p>
    <w:p w14:paraId="1AA77900" w14:textId="5459007E" w:rsidR="00AE1F04" w:rsidRDefault="00AE1F04" w:rsidP="00AE1F04">
      <w:r w:rsidRPr="004E2985">
        <w:t xml:space="preserve">Where vegetation is directly and physically integrated into a production system (for example, </w:t>
      </w:r>
      <w:r w:rsidR="00226ADF">
        <w:t xml:space="preserve">trees within a </w:t>
      </w:r>
      <w:proofErr w:type="spellStart"/>
      <w:r w:rsidRPr="004E2985">
        <w:t>silvopasture</w:t>
      </w:r>
      <w:proofErr w:type="spellEnd"/>
      <w:r w:rsidRPr="004E2985">
        <w:t xml:space="preserve"> system), </w:t>
      </w:r>
      <w:r>
        <w:t xml:space="preserve">subdivision can be used to </w:t>
      </w:r>
      <w:r w:rsidR="009610D7">
        <w:t xml:space="preserve">assign </w:t>
      </w:r>
      <w:r>
        <w:t>emissions and removals</w:t>
      </w:r>
      <w:r w:rsidRPr="004E2985">
        <w:t xml:space="preserve"> to the </w:t>
      </w:r>
      <w:r>
        <w:t>harvested</w:t>
      </w:r>
      <w:r w:rsidRPr="004E2985">
        <w:t xml:space="preserve"> products.</w:t>
      </w:r>
    </w:p>
    <w:p w14:paraId="25D9AE06" w14:textId="77777777" w:rsidR="00AE1F04" w:rsidRPr="00EB227D" w:rsidRDefault="00AE1F04" w:rsidP="00AE1F04">
      <w:r w:rsidRPr="005B546B">
        <w:t xml:space="preserve">Where physical subdivision of the system is not feasible, annual </w:t>
      </w:r>
      <w:r>
        <w:t>emission and removals</w:t>
      </w:r>
      <w:r w:rsidRPr="005B546B">
        <w:t xml:space="preserve"> </w:t>
      </w:r>
      <w:r>
        <w:t>shall</w:t>
      </w:r>
      <w:r w:rsidRPr="005B546B">
        <w:t xml:space="preserve"> be allocated across </w:t>
      </w:r>
      <w:r>
        <w:t xml:space="preserve">all </w:t>
      </w:r>
      <w:r w:rsidRPr="005B546B">
        <w:t>products produced in that year in proportion to the emissions</w:t>
      </w:r>
      <w:r w:rsidRPr="005B546B">
        <w:rPr>
          <w:rFonts w:ascii="Cambria Math" w:hAnsi="Cambria Math" w:cs="Cambria Math"/>
        </w:rPr>
        <w:t>‑</w:t>
      </w:r>
      <w:r w:rsidRPr="005B546B">
        <w:t>intensity allocation method selected for those products (see Section 1</w:t>
      </w:r>
      <w:r>
        <w:t>0</w:t>
      </w:r>
      <w:r w:rsidRPr="005B546B">
        <w:t>.6).</w:t>
      </w:r>
    </w:p>
    <w:p w14:paraId="2AF5D86C" w14:textId="3CF2B56B" w:rsidR="00AE1F04" w:rsidRPr="00B703F1" w:rsidRDefault="00AE1F04" w:rsidP="00AE1F04">
      <w:r>
        <w:t>Plantations, r</w:t>
      </w:r>
      <w:r w:rsidRPr="0000724B">
        <w:t>evegetation or human</w:t>
      </w:r>
      <w:r w:rsidRPr="0000724B">
        <w:rPr>
          <w:rFonts w:ascii="Cambria Math" w:hAnsi="Cambria Math" w:cs="Cambria Math"/>
        </w:rPr>
        <w:t>‑</w:t>
      </w:r>
      <w:r w:rsidRPr="0000724B">
        <w:t xml:space="preserve">induced natural regeneration activities </w:t>
      </w:r>
      <w:r>
        <w:t>that are part of an</w:t>
      </w:r>
      <w:r w:rsidRPr="0000724B">
        <w:t xml:space="preserve"> Australian Carbon Credit Units (ACCUs) </w:t>
      </w:r>
      <w:r>
        <w:t>scheme project (</w:t>
      </w:r>
      <w:r w:rsidRPr="002A5049">
        <w:t>or any other carbon offset program)</w:t>
      </w:r>
      <w:r>
        <w:t xml:space="preserve"> shall</w:t>
      </w:r>
      <w:r w:rsidRPr="0000724B">
        <w:t xml:space="preserve"> not be</w:t>
      </w:r>
      <w:r w:rsidR="006E471F">
        <w:t xml:space="preserve"> ass</w:t>
      </w:r>
      <w:r w:rsidR="001C4C41">
        <w:t>i</w:t>
      </w:r>
      <w:r w:rsidR="006E471F">
        <w:t>gned</w:t>
      </w:r>
      <w:r w:rsidRPr="0000724B">
        <w:t xml:space="preserve"> to products</w:t>
      </w:r>
      <w:r>
        <w:t xml:space="preserve">. </w:t>
      </w:r>
    </w:p>
    <w:tbl>
      <w:tblPr>
        <w:tblStyle w:val="TableGrid"/>
        <w:tblW w:w="0" w:type="auto"/>
        <w:tblInd w:w="0" w:type="dxa"/>
        <w:tblBorders>
          <w:top w:val="single" w:sz="4" w:space="0" w:color="auto"/>
          <w:left w:val="single" w:sz="4" w:space="0" w:color="auto"/>
          <w:bottom w:val="single" w:sz="4" w:space="0" w:color="auto"/>
          <w:right w:val="single" w:sz="4" w:space="0" w:color="auto"/>
        </w:tblBorders>
        <w:shd w:val="clear" w:color="auto" w:fill="D9F2D0" w:themeFill="accent6" w:themeFillTint="33"/>
        <w:tblLook w:val="04A0" w:firstRow="1" w:lastRow="0" w:firstColumn="1" w:lastColumn="0" w:noHBand="0" w:noVBand="1"/>
      </w:tblPr>
      <w:tblGrid>
        <w:gridCol w:w="9016"/>
      </w:tblGrid>
      <w:tr w:rsidR="00AE1F04" w14:paraId="415B16F8" w14:textId="77777777">
        <w:tc>
          <w:tcPr>
            <w:tcW w:w="9026" w:type="dxa"/>
            <w:shd w:val="clear" w:color="auto" w:fill="D9F2D0" w:themeFill="accent6" w:themeFillTint="33"/>
          </w:tcPr>
          <w:p w14:paraId="27AA04FD" w14:textId="624B27DF" w:rsidR="00AE1F04" w:rsidRPr="007911EE" w:rsidRDefault="00AE1F04">
            <w:pPr>
              <w:rPr>
                <w:b/>
              </w:rPr>
            </w:pPr>
            <w:r w:rsidRPr="005A79A6">
              <w:rPr>
                <w:b/>
                <w:bCs/>
              </w:rPr>
              <w:t>Question</w:t>
            </w:r>
            <w:r w:rsidR="00C93828">
              <w:rPr>
                <w:b/>
                <w:bCs/>
              </w:rPr>
              <w:t>s</w:t>
            </w:r>
            <w:r w:rsidRPr="005A79A6">
              <w:rPr>
                <w:b/>
                <w:bCs/>
              </w:rPr>
              <w:t xml:space="preserve">: </w:t>
            </w:r>
            <w:r>
              <w:rPr>
                <w:b/>
                <w:bCs/>
              </w:rPr>
              <w:t>Treatment of revegetation and human-induced natural regeneration</w:t>
            </w:r>
          </w:p>
          <w:p w14:paraId="0A592798" w14:textId="5AB841E8" w:rsidR="00AE1F04" w:rsidRPr="007911EE" w:rsidRDefault="00AE1F04" w:rsidP="007911EE">
            <w:r>
              <w:t>The Guidelines propose that emissions and removals from</w:t>
            </w:r>
            <w:r w:rsidRPr="00EB227D">
              <w:t xml:space="preserve"> </w:t>
            </w:r>
            <w:r>
              <w:t>revegetation or</w:t>
            </w:r>
            <w:r w:rsidRPr="00EB227D">
              <w:t xml:space="preserve"> human-induced</w:t>
            </w:r>
            <w:r>
              <w:t xml:space="preserve"> natural regeneration activities</w:t>
            </w:r>
            <w:r w:rsidR="007911EE">
              <w:t xml:space="preserve"> </w:t>
            </w:r>
            <w:r w:rsidRPr="008A6560">
              <w:t xml:space="preserve">occurring </w:t>
            </w:r>
            <w:r w:rsidRPr="003573AB">
              <w:t xml:space="preserve">within </w:t>
            </w:r>
            <w:r w:rsidRPr="008A6560">
              <w:t xml:space="preserve">an </w:t>
            </w:r>
            <w:r w:rsidRPr="003573AB">
              <w:t xml:space="preserve">entity’s </w:t>
            </w:r>
            <w:r w:rsidRPr="008A6560">
              <w:t xml:space="preserve">reporting boundary </w:t>
            </w:r>
            <w:r w:rsidR="004D6CB2">
              <w:t>may</w:t>
            </w:r>
            <w:r w:rsidRPr="008A6560">
              <w:t xml:space="preserve"> be </w:t>
            </w:r>
            <w:r w:rsidR="006E471F">
              <w:t>assigned</w:t>
            </w:r>
            <w:r w:rsidRPr="008A6560">
              <w:t xml:space="preserve"> to products, with annual impacts distributed to products produced in that year using the applicable subdivision and allocation rules</w:t>
            </w:r>
            <w:r w:rsidR="007911EE">
              <w:t>.</w:t>
            </w:r>
            <w:r w:rsidR="00D96D87">
              <w:t xml:space="preserve"> However, if</w:t>
            </w:r>
            <w:r w:rsidR="008A6928">
              <w:t xml:space="preserve"> the activities were </w:t>
            </w:r>
            <w:r>
              <w:t>undertaken for the c</w:t>
            </w:r>
            <w:r w:rsidRPr="00D53F5E">
              <w:t>reat</w:t>
            </w:r>
            <w:r>
              <w:t>ion of carbon</w:t>
            </w:r>
            <w:r w:rsidRPr="00D53F5E">
              <w:t xml:space="preserve"> </w:t>
            </w:r>
            <w:r>
              <w:t>c</w:t>
            </w:r>
            <w:r w:rsidRPr="00D53F5E">
              <w:t>redit</w:t>
            </w:r>
            <w:r>
              <w:t>s</w:t>
            </w:r>
            <w:r w:rsidR="00D96D87">
              <w:t xml:space="preserve">, the </w:t>
            </w:r>
            <w:r w:rsidR="0042354E">
              <w:t xml:space="preserve">emissions and removals </w:t>
            </w:r>
            <w:r w:rsidR="00D96D87">
              <w:t>shall</w:t>
            </w:r>
            <w:r w:rsidRPr="00D53F5E">
              <w:t xml:space="preserve"> not </w:t>
            </w:r>
            <w:r w:rsidR="00D96D87">
              <w:t xml:space="preserve">be </w:t>
            </w:r>
            <w:r w:rsidRPr="00D53F5E">
              <w:t>a</w:t>
            </w:r>
            <w:r w:rsidR="0042354E">
              <w:t>ssigned</w:t>
            </w:r>
            <w:r w:rsidRPr="00D53F5E">
              <w:t xml:space="preserve"> to product</w:t>
            </w:r>
            <w:r>
              <w:t>s</w:t>
            </w:r>
            <w:r w:rsidR="00D96D87">
              <w:t>.</w:t>
            </w:r>
            <w:r>
              <w:t xml:space="preserve"> </w:t>
            </w:r>
          </w:p>
          <w:p w14:paraId="1950A1BA" w14:textId="77777777" w:rsidR="00AE1F04" w:rsidRPr="00B05413" w:rsidRDefault="00AE1F04"/>
          <w:p w14:paraId="45591631" w14:textId="7DB193AB" w:rsidR="00AE1F04" w:rsidRPr="00B05413" w:rsidRDefault="00D96D87">
            <w:r>
              <w:t xml:space="preserve">Product emissions intensity results </w:t>
            </w:r>
            <w:r w:rsidR="000A708D">
              <w:t>shall</w:t>
            </w:r>
            <w:r>
              <w:t xml:space="preserve"> be reported both with and without t</w:t>
            </w:r>
            <w:r w:rsidR="00AE1F04" w:rsidRPr="003B3CAB">
              <w:t>hese emissions and removal</w:t>
            </w:r>
            <w:r>
              <w:t>s,</w:t>
            </w:r>
            <w:r w:rsidR="00AE1F04" w:rsidRPr="003B3CAB">
              <w:t xml:space="preserve"> so that </w:t>
            </w:r>
            <w:r w:rsidR="00AE1F04">
              <w:rPr>
                <w:bCs/>
              </w:rPr>
              <w:t xml:space="preserve">the </w:t>
            </w:r>
            <w:r w:rsidR="00AE1F04" w:rsidRPr="003B3CAB">
              <w:t xml:space="preserve">user of the data can </w:t>
            </w:r>
            <w:r w:rsidR="00AE1F04">
              <w:rPr>
                <w:bCs/>
              </w:rPr>
              <w:t>elect</w:t>
            </w:r>
            <w:r w:rsidR="00AE1F04" w:rsidRPr="003B3CAB">
              <w:t xml:space="preserve"> to excluded them </w:t>
            </w:r>
            <w:r w:rsidR="00AE1F04">
              <w:rPr>
                <w:bCs/>
              </w:rPr>
              <w:t>from the product emissions intensity.</w:t>
            </w:r>
          </w:p>
          <w:p w14:paraId="05B5236E" w14:textId="77777777" w:rsidR="00AE1F04" w:rsidRPr="0056184A" w:rsidRDefault="00AE1F04"/>
          <w:p w14:paraId="111CED55" w14:textId="59CB1BAA" w:rsidR="00AE1F04" w:rsidRPr="0056184A" w:rsidRDefault="00C93828" w:rsidP="00C93828">
            <w:r w:rsidRPr="00C93828">
              <w:rPr>
                <w:b/>
                <w:bCs/>
              </w:rPr>
              <w:t xml:space="preserve">10J </w:t>
            </w:r>
            <w:r w:rsidR="00AE1F04" w:rsidRPr="0056184A">
              <w:t xml:space="preserve">Is this proposed approach appropriate? </w:t>
            </w:r>
          </w:p>
          <w:p w14:paraId="1DC99C77" w14:textId="2ED0D84A" w:rsidR="00AE1F04" w:rsidRPr="0056184A" w:rsidRDefault="00C93828" w:rsidP="00C93828">
            <w:r w:rsidRPr="00C93828">
              <w:rPr>
                <w:b/>
                <w:bCs/>
              </w:rPr>
              <w:t>10K</w:t>
            </w:r>
            <w:r>
              <w:rPr>
                <w:b/>
                <w:bCs/>
              </w:rPr>
              <w:t xml:space="preserve"> </w:t>
            </w:r>
            <w:r w:rsidR="00AE1F04" w:rsidRPr="0056184A">
              <w:t xml:space="preserve">Should any additional criteria or evidence requirements be included to support its </w:t>
            </w:r>
            <w:r w:rsidR="00AE1F04">
              <w:t>application</w:t>
            </w:r>
            <w:r w:rsidR="00AE1F04" w:rsidRPr="0056184A">
              <w:t xml:space="preserve">? </w:t>
            </w:r>
          </w:p>
          <w:p w14:paraId="5A8438C0" w14:textId="77777777" w:rsidR="00AE1F04" w:rsidRDefault="00AE1F04">
            <w:pPr>
              <w:ind w:left="426" w:hanging="284"/>
            </w:pPr>
          </w:p>
          <w:p w14:paraId="1D820E72" w14:textId="1D86F325" w:rsidR="00AE1F04" w:rsidRDefault="00AE1F04" w:rsidP="00C93828">
            <w:r>
              <w:t>Additional requirements for a</w:t>
            </w:r>
            <w:r w:rsidR="00C93828">
              <w:t xml:space="preserve">ssigning </w:t>
            </w:r>
            <w:r>
              <w:t xml:space="preserve">emissions and removals from revegetation activities to products could include permanence and ongoing monitoring requirements. </w:t>
            </w:r>
            <w:r w:rsidR="000A708D">
              <w:t xml:space="preserve">The Guidelines propose </w:t>
            </w:r>
            <w:r>
              <w:t>that</w:t>
            </w:r>
            <w:r w:rsidR="000A708D">
              <w:t xml:space="preserve"> </w:t>
            </w:r>
            <w:r>
              <w:t>if a</w:t>
            </w:r>
            <w:r w:rsidR="000A708D">
              <w:t>ssigning</w:t>
            </w:r>
            <w:r>
              <w:t xml:space="preserve"> emissions and removals from revegetation activities to products, the entity shall:</w:t>
            </w:r>
          </w:p>
          <w:p w14:paraId="2170E616" w14:textId="74CF54C3" w:rsidR="00AE1F04" w:rsidRDefault="009E42FE">
            <w:pPr>
              <w:pStyle w:val="ListParagraph"/>
              <w:numPr>
                <w:ilvl w:val="0"/>
                <w:numId w:val="49"/>
              </w:numPr>
            </w:pPr>
            <w:r>
              <w:t>p</w:t>
            </w:r>
            <w:r w:rsidR="00AE1F04">
              <w:t>repare a permanence plan explaining the steps undertaken and intended to be undertaken to ensure the permanence of the reported removals attributable to the revegetation activities</w:t>
            </w:r>
          </w:p>
          <w:p w14:paraId="06859766" w14:textId="4955F269" w:rsidR="00AE1F04" w:rsidRDefault="009E42FE">
            <w:pPr>
              <w:pStyle w:val="ListParagraph"/>
              <w:numPr>
                <w:ilvl w:val="0"/>
                <w:numId w:val="49"/>
              </w:numPr>
            </w:pPr>
            <w:r>
              <w:t>a</w:t>
            </w:r>
            <w:r w:rsidR="00AE1F04">
              <w:t>dapt the permanence plan where necessary based on changing conditions and information gathered during monitoring</w:t>
            </w:r>
          </w:p>
          <w:p w14:paraId="59043072" w14:textId="01418562" w:rsidR="00AE1F04" w:rsidRDefault="009E42FE">
            <w:pPr>
              <w:pStyle w:val="ListParagraph"/>
              <w:numPr>
                <w:ilvl w:val="0"/>
                <w:numId w:val="49"/>
              </w:numPr>
            </w:pPr>
            <w:r>
              <w:t>c</w:t>
            </w:r>
            <w:r w:rsidR="7BF1A3E5">
              <w:t>ontinue preparing an annual inventory for the activity area, which includes</w:t>
            </w:r>
            <w:r w:rsidR="13D7FD26">
              <w:t>:</w:t>
            </w:r>
            <w:r w:rsidR="7BF1A3E5">
              <w:t xml:space="preserve"> </w:t>
            </w:r>
          </w:p>
          <w:p w14:paraId="73B141D6" w14:textId="1A90DDDD" w:rsidR="00AE1F04" w:rsidRDefault="7BF1A3E5" w:rsidP="004D38B7">
            <w:pPr>
              <w:pStyle w:val="ListParagraph"/>
              <w:numPr>
                <w:ilvl w:val="1"/>
                <w:numId w:val="49"/>
              </w:numPr>
            </w:pPr>
            <w:r>
              <w:t>conducting ongoing monitoring of the area in which revegetation is taking place to identify sequestration reversals</w:t>
            </w:r>
          </w:p>
          <w:p w14:paraId="4E0DC985" w14:textId="5F1C9BD6" w:rsidR="008634D8" w:rsidRDefault="47A1F566" w:rsidP="008634D8">
            <w:pPr>
              <w:pStyle w:val="ListParagraph"/>
              <w:numPr>
                <w:ilvl w:val="1"/>
                <w:numId w:val="49"/>
              </w:numPr>
            </w:pPr>
            <w:r>
              <w:lastRenderedPageBreak/>
              <w:t>e</w:t>
            </w:r>
            <w:r w:rsidR="00AE1F04">
              <w:t>stimat</w:t>
            </w:r>
            <w:r w:rsidR="5036C2F0">
              <w:t xml:space="preserve">ing </w:t>
            </w:r>
            <w:r w:rsidR="599C2E6F">
              <w:t>a</w:t>
            </w:r>
            <w:r w:rsidR="00AE1F04">
              <w:t>nd report</w:t>
            </w:r>
            <w:r w:rsidR="003A5718">
              <w:t>ing</w:t>
            </w:r>
            <w:r w:rsidR="00AE1F04">
              <w:t xml:space="preserve"> sequestration reversals as net CO</w:t>
            </w:r>
            <w:r w:rsidR="00AE1F04" w:rsidRPr="00B42D18">
              <w:rPr>
                <w:vertAlign w:val="subscript"/>
              </w:rPr>
              <w:t>2</w:t>
            </w:r>
            <w:r w:rsidR="00AE1F04">
              <w:t xml:space="preserve"> emissions.</w:t>
            </w:r>
          </w:p>
          <w:p w14:paraId="434CF163" w14:textId="4F6B6507" w:rsidR="00AE1F04" w:rsidRPr="00BF051C" w:rsidRDefault="008634D8" w:rsidP="008634D8">
            <w:r>
              <w:t>I</w:t>
            </w:r>
            <w:r w:rsidR="00AE1F04">
              <w:t>f an entity cannot conduct ongoing monitoring of an area, the entity shall treat all previously reported removals as net CO</w:t>
            </w:r>
            <w:r w:rsidR="00AE1F04" w:rsidRPr="008634D8">
              <w:rPr>
                <w:vertAlign w:val="subscript"/>
              </w:rPr>
              <w:t>2</w:t>
            </w:r>
            <w:r w:rsidR="00AE1F04">
              <w:t xml:space="preserve"> emissions.</w:t>
            </w:r>
          </w:p>
          <w:p w14:paraId="79D53695" w14:textId="77777777" w:rsidR="00AE1F04" w:rsidRDefault="00AE1F04"/>
          <w:p w14:paraId="12758424" w14:textId="6CEF4342" w:rsidR="00AE1F04" w:rsidRDefault="00C93828">
            <w:r w:rsidRPr="00C93828">
              <w:rPr>
                <w:b/>
                <w:bCs/>
              </w:rPr>
              <w:t xml:space="preserve">10L </w:t>
            </w:r>
            <w:r w:rsidR="00AC38EA">
              <w:t>Should these additional requirements for a permanence plan and ongoing monitoring be included</w:t>
            </w:r>
            <w:r w:rsidR="00AC38EA" w:rsidRPr="0056184A">
              <w:t>?</w:t>
            </w:r>
          </w:p>
        </w:tc>
      </w:tr>
    </w:tbl>
    <w:p w14:paraId="5E8D0348" w14:textId="77777777" w:rsidR="00AE1F04" w:rsidRPr="002049CD" w:rsidDel="00537B45" w:rsidRDefault="00AE1F04" w:rsidP="00AE1F04">
      <w:pPr>
        <w:spacing w:after="0" w:line="240" w:lineRule="auto"/>
        <w:rPr>
          <w:highlight w:val="yellow"/>
        </w:rPr>
      </w:pPr>
    </w:p>
    <w:p w14:paraId="62C3BD2B" w14:textId="77777777" w:rsidR="00AE1F04" w:rsidRPr="00845871" w:rsidRDefault="00AE1F04" w:rsidP="00AE1F04">
      <w:pPr>
        <w:rPr>
          <w:rFonts w:eastAsiaTheme="majorEastAsia" w:cstheme="majorBidi"/>
          <w:i/>
          <w:iCs/>
          <w:color w:val="0F4761" w:themeColor="accent1" w:themeShade="BF"/>
        </w:rPr>
      </w:pPr>
      <w:r w:rsidRPr="00845871">
        <w:rPr>
          <w:rFonts w:eastAsiaTheme="majorEastAsia" w:cstheme="majorBidi"/>
          <w:i/>
          <w:iCs/>
          <w:color w:val="0F4761" w:themeColor="accent1" w:themeShade="BF"/>
        </w:rPr>
        <w:t xml:space="preserve">Savanna </w:t>
      </w:r>
      <w:r>
        <w:rPr>
          <w:rFonts w:eastAsiaTheme="majorEastAsia" w:cstheme="majorBidi"/>
          <w:i/>
          <w:iCs/>
          <w:color w:val="0F4761" w:themeColor="accent1" w:themeShade="BF"/>
        </w:rPr>
        <w:t>fire management</w:t>
      </w:r>
    </w:p>
    <w:p w14:paraId="0A3CF690" w14:textId="65CEF57C" w:rsidR="00AE1F04" w:rsidRDefault="00AE1F04" w:rsidP="00AE1F04">
      <w:r>
        <w:t>Because the inventory method used to estimate emissions and removals from savanna fires does not distinguish between natural and human</w:t>
      </w:r>
      <w:r>
        <w:rPr>
          <w:rFonts w:ascii="Cambria Math" w:hAnsi="Cambria Math" w:cs="Cambria Math"/>
        </w:rPr>
        <w:t>‑</w:t>
      </w:r>
      <w:r>
        <w:t xml:space="preserve">induced fires, it is not possible to </w:t>
      </w:r>
      <w:r w:rsidR="00E44830">
        <w:t>assign</w:t>
      </w:r>
      <w:r>
        <w:t xml:space="preserve"> these impacts to specific products. Therefore, all emissions and removals associated with savanna fire management should be excluded from the emissions</w:t>
      </w:r>
      <w:r>
        <w:rPr>
          <w:rFonts w:ascii="Cambria Math" w:hAnsi="Cambria Math" w:cs="Cambria Math"/>
        </w:rPr>
        <w:t>‑</w:t>
      </w:r>
      <w:r>
        <w:t>intensity calculation.</w:t>
      </w:r>
    </w:p>
    <w:p w14:paraId="5E8CF066" w14:textId="3AEE1F08" w:rsidR="00C93828" w:rsidRDefault="00AE1F04" w:rsidP="00AE1F04">
      <w:r>
        <w:t>Where relevant entities should document savanna fire management as an excluded process in their reporting.</w:t>
      </w:r>
    </w:p>
    <w:tbl>
      <w:tblPr>
        <w:tblStyle w:val="TableGrid"/>
        <w:tblW w:w="0" w:type="auto"/>
        <w:tblInd w:w="0" w:type="dxa"/>
        <w:tblBorders>
          <w:top w:val="single" w:sz="4" w:space="0" w:color="auto"/>
          <w:left w:val="single" w:sz="4" w:space="0" w:color="auto"/>
          <w:bottom w:val="single" w:sz="4" w:space="0" w:color="auto"/>
          <w:right w:val="single" w:sz="4" w:space="0" w:color="auto"/>
        </w:tblBorders>
        <w:shd w:val="clear" w:color="auto" w:fill="D9F2D0" w:themeFill="accent6" w:themeFillTint="33"/>
        <w:tblLook w:val="04A0" w:firstRow="1" w:lastRow="0" w:firstColumn="1" w:lastColumn="0" w:noHBand="0" w:noVBand="1"/>
      </w:tblPr>
      <w:tblGrid>
        <w:gridCol w:w="9016"/>
      </w:tblGrid>
      <w:tr w:rsidR="00AE1F04" w14:paraId="6AA41F9A" w14:textId="77777777">
        <w:tc>
          <w:tcPr>
            <w:tcW w:w="9016" w:type="dxa"/>
            <w:shd w:val="clear" w:color="auto" w:fill="D9F2D0" w:themeFill="accent6" w:themeFillTint="33"/>
          </w:tcPr>
          <w:p w14:paraId="21E93077" w14:textId="2957CE8E" w:rsidR="00AE1F04" w:rsidRDefault="00AE1F04">
            <w:pPr>
              <w:rPr>
                <w:b/>
              </w:rPr>
            </w:pPr>
            <w:r w:rsidRPr="005A79A6">
              <w:rPr>
                <w:b/>
                <w:bCs/>
              </w:rPr>
              <w:t>Questio</w:t>
            </w:r>
            <w:r w:rsidR="00C93828">
              <w:rPr>
                <w:b/>
                <w:bCs/>
              </w:rPr>
              <w:t>n</w:t>
            </w:r>
            <w:r w:rsidR="00830B5E">
              <w:rPr>
                <w:b/>
                <w:bCs/>
              </w:rPr>
              <w:t>s</w:t>
            </w:r>
            <w:r w:rsidR="00C93828">
              <w:rPr>
                <w:b/>
                <w:bCs/>
              </w:rPr>
              <w:t xml:space="preserve">: </w:t>
            </w:r>
            <w:r>
              <w:rPr>
                <w:b/>
                <w:bCs/>
              </w:rPr>
              <w:t>Treatment of savanna fire management emissions and removals</w:t>
            </w:r>
          </w:p>
          <w:p w14:paraId="15CAEB5E" w14:textId="2DD77A5E" w:rsidR="00AE1F04" w:rsidRDefault="00AE1F04">
            <w:r w:rsidRPr="00847531">
              <w:t xml:space="preserve">The Guidelines propose that all emissions and removals associated with savanna </w:t>
            </w:r>
            <w:r>
              <w:t>fire management</w:t>
            </w:r>
            <w:r w:rsidRPr="00847531">
              <w:t xml:space="preserve"> be excluded from emissions</w:t>
            </w:r>
            <w:r w:rsidRPr="00847531">
              <w:rPr>
                <w:rFonts w:ascii="Cambria Math" w:hAnsi="Cambria Math" w:cs="Cambria Math"/>
              </w:rPr>
              <w:t>‑</w:t>
            </w:r>
            <w:r w:rsidRPr="00847531">
              <w:t>intensity calculations, as there is no reliable method to attribute the impacts to human activity and therefore to products.</w:t>
            </w:r>
          </w:p>
          <w:p w14:paraId="24B43FA1" w14:textId="77777777" w:rsidR="00AE1F04" w:rsidRPr="00982620" w:rsidRDefault="00AE1F04">
            <w:pPr>
              <w:rPr>
                <w:b/>
              </w:rPr>
            </w:pPr>
          </w:p>
          <w:p w14:paraId="31F9CC18" w14:textId="0000CAC7" w:rsidR="00AE1F04" w:rsidRPr="0056184A" w:rsidRDefault="00C93828" w:rsidP="00C93828">
            <w:r w:rsidRPr="00C93828">
              <w:rPr>
                <w:b/>
                <w:bCs/>
              </w:rPr>
              <w:t>10M</w:t>
            </w:r>
            <w:r>
              <w:t xml:space="preserve"> </w:t>
            </w:r>
            <w:r w:rsidR="00AE1F04" w:rsidRPr="0056184A">
              <w:t xml:space="preserve">Is this proposed approach appropriate? </w:t>
            </w:r>
          </w:p>
          <w:p w14:paraId="3DD334FA" w14:textId="27543DC0" w:rsidR="00AE1F04" w:rsidRDefault="00C93828">
            <w:r w:rsidRPr="00C93828">
              <w:rPr>
                <w:b/>
                <w:bCs/>
              </w:rPr>
              <w:t>10N</w:t>
            </w:r>
            <w:r>
              <w:t xml:space="preserve"> </w:t>
            </w:r>
            <w:r w:rsidR="00AE1F04" w:rsidRPr="0056184A">
              <w:t xml:space="preserve">Can you suggest alternative approaches? </w:t>
            </w:r>
          </w:p>
        </w:tc>
      </w:tr>
    </w:tbl>
    <w:p w14:paraId="355D4D68" w14:textId="77777777" w:rsidR="00AE1F04" w:rsidRPr="00982620" w:rsidRDefault="00AE1F04" w:rsidP="00AE1F04">
      <w:pPr>
        <w:spacing w:after="0" w:line="240" w:lineRule="auto"/>
        <w:rPr>
          <w:highlight w:val="yellow"/>
        </w:rPr>
      </w:pPr>
    </w:p>
    <w:p w14:paraId="576F6F4A" w14:textId="469AF23E" w:rsidR="00AE1F04" w:rsidRPr="00845871" w:rsidRDefault="00AE1F04" w:rsidP="00AE1F04">
      <w:pPr>
        <w:rPr>
          <w:rFonts w:eastAsiaTheme="majorEastAsia" w:cstheme="majorBidi"/>
          <w:i/>
          <w:iCs/>
          <w:color w:val="0F4761" w:themeColor="accent1" w:themeShade="BF"/>
        </w:rPr>
      </w:pPr>
      <w:r w:rsidRPr="00845871">
        <w:rPr>
          <w:rFonts w:eastAsiaTheme="majorEastAsia" w:cstheme="majorBidi"/>
          <w:i/>
          <w:iCs/>
          <w:color w:val="0F4761" w:themeColor="accent1" w:themeShade="BF"/>
        </w:rPr>
        <w:t xml:space="preserve">Perennial </w:t>
      </w:r>
      <w:r w:rsidR="003B1C6E">
        <w:rPr>
          <w:rFonts w:eastAsiaTheme="majorEastAsia" w:cstheme="majorBidi"/>
          <w:i/>
          <w:iCs/>
          <w:color w:val="0F4761" w:themeColor="accent1" w:themeShade="BF"/>
        </w:rPr>
        <w:t>w</w:t>
      </w:r>
      <w:r w:rsidRPr="00845871">
        <w:rPr>
          <w:rFonts w:eastAsiaTheme="majorEastAsia" w:cstheme="majorBidi"/>
          <w:i/>
          <w:iCs/>
          <w:color w:val="0F4761" w:themeColor="accent1" w:themeShade="BF"/>
        </w:rPr>
        <w:t xml:space="preserve">oody </w:t>
      </w:r>
      <w:r w:rsidR="003B1C6E">
        <w:rPr>
          <w:rFonts w:eastAsiaTheme="majorEastAsia" w:cstheme="majorBidi"/>
          <w:i/>
          <w:iCs/>
          <w:color w:val="0F4761" w:themeColor="accent1" w:themeShade="BF"/>
        </w:rPr>
        <w:t>c</w:t>
      </w:r>
      <w:r w:rsidRPr="00845871">
        <w:rPr>
          <w:rFonts w:eastAsiaTheme="majorEastAsia" w:cstheme="majorBidi"/>
          <w:i/>
          <w:iCs/>
          <w:color w:val="0F4761" w:themeColor="accent1" w:themeShade="BF"/>
        </w:rPr>
        <w:t>rops</w:t>
      </w:r>
    </w:p>
    <w:p w14:paraId="690D41EC" w14:textId="77777777" w:rsidR="00AE1F04" w:rsidRDefault="00AE1F04" w:rsidP="00AE1F04">
      <w:r w:rsidRPr="008C7ED6">
        <w:t xml:space="preserve">Emissions and removals associated with changes in the woody carbon stocks due to the establishment and rotational replacement of perennial woody crops generally balance out over the full rotation period. </w:t>
      </w:r>
    </w:p>
    <w:tbl>
      <w:tblPr>
        <w:tblStyle w:val="TableGrid"/>
        <w:tblW w:w="0" w:type="auto"/>
        <w:tblInd w:w="0" w:type="dxa"/>
        <w:tblBorders>
          <w:top w:val="single" w:sz="4" w:space="0" w:color="auto"/>
          <w:left w:val="single" w:sz="4" w:space="0" w:color="auto"/>
          <w:bottom w:val="single" w:sz="4" w:space="0" w:color="auto"/>
          <w:right w:val="single" w:sz="4" w:space="0" w:color="auto"/>
        </w:tblBorders>
        <w:shd w:val="clear" w:color="auto" w:fill="D9F2D0" w:themeFill="accent6" w:themeFillTint="33"/>
        <w:tblLook w:val="04A0" w:firstRow="1" w:lastRow="0" w:firstColumn="1" w:lastColumn="0" w:noHBand="0" w:noVBand="1"/>
      </w:tblPr>
      <w:tblGrid>
        <w:gridCol w:w="9016"/>
      </w:tblGrid>
      <w:tr w:rsidR="00AE1F04" w14:paraId="5D6E38D3" w14:textId="77777777">
        <w:tc>
          <w:tcPr>
            <w:tcW w:w="9016" w:type="dxa"/>
            <w:shd w:val="clear" w:color="auto" w:fill="D9F2D0" w:themeFill="accent6" w:themeFillTint="33"/>
          </w:tcPr>
          <w:p w14:paraId="69AB60C0" w14:textId="7C219283" w:rsidR="00AE1F04" w:rsidRPr="00C93828" w:rsidRDefault="00AE1F04">
            <w:pPr>
              <w:rPr>
                <w:b/>
              </w:rPr>
            </w:pPr>
            <w:r w:rsidRPr="005A79A6">
              <w:rPr>
                <w:b/>
                <w:bCs/>
              </w:rPr>
              <w:t>Question</w:t>
            </w:r>
            <w:r w:rsidR="00C93828">
              <w:rPr>
                <w:b/>
                <w:bCs/>
              </w:rPr>
              <w:t xml:space="preserve">s: </w:t>
            </w:r>
            <w:r>
              <w:rPr>
                <w:b/>
                <w:bCs/>
              </w:rPr>
              <w:t>Treatment of perennial woody crops</w:t>
            </w:r>
          </w:p>
          <w:p w14:paraId="6EAB9158" w14:textId="447C3E34" w:rsidR="00AE1F04" w:rsidRDefault="00AE1F04">
            <w:r>
              <w:t xml:space="preserve">Due to generally balancing out over the full rotation period, </w:t>
            </w:r>
            <w:r w:rsidRPr="008C7ED6">
              <w:t xml:space="preserve">net changes </w:t>
            </w:r>
            <w:r>
              <w:t>in woody carbon stocks in perennial woody crops could be considered im</w:t>
            </w:r>
            <w:r w:rsidRPr="008C7ED6">
              <w:t>material</w:t>
            </w:r>
            <w:r>
              <w:t xml:space="preserve">. If so, there would be grounds to </w:t>
            </w:r>
            <w:r w:rsidRPr="008C7ED6">
              <w:t>exclude</w:t>
            </w:r>
            <w:r>
              <w:t xml:space="preserve"> them</w:t>
            </w:r>
            <w:r w:rsidRPr="008C7ED6">
              <w:t xml:space="preserve"> from the emissions intensity calculation. </w:t>
            </w:r>
            <w:r>
              <w:t xml:space="preserve">Entities could then </w:t>
            </w:r>
            <w:r w:rsidRPr="008C7ED6">
              <w:t>document this as an excluded process</w:t>
            </w:r>
            <w:r>
              <w:t xml:space="preserve"> where relevant</w:t>
            </w:r>
            <w:r w:rsidRPr="008C7ED6">
              <w:t>.</w:t>
            </w:r>
            <w:r>
              <w:t xml:space="preserve"> However, some entities m</w:t>
            </w:r>
            <w:r w:rsidR="00B60DDF">
              <w:t>ight</w:t>
            </w:r>
            <w:r>
              <w:t xml:space="preserve"> w</w:t>
            </w:r>
            <w:r w:rsidR="00B60DDF">
              <w:t>ish</w:t>
            </w:r>
            <w:r>
              <w:t xml:space="preserve"> to have the option to recognise the emissions and removals associated with their cropping activities.</w:t>
            </w:r>
          </w:p>
          <w:p w14:paraId="46F3D6E1" w14:textId="77777777" w:rsidR="00AE1F04" w:rsidRPr="00982620" w:rsidRDefault="00AE1F04">
            <w:pPr>
              <w:rPr>
                <w:b/>
              </w:rPr>
            </w:pPr>
          </w:p>
          <w:p w14:paraId="099BE7FD" w14:textId="77777777" w:rsidR="00C93828" w:rsidRDefault="00AE1F04">
            <w:pPr>
              <w:rPr>
                <w:bCs/>
              </w:rPr>
            </w:pPr>
            <w:r w:rsidRPr="00C93828">
              <w:rPr>
                <w:b/>
              </w:rPr>
              <w:t>1</w:t>
            </w:r>
            <w:r w:rsidR="00C93828" w:rsidRPr="00C93828">
              <w:rPr>
                <w:b/>
              </w:rPr>
              <w:t>0O</w:t>
            </w:r>
            <w:r w:rsidR="00C93828">
              <w:rPr>
                <w:bCs/>
              </w:rPr>
              <w:t xml:space="preserve"> </w:t>
            </w:r>
            <w:r>
              <w:rPr>
                <w:bCs/>
              </w:rPr>
              <w:t xml:space="preserve">Should entities have the option to include net emissions </w:t>
            </w:r>
            <w:r w:rsidR="00D735B5">
              <w:rPr>
                <w:bCs/>
              </w:rPr>
              <w:t xml:space="preserve">and removals </w:t>
            </w:r>
            <w:r>
              <w:rPr>
                <w:bCs/>
              </w:rPr>
              <w:t xml:space="preserve">from </w:t>
            </w:r>
            <w:r w:rsidR="009F4996">
              <w:rPr>
                <w:bCs/>
              </w:rPr>
              <w:t xml:space="preserve">tree </w:t>
            </w:r>
            <w:r>
              <w:rPr>
                <w:bCs/>
              </w:rPr>
              <w:t>establish</w:t>
            </w:r>
            <w:r w:rsidR="00800FBD">
              <w:rPr>
                <w:bCs/>
              </w:rPr>
              <w:t xml:space="preserve">ment </w:t>
            </w:r>
            <w:r>
              <w:rPr>
                <w:bCs/>
              </w:rPr>
              <w:t>and subsequent clearing</w:t>
            </w:r>
            <w:r w:rsidRPr="001030A2">
              <w:rPr>
                <w:bCs/>
              </w:rPr>
              <w:t xml:space="preserve">? </w:t>
            </w:r>
          </w:p>
          <w:p w14:paraId="723B0651" w14:textId="43BF8994" w:rsidR="00AE1F04" w:rsidRPr="008634D8" w:rsidRDefault="00C93828">
            <w:pPr>
              <w:rPr>
                <w:bCs/>
              </w:rPr>
            </w:pPr>
            <w:r w:rsidRPr="00C93828">
              <w:rPr>
                <w:b/>
              </w:rPr>
              <w:t>10P</w:t>
            </w:r>
            <w:r w:rsidR="00AE1F04" w:rsidRPr="001030A2">
              <w:rPr>
                <w:bCs/>
              </w:rPr>
              <w:t xml:space="preserve"> Can you suggest alternative approaches? </w:t>
            </w:r>
          </w:p>
        </w:tc>
      </w:tr>
    </w:tbl>
    <w:p w14:paraId="6886E9F7" w14:textId="122CA839" w:rsidR="00C93828" w:rsidRDefault="00C93828" w:rsidP="00C93828">
      <w:pPr>
        <w:spacing w:after="0" w:line="240" w:lineRule="auto"/>
        <w:rPr>
          <w:rFonts w:eastAsiaTheme="majorEastAsia" w:cstheme="majorBidi"/>
          <w:i/>
          <w:color w:val="0F4761" w:themeColor="accent1" w:themeShade="BF"/>
        </w:rPr>
      </w:pPr>
    </w:p>
    <w:p w14:paraId="1ACA977A" w14:textId="77777777" w:rsidR="00AE1F04" w:rsidRPr="00B75C57" w:rsidRDefault="00AE1F04" w:rsidP="00AE1F04">
      <w:pPr>
        <w:rPr>
          <w:rFonts w:eastAsiaTheme="majorEastAsia" w:cstheme="majorBidi"/>
          <w:i/>
          <w:color w:val="0F4761" w:themeColor="accent1" w:themeShade="BF"/>
        </w:rPr>
      </w:pPr>
      <w:r w:rsidRPr="00B75C57">
        <w:rPr>
          <w:rFonts w:eastAsiaTheme="majorEastAsia" w:cstheme="majorBidi"/>
          <w:i/>
          <w:color w:val="0F4761" w:themeColor="accent1" w:themeShade="BF"/>
        </w:rPr>
        <w:t>Plantation forestry</w:t>
      </w:r>
    </w:p>
    <w:p w14:paraId="41AD4022" w14:textId="219DC669" w:rsidR="00155511" w:rsidRDefault="00AE1F04" w:rsidP="00AE1F04">
      <w:r w:rsidRPr="00B75C57">
        <w:t xml:space="preserve">Emissions and removals </w:t>
      </w:r>
      <w:r w:rsidRPr="008C7ED6">
        <w:t xml:space="preserve">associated with changes in the woody carbon stocks due to the establishment and rotational replacement of </w:t>
      </w:r>
      <w:r w:rsidRPr="00B75C57">
        <w:t>plantation forests</w:t>
      </w:r>
      <w:r w:rsidRPr="008C7ED6">
        <w:t xml:space="preserve"> generally balance out over the full rotation period. These net changes are not considered material and can be excluded from the emissions intensity calculation</w:t>
      </w:r>
      <w:r>
        <w:t>.</w:t>
      </w:r>
      <w:r w:rsidR="00E87498" w:rsidRPr="00E87498">
        <w:t xml:space="preserve"> </w:t>
      </w:r>
    </w:p>
    <w:p w14:paraId="6921E8A0" w14:textId="4FF7E023" w:rsidR="00AE1F04" w:rsidRPr="00632C79" w:rsidRDefault="00E87498" w:rsidP="00AE1F04">
      <w:pPr>
        <w:rPr>
          <w:highlight w:val="yellow"/>
        </w:rPr>
      </w:pPr>
      <w:r>
        <w:t>B</w:t>
      </w:r>
      <w:r w:rsidRPr="00E87498">
        <w:t xml:space="preserve">iogenic </w:t>
      </w:r>
      <w:r w:rsidR="00F32AA8">
        <w:t>carbon</w:t>
      </w:r>
      <w:r w:rsidRPr="00E87498">
        <w:t xml:space="preserve"> stored in the harvested products may be reported separately</w:t>
      </w:r>
      <w:r w:rsidR="00505932">
        <w:t xml:space="preserve"> as it </w:t>
      </w:r>
      <w:r w:rsidR="00F32AA8">
        <w:t>can</w:t>
      </w:r>
      <w:r w:rsidR="00BB4924">
        <w:t xml:space="preserve"> </w:t>
      </w:r>
      <w:r w:rsidR="00BF6D88">
        <w:t>capture</w:t>
      </w:r>
      <w:r w:rsidR="00BB4924">
        <w:t xml:space="preserve"> </w:t>
      </w:r>
      <w:r w:rsidR="00275EE6">
        <w:t xml:space="preserve">a large portion of the </w:t>
      </w:r>
      <w:r w:rsidR="0097785D">
        <w:t>woody carbon stock</w:t>
      </w:r>
      <w:r w:rsidRPr="00E87498">
        <w:t>, depending on the product destination</w:t>
      </w:r>
      <w:r w:rsidR="00505932">
        <w:t>.</w:t>
      </w:r>
    </w:p>
    <w:p w14:paraId="20A54107" w14:textId="6A4D31DB" w:rsidR="00AE1F04" w:rsidRDefault="00AE1F04" w:rsidP="00AE1F04">
      <w:r>
        <w:lastRenderedPageBreak/>
        <w:t xml:space="preserve">Other emissions processes related to forestry activities (e.g. fuel use) should be </w:t>
      </w:r>
      <w:r w:rsidR="00FE03CD">
        <w:t xml:space="preserve">assigned </w:t>
      </w:r>
      <w:r>
        <w:t>to products</w:t>
      </w:r>
      <w:r w:rsidRPr="00080525">
        <w:t xml:space="preserve"> </w:t>
      </w:r>
      <w:r>
        <w:t xml:space="preserve">over </w:t>
      </w:r>
      <w:r w:rsidR="00731E03">
        <w:t xml:space="preserve">the production </w:t>
      </w:r>
      <w:r>
        <w:t>period. In these Guidelines, the period should be at least one full rotation period.</w:t>
      </w:r>
    </w:p>
    <w:tbl>
      <w:tblPr>
        <w:tblStyle w:val="TableGrid"/>
        <w:tblW w:w="0" w:type="auto"/>
        <w:tblInd w:w="0" w:type="dxa"/>
        <w:tblBorders>
          <w:top w:val="single" w:sz="4" w:space="0" w:color="auto"/>
          <w:left w:val="single" w:sz="4" w:space="0" w:color="auto"/>
          <w:bottom w:val="single" w:sz="4" w:space="0" w:color="auto"/>
          <w:right w:val="single" w:sz="4" w:space="0" w:color="auto"/>
        </w:tblBorders>
        <w:shd w:val="clear" w:color="auto" w:fill="D9F2D0" w:themeFill="accent6" w:themeFillTint="33"/>
        <w:tblLook w:val="04A0" w:firstRow="1" w:lastRow="0" w:firstColumn="1" w:lastColumn="0" w:noHBand="0" w:noVBand="1"/>
      </w:tblPr>
      <w:tblGrid>
        <w:gridCol w:w="9016"/>
      </w:tblGrid>
      <w:tr w:rsidR="00AE1F04" w14:paraId="1CCB2E46" w14:textId="77777777">
        <w:tc>
          <w:tcPr>
            <w:tcW w:w="9016" w:type="dxa"/>
            <w:shd w:val="clear" w:color="auto" w:fill="D9F2D0" w:themeFill="accent6" w:themeFillTint="33"/>
          </w:tcPr>
          <w:p w14:paraId="1B68F911" w14:textId="36416E25" w:rsidR="00AE1F04" w:rsidRPr="00C93828" w:rsidRDefault="00AE1F04">
            <w:pPr>
              <w:rPr>
                <w:b/>
              </w:rPr>
            </w:pPr>
            <w:r w:rsidRPr="005A79A6">
              <w:rPr>
                <w:b/>
                <w:bCs/>
              </w:rPr>
              <w:t>Question</w:t>
            </w:r>
            <w:r w:rsidR="00C93828">
              <w:rPr>
                <w:b/>
                <w:bCs/>
              </w:rPr>
              <w:t>s:</w:t>
            </w:r>
            <w:r w:rsidRPr="005A79A6">
              <w:rPr>
                <w:b/>
                <w:bCs/>
              </w:rPr>
              <w:t xml:space="preserve"> </w:t>
            </w:r>
            <w:r>
              <w:rPr>
                <w:b/>
                <w:bCs/>
              </w:rPr>
              <w:t>Treatment of plantation products</w:t>
            </w:r>
          </w:p>
          <w:p w14:paraId="33D8EDBB" w14:textId="3DDEF196" w:rsidR="00AE1F04" w:rsidRDefault="00AE1F04">
            <w:r w:rsidRPr="00847531">
              <w:t xml:space="preserve">The Guidelines propose that all emissions and removals </w:t>
            </w:r>
            <w:r>
              <w:t>from changes in woody carbon stock in</w:t>
            </w:r>
            <w:r w:rsidRPr="00847531">
              <w:t xml:space="preserve"> </w:t>
            </w:r>
            <w:r>
              <w:t>plantation</w:t>
            </w:r>
            <w:r w:rsidRPr="00847531">
              <w:t xml:space="preserve"> </w:t>
            </w:r>
            <w:r>
              <w:t>forestry</w:t>
            </w:r>
            <w:r w:rsidRPr="00847531">
              <w:t xml:space="preserve"> be excluded from emissions</w:t>
            </w:r>
            <w:r w:rsidRPr="00847531">
              <w:rPr>
                <w:rFonts w:ascii="Cambria Math" w:hAnsi="Cambria Math" w:cs="Cambria Math"/>
              </w:rPr>
              <w:t>‑</w:t>
            </w:r>
            <w:r w:rsidRPr="00847531">
              <w:t>intensity calculations</w:t>
            </w:r>
            <w:r>
              <w:t xml:space="preserve"> on</w:t>
            </w:r>
            <w:r w:rsidRPr="00847531">
              <w:t xml:space="preserve"> the </w:t>
            </w:r>
            <w:r>
              <w:t>basis that the net change over the full rotation period generally balance out of the rotation period</w:t>
            </w:r>
            <w:r w:rsidRPr="00847531">
              <w:t xml:space="preserve"> and </w:t>
            </w:r>
            <w:r>
              <w:t>are not considered material</w:t>
            </w:r>
            <w:r w:rsidRPr="00847531">
              <w:t>.</w:t>
            </w:r>
            <w:r>
              <w:t xml:space="preserve"> Furthermore, biogenic </w:t>
            </w:r>
            <w:r w:rsidR="00200408">
              <w:t>carbon</w:t>
            </w:r>
            <w:r>
              <w:t xml:space="preserve"> stored in the harvested products may be reported separately, potentially capturing a large portion of the woody carbon stock, depending on the product destinations.</w:t>
            </w:r>
            <w:r w:rsidR="00C93828">
              <w:t xml:space="preserve"> </w:t>
            </w:r>
            <w:r>
              <w:t xml:space="preserve">All other relevant emissions processes are to be </w:t>
            </w:r>
            <w:r w:rsidR="00FE03CD">
              <w:t>assigned</w:t>
            </w:r>
            <w:r w:rsidRPr="00847531">
              <w:t xml:space="preserve"> to products</w:t>
            </w:r>
            <w:r w:rsidRPr="00080525">
              <w:t xml:space="preserve"> </w:t>
            </w:r>
            <w:r>
              <w:t>over one full rotation period.</w:t>
            </w:r>
          </w:p>
          <w:p w14:paraId="2424EECF" w14:textId="77777777" w:rsidR="00AE1F04" w:rsidRPr="00982620" w:rsidRDefault="00AE1F04">
            <w:pPr>
              <w:rPr>
                <w:b/>
              </w:rPr>
            </w:pPr>
          </w:p>
          <w:p w14:paraId="37EA46CD" w14:textId="7EF9EB37" w:rsidR="00AE1F04" w:rsidRPr="00CA00A4" w:rsidRDefault="00C93828">
            <w:r w:rsidRPr="00C93828">
              <w:rPr>
                <w:b/>
                <w:bCs/>
              </w:rPr>
              <w:t>10Q</w:t>
            </w:r>
            <w:r w:rsidR="00AE1F04" w:rsidRPr="00CA00A4">
              <w:t xml:space="preserve"> Is this proposed approach appropriate? </w:t>
            </w:r>
          </w:p>
          <w:p w14:paraId="09CD1C81" w14:textId="65153DC5" w:rsidR="00AE1F04" w:rsidRDefault="00C93828">
            <w:r w:rsidRPr="00C93828">
              <w:rPr>
                <w:b/>
                <w:bCs/>
              </w:rPr>
              <w:t>10R</w:t>
            </w:r>
            <w:r w:rsidR="00AE1F04" w:rsidRPr="00C93828">
              <w:rPr>
                <w:b/>
                <w:bCs/>
              </w:rPr>
              <w:t xml:space="preserve"> </w:t>
            </w:r>
            <w:r w:rsidR="00AE1F04" w:rsidRPr="00CA00A4">
              <w:t xml:space="preserve">Can you suggest alternative approaches? </w:t>
            </w:r>
          </w:p>
        </w:tc>
      </w:tr>
    </w:tbl>
    <w:p w14:paraId="033382E3" w14:textId="77777777" w:rsidR="00AE1F04" w:rsidRDefault="00AE1F04" w:rsidP="00600B77">
      <w:pPr>
        <w:rPr>
          <w:rFonts w:eastAsiaTheme="minorEastAsia"/>
        </w:rPr>
      </w:pPr>
    </w:p>
    <w:p w14:paraId="0CBE1862" w14:textId="77777777" w:rsidR="00600B77" w:rsidRDefault="00600B77" w:rsidP="00860C1A">
      <w:pPr>
        <w:pStyle w:val="Heading2"/>
        <w:ind w:left="0" w:firstLine="0"/>
      </w:pPr>
      <w:bookmarkStart w:id="96" w:name="_Toc225269980"/>
      <w:r>
        <w:t>R</w:t>
      </w:r>
      <w:r w:rsidRPr="00AB094B">
        <w:t>eporting</w:t>
      </w:r>
      <w:bookmarkEnd w:id="96"/>
    </w:p>
    <w:p w14:paraId="73BA29AF" w14:textId="19C509EB" w:rsidR="00600B77" w:rsidRDefault="00600B77" w:rsidP="00600B77">
      <w:r>
        <w:t>For the emission intensity of products</w:t>
      </w:r>
      <w:r w:rsidR="008E138C">
        <w:t>,</w:t>
      </w:r>
      <w:r>
        <w:t xml:space="preserve"> entities </w:t>
      </w:r>
      <w:r w:rsidRPr="00C10E99">
        <w:t xml:space="preserve">shall </w:t>
      </w:r>
      <w:r>
        <w:t>report the following:</w:t>
      </w:r>
    </w:p>
    <w:p w14:paraId="47DE26B8" w14:textId="77777777" w:rsidR="00600B77" w:rsidRDefault="00600B77" w:rsidP="00600B77">
      <w:pPr>
        <w:pStyle w:val="ListParagraph"/>
        <w:numPr>
          <w:ilvl w:val="0"/>
          <w:numId w:val="32"/>
        </w:numPr>
        <w:spacing w:line="278" w:lineRule="auto"/>
        <w:ind w:left="714" w:hanging="357"/>
      </w:pPr>
      <w:r>
        <w:t>Summary information containing:</w:t>
      </w:r>
    </w:p>
    <w:p w14:paraId="30803C55" w14:textId="77777777" w:rsidR="00600B77" w:rsidRDefault="00600B77" w:rsidP="00600B77">
      <w:pPr>
        <w:pStyle w:val="ListParagraph"/>
        <w:numPr>
          <w:ilvl w:val="1"/>
          <w:numId w:val="37"/>
        </w:numPr>
        <w:spacing w:line="278" w:lineRule="auto"/>
        <w:ind w:left="1077" w:hanging="357"/>
      </w:pPr>
      <w:r>
        <w:t>Production system type (e.g. dairy, mixed sheep and cropping, vegetables)</w:t>
      </w:r>
    </w:p>
    <w:p w14:paraId="42975A67" w14:textId="77777777" w:rsidR="00600B77" w:rsidDel="00E24C24" w:rsidRDefault="00600B77" w:rsidP="00600B77">
      <w:pPr>
        <w:pStyle w:val="ListParagraph"/>
        <w:numPr>
          <w:ilvl w:val="1"/>
          <w:numId w:val="37"/>
        </w:numPr>
        <w:spacing w:line="278" w:lineRule="auto"/>
        <w:ind w:left="1077" w:hanging="357"/>
      </w:pPr>
      <w:r>
        <w:t>System boundary applied and definition of each stage included in the boundary</w:t>
      </w:r>
    </w:p>
    <w:p w14:paraId="4373ECDF" w14:textId="77777777" w:rsidR="00600B77" w:rsidRDefault="00600B77" w:rsidP="00600B77">
      <w:pPr>
        <w:pStyle w:val="ListParagraph"/>
        <w:numPr>
          <w:ilvl w:val="1"/>
          <w:numId w:val="37"/>
        </w:numPr>
        <w:spacing w:line="278" w:lineRule="auto"/>
        <w:ind w:left="1077" w:hanging="357"/>
      </w:pPr>
      <w:r>
        <w:t>Outputs and their classification (main product, by-product, residue or waste) for each stage in the system boundary</w:t>
      </w:r>
    </w:p>
    <w:p w14:paraId="5152FD7A" w14:textId="77777777" w:rsidR="00600B77" w:rsidRDefault="00600B77" w:rsidP="00600B77">
      <w:pPr>
        <w:pStyle w:val="ListParagraph"/>
        <w:numPr>
          <w:ilvl w:val="1"/>
          <w:numId w:val="37"/>
        </w:numPr>
        <w:spacing w:line="278" w:lineRule="auto"/>
        <w:ind w:left="1077" w:hanging="357"/>
      </w:pPr>
      <w:r>
        <w:t>Declared units for each product</w:t>
      </w:r>
    </w:p>
    <w:p w14:paraId="77D322AF" w14:textId="6B6B1912" w:rsidR="00600B77" w:rsidRDefault="00860C1A" w:rsidP="00600B77">
      <w:pPr>
        <w:pStyle w:val="ListParagraph"/>
        <w:numPr>
          <w:ilvl w:val="1"/>
          <w:numId w:val="37"/>
        </w:numPr>
        <w:spacing w:line="278" w:lineRule="auto"/>
        <w:ind w:left="1077" w:hanging="357"/>
      </w:pPr>
      <w:r>
        <w:t>P</w:t>
      </w:r>
      <w:r w:rsidR="00600B77">
        <w:t>roduction cycle for each product</w:t>
      </w:r>
    </w:p>
    <w:p w14:paraId="79E68CF4" w14:textId="77777777" w:rsidR="00600B77" w:rsidRDefault="00600B77" w:rsidP="00600B77">
      <w:pPr>
        <w:pStyle w:val="ListParagraph"/>
        <w:numPr>
          <w:ilvl w:val="1"/>
          <w:numId w:val="37"/>
        </w:numPr>
        <w:spacing w:line="278" w:lineRule="auto"/>
        <w:ind w:left="1077" w:hanging="357"/>
      </w:pPr>
      <w:r>
        <w:t>Averaging period used for reporting emissions intensity and basis for selection</w:t>
      </w:r>
    </w:p>
    <w:p w14:paraId="1CBA76BC" w14:textId="7DE5D752" w:rsidR="00600B77" w:rsidRDefault="00600B77" w:rsidP="00600B77">
      <w:pPr>
        <w:pStyle w:val="ListParagraph"/>
        <w:numPr>
          <w:ilvl w:val="1"/>
          <w:numId w:val="37"/>
        </w:numPr>
        <w:spacing w:line="278" w:lineRule="auto"/>
        <w:ind w:left="1077" w:hanging="357"/>
      </w:pPr>
      <w:r>
        <w:t xml:space="preserve">GWP </w:t>
      </w:r>
      <w:r w:rsidR="00860C1A">
        <w:t>metric applied</w:t>
      </w:r>
      <w:r>
        <w:t xml:space="preserve"> (e.g. GWP 100 IPCC AR5)</w:t>
      </w:r>
    </w:p>
    <w:p w14:paraId="3869DB25" w14:textId="77777777" w:rsidR="00600B77" w:rsidRDefault="00600B77" w:rsidP="00600B77">
      <w:pPr>
        <w:pStyle w:val="ListParagraph"/>
        <w:numPr>
          <w:ilvl w:val="0"/>
          <w:numId w:val="32"/>
        </w:numPr>
        <w:spacing w:line="278" w:lineRule="auto"/>
        <w:ind w:left="714" w:hanging="357"/>
      </w:pPr>
      <w:r>
        <w:t>Emissions intensity (kg CO</w:t>
      </w:r>
      <w:r w:rsidRPr="00E5321C">
        <w:rPr>
          <w:vertAlign w:val="subscript"/>
        </w:rPr>
        <w:t>2</w:t>
      </w:r>
      <w:r>
        <w:t xml:space="preserve">-e per declared unit) for each product (annual and average) </w:t>
      </w:r>
      <w:r w:rsidRPr="00C27641">
        <w:t xml:space="preserve">with and without </w:t>
      </w:r>
      <w:r>
        <w:t>land clearing and revegetation/regeneration</w:t>
      </w:r>
      <w:r w:rsidRPr="00C27641">
        <w:t xml:space="preserve"> emissions and removals</w:t>
      </w:r>
      <w:r>
        <w:t>.</w:t>
      </w:r>
      <w:r w:rsidRPr="00C27641">
        <w:t xml:space="preserve"> </w:t>
      </w:r>
    </w:p>
    <w:p w14:paraId="5008F3E8" w14:textId="77777777" w:rsidR="00600B77" w:rsidRDefault="00600B77" w:rsidP="00600B77">
      <w:pPr>
        <w:pStyle w:val="ListParagraph"/>
        <w:numPr>
          <w:ilvl w:val="0"/>
          <w:numId w:val="32"/>
        </w:numPr>
        <w:spacing w:line="278" w:lineRule="auto"/>
        <w:ind w:left="714" w:hanging="357"/>
      </w:pPr>
      <w:r>
        <w:t>Total emissions and removals for each product with the following reported separately:</w:t>
      </w:r>
    </w:p>
    <w:p w14:paraId="0281E07B" w14:textId="77777777" w:rsidR="00600B77" w:rsidRDefault="00600B77" w:rsidP="00600B77">
      <w:pPr>
        <w:pStyle w:val="ListParagraph"/>
        <w:numPr>
          <w:ilvl w:val="1"/>
          <w:numId w:val="37"/>
        </w:numPr>
        <w:spacing w:line="278" w:lineRule="auto"/>
        <w:ind w:left="1077" w:hanging="357"/>
      </w:pPr>
      <w:r>
        <w:t xml:space="preserve">Emissions (excluding land clearing and revegetation/regeneration) </w:t>
      </w:r>
    </w:p>
    <w:p w14:paraId="4B8D6FF4" w14:textId="77777777" w:rsidR="00600B77" w:rsidRDefault="00600B77" w:rsidP="00600B77">
      <w:pPr>
        <w:pStyle w:val="ListParagraph"/>
        <w:numPr>
          <w:ilvl w:val="1"/>
          <w:numId w:val="37"/>
        </w:numPr>
        <w:spacing w:line="278" w:lineRule="auto"/>
        <w:ind w:left="1077" w:hanging="357"/>
      </w:pPr>
      <w:r>
        <w:t>Emissions or removals from land clearing</w:t>
      </w:r>
    </w:p>
    <w:p w14:paraId="0C0CB000" w14:textId="77777777" w:rsidR="00600B77" w:rsidRDefault="00600B77" w:rsidP="00600B77">
      <w:pPr>
        <w:pStyle w:val="ListParagraph"/>
        <w:numPr>
          <w:ilvl w:val="1"/>
          <w:numId w:val="37"/>
        </w:numPr>
        <w:spacing w:line="278" w:lineRule="auto"/>
        <w:ind w:left="1077" w:hanging="357"/>
      </w:pPr>
      <w:r>
        <w:t xml:space="preserve">Emissions and removals from regeneration and revegetation </w:t>
      </w:r>
    </w:p>
    <w:p w14:paraId="5DC897A3" w14:textId="2D4CDEA5" w:rsidR="00600B77" w:rsidRDefault="00600B77" w:rsidP="00600B77">
      <w:pPr>
        <w:pStyle w:val="ListParagraph"/>
        <w:numPr>
          <w:ilvl w:val="0"/>
          <w:numId w:val="32"/>
        </w:numPr>
        <w:spacing w:line="278" w:lineRule="auto"/>
        <w:ind w:left="714" w:hanging="357"/>
      </w:pPr>
      <w:r>
        <w:t xml:space="preserve">Emissions and removals by process </w:t>
      </w:r>
      <w:r w:rsidDel="004A21C2">
        <w:t>for</w:t>
      </w:r>
      <w:r>
        <w:t xml:space="preserve"> each product and stage included in the system boundary </w:t>
      </w:r>
    </w:p>
    <w:p w14:paraId="736E256C" w14:textId="77777777" w:rsidR="00600B77" w:rsidRDefault="00600B77" w:rsidP="00600B77">
      <w:pPr>
        <w:pStyle w:val="ListParagraph"/>
        <w:numPr>
          <w:ilvl w:val="0"/>
          <w:numId w:val="32"/>
        </w:numPr>
        <w:spacing w:line="278" w:lineRule="auto"/>
        <w:ind w:left="714" w:hanging="357"/>
      </w:pPr>
      <w:r>
        <w:t xml:space="preserve">Removals for which carbon credits have been sold shall not be included in product emissions intensities </w:t>
      </w:r>
    </w:p>
    <w:p w14:paraId="639E9EF0" w14:textId="77777777" w:rsidR="00600B77" w:rsidRDefault="00600B77" w:rsidP="00600B77">
      <w:r>
        <w:t>The following information shall be documented:</w:t>
      </w:r>
    </w:p>
    <w:p w14:paraId="57443D05" w14:textId="77777777" w:rsidR="00600B77" w:rsidRDefault="00600B77" w:rsidP="00600B77">
      <w:pPr>
        <w:pStyle w:val="ListParagraph"/>
        <w:numPr>
          <w:ilvl w:val="0"/>
          <w:numId w:val="38"/>
        </w:numPr>
        <w:spacing w:line="278" w:lineRule="auto"/>
        <w:ind w:left="714" w:hanging="357"/>
      </w:pPr>
      <w:r>
        <w:t>Excluded emissions and removals processes and justification for exclusion</w:t>
      </w:r>
    </w:p>
    <w:p w14:paraId="77A88136" w14:textId="4CF0A0A8" w:rsidR="00FE5FC0" w:rsidRDefault="00600B77" w:rsidP="006A4D30">
      <w:pPr>
        <w:pStyle w:val="ListParagraph"/>
        <w:numPr>
          <w:ilvl w:val="0"/>
          <w:numId w:val="38"/>
        </w:numPr>
        <w:spacing w:line="278" w:lineRule="auto"/>
        <w:ind w:left="714" w:hanging="357"/>
      </w:pPr>
      <w:r>
        <w:t xml:space="preserve">Detailed information of the allocation approach including allocation fractions applied </w:t>
      </w:r>
    </w:p>
    <w:p w14:paraId="0B20F996" w14:textId="7EF730E8" w:rsidR="00F067C7" w:rsidRDefault="00F067C7" w:rsidP="006A4D30">
      <w:pPr>
        <w:pStyle w:val="ListParagraph"/>
        <w:numPr>
          <w:ilvl w:val="0"/>
          <w:numId w:val="38"/>
        </w:numPr>
        <w:spacing w:line="278" w:lineRule="auto"/>
        <w:ind w:left="714" w:hanging="357"/>
      </w:pPr>
      <w:r>
        <w:t>Results of sensitivity analysis if undertaken</w:t>
      </w:r>
    </w:p>
    <w:p w14:paraId="7DAB58CB" w14:textId="48D5911F" w:rsidR="00174569" w:rsidRDefault="00174569" w:rsidP="00F067C7">
      <w:pPr>
        <w:pStyle w:val="Heading1"/>
        <w:spacing w:before="120"/>
        <w:ind w:left="431" w:hanging="431"/>
      </w:pPr>
      <w:bookmarkStart w:id="97" w:name="_Toc224910695"/>
      <w:bookmarkStart w:id="98" w:name="_Toc225166544"/>
      <w:bookmarkStart w:id="99" w:name="_Toc225269981"/>
      <w:bookmarkStart w:id="100" w:name="Documentation"/>
      <w:bookmarkEnd w:id="97"/>
      <w:bookmarkEnd w:id="98"/>
      <w:r>
        <w:lastRenderedPageBreak/>
        <w:t>Good practice documentation management</w:t>
      </w:r>
      <w:bookmarkEnd w:id="99"/>
    </w:p>
    <w:p w14:paraId="317A5A0F" w14:textId="77777777" w:rsidR="00174569" w:rsidRDefault="00174569" w:rsidP="00174569">
      <w:r>
        <w:t xml:space="preserve">Comprehensive documentation supports quality assurance and verification </w:t>
      </w:r>
      <w:proofErr w:type="gramStart"/>
      <w:r>
        <w:t>processes, and</w:t>
      </w:r>
      <w:proofErr w:type="gramEnd"/>
      <w:r>
        <w:t xml:space="preserve"> enables continuous improvement.</w:t>
      </w:r>
    </w:p>
    <w:p w14:paraId="3DDDC418" w14:textId="77777777" w:rsidR="00174569" w:rsidRDefault="00174569" w:rsidP="00174569">
      <w:r>
        <w:t>The entity shall maintain:</w:t>
      </w:r>
    </w:p>
    <w:p w14:paraId="7FB8B3F7" w14:textId="77777777" w:rsidR="00174569" w:rsidRDefault="00174569" w:rsidP="00174569">
      <w:pPr>
        <w:pStyle w:val="ListParagraph"/>
        <w:numPr>
          <w:ilvl w:val="0"/>
          <w:numId w:val="8"/>
        </w:numPr>
        <w:spacing w:line="278" w:lineRule="auto"/>
      </w:pPr>
      <w:r>
        <w:t>Data management records:</w:t>
      </w:r>
    </w:p>
    <w:p w14:paraId="6BDD1678" w14:textId="77777777" w:rsidR="00174569" w:rsidRDefault="00174569" w:rsidP="00076B9B">
      <w:pPr>
        <w:pStyle w:val="ListParagraph"/>
        <w:numPr>
          <w:ilvl w:val="0"/>
          <w:numId w:val="17"/>
        </w:numPr>
        <w:spacing w:line="278" w:lineRule="auto"/>
      </w:pPr>
      <w:r>
        <w:t>data collection procedures and responsibilities</w:t>
      </w:r>
    </w:p>
    <w:p w14:paraId="1BB3F0A8" w14:textId="77777777" w:rsidR="00174569" w:rsidRDefault="00174569" w:rsidP="00076B9B">
      <w:pPr>
        <w:pStyle w:val="ListParagraph"/>
        <w:numPr>
          <w:ilvl w:val="0"/>
          <w:numId w:val="17"/>
        </w:numPr>
        <w:spacing w:line="278" w:lineRule="auto"/>
      </w:pPr>
      <w:r>
        <w:t>primary data sources with collection dates</w:t>
      </w:r>
    </w:p>
    <w:p w14:paraId="612428A2" w14:textId="77777777" w:rsidR="00174569" w:rsidRDefault="00174569" w:rsidP="00076B9B">
      <w:pPr>
        <w:pStyle w:val="ListParagraph"/>
        <w:numPr>
          <w:ilvl w:val="0"/>
          <w:numId w:val="17"/>
        </w:numPr>
        <w:spacing w:line="278" w:lineRule="auto"/>
      </w:pPr>
      <w:r>
        <w:t>data validation and quality control processes</w:t>
      </w:r>
    </w:p>
    <w:p w14:paraId="4337B341" w14:textId="77777777" w:rsidR="00174569" w:rsidRDefault="00174569" w:rsidP="00076B9B">
      <w:pPr>
        <w:pStyle w:val="ListParagraph"/>
        <w:numPr>
          <w:ilvl w:val="0"/>
          <w:numId w:val="17"/>
        </w:numPr>
        <w:spacing w:line="278" w:lineRule="auto"/>
      </w:pPr>
      <w:r>
        <w:t>treatment of data gaps and estimates</w:t>
      </w:r>
    </w:p>
    <w:p w14:paraId="4AE4ADBD" w14:textId="77777777" w:rsidR="00174569" w:rsidRDefault="00174569" w:rsidP="00174569">
      <w:pPr>
        <w:pStyle w:val="ListParagraph"/>
        <w:numPr>
          <w:ilvl w:val="0"/>
          <w:numId w:val="8"/>
        </w:numPr>
        <w:spacing w:line="278" w:lineRule="auto"/>
      </w:pPr>
      <w:r>
        <w:t>Calculation records:</w:t>
      </w:r>
    </w:p>
    <w:p w14:paraId="41E9FF6E" w14:textId="77777777" w:rsidR="00174569" w:rsidRDefault="00174569" w:rsidP="00076B9B">
      <w:pPr>
        <w:pStyle w:val="ListParagraph"/>
        <w:numPr>
          <w:ilvl w:val="0"/>
          <w:numId w:val="17"/>
        </w:numPr>
        <w:spacing w:line="278" w:lineRule="auto"/>
      </w:pPr>
      <w:r>
        <w:t>complete calculation worksheets or software outputs</w:t>
      </w:r>
    </w:p>
    <w:p w14:paraId="48F8FBA6" w14:textId="77777777" w:rsidR="00174569" w:rsidRDefault="00174569" w:rsidP="00076B9B">
      <w:pPr>
        <w:pStyle w:val="ListParagraph"/>
        <w:numPr>
          <w:ilvl w:val="0"/>
          <w:numId w:val="17"/>
        </w:numPr>
        <w:spacing w:line="278" w:lineRule="auto"/>
      </w:pPr>
      <w:r>
        <w:t>emission factor selection rationale</w:t>
      </w:r>
    </w:p>
    <w:p w14:paraId="12DADD3C" w14:textId="77777777" w:rsidR="00174569" w:rsidRDefault="00174569" w:rsidP="00076B9B">
      <w:pPr>
        <w:pStyle w:val="ListParagraph"/>
        <w:numPr>
          <w:ilvl w:val="0"/>
          <w:numId w:val="17"/>
        </w:numPr>
        <w:spacing w:line="278" w:lineRule="auto"/>
      </w:pPr>
      <w:r>
        <w:t>provide clear audit trails from activity data to reported emissions</w:t>
      </w:r>
    </w:p>
    <w:p w14:paraId="7165F6AC" w14:textId="77777777" w:rsidR="00174569" w:rsidRDefault="00174569" w:rsidP="00174569">
      <w:pPr>
        <w:pStyle w:val="ListParagraph"/>
        <w:numPr>
          <w:ilvl w:val="0"/>
          <w:numId w:val="8"/>
        </w:numPr>
        <w:spacing w:line="278" w:lineRule="auto"/>
      </w:pPr>
      <w:r>
        <w:t>Change management documentation:</w:t>
      </w:r>
    </w:p>
    <w:p w14:paraId="6FB5274E" w14:textId="77777777" w:rsidR="00174569" w:rsidRDefault="00174569" w:rsidP="00076B9B">
      <w:pPr>
        <w:pStyle w:val="ListParagraph"/>
        <w:numPr>
          <w:ilvl w:val="0"/>
          <w:numId w:val="17"/>
        </w:numPr>
        <w:spacing w:line="278" w:lineRule="auto"/>
      </w:pPr>
      <w:r>
        <w:t>log of methodology changes</w:t>
      </w:r>
    </w:p>
    <w:p w14:paraId="13B1E13C" w14:textId="77777777" w:rsidR="00174569" w:rsidRDefault="00174569" w:rsidP="00076B9B">
      <w:pPr>
        <w:pStyle w:val="ListParagraph"/>
        <w:numPr>
          <w:ilvl w:val="0"/>
          <w:numId w:val="17"/>
        </w:numPr>
        <w:spacing w:line="278" w:lineRule="auto"/>
      </w:pPr>
      <w:r>
        <w:t>recalculation procedures and triggers</w:t>
      </w:r>
    </w:p>
    <w:p w14:paraId="2A1A850D" w14:textId="77777777" w:rsidR="00174569" w:rsidRDefault="00174569" w:rsidP="00076B9B">
      <w:pPr>
        <w:pStyle w:val="ListParagraph"/>
        <w:numPr>
          <w:ilvl w:val="0"/>
          <w:numId w:val="17"/>
        </w:numPr>
        <w:spacing w:line="278" w:lineRule="auto"/>
      </w:pPr>
      <w:r>
        <w:t>base year adjustment records</w:t>
      </w:r>
    </w:p>
    <w:p w14:paraId="566F1DC9" w14:textId="77777777" w:rsidR="00174569" w:rsidRDefault="00174569" w:rsidP="00076B9B">
      <w:pPr>
        <w:pStyle w:val="ListParagraph"/>
        <w:numPr>
          <w:ilvl w:val="0"/>
          <w:numId w:val="17"/>
        </w:numPr>
        <w:spacing w:line="278" w:lineRule="auto"/>
      </w:pPr>
      <w:r>
        <w:t>version control for calculation tools.</w:t>
      </w:r>
    </w:p>
    <w:p w14:paraId="7FD68E98" w14:textId="7FD78350" w:rsidR="00174569" w:rsidRPr="005028A0" w:rsidRDefault="00174569" w:rsidP="00174569">
      <w:r>
        <w:t xml:space="preserve">Entities should retain supporting documentation for a minimum of </w:t>
      </w:r>
      <w:r w:rsidR="000560B9">
        <w:t>5</w:t>
      </w:r>
      <w:r>
        <w:t xml:space="preserve"> years (note if</w:t>
      </w:r>
      <w:r w:rsidDel="009821FA">
        <w:t xml:space="preserve"> reporting </w:t>
      </w:r>
      <w:r>
        <w:t xml:space="preserve">under </w:t>
      </w:r>
      <w:r w:rsidR="00B9532A">
        <w:t xml:space="preserve">the </w:t>
      </w:r>
      <w:r w:rsidR="00B9532A" w:rsidRPr="00621681">
        <w:rPr>
          <w:i/>
          <w:iCs/>
        </w:rPr>
        <w:t>Corporations Act 2001</w:t>
      </w:r>
      <w:r w:rsidR="0031145C">
        <w:rPr>
          <w:i/>
          <w:iCs/>
        </w:rPr>
        <w:t xml:space="preserve"> </w:t>
      </w:r>
      <w:r>
        <w:t>documentation should be retained for 7 years</w:t>
      </w:r>
      <w:r w:rsidR="0031145C">
        <w:t xml:space="preserve"> </w:t>
      </w:r>
      <w:r w:rsidR="00B06E7A">
        <w:t>–</w:t>
      </w:r>
      <w:r w:rsidR="0031145C">
        <w:t xml:space="preserve"> </w:t>
      </w:r>
      <w:r w:rsidR="0031145C">
        <w:rPr>
          <w:i/>
          <w:iCs/>
        </w:rPr>
        <w:t xml:space="preserve">see </w:t>
      </w:r>
      <w:hyperlink r:id="rId66" w:history="1">
        <w:r w:rsidR="0031145C" w:rsidRPr="0031145C">
          <w:rPr>
            <w:rStyle w:val="Hyperlink"/>
            <w:i/>
            <w:iCs/>
          </w:rPr>
          <w:t>Sustainability reporting | ASIC</w:t>
        </w:r>
      </w:hyperlink>
      <w:r w:rsidR="0031145C">
        <w:rPr>
          <w:i/>
          <w:iCs/>
        </w:rPr>
        <w:t>)</w:t>
      </w:r>
      <w:r>
        <w:t xml:space="preserve">). </w:t>
      </w:r>
    </w:p>
    <w:bookmarkEnd w:id="100"/>
    <w:p w14:paraId="4E133161" w14:textId="77777777" w:rsidR="00F16699" w:rsidRDefault="00F16699" w:rsidP="001E62B2">
      <w:pPr>
        <w:pStyle w:val="Heading1"/>
        <w:numPr>
          <w:ilvl w:val="0"/>
          <w:numId w:val="0"/>
        </w:numPr>
        <w:sectPr w:rsidR="00F16699" w:rsidSect="00FD620B">
          <w:headerReference w:type="default" r:id="rId67"/>
          <w:pgSz w:w="11906" w:h="16838"/>
          <w:pgMar w:top="1440" w:right="1440" w:bottom="1440" w:left="1440" w:header="708" w:footer="708" w:gutter="0"/>
          <w:lnNumType w:countBy="1"/>
          <w:cols w:space="708"/>
          <w:docGrid w:linePitch="360"/>
        </w:sectPr>
      </w:pPr>
    </w:p>
    <w:p w14:paraId="47522A5E" w14:textId="03B081DD" w:rsidR="00D93068" w:rsidRDefault="00D93068" w:rsidP="00577208">
      <w:pPr>
        <w:pStyle w:val="Heading1"/>
        <w:numPr>
          <w:ilvl w:val="0"/>
          <w:numId w:val="0"/>
        </w:numPr>
      </w:pPr>
      <w:bookmarkStart w:id="101" w:name="_Toc225269982"/>
      <w:r>
        <w:lastRenderedPageBreak/>
        <w:t xml:space="preserve">Appendix A – Sector-specific cradle-to-gate </w:t>
      </w:r>
      <w:r w:rsidR="00720FC4">
        <w:t>boundaries</w:t>
      </w:r>
      <w:bookmarkEnd w:id="101"/>
    </w:p>
    <w:p w14:paraId="5FF107C1" w14:textId="7581B07C" w:rsidR="00D45145" w:rsidRPr="00720FC4" w:rsidRDefault="00D45145" w:rsidP="00720FC4">
      <w:r w:rsidRPr="006957CF">
        <w:t xml:space="preserve">Note, this table shows typical boundaries applicable for each sector. The </w:t>
      </w:r>
      <w:r w:rsidR="000F0BAD">
        <w:t>‘</w:t>
      </w:r>
      <w:r w:rsidRPr="006957CF">
        <w:t>gate</w:t>
      </w:r>
      <w:r w:rsidR="000F0BAD">
        <w:t>’</w:t>
      </w:r>
      <w:r w:rsidRPr="006957CF">
        <w:t xml:space="preserve"> in each case is the </w:t>
      </w:r>
      <w:r w:rsidR="000F0BAD">
        <w:t>‘</w:t>
      </w:r>
      <w:r w:rsidRPr="006957CF">
        <w:t>production</w:t>
      </w:r>
      <w:r w:rsidR="006957CF">
        <w:t xml:space="preserve"> </w:t>
      </w:r>
      <w:r w:rsidRPr="006957CF">
        <w:t>system</w:t>
      </w:r>
      <w:r w:rsidR="006957CF">
        <w:t xml:space="preserve"> </w:t>
      </w:r>
      <w:r w:rsidRPr="006957CF">
        <w:t>gate</w:t>
      </w:r>
      <w:r w:rsidR="000F0BAD">
        <w:t>’</w:t>
      </w:r>
      <w:r w:rsidR="006957CF">
        <w:t xml:space="preserve"> (that is pr</w:t>
      </w:r>
      <w:r w:rsidR="001B190B">
        <w:t>e any post-production stages).</w:t>
      </w:r>
      <w:r w:rsidRPr="006957CF">
        <w:t xml:space="preserve"> It is acknowledged that many entities are responsible for additional production processes and may apply a boundary beyond </w:t>
      </w:r>
      <w:r w:rsidR="005D0CD5">
        <w:t>‘</w:t>
      </w:r>
      <w:r w:rsidRPr="006957CF">
        <w:t xml:space="preserve">the </w:t>
      </w:r>
      <w:r w:rsidR="001B190B">
        <w:t>cradle-to-</w:t>
      </w:r>
      <w:r w:rsidRPr="006957CF">
        <w:t>gate</w:t>
      </w:r>
      <w:r w:rsidR="005D0CD5">
        <w:t>’</w:t>
      </w:r>
      <w:r w:rsidRPr="006957CF">
        <w:t xml:space="preserve"> </w:t>
      </w:r>
      <w:r w:rsidR="001B190B">
        <w:t xml:space="preserve">boundary </w:t>
      </w:r>
      <w:r w:rsidRPr="006957CF">
        <w:t>as defined here.</w:t>
      </w:r>
      <w:r>
        <w:t xml:space="preserve">  </w:t>
      </w:r>
    </w:p>
    <w:tbl>
      <w:tblPr>
        <w:tblStyle w:val="TableGrid"/>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1"/>
        <w:gridCol w:w="5190"/>
      </w:tblGrid>
      <w:tr w:rsidR="0084341E" w:rsidRPr="00C40065" w14:paraId="4E161020" w14:textId="77777777" w:rsidTr="00C169DB">
        <w:tc>
          <w:tcPr>
            <w:tcW w:w="3821" w:type="dxa"/>
          </w:tcPr>
          <w:p w14:paraId="71568B69" w14:textId="77777777" w:rsidR="0084341E" w:rsidRPr="00C40065" w:rsidRDefault="0084341E" w:rsidP="001A7D3E">
            <w:pPr>
              <w:tabs>
                <w:tab w:val="left" w:pos="142"/>
              </w:tabs>
              <w:spacing w:after="160" w:line="259" w:lineRule="auto"/>
              <w:rPr>
                <w:rFonts w:ascii="Aptos" w:hAnsi="Aptos"/>
                <w:b/>
                <w:bCs/>
              </w:rPr>
            </w:pPr>
            <w:r w:rsidRPr="00C40065">
              <w:rPr>
                <w:rFonts w:ascii="Aptos" w:hAnsi="Aptos"/>
                <w:b/>
              </w:rPr>
              <w:t>Sector</w:t>
            </w:r>
          </w:p>
        </w:tc>
        <w:tc>
          <w:tcPr>
            <w:tcW w:w="5190" w:type="dxa"/>
          </w:tcPr>
          <w:p w14:paraId="202F3522" w14:textId="70CE8A55" w:rsidR="0084341E" w:rsidRPr="00C40065" w:rsidRDefault="0084341E" w:rsidP="001A7D3E">
            <w:pPr>
              <w:tabs>
                <w:tab w:val="left" w:pos="142"/>
              </w:tabs>
              <w:spacing w:after="160" w:line="259" w:lineRule="auto"/>
              <w:rPr>
                <w:rFonts w:ascii="Aptos" w:hAnsi="Aptos"/>
                <w:b/>
                <w:bCs/>
              </w:rPr>
            </w:pPr>
            <w:r w:rsidRPr="00C40065">
              <w:rPr>
                <w:rFonts w:ascii="Aptos" w:hAnsi="Aptos"/>
                <w:b/>
              </w:rPr>
              <w:t>Cradle-to</w:t>
            </w:r>
            <w:r w:rsidRPr="00C40065" w:rsidDel="006D75B0">
              <w:rPr>
                <w:rFonts w:ascii="Aptos" w:hAnsi="Aptos"/>
                <w:b/>
              </w:rPr>
              <w:t>-</w:t>
            </w:r>
            <w:r w:rsidRPr="00C40065">
              <w:rPr>
                <w:rFonts w:ascii="Aptos" w:hAnsi="Aptos"/>
                <w:b/>
              </w:rPr>
              <w:t xml:space="preserve">gate </w:t>
            </w:r>
            <w:r w:rsidR="007F3750">
              <w:rPr>
                <w:rFonts w:ascii="Aptos" w:hAnsi="Aptos"/>
                <w:b/>
              </w:rPr>
              <w:t>b</w:t>
            </w:r>
            <w:r w:rsidRPr="00C40065">
              <w:rPr>
                <w:rFonts w:ascii="Aptos" w:hAnsi="Aptos"/>
                <w:b/>
              </w:rPr>
              <w:t>oundary</w:t>
            </w:r>
            <w:r w:rsidR="00036C20">
              <w:rPr>
                <w:rFonts w:ascii="Aptos" w:hAnsi="Aptos"/>
                <w:b/>
              </w:rPr>
              <w:t xml:space="preserve"> </w:t>
            </w:r>
          </w:p>
        </w:tc>
      </w:tr>
      <w:tr w:rsidR="00EC196B" w:rsidRPr="00C40065" w14:paraId="47A31803" w14:textId="77777777" w:rsidTr="0058788E">
        <w:tc>
          <w:tcPr>
            <w:tcW w:w="3821" w:type="dxa"/>
          </w:tcPr>
          <w:p w14:paraId="3F756CFF" w14:textId="77777777" w:rsidR="0084341E" w:rsidRPr="00C40065" w:rsidRDefault="0084341E" w:rsidP="001A7D3E">
            <w:pPr>
              <w:tabs>
                <w:tab w:val="left" w:pos="142"/>
              </w:tabs>
              <w:spacing w:after="160" w:line="259" w:lineRule="auto"/>
              <w:rPr>
                <w:rFonts w:ascii="Aptos" w:hAnsi="Aptos"/>
              </w:rPr>
            </w:pPr>
            <w:r w:rsidRPr="00C40065">
              <w:rPr>
                <w:rFonts w:ascii="Aptos" w:hAnsi="Aptos"/>
              </w:rPr>
              <w:t>Beef Pasture, Range, and Paddock</w:t>
            </w:r>
          </w:p>
        </w:tc>
        <w:tc>
          <w:tcPr>
            <w:tcW w:w="5190" w:type="dxa"/>
            <w:vMerge w:val="restart"/>
            <w:vAlign w:val="center"/>
          </w:tcPr>
          <w:p w14:paraId="16E35685" w14:textId="720EB642" w:rsidR="0084341E" w:rsidRPr="00C40065" w:rsidRDefault="0084341E" w:rsidP="001A7D3E">
            <w:pPr>
              <w:tabs>
                <w:tab w:val="left" w:pos="142"/>
              </w:tabs>
              <w:spacing w:after="160" w:line="259" w:lineRule="auto"/>
              <w:rPr>
                <w:rFonts w:ascii="Aptos" w:hAnsi="Aptos"/>
              </w:rPr>
            </w:pPr>
            <w:r w:rsidRPr="00C40065">
              <w:rPr>
                <w:rFonts w:ascii="Aptos" w:hAnsi="Aptos"/>
                <w:u w:val="single"/>
              </w:rPr>
              <w:t>Farm-</w:t>
            </w:r>
            <w:proofErr w:type="gramStart"/>
            <w:r w:rsidRPr="00C40065">
              <w:rPr>
                <w:rFonts w:ascii="Aptos" w:hAnsi="Aptos"/>
                <w:u w:val="single"/>
              </w:rPr>
              <w:t>gate</w:t>
            </w:r>
            <w:r w:rsidRPr="00D01906">
              <w:rPr>
                <w:rFonts w:ascii="Aptos" w:hAnsi="Aptos"/>
              </w:rPr>
              <w:t>:</w:t>
            </w:r>
            <w:proofErr w:type="gramEnd"/>
            <w:r w:rsidRPr="00C40065">
              <w:rPr>
                <w:rFonts w:ascii="Aptos" w:hAnsi="Aptos"/>
              </w:rPr>
              <w:t xml:space="preserve"> represents the point at which a live animal or primary livestock product physically leaves the boundary of the agricultural holdings where production occurs. </w:t>
            </w:r>
          </w:p>
          <w:p w14:paraId="2A7AE4AA" w14:textId="77777777" w:rsidR="0084341E" w:rsidRPr="00C40065" w:rsidRDefault="0084341E" w:rsidP="001A7D3E">
            <w:pPr>
              <w:tabs>
                <w:tab w:val="left" w:pos="142"/>
              </w:tabs>
              <w:spacing w:after="160" w:line="259" w:lineRule="auto"/>
              <w:rPr>
                <w:rFonts w:ascii="Aptos" w:hAnsi="Aptos"/>
              </w:rPr>
            </w:pPr>
          </w:p>
        </w:tc>
      </w:tr>
      <w:tr w:rsidR="0084341E" w:rsidRPr="00C40065" w14:paraId="54665F69" w14:textId="77777777" w:rsidTr="0020086B">
        <w:tc>
          <w:tcPr>
            <w:tcW w:w="3821" w:type="dxa"/>
          </w:tcPr>
          <w:p w14:paraId="56DD0527" w14:textId="77777777" w:rsidR="0084341E" w:rsidRPr="00C40065" w:rsidRDefault="0084341E" w:rsidP="001A7D3E">
            <w:pPr>
              <w:tabs>
                <w:tab w:val="left" w:pos="142"/>
              </w:tabs>
              <w:spacing w:after="160" w:line="259" w:lineRule="auto"/>
              <w:rPr>
                <w:rFonts w:ascii="Aptos" w:hAnsi="Aptos"/>
              </w:rPr>
            </w:pPr>
            <w:r w:rsidRPr="00C40065">
              <w:rPr>
                <w:rFonts w:ascii="Aptos" w:hAnsi="Aptos"/>
              </w:rPr>
              <w:t>Beef Feedlot</w:t>
            </w:r>
          </w:p>
        </w:tc>
        <w:tc>
          <w:tcPr>
            <w:tcW w:w="5190" w:type="dxa"/>
            <w:vMerge/>
          </w:tcPr>
          <w:p w14:paraId="781B8FBE" w14:textId="77777777" w:rsidR="0084341E" w:rsidRPr="00C40065" w:rsidRDefault="0084341E" w:rsidP="001A7D3E">
            <w:pPr>
              <w:tabs>
                <w:tab w:val="left" w:pos="142"/>
              </w:tabs>
              <w:spacing w:after="160" w:line="259" w:lineRule="auto"/>
              <w:rPr>
                <w:rFonts w:ascii="Aptos" w:hAnsi="Aptos"/>
              </w:rPr>
            </w:pPr>
          </w:p>
        </w:tc>
      </w:tr>
      <w:tr w:rsidR="0084341E" w:rsidRPr="00C40065" w14:paraId="388F1636" w14:textId="77777777" w:rsidTr="0020086B">
        <w:tc>
          <w:tcPr>
            <w:tcW w:w="3821" w:type="dxa"/>
          </w:tcPr>
          <w:p w14:paraId="766734DB" w14:textId="77777777" w:rsidR="0084341E" w:rsidRPr="00C40065" w:rsidRDefault="0084341E" w:rsidP="001A7D3E">
            <w:pPr>
              <w:tabs>
                <w:tab w:val="left" w:pos="142"/>
              </w:tabs>
              <w:spacing w:after="160" w:line="259" w:lineRule="auto"/>
              <w:rPr>
                <w:rFonts w:ascii="Aptos" w:hAnsi="Aptos"/>
              </w:rPr>
            </w:pPr>
            <w:r w:rsidRPr="00C40065">
              <w:rPr>
                <w:rFonts w:ascii="Aptos" w:hAnsi="Aptos"/>
              </w:rPr>
              <w:t>Dairy</w:t>
            </w:r>
          </w:p>
        </w:tc>
        <w:tc>
          <w:tcPr>
            <w:tcW w:w="5190" w:type="dxa"/>
            <w:vMerge/>
          </w:tcPr>
          <w:p w14:paraId="70639D1B" w14:textId="77777777" w:rsidR="0084341E" w:rsidRPr="00C40065" w:rsidRDefault="0084341E" w:rsidP="001A7D3E">
            <w:pPr>
              <w:tabs>
                <w:tab w:val="left" w:pos="142"/>
              </w:tabs>
              <w:spacing w:after="160" w:line="259" w:lineRule="auto"/>
              <w:rPr>
                <w:rFonts w:ascii="Aptos" w:hAnsi="Aptos"/>
              </w:rPr>
            </w:pPr>
          </w:p>
        </w:tc>
      </w:tr>
      <w:tr w:rsidR="0084341E" w:rsidRPr="00C40065" w14:paraId="51E769CB" w14:textId="77777777" w:rsidTr="0020086B">
        <w:tc>
          <w:tcPr>
            <w:tcW w:w="3821" w:type="dxa"/>
          </w:tcPr>
          <w:p w14:paraId="6453E3C4" w14:textId="77777777" w:rsidR="0084341E" w:rsidRPr="00C40065" w:rsidRDefault="0084341E" w:rsidP="001A7D3E">
            <w:pPr>
              <w:tabs>
                <w:tab w:val="left" w:pos="142"/>
              </w:tabs>
              <w:spacing w:after="160" w:line="259" w:lineRule="auto"/>
              <w:rPr>
                <w:rFonts w:ascii="Aptos" w:hAnsi="Aptos"/>
              </w:rPr>
            </w:pPr>
            <w:r w:rsidRPr="00C40065">
              <w:rPr>
                <w:rFonts w:ascii="Aptos" w:hAnsi="Aptos"/>
              </w:rPr>
              <w:t>Sheep</w:t>
            </w:r>
          </w:p>
        </w:tc>
        <w:tc>
          <w:tcPr>
            <w:tcW w:w="5190" w:type="dxa"/>
            <w:vMerge/>
          </w:tcPr>
          <w:p w14:paraId="0155C15B" w14:textId="77777777" w:rsidR="0084341E" w:rsidRPr="00C40065" w:rsidRDefault="0084341E" w:rsidP="001A7D3E">
            <w:pPr>
              <w:tabs>
                <w:tab w:val="left" w:pos="142"/>
              </w:tabs>
              <w:spacing w:after="160" w:line="259" w:lineRule="auto"/>
              <w:rPr>
                <w:rFonts w:ascii="Aptos" w:hAnsi="Aptos"/>
              </w:rPr>
            </w:pPr>
          </w:p>
        </w:tc>
      </w:tr>
      <w:tr w:rsidR="0084341E" w:rsidRPr="00C40065" w14:paraId="3CD79721" w14:textId="77777777" w:rsidTr="0020086B">
        <w:tc>
          <w:tcPr>
            <w:tcW w:w="3821" w:type="dxa"/>
          </w:tcPr>
          <w:p w14:paraId="35D27141" w14:textId="77777777" w:rsidR="0084341E" w:rsidRPr="00C40065" w:rsidRDefault="0084341E" w:rsidP="001A7D3E">
            <w:pPr>
              <w:tabs>
                <w:tab w:val="left" w:pos="142"/>
              </w:tabs>
              <w:spacing w:after="160" w:line="259" w:lineRule="auto"/>
              <w:rPr>
                <w:rFonts w:ascii="Aptos" w:hAnsi="Aptos"/>
              </w:rPr>
            </w:pPr>
            <w:r w:rsidRPr="00C40065">
              <w:rPr>
                <w:rFonts w:ascii="Aptos" w:hAnsi="Aptos"/>
              </w:rPr>
              <w:t>Poultry</w:t>
            </w:r>
          </w:p>
        </w:tc>
        <w:tc>
          <w:tcPr>
            <w:tcW w:w="5190" w:type="dxa"/>
            <w:vMerge/>
          </w:tcPr>
          <w:p w14:paraId="654FAE1E" w14:textId="77777777" w:rsidR="0084341E" w:rsidRPr="00C40065" w:rsidRDefault="0084341E" w:rsidP="001A7D3E">
            <w:pPr>
              <w:tabs>
                <w:tab w:val="left" w:pos="142"/>
              </w:tabs>
              <w:spacing w:after="160" w:line="259" w:lineRule="auto"/>
              <w:rPr>
                <w:rFonts w:ascii="Aptos" w:hAnsi="Aptos"/>
              </w:rPr>
            </w:pPr>
          </w:p>
        </w:tc>
      </w:tr>
      <w:tr w:rsidR="0084341E" w:rsidRPr="00C40065" w14:paraId="6110C400" w14:textId="77777777" w:rsidTr="0020086B">
        <w:tc>
          <w:tcPr>
            <w:tcW w:w="3821" w:type="dxa"/>
          </w:tcPr>
          <w:p w14:paraId="35CDABD9" w14:textId="77777777" w:rsidR="0084341E" w:rsidRPr="00C40065" w:rsidRDefault="0084341E" w:rsidP="001A7D3E">
            <w:pPr>
              <w:tabs>
                <w:tab w:val="left" w:pos="142"/>
              </w:tabs>
              <w:spacing w:after="160" w:line="259" w:lineRule="auto"/>
              <w:rPr>
                <w:rFonts w:ascii="Aptos" w:hAnsi="Aptos"/>
              </w:rPr>
            </w:pPr>
            <w:r w:rsidRPr="00C40065">
              <w:rPr>
                <w:rFonts w:ascii="Aptos" w:hAnsi="Aptos"/>
              </w:rPr>
              <w:t>Swine</w:t>
            </w:r>
          </w:p>
        </w:tc>
        <w:tc>
          <w:tcPr>
            <w:tcW w:w="5190" w:type="dxa"/>
            <w:vMerge/>
          </w:tcPr>
          <w:p w14:paraId="2E467C06" w14:textId="77777777" w:rsidR="0084341E" w:rsidRPr="00C40065" w:rsidRDefault="0084341E" w:rsidP="001A7D3E">
            <w:pPr>
              <w:tabs>
                <w:tab w:val="left" w:pos="142"/>
              </w:tabs>
              <w:spacing w:after="160" w:line="259" w:lineRule="auto"/>
              <w:rPr>
                <w:rFonts w:ascii="Aptos" w:hAnsi="Aptos"/>
              </w:rPr>
            </w:pPr>
          </w:p>
        </w:tc>
      </w:tr>
      <w:tr w:rsidR="0084341E" w:rsidRPr="00C40065" w14:paraId="5E1E9A00" w14:textId="77777777" w:rsidTr="0020086B">
        <w:tc>
          <w:tcPr>
            <w:tcW w:w="3821" w:type="dxa"/>
          </w:tcPr>
          <w:p w14:paraId="5B3C1B53" w14:textId="77777777" w:rsidR="0084341E" w:rsidRPr="00C40065" w:rsidRDefault="0084341E" w:rsidP="001A7D3E">
            <w:pPr>
              <w:tabs>
                <w:tab w:val="left" w:pos="142"/>
              </w:tabs>
              <w:spacing w:after="160" w:line="259" w:lineRule="auto"/>
              <w:rPr>
                <w:rFonts w:ascii="Aptos" w:hAnsi="Aptos"/>
              </w:rPr>
            </w:pPr>
            <w:r w:rsidRPr="00C40065">
              <w:rPr>
                <w:rFonts w:ascii="Aptos" w:hAnsi="Aptos"/>
              </w:rPr>
              <w:t>Other Livestock (buffalo, goats, deer, camels, alpacas, horses, mules/asses and emus/ostriches)</w:t>
            </w:r>
          </w:p>
        </w:tc>
        <w:tc>
          <w:tcPr>
            <w:tcW w:w="5190" w:type="dxa"/>
            <w:vMerge/>
          </w:tcPr>
          <w:p w14:paraId="2BF12B80" w14:textId="77777777" w:rsidR="0084341E" w:rsidRPr="00C40065" w:rsidRDefault="0084341E" w:rsidP="001A7D3E">
            <w:pPr>
              <w:tabs>
                <w:tab w:val="left" w:pos="142"/>
              </w:tabs>
              <w:spacing w:after="160" w:line="259" w:lineRule="auto"/>
              <w:rPr>
                <w:rFonts w:ascii="Aptos" w:hAnsi="Aptos"/>
              </w:rPr>
            </w:pPr>
          </w:p>
        </w:tc>
      </w:tr>
      <w:tr w:rsidR="0084341E" w:rsidRPr="00C40065" w14:paraId="5527B435" w14:textId="77777777" w:rsidTr="0020086B">
        <w:trPr>
          <w:trHeight w:val="914"/>
        </w:trPr>
        <w:tc>
          <w:tcPr>
            <w:tcW w:w="3821" w:type="dxa"/>
          </w:tcPr>
          <w:p w14:paraId="5706DD4C" w14:textId="77777777" w:rsidR="0084341E" w:rsidRPr="00C40065" w:rsidRDefault="0084341E" w:rsidP="001A7D3E">
            <w:pPr>
              <w:tabs>
                <w:tab w:val="left" w:pos="142"/>
              </w:tabs>
              <w:spacing w:after="160" w:line="259" w:lineRule="auto"/>
              <w:rPr>
                <w:rFonts w:ascii="Aptos" w:hAnsi="Aptos"/>
              </w:rPr>
            </w:pPr>
            <w:r w:rsidRPr="00C40065">
              <w:rPr>
                <w:rFonts w:ascii="Aptos" w:hAnsi="Aptos"/>
              </w:rPr>
              <w:t>Horticulture</w:t>
            </w:r>
          </w:p>
        </w:tc>
        <w:tc>
          <w:tcPr>
            <w:tcW w:w="5190" w:type="dxa"/>
            <w:vMerge w:val="restart"/>
          </w:tcPr>
          <w:p w14:paraId="3D648AA5" w14:textId="1F5BCDF6" w:rsidR="00F12391" w:rsidRPr="00C40065" w:rsidRDefault="0084341E" w:rsidP="001A7D3E">
            <w:pPr>
              <w:tabs>
                <w:tab w:val="left" w:pos="142"/>
              </w:tabs>
              <w:spacing w:after="160" w:line="259" w:lineRule="auto"/>
              <w:rPr>
                <w:rFonts w:ascii="Aptos" w:hAnsi="Aptos"/>
              </w:rPr>
            </w:pPr>
            <w:r w:rsidRPr="00C40065">
              <w:rPr>
                <w:rFonts w:ascii="Aptos" w:hAnsi="Aptos"/>
                <w:u w:val="single"/>
              </w:rPr>
              <w:t xml:space="preserve">Point of </w:t>
            </w:r>
            <w:proofErr w:type="gramStart"/>
            <w:r w:rsidRPr="00C40065">
              <w:rPr>
                <w:rFonts w:ascii="Aptos" w:hAnsi="Aptos"/>
                <w:u w:val="single"/>
              </w:rPr>
              <w:t>harvesting:</w:t>
            </w:r>
            <w:proofErr w:type="gramEnd"/>
            <w:r w:rsidRPr="00C40065">
              <w:rPr>
                <w:rFonts w:ascii="Aptos" w:hAnsi="Aptos"/>
              </w:rPr>
              <w:t xml:space="preserve"> represents the moment at which a horticultural or viticultural product is removed from the growing environment before post-harvest handling, storage or processing occurs.</w:t>
            </w:r>
          </w:p>
        </w:tc>
      </w:tr>
      <w:tr w:rsidR="0084341E" w:rsidRPr="00C40065" w14:paraId="748D743F" w14:textId="77777777" w:rsidTr="0020086B">
        <w:tc>
          <w:tcPr>
            <w:tcW w:w="3821" w:type="dxa"/>
          </w:tcPr>
          <w:p w14:paraId="6F392E0B" w14:textId="77777777" w:rsidR="0084341E" w:rsidRPr="00C40065" w:rsidRDefault="0084341E" w:rsidP="001A7D3E">
            <w:pPr>
              <w:tabs>
                <w:tab w:val="left" w:pos="142"/>
              </w:tabs>
              <w:spacing w:after="160" w:line="259" w:lineRule="auto"/>
              <w:rPr>
                <w:rFonts w:ascii="Aptos" w:hAnsi="Aptos"/>
              </w:rPr>
            </w:pPr>
            <w:r w:rsidRPr="00C40065">
              <w:rPr>
                <w:rFonts w:ascii="Aptos" w:hAnsi="Aptos"/>
              </w:rPr>
              <w:t xml:space="preserve">Viticulture </w:t>
            </w:r>
          </w:p>
        </w:tc>
        <w:tc>
          <w:tcPr>
            <w:tcW w:w="5190" w:type="dxa"/>
            <w:vMerge/>
          </w:tcPr>
          <w:p w14:paraId="7FA83F33" w14:textId="77777777" w:rsidR="0084341E" w:rsidRPr="00C40065" w:rsidRDefault="0084341E" w:rsidP="001A7D3E">
            <w:pPr>
              <w:tabs>
                <w:tab w:val="left" w:pos="142"/>
              </w:tabs>
              <w:spacing w:after="160" w:line="259" w:lineRule="auto"/>
              <w:rPr>
                <w:rFonts w:ascii="Aptos" w:hAnsi="Aptos"/>
              </w:rPr>
            </w:pPr>
          </w:p>
        </w:tc>
      </w:tr>
      <w:tr w:rsidR="0058788E" w:rsidRPr="00C40065" w14:paraId="27D78C3C" w14:textId="77777777" w:rsidTr="0020086B">
        <w:tc>
          <w:tcPr>
            <w:tcW w:w="3821" w:type="dxa"/>
          </w:tcPr>
          <w:p w14:paraId="1D017E57" w14:textId="6DDDFB54" w:rsidR="0058788E" w:rsidRPr="00C40065" w:rsidRDefault="0058788E" w:rsidP="001A7D3E">
            <w:pPr>
              <w:tabs>
                <w:tab w:val="left" w:pos="142"/>
              </w:tabs>
              <w:rPr>
                <w:rFonts w:ascii="Aptos" w:hAnsi="Aptos"/>
              </w:rPr>
            </w:pPr>
            <w:r>
              <w:rPr>
                <w:rFonts w:ascii="Aptos" w:hAnsi="Aptos"/>
              </w:rPr>
              <w:t>Sugar cane</w:t>
            </w:r>
          </w:p>
        </w:tc>
        <w:tc>
          <w:tcPr>
            <w:tcW w:w="5190" w:type="dxa"/>
          </w:tcPr>
          <w:p w14:paraId="5D588447" w14:textId="014D103C" w:rsidR="0058788E" w:rsidRPr="00C40065" w:rsidRDefault="00E223BD" w:rsidP="00DA5D80">
            <w:pPr>
              <w:tabs>
                <w:tab w:val="left" w:pos="142"/>
              </w:tabs>
              <w:rPr>
                <w:rFonts w:ascii="Aptos" w:hAnsi="Aptos"/>
              </w:rPr>
            </w:pPr>
            <w:r>
              <w:rPr>
                <w:rFonts w:ascii="Aptos" w:hAnsi="Aptos"/>
              </w:rPr>
              <w:t>Cradle-to-siding</w:t>
            </w:r>
            <w:r w:rsidR="008B44F7">
              <w:rPr>
                <w:rFonts w:ascii="Aptos" w:hAnsi="Aptos"/>
              </w:rPr>
              <w:t xml:space="preserve"> or roadside-delivery </w:t>
            </w:r>
            <w:proofErr w:type="gramStart"/>
            <w:r w:rsidR="008B44F7">
              <w:rPr>
                <w:rFonts w:ascii="Aptos" w:hAnsi="Aptos"/>
              </w:rPr>
              <w:t>point:</w:t>
            </w:r>
            <w:proofErr w:type="gramEnd"/>
            <w:r w:rsidR="008B44F7">
              <w:rPr>
                <w:rFonts w:ascii="Aptos" w:hAnsi="Aptos"/>
              </w:rPr>
              <w:t xml:space="preserve"> represents the </w:t>
            </w:r>
            <w:r w:rsidR="00CF4C34">
              <w:rPr>
                <w:rFonts w:ascii="Aptos" w:hAnsi="Aptos"/>
              </w:rPr>
              <w:t>point at which the</w:t>
            </w:r>
            <w:r w:rsidR="00DA5D80">
              <w:rPr>
                <w:rFonts w:ascii="Aptos" w:hAnsi="Aptos"/>
              </w:rPr>
              <w:t xml:space="preserve"> cane is</w:t>
            </w:r>
            <w:r w:rsidR="00CF4C34" w:rsidRPr="00CF4C34">
              <w:rPr>
                <w:rFonts w:ascii="Aptos" w:hAnsi="Aptos"/>
              </w:rPr>
              <w:t xml:space="preserve"> drop</w:t>
            </w:r>
            <w:r w:rsidR="00DA5D80">
              <w:rPr>
                <w:rFonts w:ascii="Aptos" w:hAnsi="Aptos"/>
              </w:rPr>
              <w:t>ped off</w:t>
            </w:r>
            <w:r w:rsidR="00CF4C34" w:rsidRPr="00CF4C34">
              <w:rPr>
                <w:rFonts w:ascii="Aptos" w:hAnsi="Aptos"/>
              </w:rPr>
              <w:t xml:space="preserve"> at a railway siding (common in Qld) or at a roadside delivery point (common in NSW) where a train or larger truck transports the cane to the mill. </w:t>
            </w:r>
          </w:p>
        </w:tc>
      </w:tr>
      <w:tr w:rsidR="0084341E" w:rsidRPr="00C40065" w14:paraId="66E3CF5E" w14:textId="77777777" w:rsidTr="0020086B">
        <w:tc>
          <w:tcPr>
            <w:tcW w:w="3821" w:type="dxa"/>
          </w:tcPr>
          <w:p w14:paraId="71B1844D" w14:textId="77777777" w:rsidR="0084341E" w:rsidRPr="00C40065" w:rsidRDefault="0084341E" w:rsidP="001A7D3E">
            <w:pPr>
              <w:tabs>
                <w:tab w:val="left" w:pos="142"/>
              </w:tabs>
              <w:spacing w:after="160" w:line="259" w:lineRule="auto"/>
              <w:rPr>
                <w:rFonts w:ascii="Aptos" w:hAnsi="Aptos"/>
              </w:rPr>
            </w:pPr>
            <w:r w:rsidRPr="00C40065">
              <w:rPr>
                <w:rFonts w:ascii="Aptos" w:hAnsi="Aptos"/>
              </w:rPr>
              <w:t xml:space="preserve">Aquaculture and Fisheries </w:t>
            </w:r>
          </w:p>
        </w:tc>
        <w:tc>
          <w:tcPr>
            <w:tcW w:w="5190" w:type="dxa"/>
          </w:tcPr>
          <w:p w14:paraId="422D8212" w14:textId="2CE33DDA" w:rsidR="0084341E" w:rsidRPr="00C40065" w:rsidRDefault="0084341E" w:rsidP="001A7D3E">
            <w:pPr>
              <w:tabs>
                <w:tab w:val="left" w:pos="142"/>
              </w:tabs>
              <w:spacing w:after="160" w:line="259" w:lineRule="auto"/>
              <w:rPr>
                <w:rFonts w:ascii="Aptos" w:hAnsi="Aptos"/>
              </w:rPr>
            </w:pPr>
            <w:r w:rsidRPr="00C40065">
              <w:rPr>
                <w:rFonts w:ascii="Aptos" w:hAnsi="Aptos"/>
                <w:u w:val="single"/>
              </w:rPr>
              <w:t xml:space="preserve">Point of </w:t>
            </w:r>
            <w:proofErr w:type="gramStart"/>
            <w:r w:rsidRPr="00C40065">
              <w:rPr>
                <w:rFonts w:ascii="Aptos" w:hAnsi="Aptos"/>
                <w:u w:val="single"/>
              </w:rPr>
              <w:t>landing:</w:t>
            </w:r>
            <w:proofErr w:type="gramEnd"/>
            <w:r w:rsidRPr="00C40065">
              <w:rPr>
                <w:rFonts w:ascii="Aptos" w:hAnsi="Aptos"/>
              </w:rPr>
              <w:t xml:space="preserve"> represents the moment at which aquaculture products are landed at the first receiving point (e.g. harvest vessel deck, cage-side platform, pond bank, or landing wharf), before post-harvest handling, transport or processing occurs. </w:t>
            </w:r>
          </w:p>
        </w:tc>
      </w:tr>
      <w:tr w:rsidR="0084341E" w:rsidRPr="00C40065" w14:paraId="65547BD3" w14:textId="77777777" w:rsidTr="0020086B">
        <w:tc>
          <w:tcPr>
            <w:tcW w:w="3821" w:type="dxa"/>
          </w:tcPr>
          <w:p w14:paraId="4C973964" w14:textId="77777777" w:rsidR="0084341E" w:rsidRPr="00C40065" w:rsidRDefault="0084341E" w:rsidP="001A7D3E">
            <w:pPr>
              <w:tabs>
                <w:tab w:val="left" w:pos="142"/>
              </w:tabs>
              <w:spacing w:after="160" w:line="259" w:lineRule="auto"/>
              <w:rPr>
                <w:rFonts w:ascii="Aptos" w:hAnsi="Aptos"/>
              </w:rPr>
            </w:pPr>
            <w:r w:rsidRPr="00C40065">
              <w:rPr>
                <w:rFonts w:ascii="Aptos" w:hAnsi="Aptos"/>
              </w:rPr>
              <w:t>Forestry</w:t>
            </w:r>
          </w:p>
        </w:tc>
        <w:tc>
          <w:tcPr>
            <w:tcW w:w="5190" w:type="dxa"/>
          </w:tcPr>
          <w:p w14:paraId="60818EE9" w14:textId="78E73D2F" w:rsidR="0084341E" w:rsidRPr="00C40065" w:rsidRDefault="0084341E" w:rsidP="001A7D3E">
            <w:pPr>
              <w:tabs>
                <w:tab w:val="left" w:pos="142"/>
              </w:tabs>
              <w:spacing w:after="160" w:line="259" w:lineRule="auto"/>
              <w:rPr>
                <w:rFonts w:ascii="Aptos" w:hAnsi="Aptos"/>
              </w:rPr>
            </w:pPr>
            <w:r w:rsidRPr="00C40065">
              <w:rPr>
                <w:rFonts w:ascii="Aptos" w:hAnsi="Aptos"/>
                <w:u w:val="single"/>
              </w:rPr>
              <w:t>Forest-</w:t>
            </w:r>
            <w:proofErr w:type="gramStart"/>
            <w:r w:rsidRPr="00C40065">
              <w:rPr>
                <w:rFonts w:ascii="Aptos" w:hAnsi="Aptos"/>
                <w:u w:val="single"/>
              </w:rPr>
              <w:t>gate:</w:t>
            </w:r>
            <w:proofErr w:type="gramEnd"/>
            <w:r w:rsidRPr="00C40065">
              <w:rPr>
                <w:rFonts w:ascii="Aptos" w:hAnsi="Aptos"/>
              </w:rPr>
              <w:t xml:space="preserve"> represents from site establishment through to harvest and delivery of logs at the forest gate. At times, this </w:t>
            </w:r>
            <w:r w:rsidR="00747735">
              <w:rPr>
                <w:rFonts w:ascii="Aptos" w:hAnsi="Aptos"/>
              </w:rPr>
              <w:t xml:space="preserve">could </w:t>
            </w:r>
            <w:r w:rsidRPr="00C40065">
              <w:rPr>
                <w:rFonts w:ascii="Aptos" w:hAnsi="Aptos"/>
              </w:rPr>
              <w:t xml:space="preserve">be to the mill gate - depending on the declared unit. The point of delivery at the mill represents the point at which harvested forest products are delivered to and accepted at the receiving gate or log yard of the first processing facility. </w:t>
            </w:r>
          </w:p>
        </w:tc>
      </w:tr>
    </w:tbl>
    <w:p w14:paraId="2D7B49F5" w14:textId="77777777" w:rsidR="00D93068" w:rsidRDefault="00D93068">
      <w:pPr>
        <w:rPr>
          <w:rFonts w:asciiTheme="majorHAnsi" w:eastAsiaTheme="majorEastAsia" w:hAnsiTheme="majorHAnsi" w:cstheme="majorBidi"/>
          <w:color w:val="0F4761" w:themeColor="accent1" w:themeShade="BF"/>
          <w:sz w:val="40"/>
          <w:szCs w:val="40"/>
        </w:rPr>
        <w:sectPr w:rsidR="00D93068" w:rsidSect="001E62B2">
          <w:headerReference w:type="default" r:id="rId68"/>
          <w:pgSz w:w="11906" w:h="16838"/>
          <w:pgMar w:top="1440" w:right="1440" w:bottom="1440" w:left="1440" w:header="708" w:footer="708" w:gutter="0"/>
          <w:cols w:space="708"/>
          <w:docGrid w:linePitch="360"/>
        </w:sectPr>
      </w:pPr>
    </w:p>
    <w:p w14:paraId="05C5A3D5" w14:textId="61C35E79" w:rsidR="001E62B2" w:rsidRDefault="001E62B2" w:rsidP="001E62B2">
      <w:pPr>
        <w:pStyle w:val="Heading1"/>
        <w:numPr>
          <w:ilvl w:val="0"/>
          <w:numId w:val="0"/>
        </w:numPr>
      </w:pPr>
      <w:bookmarkStart w:id="102" w:name="_Toc225269983"/>
      <w:r>
        <w:lastRenderedPageBreak/>
        <w:t xml:space="preserve">Appendix </w:t>
      </w:r>
      <w:r w:rsidR="0084341E">
        <w:t>B</w:t>
      </w:r>
      <w:r>
        <w:t xml:space="preserve"> </w:t>
      </w:r>
      <w:r w:rsidR="00A416F0">
        <w:t>-</w:t>
      </w:r>
      <w:r>
        <w:t xml:space="preserve"> Choosing a consolidation approach</w:t>
      </w:r>
      <w:bookmarkEnd w:id="102"/>
      <w:r>
        <w:t xml:space="preserve"> </w:t>
      </w:r>
    </w:p>
    <w:p w14:paraId="0A2AD077" w14:textId="77777777" w:rsidR="001E62B2" w:rsidRDefault="001E62B2" w:rsidP="001E62B2">
      <w:pPr>
        <w:pStyle w:val="Heading3"/>
        <w:numPr>
          <w:ilvl w:val="0"/>
          <w:numId w:val="0"/>
        </w:numPr>
      </w:pPr>
      <w:r>
        <w:t>Rules of thumb</w:t>
      </w:r>
    </w:p>
    <w:p w14:paraId="278C0D8B" w14:textId="58629F21" w:rsidR="001E62B2" w:rsidRPr="006324DD" w:rsidRDefault="001E62B2" w:rsidP="00076B9B">
      <w:pPr>
        <w:pStyle w:val="ListParagraph"/>
        <w:numPr>
          <w:ilvl w:val="0"/>
          <w:numId w:val="12"/>
        </w:numPr>
      </w:pPr>
      <w:r w:rsidRPr="006324DD">
        <w:t xml:space="preserve">If </w:t>
      </w:r>
      <w:r>
        <w:t xml:space="preserve">the entity </w:t>
      </w:r>
      <w:r w:rsidRPr="006324DD">
        <w:t>control</w:t>
      </w:r>
      <w:r>
        <w:t>s</w:t>
      </w:r>
      <w:r w:rsidRPr="006324DD">
        <w:t xml:space="preserve"> operations day-to-day</w:t>
      </w:r>
      <w:r>
        <w:t xml:space="preserve">, </w:t>
      </w:r>
      <w:r w:rsidRPr="006324DD">
        <w:rPr>
          <w:i/>
          <w:iCs/>
        </w:rPr>
        <w:t>operational control</w:t>
      </w:r>
      <w:r w:rsidRPr="006324DD">
        <w:t xml:space="preserve"> </w:t>
      </w:r>
      <w:r w:rsidR="00984266">
        <w:t>c</w:t>
      </w:r>
      <w:r w:rsidR="0095135C">
        <w:t>ould</w:t>
      </w:r>
      <w:r w:rsidRPr="006324DD" w:rsidDel="00984266">
        <w:t xml:space="preserve"> </w:t>
      </w:r>
      <w:r w:rsidR="00117EBA">
        <w:t>be</w:t>
      </w:r>
      <w:r w:rsidDel="00117EBA">
        <w:t xml:space="preserve"> </w:t>
      </w:r>
      <w:r>
        <w:t>an appropriate choice.</w:t>
      </w:r>
    </w:p>
    <w:p w14:paraId="42F05CB2" w14:textId="5A7FAC1F" w:rsidR="001E62B2" w:rsidRDefault="001E62B2" w:rsidP="00076B9B">
      <w:pPr>
        <w:pStyle w:val="ListParagraph"/>
        <w:numPr>
          <w:ilvl w:val="0"/>
          <w:numId w:val="12"/>
        </w:numPr>
      </w:pPr>
      <w:r>
        <w:t xml:space="preserve">If the entity’s business interests consolidate financially (that is there is financial control across the scope of all businesses), </w:t>
      </w:r>
      <w:r w:rsidRPr="006324DD">
        <w:rPr>
          <w:i/>
          <w:iCs/>
        </w:rPr>
        <w:t>financial control</w:t>
      </w:r>
      <w:r>
        <w:t xml:space="preserve"> </w:t>
      </w:r>
      <w:r w:rsidR="00DC0D48">
        <w:t>c</w:t>
      </w:r>
      <w:r w:rsidR="00142169">
        <w:t>ould</w:t>
      </w:r>
      <w:r w:rsidR="00117EBA">
        <w:t xml:space="preserve"> be </w:t>
      </w:r>
      <w:r>
        <w:t xml:space="preserve">an appropriate choice. </w:t>
      </w:r>
    </w:p>
    <w:p w14:paraId="1A20F248" w14:textId="6EFB1A1E" w:rsidR="001E62B2" w:rsidRDefault="001E62B2" w:rsidP="00076B9B">
      <w:pPr>
        <w:pStyle w:val="ListParagraph"/>
        <w:numPr>
          <w:ilvl w:val="0"/>
          <w:numId w:val="12"/>
        </w:numPr>
      </w:pPr>
      <w:r>
        <w:t xml:space="preserve">If the entity is an investor, with partial stakes in operations and financial arrangements, </w:t>
      </w:r>
      <w:r w:rsidRPr="006324DD">
        <w:rPr>
          <w:i/>
          <w:iCs/>
        </w:rPr>
        <w:t>equity control</w:t>
      </w:r>
      <w:r>
        <w:t xml:space="preserve"> </w:t>
      </w:r>
      <w:r w:rsidR="00142169">
        <w:t>could</w:t>
      </w:r>
      <w:r w:rsidR="00117EBA">
        <w:t xml:space="preserve"> be </w:t>
      </w:r>
      <w:r>
        <w:t>an appropriate choice.</w:t>
      </w:r>
    </w:p>
    <w:p w14:paraId="7CFB70EB" w14:textId="748B2505" w:rsidR="001E62B2" w:rsidRDefault="001E62B2" w:rsidP="00076B9B">
      <w:pPr>
        <w:pStyle w:val="ListParagraph"/>
        <w:numPr>
          <w:ilvl w:val="0"/>
          <w:numId w:val="12"/>
        </w:numPr>
      </w:pPr>
      <w:r w:rsidRPr="00F90B6E">
        <w:t xml:space="preserve">ISO supports multiple consolidation </w:t>
      </w:r>
      <w:r w:rsidRPr="00492795">
        <w:t>approaches to be applied</w:t>
      </w:r>
      <w:r w:rsidR="00117EBA">
        <w:t xml:space="preserve"> within a single entity’s inventory</w:t>
      </w:r>
      <w:r>
        <w:t xml:space="preserve">, </w:t>
      </w:r>
      <w:r w:rsidRPr="00492795">
        <w:t>recognis</w:t>
      </w:r>
      <w:r>
        <w:t>ing</w:t>
      </w:r>
      <w:r w:rsidRPr="00492795">
        <w:t xml:space="preserve"> that complex organi</w:t>
      </w:r>
      <w:r>
        <w:t>s</w:t>
      </w:r>
      <w:r w:rsidRPr="00492795">
        <w:t xml:space="preserve">ations </w:t>
      </w:r>
      <w:r w:rsidR="00DC0D48">
        <w:t>can</w:t>
      </w:r>
      <w:r w:rsidRPr="00492795" w:rsidDel="00DC0D48">
        <w:t xml:space="preserve"> </w:t>
      </w:r>
      <w:r w:rsidRPr="00492795">
        <w:t>have different operational or ownership structures across activities or assets</w:t>
      </w:r>
      <w:r>
        <w:t>. T</w:t>
      </w:r>
      <w:r w:rsidRPr="00492795">
        <w:t>herefore</w:t>
      </w:r>
      <w:r>
        <w:t>,</w:t>
      </w:r>
      <w:r w:rsidRPr="00492795">
        <w:t xml:space="preserve"> </w:t>
      </w:r>
      <w:r>
        <w:t xml:space="preserve">an entity </w:t>
      </w:r>
      <w:r w:rsidRPr="00492795">
        <w:t>may legitimately apply different consolidation approaches for different parts of the inventory</w:t>
      </w:r>
      <w:r>
        <w:t>. Once the approach to consolidation has been determined (whether mixed or a singular approach) the approach shall be maintained consistently over time.</w:t>
      </w:r>
    </w:p>
    <w:p w14:paraId="7CBEAA08" w14:textId="472F7715" w:rsidR="00AA7557" w:rsidRDefault="00EF252A" w:rsidP="00076B9B">
      <w:pPr>
        <w:pStyle w:val="ListParagraph"/>
        <w:numPr>
          <w:ilvl w:val="0"/>
          <w:numId w:val="12"/>
        </w:numPr>
      </w:pPr>
      <w:r>
        <w:t xml:space="preserve">Under the GHG Protocol Corporate Standard, </w:t>
      </w:r>
      <w:r w:rsidR="00AA7557">
        <w:t>w</w:t>
      </w:r>
      <w:r w:rsidRPr="00EF252A">
        <w:t xml:space="preserve">here more than one consolidation approach is applied for different reporting purposes, separate GHG inventories </w:t>
      </w:r>
      <w:r w:rsidR="00AA7557">
        <w:t>shall</w:t>
      </w:r>
      <w:r w:rsidRPr="00EF252A">
        <w:t xml:space="preserve"> be prepared for each approach.</w:t>
      </w:r>
    </w:p>
    <w:p w14:paraId="5527F37C" w14:textId="41D95731" w:rsidR="001E62B2" w:rsidRPr="00C11DB3" w:rsidRDefault="00AA7557" w:rsidP="00076B9B">
      <w:pPr>
        <w:pStyle w:val="ListParagraph"/>
        <w:numPr>
          <w:ilvl w:val="0"/>
          <w:numId w:val="12"/>
        </w:numPr>
      </w:pPr>
      <w:r>
        <w:t xml:space="preserve"> </w:t>
      </w:r>
      <w:r w:rsidR="001E62B2" w:rsidRPr="00522D0F">
        <w:t xml:space="preserve">Where uncertainty exists regarding the application of consolidation approaches, the entity should </w:t>
      </w:r>
      <w:r w:rsidR="001E62B2">
        <w:t xml:space="preserve">consider whether the </w:t>
      </w:r>
      <w:r w:rsidR="001E62B2" w:rsidRPr="00C11DB3">
        <w:t>selected consolidation method(s) enable</w:t>
      </w:r>
      <w:r w:rsidR="001E62B2">
        <w:t>s</w:t>
      </w:r>
      <w:r w:rsidR="001E62B2" w:rsidRPr="00C11DB3">
        <w:t xml:space="preserve"> the </w:t>
      </w:r>
      <w:r w:rsidR="001E62B2" w:rsidRPr="006379C5">
        <w:t>comprehensive</w:t>
      </w:r>
      <w:r w:rsidR="001E62B2" w:rsidRPr="00C11DB3">
        <w:t xml:space="preserve"> capture of all material GHG sources and sinks over which the entity has ownership, control, or influence. This approach supports the principles of completeness and transparency and strengthens conformance with assurance and verification requirements.</w:t>
      </w:r>
    </w:p>
    <w:p w14:paraId="78B4CFA8" w14:textId="77777777" w:rsidR="001E62B2" w:rsidRDefault="001E62B2" w:rsidP="001E62B2">
      <w:pPr>
        <w:pStyle w:val="Heading3"/>
        <w:numPr>
          <w:ilvl w:val="0"/>
          <w:numId w:val="0"/>
        </w:numPr>
      </w:pPr>
      <w:r>
        <w:t xml:space="preserve">Case study: Broadmeadow Farms Pty Ltd  </w:t>
      </w:r>
    </w:p>
    <w:p w14:paraId="4B8F6AA6" w14:textId="77777777" w:rsidR="001E62B2" w:rsidRPr="002977D5" w:rsidRDefault="001E62B2" w:rsidP="001E62B2">
      <w:r w:rsidRPr="002977D5">
        <w:t xml:space="preserve">Broadmeadow Farms Pty Ltd is a family-run enterprise with diversified agricultural operations. The core cropping business is wholly owned and operated under </w:t>
      </w:r>
      <w:r w:rsidRPr="00017443">
        <w:t>the Broadmeadow Farms</w:t>
      </w:r>
      <w:r w:rsidRPr="00522D0F">
        <w:t xml:space="preserve"> ABN</w:t>
      </w:r>
      <w:r w:rsidRPr="00017443">
        <w:t>.</w:t>
      </w:r>
      <w:r w:rsidRPr="002977D5">
        <w:t xml:space="preserve"> The family also operates livestock enterprises through the </w:t>
      </w:r>
      <w:r w:rsidRPr="00522D0F">
        <w:t>Daly Family Trust</w:t>
      </w:r>
      <w:r>
        <w:t xml:space="preserve"> </w:t>
      </w:r>
      <w:r w:rsidRPr="002977D5">
        <w:t xml:space="preserve">and holds a </w:t>
      </w:r>
      <w:r w:rsidRPr="00522D0F">
        <w:t>20% equity share</w:t>
      </w:r>
      <w:r w:rsidRPr="002977D5">
        <w:t xml:space="preserve"> in a </w:t>
      </w:r>
      <w:r w:rsidRPr="00522D0F">
        <w:t>Grain Storage Co-operative</w:t>
      </w:r>
      <w:r w:rsidRPr="002977D5">
        <w:t>.</w:t>
      </w:r>
    </w:p>
    <w:p w14:paraId="57FB3DA4" w14:textId="77777777" w:rsidR="001E62B2" w:rsidRPr="00702FD8" w:rsidRDefault="001E62B2" w:rsidP="001E62B2">
      <w:r w:rsidRPr="00522D0F">
        <w:rPr>
          <w:b/>
        </w:rPr>
        <w:t>Business profile</w:t>
      </w:r>
      <w:r w:rsidRPr="00181EBF">
        <w:t>:</w:t>
      </w:r>
    </w:p>
    <w:p w14:paraId="5C78A686" w14:textId="77777777" w:rsidR="001E62B2" w:rsidRPr="00F547E9" w:rsidRDefault="001E62B2" w:rsidP="00076B9B">
      <w:pPr>
        <w:pStyle w:val="ListParagraph"/>
        <w:numPr>
          <w:ilvl w:val="0"/>
          <w:numId w:val="11"/>
        </w:numPr>
      </w:pPr>
      <w:r w:rsidRPr="00870D56">
        <w:rPr>
          <w:b/>
          <w:bCs/>
        </w:rPr>
        <w:t>Broadmeadow Farms Pty Ltd</w:t>
      </w:r>
      <w:r w:rsidRPr="00F547E9">
        <w:t xml:space="preserve"> </w:t>
      </w:r>
      <w:r>
        <w:t xml:space="preserve">– </w:t>
      </w:r>
      <w:r w:rsidRPr="00F547E9">
        <w:t>cropping operations</w:t>
      </w:r>
      <w:r>
        <w:t xml:space="preserve"> 100% owned</w:t>
      </w:r>
      <w:r w:rsidRPr="00F547E9">
        <w:t>.</w:t>
      </w:r>
      <w:r>
        <w:t xml:space="preserve"> Main business. </w:t>
      </w:r>
    </w:p>
    <w:p w14:paraId="1B995CBE" w14:textId="77777777" w:rsidR="001E62B2" w:rsidRPr="0017572E" w:rsidRDefault="001E62B2" w:rsidP="00076B9B">
      <w:pPr>
        <w:numPr>
          <w:ilvl w:val="0"/>
          <w:numId w:val="11"/>
        </w:numPr>
      </w:pPr>
      <w:r w:rsidRPr="00870D56">
        <w:rPr>
          <w:b/>
          <w:bCs/>
        </w:rPr>
        <w:t>Daly</w:t>
      </w:r>
      <w:r w:rsidRPr="00F547E9">
        <w:rPr>
          <w:b/>
          <w:bCs/>
        </w:rPr>
        <w:t xml:space="preserve"> Family Trust</w:t>
      </w:r>
      <w:r w:rsidRPr="00F547E9">
        <w:t xml:space="preserve"> </w:t>
      </w:r>
      <w:r w:rsidRPr="00522D0F">
        <w:rPr>
          <w:b/>
        </w:rPr>
        <w:t>Pty Ltd</w:t>
      </w:r>
      <w:r>
        <w:t xml:space="preserve"> – livestock operations </w:t>
      </w:r>
      <w:r w:rsidRPr="00B42271">
        <w:rPr>
          <w:i/>
          <w:iCs/>
        </w:rPr>
        <w:t xml:space="preserve">operationally </w:t>
      </w:r>
      <w:r>
        <w:t>controlled by Broadmeadow Farms. Financial decisions are made by a</w:t>
      </w:r>
      <w:r w:rsidDel="00017443">
        <w:t xml:space="preserve"> </w:t>
      </w:r>
      <w:r>
        <w:t>Trustee (not related to Broadmeadow Farms). Separate</w:t>
      </w:r>
      <w:r w:rsidRPr="0017572E" w:rsidDel="001F3D19">
        <w:t xml:space="preserve"> </w:t>
      </w:r>
      <w:r w:rsidRPr="0017572E">
        <w:t>ABN to Broadmeadow Farms.</w:t>
      </w:r>
    </w:p>
    <w:p w14:paraId="65879460" w14:textId="77777777" w:rsidR="001E62B2" w:rsidRDefault="001E62B2" w:rsidP="00076B9B">
      <w:pPr>
        <w:numPr>
          <w:ilvl w:val="0"/>
          <w:numId w:val="11"/>
        </w:numPr>
      </w:pPr>
      <w:r w:rsidRPr="00F547E9">
        <w:rPr>
          <w:b/>
          <w:bCs/>
        </w:rPr>
        <w:t>Grain Storage Co</w:t>
      </w:r>
      <w:r w:rsidRPr="00870D56">
        <w:rPr>
          <w:b/>
          <w:bCs/>
        </w:rPr>
        <w:t>-operative</w:t>
      </w:r>
      <w:r>
        <w:t xml:space="preserve"> – </w:t>
      </w:r>
      <w:r w:rsidRPr="00F547E9">
        <w:t xml:space="preserve">20% equity </w:t>
      </w:r>
      <w:r>
        <w:t xml:space="preserve">share. Separate ABN to Broadmeadow Farms. </w:t>
      </w:r>
    </w:p>
    <w:p w14:paraId="1D541F4A" w14:textId="16D3E427" w:rsidR="001E62B2" w:rsidRDefault="001E62B2" w:rsidP="001E62B2">
      <w:r w:rsidRPr="002977D5">
        <w:t xml:space="preserve">Although the </w:t>
      </w:r>
      <w:r w:rsidR="009C731A">
        <w:t>3</w:t>
      </w:r>
      <w:r w:rsidRPr="002977D5">
        <w:t xml:space="preserve"> entities are legally distinct, they are operationally and strategically interconnected </w:t>
      </w:r>
      <w:r>
        <w:t xml:space="preserve">and ultimately </w:t>
      </w:r>
      <w:r w:rsidRPr="002977D5">
        <w:t>Broadmeadow Farm</w:t>
      </w:r>
      <w:r>
        <w:t>s is the beneficiary of all their operations</w:t>
      </w:r>
      <w:r w:rsidRPr="002977D5">
        <w:t>.</w:t>
      </w:r>
    </w:p>
    <w:p w14:paraId="3F410963" w14:textId="77777777" w:rsidR="001E62B2" w:rsidRPr="00414ADC" w:rsidRDefault="001E62B2" w:rsidP="001E62B2">
      <w:pPr>
        <w:tabs>
          <w:tab w:val="left" w:pos="7938"/>
        </w:tabs>
        <w:rPr>
          <w:b/>
          <w:bCs/>
        </w:rPr>
      </w:pPr>
      <w:r w:rsidRPr="00414ADC">
        <w:rPr>
          <w:b/>
          <w:bCs/>
        </w:rPr>
        <w:t>Applying</w:t>
      </w:r>
      <w:r>
        <w:rPr>
          <w:b/>
          <w:bCs/>
        </w:rPr>
        <w:t xml:space="preserve"> a consolidation approach under</w:t>
      </w:r>
      <w:r w:rsidRPr="00414ADC">
        <w:rPr>
          <w:b/>
          <w:bCs/>
        </w:rPr>
        <w:t xml:space="preserve"> ISO 14064-1 </w:t>
      </w:r>
      <w:r>
        <w:rPr>
          <w:b/>
          <w:bCs/>
        </w:rPr>
        <w:t xml:space="preserve">rules </w:t>
      </w:r>
    </w:p>
    <w:p w14:paraId="3D11FAF3" w14:textId="6807470C" w:rsidR="001E62B2" w:rsidRPr="00414ADC" w:rsidRDefault="001E62B2" w:rsidP="001E62B2">
      <w:pPr>
        <w:tabs>
          <w:tab w:val="left" w:pos="7938"/>
        </w:tabs>
      </w:pPr>
      <w:r w:rsidRPr="00414ADC">
        <w:t xml:space="preserve">Under </w:t>
      </w:r>
      <w:r w:rsidRPr="00522D0F">
        <w:t>ISO 14064-1:2018</w:t>
      </w:r>
      <w:r w:rsidRPr="00414ADC">
        <w:t xml:space="preserve">, </w:t>
      </w:r>
      <w:r w:rsidRPr="00522D0F">
        <w:rPr>
          <w:i/>
        </w:rPr>
        <w:t>Broadmeadow Farms</w:t>
      </w:r>
      <w:r w:rsidRPr="00414ADC">
        <w:t xml:space="preserve"> </w:t>
      </w:r>
      <w:r w:rsidR="008F521B">
        <w:t xml:space="preserve">shall </w:t>
      </w:r>
      <w:r w:rsidRPr="00522D0F">
        <w:t>select a consolidation approach (or combination of approaches)</w:t>
      </w:r>
      <w:r w:rsidRPr="00414ADC">
        <w:t xml:space="preserve"> that best represents its control or influence over emissions and removals.</w:t>
      </w:r>
    </w:p>
    <w:p w14:paraId="75D509E6" w14:textId="77777777" w:rsidR="001E62B2" w:rsidRPr="00414ADC" w:rsidRDefault="001E62B2" w:rsidP="001E62B2">
      <w:pPr>
        <w:tabs>
          <w:tab w:val="left" w:pos="7938"/>
        </w:tabs>
      </w:pPr>
      <w:r w:rsidRPr="00414ADC">
        <w:lastRenderedPageBreak/>
        <w:t xml:space="preserve">ISO allows the use of </w:t>
      </w:r>
      <w:r w:rsidRPr="00522D0F">
        <w:t>multiple consolidation approaches</w:t>
      </w:r>
      <w:r>
        <w:t xml:space="preserve"> –</w:t>
      </w:r>
      <w:r w:rsidRPr="00414ADC">
        <w:t xml:space="preserve"> </w:t>
      </w:r>
      <w:proofErr w:type="gramStart"/>
      <w:r w:rsidRPr="00414ADC">
        <w:t>as long as</w:t>
      </w:r>
      <w:proofErr w:type="gramEnd"/>
      <w:r w:rsidRPr="00414ADC">
        <w:t xml:space="preserve"> the rationale is </w:t>
      </w:r>
      <w:r w:rsidRPr="00522D0F">
        <w:t>transparent</w:t>
      </w:r>
      <w:r w:rsidRPr="00414ADC">
        <w:t xml:space="preserve">, </w:t>
      </w:r>
      <w:r w:rsidRPr="00522D0F">
        <w:t>consistent over time</w:t>
      </w:r>
      <w:r w:rsidRPr="00414ADC">
        <w:t xml:space="preserve">, and </w:t>
      </w:r>
      <w:r w:rsidRPr="00522D0F">
        <w:t>avoids double counting</w:t>
      </w:r>
      <w:r w:rsidRPr="00414ADC">
        <w:t>.</w:t>
      </w:r>
    </w:p>
    <w:p w14:paraId="08E9C3A7" w14:textId="77777777" w:rsidR="001E62B2" w:rsidRDefault="001E62B2" w:rsidP="001E62B2">
      <w:pPr>
        <w:tabs>
          <w:tab w:val="left" w:pos="7938"/>
        </w:tabs>
      </w:pPr>
      <w:r>
        <w:t xml:space="preserve">Table 1 explains a rationale for </w:t>
      </w:r>
      <w:r w:rsidRPr="000326B0">
        <w:t>Broadmeadow Farms combin</w:t>
      </w:r>
      <w:r>
        <w:t>ing</w:t>
      </w:r>
      <w:r w:rsidRPr="000326B0">
        <w:t xml:space="preserve"> </w:t>
      </w:r>
      <w:r w:rsidRPr="00522D0F">
        <w:rPr>
          <w:i/>
        </w:rPr>
        <w:t>operational control</w:t>
      </w:r>
      <w:r w:rsidRPr="000326B0">
        <w:t xml:space="preserve"> for its wholly owned and managed entities</w:t>
      </w:r>
      <w:r>
        <w:t>,</w:t>
      </w:r>
      <w:r w:rsidRPr="000326B0">
        <w:t xml:space="preserve"> with </w:t>
      </w:r>
      <w:r w:rsidRPr="00522D0F">
        <w:rPr>
          <w:i/>
        </w:rPr>
        <w:t>equity share</w:t>
      </w:r>
      <w:r w:rsidRPr="000326B0">
        <w:t xml:space="preserve"> for </w:t>
      </w:r>
      <w:r>
        <w:t>the Grain Storage Co-operative minority holding</w:t>
      </w:r>
      <w:r w:rsidRPr="000326B0">
        <w:t xml:space="preserve">. This mixed approach ensures </w:t>
      </w:r>
      <w:r w:rsidRPr="00522D0F">
        <w:t>completeness</w:t>
      </w:r>
      <w:r w:rsidRPr="000326B0">
        <w:t>, capturing all material sources and sinks where the business has ownership, control, or influence</w:t>
      </w:r>
      <w:r>
        <w:t xml:space="preserve">.  </w:t>
      </w:r>
    </w:p>
    <w:p w14:paraId="0B03A454" w14:textId="77777777" w:rsidR="001E62B2" w:rsidRPr="00D931F4" w:rsidRDefault="001E62B2" w:rsidP="001E62B2">
      <w:pPr>
        <w:pStyle w:val="Heading4"/>
        <w:numPr>
          <w:ilvl w:val="0"/>
          <w:numId w:val="0"/>
        </w:numPr>
        <w:ind w:left="864" w:hanging="864"/>
      </w:pPr>
      <w:r w:rsidRPr="00D931F4">
        <w:t>Table 1</w:t>
      </w:r>
      <w:r>
        <w:t>:</w:t>
      </w:r>
      <w:r w:rsidRPr="00D931F4">
        <w:t xml:space="preserve"> Broadmeadow Farms </w:t>
      </w:r>
      <w:r>
        <w:t>c</w:t>
      </w:r>
      <w:r w:rsidRPr="00D931F4">
        <w:t xml:space="preserve">onsolidation </w:t>
      </w:r>
      <w:r>
        <w:t>a</w:t>
      </w:r>
      <w:r w:rsidRPr="00D931F4">
        <w:t xml:space="preserve">pproach </w:t>
      </w:r>
      <w:r>
        <w:t>u</w:t>
      </w:r>
      <w:r w:rsidRPr="00D931F4">
        <w:t xml:space="preserve">nder ISO rules </w:t>
      </w:r>
    </w:p>
    <w:tbl>
      <w:tblPr>
        <w:tblW w:w="9776" w:type="dxa"/>
        <w:tblLook w:val="04A0" w:firstRow="1" w:lastRow="0" w:firstColumn="1" w:lastColumn="0" w:noHBand="0" w:noVBand="1"/>
      </w:tblPr>
      <w:tblGrid>
        <w:gridCol w:w="2580"/>
        <w:gridCol w:w="3880"/>
        <w:gridCol w:w="3316"/>
      </w:tblGrid>
      <w:tr w:rsidR="001E62B2" w:rsidRPr="007B12A2" w14:paraId="5D9B0F5E" w14:textId="77777777">
        <w:trPr>
          <w:trHeight w:val="440"/>
        </w:trPr>
        <w:tc>
          <w:tcPr>
            <w:tcW w:w="2580"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25C3E902" w14:textId="77777777" w:rsidR="001E62B2" w:rsidRPr="007B12A2"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7B12A2">
              <w:rPr>
                <w:rFonts w:ascii="Aptos Narrow" w:eastAsia="Times New Roman" w:hAnsi="Aptos Narrow" w:cs="Times New Roman"/>
                <w:b/>
                <w:bCs/>
                <w:color w:val="000000"/>
                <w:kern w:val="0"/>
                <w:lang w:eastAsia="en-AU"/>
                <w14:ligatures w14:val="none"/>
              </w:rPr>
              <w:t>Entity</w:t>
            </w:r>
          </w:p>
        </w:tc>
        <w:tc>
          <w:tcPr>
            <w:tcW w:w="3880" w:type="dxa"/>
            <w:tcBorders>
              <w:top w:val="single" w:sz="4" w:space="0" w:color="auto"/>
              <w:left w:val="nil"/>
              <w:bottom w:val="single" w:sz="4" w:space="0" w:color="auto"/>
              <w:right w:val="single" w:sz="4" w:space="0" w:color="auto"/>
            </w:tcBorders>
            <w:shd w:val="clear" w:color="000000" w:fill="E8E8E8"/>
            <w:vAlign w:val="center"/>
            <w:hideMark/>
          </w:tcPr>
          <w:p w14:paraId="67CEB7EF" w14:textId="77777777" w:rsidR="001E62B2" w:rsidRPr="007B12A2" w:rsidRDefault="001E62B2">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R</w:t>
            </w:r>
            <w:r w:rsidRPr="007B12A2">
              <w:rPr>
                <w:rFonts w:ascii="Aptos Narrow" w:eastAsia="Times New Roman" w:hAnsi="Aptos Narrow" w:cs="Times New Roman"/>
                <w:b/>
                <w:bCs/>
                <w:color w:val="000000"/>
                <w:kern w:val="0"/>
                <w:lang w:eastAsia="en-AU"/>
                <w14:ligatures w14:val="none"/>
              </w:rPr>
              <w:t>ationale</w:t>
            </w:r>
          </w:p>
        </w:tc>
        <w:tc>
          <w:tcPr>
            <w:tcW w:w="3316" w:type="dxa"/>
            <w:tcBorders>
              <w:top w:val="single" w:sz="4" w:space="0" w:color="auto"/>
              <w:left w:val="nil"/>
              <w:bottom w:val="single" w:sz="4" w:space="0" w:color="auto"/>
              <w:right w:val="single" w:sz="4" w:space="0" w:color="auto"/>
            </w:tcBorders>
            <w:shd w:val="clear" w:color="000000" w:fill="E8E8E8"/>
            <w:vAlign w:val="center"/>
            <w:hideMark/>
          </w:tcPr>
          <w:p w14:paraId="00732D3C" w14:textId="77777777" w:rsidR="001E62B2" w:rsidRPr="007B12A2"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7B12A2">
              <w:rPr>
                <w:rFonts w:ascii="Aptos Narrow" w:eastAsia="Times New Roman" w:hAnsi="Aptos Narrow" w:cs="Times New Roman"/>
                <w:b/>
                <w:bCs/>
                <w:color w:val="000000"/>
                <w:kern w:val="0"/>
                <w:lang w:eastAsia="en-AU"/>
                <w14:ligatures w14:val="none"/>
              </w:rPr>
              <w:t>Inventory inclusion</w:t>
            </w:r>
          </w:p>
        </w:tc>
      </w:tr>
      <w:tr w:rsidR="001E62B2" w:rsidRPr="007B12A2" w14:paraId="13985A36" w14:textId="77777777">
        <w:trPr>
          <w:trHeight w:val="580"/>
        </w:trPr>
        <w:tc>
          <w:tcPr>
            <w:tcW w:w="2580" w:type="dxa"/>
            <w:tcBorders>
              <w:top w:val="nil"/>
              <w:left w:val="single" w:sz="4" w:space="0" w:color="auto"/>
              <w:bottom w:val="single" w:sz="4" w:space="0" w:color="auto"/>
              <w:right w:val="single" w:sz="4" w:space="0" w:color="auto"/>
            </w:tcBorders>
            <w:vAlign w:val="center"/>
            <w:hideMark/>
          </w:tcPr>
          <w:p w14:paraId="20A96850" w14:textId="77777777" w:rsidR="001E62B2" w:rsidRPr="007B12A2" w:rsidRDefault="001E62B2">
            <w:pPr>
              <w:spacing w:after="0" w:line="240" w:lineRule="auto"/>
              <w:rPr>
                <w:rFonts w:ascii="Aptos Narrow" w:eastAsia="Times New Roman" w:hAnsi="Aptos Narrow" w:cs="Times New Roman"/>
                <w:b/>
                <w:bCs/>
                <w:color w:val="000000"/>
                <w:kern w:val="0"/>
                <w:lang w:eastAsia="en-AU"/>
                <w14:ligatures w14:val="none"/>
              </w:rPr>
            </w:pPr>
            <w:r w:rsidRPr="007B12A2">
              <w:rPr>
                <w:rFonts w:ascii="Aptos Narrow" w:eastAsia="Times New Roman" w:hAnsi="Aptos Narrow" w:cs="Times New Roman"/>
                <w:b/>
                <w:bCs/>
                <w:color w:val="000000"/>
                <w:kern w:val="0"/>
                <w:lang w:eastAsia="en-AU"/>
                <w14:ligatures w14:val="none"/>
              </w:rPr>
              <w:t>Broadmeadow Farms Pty Ltd (cropping)</w:t>
            </w:r>
          </w:p>
        </w:tc>
        <w:tc>
          <w:tcPr>
            <w:tcW w:w="3880" w:type="dxa"/>
            <w:tcBorders>
              <w:top w:val="nil"/>
              <w:left w:val="nil"/>
              <w:bottom w:val="single" w:sz="4" w:space="0" w:color="auto"/>
              <w:right w:val="single" w:sz="4" w:space="0" w:color="auto"/>
            </w:tcBorders>
            <w:vAlign w:val="center"/>
            <w:hideMark/>
          </w:tcPr>
          <w:p w14:paraId="1E1377DE" w14:textId="77777777" w:rsidR="001E62B2" w:rsidRPr="007B12A2" w:rsidRDefault="001E62B2">
            <w:pPr>
              <w:spacing w:after="0" w:line="240" w:lineRule="auto"/>
              <w:rPr>
                <w:rFonts w:ascii="Aptos Narrow" w:eastAsia="Times New Roman" w:hAnsi="Aptos Narrow" w:cs="Times New Roman"/>
                <w:color w:val="000000"/>
                <w:kern w:val="0"/>
                <w:lang w:eastAsia="en-AU"/>
                <w14:ligatures w14:val="none"/>
              </w:rPr>
            </w:pPr>
            <w:r w:rsidRPr="007B12A2">
              <w:rPr>
                <w:rFonts w:ascii="Aptos Narrow" w:eastAsia="Times New Roman" w:hAnsi="Aptos Narrow" w:cs="Times New Roman"/>
                <w:color w:val="000000"/>
                <w:kern w:val="0"/>
                <w:lang w:eastAsia="en-AU"/>
                <w14:ligatures w14:val="none"/>
              </w:rPr>
              <w:t xml:space="preserve">100% owned and managed with both </w:t>
            </w:r>
            <w:r w:rsidRPr="007B12A2">
              <w:rPr>
                <w:rFonts w:ascii="Aptos Narrow" w:eastAsia="Times New Roman" w:hAnsi="Aptos Narrow" w:cs="Times New Roman"/>
                <w:i/>
                <w:iCs/>
                <w:color w:val="000000"/>
                <w:kern w:val="0"/>
                <w:lang w:eastAsia="en-AU"/>
                <w14:ligatures w14:val="none"/>
              </w:rPr>
              <w:t>financial and operational control.</w:t>
            </w:r>
          </w:p>
        </w:tc>
        <w:tc>
          <w:tcPr>
            <w:tcW w:w="3316" w:type="dxa"/>
            <w:tcBorders>
              <w:top w:val="nil"/>
              <w:left w:val="nil"/>
              <w:bottom w:val="single" w:sz="4" w:space="0" w:color="auto"/>
              <w:right w:val="single" w:sz="4" w:space="0" w:color="auto"/>
            </w:tcBorders>
            <w:vAlign w:val="center"/>
            <w:hideMark/>
          </w:tcPr>
          <w:p w14:paraId="6BEA38F7" w14:textId="77777777" w:rsidR="001E62B2" w:rsidRPr="007B12A2" w:rsidRDefault="001E62B2">
            <w:pPr>
              <w:spacing w:after="0" w:line="240" w:lineRule="auto"/>
              <w:rPr>
                <w:rFonts w:ascii="Aptos Narrow" w:eastAsia="Times New Roman" w:hAnsi="Aptos Narrow" w:cs="Times New Roman"/>
                <w:color w:val="000000"/>
                <w:kern w:val="0"/>
                <w:lang w:eastAsia="en-AU"/>
                <w14:ligatures w14:val="none"/>
              </w:rPr>
            </w:pPr>
            <w:r w:rsidRPr="007B12A2">
              <w:rPr>
                <w:rFonts w:ascii="Aptos Narrow" w:eastAsia="Times New Roman" w:hAnsi="Aptos Narrow" w:cs="Times New Roman"/>
                <w:color w:val="000000"/>
                <w:kern w:val="0"/>
                <w:lang w:eastAsia="en-AU"/>
                <w14:ligatures w14:val="none"/>
              </w:rPr>
              <w:t>100% of emissions and removals included</w:t>
            </w:r>
          </w:p>
        </w:tc>
      </w:tr>
      <w:tr w:rsidR="001E62B2" w:rsidRPr="007B12A2" w14:paraId="31A12C55" w14:textId="77777777">
        <w:trPr>
          <w:trHeight w:val="1180"/>
        </w:trPr>
        <w:tc>
          <w:tcPr>
            <w:tcW w:w="2580" w:type="dxa"/>
            <w:tcBorders>
              <w:top w:val="nil"/>
              <w:left w:val="single" w:sz="4" w:space="0" w:color="auto"/>
              <w:bottom w:val="single" w:sz="4" w:space="0" w:color="auto"/>
              <w:right w:val="single" w:sz="4" w:space="0" w:color="auto"/>
            </w:tcBorders>
            <w:vAlign w:val="center"/>
            <w:hideMark/>
          </w:tcPr>
          <w:p w14:paraId="56C99478" w14:textId="77777777" w:rsidR="001E62B2" w:rsidRPr="007B12A2" w:rsidRDefault="001E62B2">
            <w:pPr>
              <w:spacing w:after="0" w:line="240" w:lineRule="auto"/>
              <w:rPr>
                <w:rFonts w:ascii="Aptos Narrow" w:eastAsia="Times New Roman" w:hAnsi="Aptos Narrow" w:cs="Times New Roman"/>
                <w:b/>
                <w:bCs/>
                <w:color w:val="000000"/>
                <w:kern w:val="0"/>
                <w:lang w:eastAsia="en-AU"/>
                <w14:ligatures w14:val="none"/>
              </w:rPr>
            </w:pPr>
            <w:r w:rsidRPr="007B12A2">
              <w:rPr>
                <w:rFonts w:ascii="Aptos Narrow" w:eastAsia="Times New Roman" w:hAnsi="Aptos Narrow" w:cs="Times New Roman"/>
                <w:b/>
                <w:bCs/>
                <w:color w:val="000000"/>
                <w:kern w:val="0"/>
                <w:lang w:eastAsia="en-AU"/>
                <w14:ligatures w14:val="none"/>
              </w:rPr>
              <w:t>Daly Family Trust (livestock)</w:t>
            </w:r>
          </w:p>
        </w:tc>
        <w:tc>
          <w:tcPr>
            <w:tcW w:w="3880" w:type="dxa"/>
            <w:tcBorders>
              <w:top w:val="nil"/>
              <w:left w:val="nil"/>
              <w:bottom w:val="single" w:sz="4" w:space="0" w:color="auto"/>
              <w:right w:val="single" w:sz="4" w:space="0" w:color="auto"/>
            </w:tcBorders>
            <w:vAlign w:val="center"/>
            <w:hideMark/>
          </w:tcPr>
          <w:p w14:paraId="0E51AB0B" w14:textId="77777777" w:rsidR="001E62B2" w:rsidRPr="007B12A2" w:rsidRDefault="001E62B2">
            <w:pPr>
              <w:spacing w:after="0" w:line="240" w:lineRule="auto"/>
              <w:rPr>
                <w:rFonts w:ascii="Aptos Narrow" w:eastAsia="Times New Roman" w:hAnsi="Aptos Narrow" w:cs="Times New Roman"/>
                <w:color w:val="000000"/>
                <w:kern w:val="0"/>
                <w:lang w:eastAsia="en-AU"/>
                <w14:ligatures w14:val="none"/>
              </w:rPr>
            </w:pPr>
            <w:r w:rsidRPr="007B12A2">
              <w:rPr>
                <w:rFonts w:ascii="Aptos Narrow" w:eastAsia="Times New Roman" w:hAnsi="Aptos Narrow" w:cs="Times New Roman"/>
                <w:i/>
                <w:iCs/>
                <w:color w:val="000000"/>
                <w:kern w:val="0"/>
                <w:lang w:eastAsia="en-AU"/>
                <w14:ligatures w14:val="none"/>
              </w:rPr>
              <w:t xml:space="preserve">Operationally </w:t>
            </w:r>
            <w:r w:rsidRPr="007B12A2">
              <w:rPr>
                <w:rFonts w:ascii="Aptos Narrow" w:eastAsia="Times New Roman" w:hAnsi="Aptos Narrow" w:cs="Times New Roman"/>
                <w:color w:val="000000"/>
                <w:kern w:val="0"/>
                <w:lang w:eastAsia="en-AU"/>
                <w14:ligatures w14:val="none"/>
              </w:rPr>
              <w:t xml:space="preserve">controlled by Broadmeadow Farms, though financial control sits with the trustee. Inclusion justified under </w:t>
            </w:r>
            <w:r w:rsidRPr="007B12A2">
              <w:rPr>
                <w:rFonts w:ascii="Aptos Narrow" w:eastAsia="Times New Roman" w:hAnsi="Aptos Narrow" w:cs="Times New Roman"/>
                <w:i/>
                <w:iCs/>
                <w:color w:val="000000"/>
                <w:kern w:val="0"/>
                <w:lang w:eastAsia="en-AU"/>
                <w14:ligatures w14:val="none"/>
              </w:rPr>
              <w:t>operational control</w:t>
            </w:r>
            <w:r w:rsidRPr="007B12A2">
              <w:rPr>
                <w:rFonts w:ascii="Aptos Narrow" w:eastAsia="Times New Roman" w:hAnsi="Aptos Narrow" w:cs="Times New Roman"/>
                <w:color w:val="000000"/>
                <w:kern w:val="0"/>
                <w:lang w:eastAsia="en-AU"/>
                <w14:ligatures w14:val="none"/>
              </w:rPr>
              <w:t>.</w:t>
            </w:r>
          </w:p>
        </w:tc>
        <w:tc>
          <w:tcPr>
            <w:tcW w:w="3316" w:type="dxa"/>
            <w:tcBorders>
              <w:top w:val="nil"/>
              <w:left w:val="nil"/>
              <w:bottom w:val="single" w:sz="4" w:space="0" w:color="auto"/>
              <w:right w:val="single" w:sz="4" w:space="0" w:color="auto"/>
            </w:tcBorders>
            <w:vAlign w:val="center"/>
            <w:hideMark/>
          </w:tcPr>
          <w:p w14:paraId="6E1B8A9A" w14:textId="77777777" w:rsidR="001E62B2" w:rsidRPr="007B12A2" w:rsidRDefault="001E62B2">
            <w:pPr>
              <w:spacing w:after="0" w:line="240" w:lineRule="auto"/>
              <w:rPr>
                <w:rFonts w:ascii="Aptos Narrow" w:eastAsia="Times New Roman" w:hAnsi="Aptos Narrow" w:cs="Times New Roman"/>
                <w:color w:val="000000"/>
                <w:kern w:val="0"/>
                <w:lang w:eastAsia="en-AU"/>
                <w14:ligatures w14:val="none"/>
              </w:rPr>
            </w:pPr>
            <w:r w:rsidRPr="007B12A2">
              <w:rPr>
                <w:rFonts w:ascii="Aptos Narrow" w:eastAsia="Times New Roman" w:hAnsi="Aptos Narrow" w:cs="Times New Roman"/>
                <w:color w:val="000000"/>
                <w:kern w:val="0"/>
                <w:lang w:eastAsia="en-AU"/>
                <w14:ligatures w14:val="none"/>
              </w:rPr>
              <w:t>100% of emissions and removals included</w:t>
            </w:r>
          </w:p>
        </w:tc>
      </w:tr>
      <w:tr w:rsidR="001E62B2" w:rsidRPr="007B12A2" w14:paraId="052C9863" w14:textId="77777777">
        <w:trPr>
          <w:trHeight w:val="1090"/>
        </w:trPr>
        <w:tc>
          <w:tcPr>
            <w:tcW w:w="2580" w:type="dxa"/>
            <w:tcBorders>
              <w:top w:val="nil"/>
              <w:left w:val="single" w:sz="4" w:space="0" w:color="auto"/>
              <w:bottom w:val="single" w:sz="4" w:space="0" w:color="auto"/>
              <w:right w:val="single" w:sz="4" w:space="0" w:color="auto"/>
            </w:tcBorders>
            <w:vAlign w:val="center"/>
            <w:hideMark/>
          </w:tcPr>
          <w:p w14:paraId="0F2E926C" w14:textId="77777777" w:rsidR="001E62B2" w:rsidRPr="007B12A2" w:rsidRDefault="001E62B2">
            <w:pPr>
              <w:spacing w:after="0" w:line="240" w:lineRule="auto"/>
              <w:rPr>
                <w:rFonts w:ascii="Aptos Narrow" w:eastAsia="Times New Roman" w:hAnsi="Aptos Narrow" w:cs="Times New Roman"/>
                <w:b/>
                <w:bCs/>
                <w:color w:val="000000"/>
                <w:kern w:val="0"/>
                <w:lang w:eastAsia="en-AU"/>
                <w14:ligatures w14:val="none"/>
              </w:rPr>
            </w:pPr>
            <w:r w:rsidRPr="007B12A2">
              <w:rPr>
                <w:rFonts w:ascii="Aptos Narrow" w:eastAsia="Times New Roman" w:hAnsi="Aptos Narrow" w:cs="Times New Roman"/>
                <w:b/>
                <w:bCs/>
                <w:color w:val="000000"/>
                <w:kern w:val="0"/>
                <w:lang w:eastAsia="en-AU"/>
                <w14:ligatures w14:val="none"/>
              </w:rPr>
              <w:t>Grain Storage Co-operative (20% share)</w:t>
            </w:r>
          </w:p>
        </w:tc>
        <w:tc>
          <w:tcPr>
            <w:tcW w:w="3880" w:type="dxa"/>
            <w:tcBorders>
              <w:top w:val="nil"/>
              <w:left w:val="nil"/>
              <w:bottom w:val="single" w:sz="4" w:space="0" w:color="auto"/>
              <w:right w:val="single" w:sz="4" w:space="0" w:color="auto"/>
            </w:tcBorders>
            <w:vAlign w:val="center"/>
            <w:hideMark/>
          </w:tcPr>
          <w:p w14:paraId="08B3EF09" w14:textId="77777777" w:rsidR="001E62B2" w:rsidRPr="007B12A2" w:rsidRDefault="001E62B2">
            <w:pPr>
              <w:spacing w:after="0" w:line="240" w:lineRule="auto"/>
              <w:rPr>
                <w:rFonts w:ascii="Aptos Narrow" w:eastAsia="Times New Roman" w:hAnsi="Aptos Narrow" w:cs="Times New Roman"/>
                <w:color w:val="000000"/>
                <w:kern w:val="0"/>
                <w:lang w:eastAsia="en-AU"/>
                <w14:ligatures w14:val="none"/>
              </w:rPr>
            </w:pPr>
            <w:r w:rsidRPr="007B12A2">
              <w:rPr>
                <w:rFonts w:ascii="Aptos Narrow" w:eastAsia="Times New Roman" w:hAnsi="Aptos Narrow" w:cs="Times New Roman"/>
                <w:color w:val="000000"/>
                <w:kern w:val="0"/>
                <w:lang w:eastAsia="en-AU"/>
                <w14:ligatures w14:val="none"/>
              </w:rPr>
              <w:t xml:space="preserve">No operational or financial control, but 20% ownership stake provides partial responsibility. Included under </w:t>
            </w:r>
            <w:r w:rsidRPr="007B12A2">
              <w:rPr>
                <w:rFonts w:ascii="Aptos Narrow" w:eastAsia="Times New Roman" w:hAnsi="Aptos Narrow" w:cs="Times New Roman"/>
                <w:b/>
                <w:bCs/>
                <w:color w:val="000000"/>
                <w:kern w:val="0"/>
                <w:lang w:eastAsia="en-AU"/>
                <w14:ligatures w14:val="none"/>
              </w:rPr>
              <w:t>equity share</w:t>
            </w:r>
            <w:r w:rsidRPr="007B12A2">
              <w:rPr>
                <w:rFonts w:ascii="Aptos Narrow" w:eastAsia="Times New Roman" w:hAnsi="Aptos Narrow" w:cs="Times New Roman"/>
                <w:color w:val="000000"/>
                <w:kern w:val="0"/>
                <w:lang w:eastAsia="en-AU"/>
                <w14:ligatures w14:val="none"/>
              </w:rPr>
              <w:t>.</w:t>
            </w:r>
          </w:p>
        </w:tc>
        <w:tc>
          <w:tcPr>
            <w:tcW w:w="3316" w:type="dxa"/>
            <w:tcBorders>
              <w:top w:val="nil"/>
              <w:left w:val="nil"/>
              <w:bottom w:val="single" w:sz="4" w:space="0" w:color="auto"/>
              <w:right w:val="single" w:sz="4" w:space="0" w:color="auto"/>
            </w:tcBorders>
            <w:vAlign w:val="center"/>
            <w:hideMark/>
          </w:tcPr>
          <w:p w14:paraId="79E5EFC7" w14:textId="77777777" w:rsidR="001E62B2" w:rsidRPr="007B12A2" w:rsidRDefault="001E62B2">
            <w:pPr>
              <w:spacing w:after="0" w:line="240" w:lineRule="auto"/>
              <w:rPr>
                <w:rFonts w:ascii="Aptos Narrow" w:eastAsia="Times New Roman" w:hAnsi="Aptos Narrow" w:cs="Times New Roman"/>
                <w:color w:val="000000"/>
                <w:kern w:val="0"/>
                <w:lang w:eastAsia="en-AU"/>
                <w14:ligatures w14:val="none"/>
              </w:rPr>
            </w:pPr>
            <w:r w:rsidRPr="007B12A2">
              <w:rPr>
                <w:rFonts w:ascii="Aptos Narrow" w:eastAsia="Times New Roman" w:hAnsi="Aptos Narrow" w:cs="Times New Roman"/>
                <w:color w:val="000000"/>
                <w:kern w:val="0"/>
                <w:lang w:eastAsia="en-AU"/>
                <w14:ligatures w14:val="none"/>
              </w:rPr>
              <w:t>20% of emissions and removals included</w:t>
            </w:r>
          </w:p>
        </w:tc>
      </w:tr>
    </w:tbl>
    <w:p w14:paraId="1ADEC171" w14:textId="77777777" w:rsidR="001E62B2" w:rsidRDefault="001E62B2" w:rsidP="001E62B2">
      <w:pPr>
        <w:tabs>
          <w:tab w:val="left" w:pos="7938"/>
        </w:tabs>
      </w:pPr>
    </w:p>
    <w:p w14:paraId="6EAFDDB8" w14:textId="77777777" w:rsidR="001E62B2" w:rsidRDefault="001E62B2" w:rsidP="001E62B2">
      <w:pPr>
        <w:tabs>
          <w:tab w:val="left" w:pos="7938"/>
        </w:tabs>
      </w:pPr>
      <w:r w:rsidRPr="00414ADC">
        <w:rPr>
          <w:b/>
          <w:bCs/>
        </w:rPr>
        <w:t>Applying</w:t>
      </w:r>
      <w:r>
        <w:rPr>
          <w:b/>
          <w:bCs/>
        </w:rPr>
        <w:t xml:space="preserve"> a consolidation approach under</w:t>
      </w:r>
      <w:r w:rsidRPr="00414ADC">
        <w:rPr>
          <w:b/>
          <w:bCs/>
        </w:rPr>
        <w:t xml:space="preserve"> </w:t>
      </w:r>
      <w:r w:rsidRPr="00522D0F">
        <w:rPr>
          <w:b/>
        </w:rPr>
        <w:t>the</w:t>
      </w:r>
      <w:r w:rsidRPr="00D477C8">
        <w:t xml:space="preserve"> </w:t>
      </w:r>
      <w:r w:rsidRPr="00D477C8">
        <w:rPr>
          <w:b/>
          <w:bCs/>
        </w:rPr>
        <w:t>GHG Protocol Corporate Standard</w:t>
      </w:r>
      <w:r w:rsidRPr="00D477C8">
        <w:t xml:space="preserve"> </w:t>
      </w:r>
    </w:p>
    <w:p w14:paraId="6BD9DB98" w14:textId="3BDF6057" w:rsidR="001E62B2" w:rsidRPr="00F764FD" w:rsidRDefault="001E62B2" w:rsidP="001E62B2">
      <w:pPr>
        <w:tabs>
          <w:tab w:val="left" w:pos="7938"/>
        </w:tabs>
      </w:pPr>
      <w:r w:rsidRPr="00F764FD">
        <w:t xml:space="preserve">Entities </w:t>
      </w:r>
      <w:r w:rsidR="008F521B">
        <w:t>shall</w:t>
      </w:r>
      <w:r w:rsidRPr="00F764FD">
        <w:t xml:space="preserve"> select </w:t>
      </w:r>
      <w:r w:rsidRPr="00522D0F">
        <w:t>one approach</w:t>
      </w:r>
      <w:r w:rsidRPr="00F764FD">
        <w:t xml:space="preserve"> for consistency across the corporate inventory but can describe </w:t>
      </w:r>
      <w:r w:rsidRPr="00522D0F">
        <w:rPr>
          <w:i/>
        </w:rPr>
        <w:t>equity-based supplementary disclosures</w:t>
      </w:r>
      <w:r w:rsidRPr="00F764FD">
        <w:t xml:space="preserve"> if needed.</w:t>
      </w:r>
    </w:p>
    <w:p w14:paraId="1FCA4AE2" w14:textId="77777777" w:rsidR="001E62B2" w:rsidRPr="00E058DB" w:rsidRDefault="001E62B2" w:rsidP="001E62B2">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 xml:space="preserve">The following table explains the rationale for </w:t>
      </w:r>
      <w:r w:rsidRPr="00E058DB">
        <w:rPr>
          <w:rFonts w:ascii="Aptos Narrow" w:eastAsia="Times New Roman" w:hAnsi="Aptos Narrow" w:cs="Times New Roman"/>
          <w:color w:val="000000"/>
          <w:kern w:val="0"/>
          <w:lang w:eastAsia="en-AU"/>
          <w14:ligatures w14:val="none"/>
        </w:rPr>
        <w:t>Broadmeadow Farms select</w:t>
      </w:r>
      <w:r>
        <w:rPr>
          <w:rFonts w:ascii="Aptos Narrow" w:eastAsia="Times New Roman" w:hAnsi="Aptos Narrow" w:cs="Times New Roman"/>
          <w:color w:val="000000"/>
          <w:kern w:val="0"/>
          <w:lang w:eastAsia="en-AU"/>
          <w14:ligatures w14:val="none"/>
        </w:rPr>
        <w:t>ing</w:t>
      </w:r>
      <w:r w:rsidRPr="00E058DB">
        <w:rPr>
          <w:rFonts w:ascii="Aptos Narrow" w:eastAsia="Times New Roman" w:hAnsi="Aptos Narrow" w:cs="Times New Roman"/>
          <w:color w:val="000000"/>
          <w:kern w:val="0"/>
          <w:lang w:eastAsia="en-AU"/>
          <w14:ligatures w14:val="none"/>
        </w:rPr>
        <w:t xml:space="preserve"> the </w:t>
      </w:r>
      <w:r w:rsidRPr="00522D0F">
        <w:rPr>
          <w:rFonts w:ascii="Aptos Narrow" w:eastAsia="Times New Roman" w:hAnsi="Aptos Narrow" w:cs="Times New Roman"/>
          <w:i/>
          <w:color w:val="000000"/>
          <w:kern w:val="0"/>
          <w:lang w:eastAsia="en-AU"/>
          <w14:ligatures w14:val="none"/>
        </w:rPr>
        <w:t>operational control</w:t>
      </w:r>
      <w:r w:rsidRPr="00E058DB">
        <w:rPr>
          <w:rFonts w:ascii="Aptos Narrow" w:eastAsia="Times New Roman" w:hAnsi="Aptos Narrow" w:cs="Times New Roman"/>
          <w:color w:val="000000"/>
          <w:kern w:val="0"/>
          <w:lang w:eastAsia="en-AU"/>
          <w14:ligatures w14:val="none"/>
        </w:rPr>
        <w:t xml:space="preserve"> approach under the GHG Protocol</w:t>
      </w:r>
      <w:r>
        <w:rPr>
          <w:rFonts w:ascii="Aptos Narrow" w:eastAsia="Times New Roman" w:hAnsi="Aptos Narrow" w:cs="Times New Roman"/>
          <w:color w:val="000000"/>
          <w:kern w:val="0"/>
          <w:lang w:eastAsia="en-AU"/>
          <w14:ligatures w14:val="none"/>
        </w:rPr>
        <w:t xml:space="preserve"> rules. </w:t>
      </w:r>
    </w:p>
    <w:p w14:paraId="2EA792E6" w14:textId="77777777" w:rsidR="001E62B2" w:rsidRPr="00D931F4" w:rsidRDefault="001E62B2" w:rsidP="001E62B2">
      <w:pPr>
        <w:spacing w:after="0" w:line="240" w:lineRule="auto"/>
        <w:rPr>
          <w:rFonts w:ascii="Aptos Narrow" w:eastAsia="Times New Roman" w:hAnsi="Aptos Narrow" w:cs="Times New Roman"/>
          <w:color w:val="000000"/>
          <w:kern w:val="0"/>
          <w:lang w:eastAsia="en-AU"/>
          <w14:ligatures w14:val="none"/>
        </w:rPr>
      </w:pPr>
    </w:p>
    <w:p w14:paraId="6DBB5060" w14:textId="77777777" w:rsidR="001E62B2" w:rsidRPr="00D931F4" w:rsidRDefault="001E62B2" w:rsidP="001E62B2">
      <w:pPr>
        <w:pStyle w:val="Heading4"/>
        <w:numPr>
          <w:ilvl w:val="0"/>
          <w:numId w:val="0"/>
        </w:numPr>
        <w:ind w:left="864" w:hanging="864"/>
      </w:pPr>
      <w:r w:rsidRPr="00D931F4">
        <w:t>Table 2</w:t>
      </w:r>
      <w:r>
        <w:t>:</w:t>
      </w:r>
      <w:r w:rsidRPr="00D931F4">
        <w:t xml:space="preserve"> Broadmeadow Farms </w:t>
      </w:r>
      <w:r>
        <w:t>c</w:t>
      </w:r>
      <w:r w:rsidRPr="00D931F4">
        <w:t xml:space="preserve">onsolidation </w:t>
      </w:r>
      <w:r>
        <w:t>a</w:t>
      </w:r>
      <w:r w:rsidRPr="00D931F4">
        <w:t xml:space="preserve">pproach </w:t>
      </w:r>
      <w:r>
        <w:t>u</w:t>
      </w:r>
      <w:r w:rsidRPr="00D931F4">
        <w:t xml:space="preserve">nder ISO rules </w:t>
      </w:r>
    </w:p>
    <w:tbl>
      <w:tblPr>
        <w:tblW w:w="9800" w:type="dxa"/>
        <w:tblLook w:val="04A0" w:firstRow="1" w:lastRow="0" w:firstColumn="1" w:lastColumn="0" w:noHBand="0" w:noVBand="1"/>
      </w:tblPr>
      <w:tblGrid>
        <w:gridCol w:w="2580"/>
        <w:gridCol w:w="3880"/>
        <w:gridCol w:w="3340"/>
      </w:tblGrid>
      <w:tr w:rsidR="001E62B2" w:rsidRPr="00E80E5A" w14:paraId="4F1A4DCD" w14:textId="77777777">
        <w:trPr>
          <w:trHeight w:val="580"/>
        </w:trPr>
        <w:tc>
          <w:tcPr>
            <w:tcW w:w="2580"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46077660" w14:textId="77777777" w:rsidR="001E62B2" w:rsidRPr="00E80E5A"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E80E5A">
              <w:rPr>
                <w:rFonts w:ascii="Aptos Narrow" w:eastAsia="Times New Roman" w:hAnsi="Aptos Narrow" w:cs="Times New Roman"/>
                <w:b/>
                <w:bCs/>
                <w:color w:val="000000"/>
                <w:kern w:val="0"/>
                <w:lang w:eastAsia="en-AU"/>
                <w14:ligatures w14:val="none"/>
              </w:rPr>
              <w:t>Entity</w:t>
            </w:r>
          </w:p>
        </w:tc>
        <w:tc>
          <w:tcPr>
            <w:tcW w:w="3880" w:type="dxa"/>
            <w:tcBorders>
              <w:top w:val="single" w:sz="4" w:space="0" w:color="auto"/>
              <w:left w:val="nil"/>
              <w:bottom w:val="single" w:sz="4" w:space="0" w:color="auto"/>
              <w:right w:val="single" w:sz="4" w:space="0" w:color="auto"/>
            </w:tcBorders>
            <w:shd w:val="clear" w:color="000000" w:fill="E8E8E8"/>
            <w:vAlign w:val="center"/>
            <w:hideMark/>
          </w:tcPr>
          <w:p w14:paraId="27551253" w14:textId="77777777" w:rsidR="001E62B2" w:rsidRPr="00E80E5A"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E80E5A">
              <w:rPr>
                <w:rFonts w:ascii="Aptos Narrow" w:eastAsia="Times New Roman" w:hAnsi="Aptos Narrow" w:cs="Times New Roman"/>
                <w:b/>
                <w:bCs/>
                <w:color w:val="000000"/>
                <w:kern w:val="0"/>
                <w:lang w:eastAsia="en-AU"/>
                <w14:ligatures w14:val="none"/>
              </w:rPr>
              <w:t>Rationale</w:t>
            </w:r>
          </w:p>
        </w:tc>
        <w:tc>
          <w:tcPr>
            <w:tcW w:w="3340" w:type="dxa"/>
            <w:tcBorders>
              <w:top w:val="single" w:sz="4" w:space="0" w:color="auto"/>
              <w:left w:val="nil"/>
              <w:bottom w:val="single" w:sz="4" w:space="0" w:color="auto"/>
              <w:right w:val="single" w:sz="4" w:space="0" w:color="auto"/>
            </w:tcBorders>
            <w:shd w:val="clear" w:color="000000" w:fill="E8E8E8"/>
            <w:vAlign w:val="center"/>
            <w:hideMark/>
          </w:tcPr>
          <w:p w14:paraId="05ACBEA4" w14:textId="77777777" w:rsidR="001E62B2" w:rsidRPr="00E80E5A"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E80E5A">
              <w:rPr>
                <w:rFonts w:ascii="Aptos Narrow" w:eastAsia="Times New Roman" w:hAnsi="Aptos Narrow" w:cs="Times New Roman"/>
                <w:b/>
                <w:bCs/>
                <w:color w:val="000000"/>
                <w:kern w:val="0"/>
                <w:lang w:eastAsia="en-AU"/>
                <w14:ligatures w14:val="none"/>
              </w:rPr>
              <w:t>I</w:t>
            </w:r>
            <w:r>
              <w:rPr>
                <w:rFonts w:ascii="Aptos Narrow" w:eastAsia="Times New Roman" w:hAnsi="Aptos Narrow" w:cs="Times New Roman"/>
                <w:b/>
                <w:bCs/>
                <w:color w:val="000000"/>
                <w:kern w:val="0"/>
                <w:lang w:eastAsia="en-AU"/>
                <w14:ligatures w14:val="none"/>
              </w:rPr>
              <w:t>nventory i</w:t>
            </w:r>
            <w:r w:rsidRPr="00E80E5A">
              <w:rPr>
                <w:rFonts w:ascii="Aptos Narrow" w:eastAsia="Times New Roman" w:hAnsi="Aptos Narrow" w:cs="Times New Roman"/>
                <w:b/>
                <w:bCs/>
                <w:color w:val="000000"/>
                <w:kern w:val="0"/>
                <w:lang w:eastAsia="en-AU"/>
                <w14:ligatures w14:val="none"/>
              </w:rPr>
              <w:t>nclusion</w:t>
            </w:r>
          </w:p>
        </w:tc>
      </w:tr>
      <w:tr w:rsidR="001E62B2" w:rsidRPr="00E80E5A" w14:paraId="04D642F9" w14:textId="77777777">
        <w:trPr>
          <w:trHeight w:val="580"/>
        </w:trPr>
        <w:tc>
          <w:tcPr>
            <w:tcW w:w="2580" w:type="dxa"/>
            <w:tcBorders>
              <w:top w:val="nil"/>
              <w:left w:val="single" w:sz="4" w:space="0" w:color="auto"/>
              <w:bottom w:val="single" w:sz="4" w:space="0" w:color="auto"/>
              <w:right w:val="single" w:sz="4" w:space="0" w:color="auto"/>
            </w:tcBorders>
            <w:vAlign w:val="center"/>
            <w:hideMark/>
          </w:tcPr>
          <w:p w14:paraId="3F27A277" w14:textId="77777777" w:rsidR="001E62B2" w:rsidRPr="00E80E5A" w:rsidRDefault="001E62B2">
            <w:pPr>
              <w:spacing w:after="0" w:line="240" w:lineRule="auto"/>
              <w:rPr>
                <w:rFonts w:ascii="Aptos Narrow" w:eastAsia="Times New Roman" w:hAnsi="Aptos Narrow" w:cs="Times New Roman"/>
                <w:b/>
                <w:bCs/>
                <w:color w:val="000000"/>
                <w:kern w:val="0"/>
                <w:lang w:eastAsia="en-AU"/>
                <w14:ligatures w14:val="none"/>
              </w:rPr>
            </w:pPr>
            <w:r w:rsidRPr="00E80E5A">
              <w:rPr>
                <w:rFonts w:ascii="Aptos Narrow" w:eastAsia="Times New Roman" w:hAnsi="Aptos Narrow" w:cs="Times New Roman"/>
                <w:b/>
                <w:bCs/>
                <w:color w:val="000000"/>
                <w:kern w:val="0"/>
                <w:lang w:eastAsia="en-AU"/>
                <w14:ligatures w14:val="none"/>
              </w:rPr>
              <w:t>Broadmeadow Farms Pty Ltd (cropping)</w:t>
            </w:r>
          </w:p>
        </w:tc>
        <w:tc>
          <w:tcPr>
            <w:tcW w:w="3880" w:type="dxa"/>
            <w:tcBorders>
              <w:top w:val="nil"/>
              <w:left w:val="nil"/>
              <w:bottom w:val="single" w:sz="4" w:space="0" w:color="auto"/>
              <w:right w:val="single" w:sz="4" w:space="0" w:color="auto"/>
            </w:tcBorders>
            <w:vAlign w:val="center"/>
            <w:hideMark/>
          </w:tcPr>
          <w:p w14:paraId="6E9085C5" w14:textId="77777777" w:rsidR="001E62B2" w:rsidRPr="00E80E5A" w:rsidRDefault="001E62B2">
            <w:pPr>
              <w:spacing w:after="0" w:line="240" w:lineRule="auto"/>
              <w:rPr>
                <w:rFonts w:ascii="Aptos Narrow" w:eastAsia="Times New Roman" w:hAnsi="Aptos Narrow" w:cs="Times New Roman"/>
                <w:color w:val="000000"/>
                <w:kern w:val="0"/>
                <w:lang w:eastAsia="en-AU"/>
                <w14:ligatures w14:val="none"/>
              </w:rPr>
            </w:pPr>
            <w:r w:rsidRPr="00E80E5A">
              <w:rPr>
                <w:rFonts w:ascii="Aptos Narrow" w:eastAsia="Times New Roman" w:hAnsi="Aptos Narrow" w:cs="Times New Roman"/>
                <w:color w:val="000000"/>
                <w:kern w:val="0"/>
                <w:lang w:eastAsia="en-AU"/>
                <w14:ligatures w14:val="none"/>
              </w:rPr>
              <w:t>Operated and managed by Broadmeadow</w:t>
            </w:r>
          </w:p>
        </w:tc>
        <w:tc>
          <w:tcPr>
            <w:tcW w:w="3340" w:type="dxa"/>
            <w:tcBorders>
              <w:top w:val="nil"/>
              <w:left w:val="nil"/>
              <w:bottom w:val="single" w:sz="4" w:space="0" w:color="auto"/>
              <w:right w:val="single" w:sz="4" w:space="0" w:color="auto"/>
            </w:tcBorders>
            <w:vAlign w:val="center"/>
            <w:hideMark/>
          </w:tcPr>
          <w:p w14:paraId="3968CEE7" w14:textId="77777777" w:rsidR="001E62B2" w:rsidRPr="00E80E5A" w:rsidRDefault="001E62B2">
            <w:pPr>
              <w:spacing w:after="0" w:line="240" w:lineRule="auto"/>
              <w:rPr>
                <w:rFonts w:ascii="Aptos Narrow" w:eastAsia="Times New Roman" w:hAnsi="Aptos Narrow" w:cs="Times New Roman"/>
                <w:color w:val="000000"/>
                <w:kern w:val="0"/>
                <w:lang w:eastAsia="en-AU"/>
                <w14:ligatures w14:val="none"/>
              </w:rPr>
            </w:pPr>
            <w:r w:rsidRPr="00E80E5A">
              <w:rPr>
                <w:rFonts w:ascii="Aptos Narrow" w:eastAsia="Times New Roman" w:hAnsi="Aptos Narrow" w:cs="Times New Roman"/>
                <w:color w:val="000000"/>
                <w:kern w:val="0"/>
                <w:lang w:eastAsia="en-AU"/>
                <w14:ligatures w14:val="none"/>
              </w:rPr>
              <w:t>100% of emissions and removals included</w:t>
            </w:r>
          </w:p>
        </w:tc>
      </w:tr>
      <w:tr w:rsidR="001E62B2" w:rsidRPr="00E80E5A" w14:paraId="5B59B2F2" w14:textId="77777777">
        <w:trPr>
          <w:trHeight w:val="870"/>
        </w:trPr>
        <w:tc>
          <w:tcPr>
            <w:tcW w:w="2580" w:type="dxa"/>
            <w:tcBorders>
              <w:top w:val="nil"/>
              <w:left w:val="single" w:sz="4" w:space="0" w:color="auto"/>
              <w:bottom w:val="single" w:sz="4" w:space="0" w:color="auto"/>
              <w:right w:val="single" w:sz="4" w:space="0" w:color="auto"/>
            </w:tcBorders>
            <w:vAlign w:val="center"/>
            <w:hideMark/>
          </w:tcPr>
          <w:p w14:paraId="2AD3EFC6" w14:textId="77777777" w:rsidR="001E62B2" w:rsidRPr="00E80E5A" w:rsidRDefault="001E62B2">
            <w:pPr>
              <w:spacing w:after="0" w:line="240" w:lineRule="auto"/>
              <w:rPr>
                <w:rFonts w:ascii="Aptos Narrow" w:eastAsia="Times New Roman" w:hAnsi="Aptos Narrow" w:cs="Times New Roman"/>
                <w:b/>
                <w:bCs/>
                <w:color w:val="000000"/>
                <w:kern w:val="0"/>
                <w:lang w:eastAsia="en-AU"/>
                <w14:ligatures w14:val="none"/>
              </w:rPr>
            </w:pPr>
            <w:r w:rsidRPr="00E80E5A">
              <w:rPr>
                <w:rFonts w:ascii="Aptos Narrow" w:eastAsia="Times New Roman" w:hAnsi="Aptos Narrow" w:cs="Times New Roman"/>
                <w:b/>
                <w:bCs/>
                <w:color w:val="000000"/>
                <w:kern w:val="0"/>
                <w:lang w:eastAsia="en-AU"/>
                <w14:ligatures w14:val="none"/>
              </w:rPr>
              <w:t>Daly Family Trust (livestock)</w:t>
            </w:r>
          </w:p>
        </w:tc>
        <w:tc>
          <w:tcPr>
            <w:tcW w:w="3880" w:type="dxa"/>
            <w:tcBorders>
              <w:top w:val="nil"/>
              <w:left w:val="nil"/>
              <w:bottom w:val="single" w:sz="4" w:space="0" w:color="auto"/>
              <w:right w:val="single" w:sz="4" w:space="0" w:color="auto"/>
            </w:tcBorders>
            <w:vAlign w:val="center"/>
            <w:hideMark/>
          </w:tcPr>
          <w:p w14:paraId="1FA243F1" w14:textId="77777777" w:rsidR="001E62B2" w:rsidRPr="00E80E5A" w:rsidRDefault="001E62B2">
            <w:pPr>
              <w:spacing w:after="0" w:line="240" w:lineRule="auto"/>
              <w:rPr>
                <w:rFonts w:ascii="Aptos Narrow" w:eastAsia="Times New Roman" w:hAnsi="Aptos Narrow" w:cs="Times New Roman"/>
                <w:color w:val="000000"/>
                <w:kern w:val="0"/>
                <w:lang w:eastAsia="en-AU"/>
                <w14:ligatures w14:val="none"/>
              </w:rPr>
            </w:pPr>
            <w:r w:rsidRPr="00E80E5A">
              <w:rPr>
                <w:rFonts w:ascii="Aptos Narrow" w:eastAsia="Times New Roman" w:hAnsi="Aptos Narrow" w:cs="Times New Roman"/>
                <w:color w:val="000000"/>
                <w:kern w:val="0"/>
                <w:lang w:eastAsia="en-AU"/>
                <w14:ligatures w14:val="none"/>
              </w:rPr>
              <w:t>Operated by Broadmeadow Farms, day-to-day control exercised by same management</w:t>
            </w:r>
          </w:p>
        </w:tc>
        <w:tc>
          <w:tcPr>
            <w:tcW w:w="3340" w:type="dxa"/>
            <w:tcBorders>
              <w:top w:val="nil"/>
              <w:left w:val="nil"/>
              <w:bottom w:val="single" w:sz="4" w:space="0" w:color="auto"/>
              <w:right w:val="single" w:sz="4" w:space="0" w:color="auto"/>
            </w:tcBorders>
            <w:vAlign w:val="center"/>
            <w:hideMark/>
          </w:tcPr>
          <w:p w14:paraId="2F153331" w14:textId="77777777" w:rsidR="001E62B2" w:rsidRPr="00E80E5A" w:rsidRDefault="001E62B2">
            <w:pPr>
              <w:spacing w:after="0" w:line="240" w:lineRule="auto"/>
              <w:rPr>
                <w:rFonts w:ascii="Aptos Narrow" w:eastAsia="Times New Roman" w:hAnsi="Aptos Narrow" w:cs="Times New Roman"/>
                <w:color w:val="000000"/>
                <w:kern w:val="0"/>
                <w:lang w:eastAsia="en-AU"/>
                <w14:ligatures w14:val="none"/>
              </w:rPr>
            </w:pPr>
            <w:r w:rsidRPr="00E80E5A">
              <w:rPr>
                <w:rFonts w:ascii="Aptos Narrow" w:eastAsia="Times New Roman" w:hAnsi="Aptos Narrow" w:cs="Times New Roman"/>
                <w:color w:val="000000"/>
                <w:kern w:val="0"/>
                <w:lang w:eastAsia="en-AU"/>
                <w14:ligatures w14:val="none"/>
              </w:rPr>
              <w:t>100% of emissions and removals included</w:t>
            </w:r>
          </w:p>
        </w:tc>
      </w:tr>
      <w:tr w:rsidR="001E62B2" w:rsidRPr="00E80E5A" w14:paraId="1C9E188C" w14:textId="77777777">
        <w:trPr>
          <w:trHeight w:val="890"/>
        </w:trPr>
        <w:tc>
          <w:tcPr>
            <w:tcW w:w="2580" w:type="dxa"/>
            <w:tcBorders>
              <w:top w:val="nil"/>
              <w:left w:val="single" w:sz="4" w:space="0" w:color="auto"/>
              <w:bottom w:val="single" w:sz="4" w:space="0" w:color="auto"/>
              <w:right w:val="single" w:sz="4" w:space="0" w:color="auto"/>
            </w:tcBorders>
            <w:vAlign w:val="center"/>
            <w:hideMark/>
          </w:tcPr>
          <w:p w14:paraId="1B32C715" w14:textId="77777777" w:rsidR="001E62B2" w:rsidRPr="00E80E5A" w:rsidRDefault="001E62B2">
            <w:pPr>
              <w:spacing w:after="0" w:line="240" w:lineRule="auto"/>
              <w:rPr>
                <w:rFonts w:ascii="Aptos Narrow" w:eastAsia="Times New Roman" w:hAnsi="Aptos Narrow" w:cs="Times New Roman"/>
                <w:b/>
                <w:bCs/>
                <w:color w:val="000000"/>
                <w:kern w:val="0"/>
                <w:lang w:eastAsia="en-AU"/>
                <w14:ligatures w14:val="none"/>
              </w:rPr>
            </w:pPr>
            <w:r w:rsidRPr="00E80E5A">
              <w:rPr>
                <w:rFonts w:ascii="Aptos Narrow" w:eastAsia="Times New Roman" w:hAnsi="Aptos Narrow" w:cs="Times New Roman"/>
                <w:b/>
                <w:bCs/>
                <w:color w:val="000000"/>
                <w:kern w:val="0"/>
                <w:lang w:eastAsia="en-AU"/>
                <w14:ligatures w14:val="none"/>
              </w:rPr>
              <w:t>Grain Storage Co-operative (20% share)</w:t>
            </w:r>
          </w:p>
        </w:tc>
        <w:tc>
          <w:tcPr>
            <w:tcW w:w="3880" w:type="dxa"/>
            <w:tcBorders>
              <w:top w:val="nil"/>
              <w:left w:val="nil"/>
              <w:bottom w:val="single" w:sz="4" w:space="0" w:color="auto"/>
              <w:right w:val="single" w:sz="4" w:space="0" w:color="auto"/>
            </w:tcBorders>
            <w:vAlign w:val="center"/>
            <w:hideMark/>
          </w:tcPr>
          <w:p w14:paraId="060C29F4" w14:textId="77777777" w:rsidR="001E62B2" w:rsidRPr="00E80E5A" w:rsidRDefault="001E62B2">
            <w:pPr>
              <w:spacing w:after="0" w:line="240" w:lineRule="auto"/>
              <w:rPr>
                <w:rFonts w:ascii="Aptos Narrow" w:eastAsia="Times New Roman" w:hAnsi="Aptos Narrow" w:cs="Times New Roman"/>
                <w:color w:val="000000"/>
                <w:kern w:val="0"/>
                <w:lang w:eastAsia="en-AU"/>
                <w14:ligatures w14:val="none"/>
              </w:rPr>
            </w:pPr>
            <w:r w:rsidRPr="00E80E5A">
              <w:rPr>
                <w:rFonts w:ascii="Aptos Narrow" w:eastAsia="Times New Roman" w:hAnsi="Aptos Narrow" w:cs="Times New Roman"/>
                <w:color w:val="000000"/>
                <w:kern w:val="0"/>
                <w:lang w:eastAsia="en-AU"/>
                <w14:ligatures w14:val="none"/>
              </w:rPr>
              <w:t>No operational control</w:t>
            </w:r>
          </w:p>
        </w:tc>
        <w:tc>
          <w:tcPr>
            <w:tcW w:w="3340" w:type="dxa"/>
            <w:tcBorders>
              <w:top w:val="nil"/>
              <w:left w:val="nil"/>
              <w:bottom w:val="single" w:sz="4" w:space="0" w:color="auto"/>
              <w:right w:val="single" w:sz="4" w:space="0" w:color="auto"/>
            </w:tcBorders>
            <w:vAlign w:val="center"/>
            <w:hideMark/>
          </w:tcPr>
          <w:p w14:paraId="1BB22765" w14:textId="77777777" w:rsidR="001E62B2" w:rsidRPr="00E80E5A" w:rsidRDefault="001E62B2">
            <w:pPr>
              <w:spacing w:after="0" w:line="240" w:lineRule="auto"/>
              <w:rPr>
                <w:rFonts w:ascii="Aptos Narrow" w:eastAsia="Times New Roman" w:hAnsi="Aptos Narrow" w:cs="Times New Roman"/>
                <w:color w:val="000000"/>
                <w:kern w:val="0"/>
                <w:lang w:eastAsia="en-AU"/>
                <w14:ligatures w14:val="none"/>
              </w:rPr>
            </w:pPr>
            <w:r w:rsidRPr="00E80E5A">
              <w:rPr>
                <w:rFonts w:ascii="Aptos Narrow" w:eastAsia="Times New Roman" w:hAnsi="Aptos Narrow" w:cs="Times New Roman"/>
                <w:color w:val="000000"/>
                <w:kern w:val="0"/>
                <w:lang w:eastAsia="en-AU"/>
                <w14:ligatures w14:val="none"/>
              </w:rPr>
              <w:t>Excluded (but may be reported separately as an investment or scope 3 category)</w:t>
            </w:r>
          </w:p>
        </w:tc>
      </w:tr>
    </w:tbl>
    <w:p w14:paraId="782077F1" w14:textId="77777777" w:rsidR="001E62B2" w:rsidRDefault="001E62B2" w:rsidP="001E62B2"/>
    <w:p w14:paraId="10A64487" w14:textId="77777777" w:rsidR="001E62B2" w:rsidRDefault="001E62B2" w:rsidP="001E62B2">
      <w:r>
        <w:br w:type="page"/>
      </w:r>
    </w:p>
    <w:p w14:paraId="559F98C7" w14:textId="50DECF9D" w:rsidR="001E62B2" w:rsidRDefault="001E62B2" w:rsidP="001E62B2">
      <w:pPr>
        <w:pStyle w:val="Heading1"/>
        <w:numPr>
          <w:ilvl w:val="0"/>
          <w:numId w:val="0"/>
        </w:numPr>
      </w:pPr>
      <w:bookmarkStart w:id="103" w:name="_Toc225269984"/>
      <w:r>
        <w:lastRenderedPageBreak/>
        <w:t xml:space="preserve">Appendix </w:t>
      </w:r>
      <w:r w:rsidR="0084341E">
        <w:t>C</w:t>
      </w:r>
      <w:r>
        <w:t xml:space="preserve"> </w:t>
      </w:r>
      <w:r w:rsidR="00A416F0">
        <w:t>-</w:t>
      </w:r>
      <w:r>
        <w:t xml:space="preserve"> Leased lands and agistment</w:t>
      </w:r>
      <w:bookmarkEnd w:id="103"/>
      <w:r>
        <w:t xml:space="preserve"> </w:t>
      </w:r>
    </w:p>
    <w:p w14:paraId="66B4EACC" w14:textId="77777777" w:rsidR="001E62B2" w:rsidRDefault="001E62B2" w:rsidP="001E62B2">
      <w:pPr>
        <w:pStyle w:val="Heading3"/>
        <w:numPr>
          <w:ilvl w:val="0"/>
          <w:numId w:val="0"/>
        </w:numPr>
      </w:pPr>
      <w:r>
        <w:t>Leases</w:t>
      </w:r>
    </w:p>
    <w:p w14:paraId="45A09283" w14:textId="77777777" w:rsidR="001E62B2" w:rsidRPr="003573DC" w:rsidRDefault="001E62B2" w:rsidP="001E62B2">
      <w:r w:rsidRPr="003573DC">
        <w:t xml:space="preserve">Under </w:t>
      </w:r>
      <w:r>
        <w:t>revised Australian Accounting Standards Boards AASB standards (</w:t>
      </w:r>
      <w:hyperlink r:id="rId69" w:history="1">
        <w:r>
          <w:rPr>
            <w:rStyle w:val="Hyperlink"/>
          </w:rPr>
          <w:t>AASB 16 Leases</w:t>
        </w:r>
      </w:hyperlink>
      <w:r>
        <w:t>)</w:t>
      </w:r>
      <w:r w:rsidRPr="003573DC">
        <w:t xml:space="preserve"> almost all leases are now treated as financial (capital) leases</w:t>
      </w:r>
      <w:r>
        <w:t xml:space="preserve"> by the lessee</w:t>
      </w:r>
      <w:r w:rsidRPr="003573DC">
        <w:t>.</w:t>
      </w:r>
      <w:r>
        <w:t xml:space="preserve"> This means that </w:t>
      </w:r>
      <w:r w:rsidRPr="003573DC">
        <w:t xml:space="preserve">right-of-use arrangements </w:t>
      </w:r>
      <w:r>
        <w:t xml:space="preserve">for leased assets </w:t>
      </w:r>
      <w:r w:rsidRPr="003573DC">
        <w:t>in the agricultural secto</w:t>
      </w:r>
      <w:r>
        <w:t xml:space="preserve">r (e.g. </w:t>
      </w:r>
      <w:r w:rsidRPr="003573DC">
        <w:t>land, machinery, or buildings</w:t>
      </w:r>
      <w:r>
        <w:t xml:space="preserve">) </w:t>
      </w:r>
      <w:r w:rsidRPr="003573DC">
        <w:t xml:space="preserve">are recognised on the </w:t>
      </w:r>
      <w:r w:rsidRPr="003573DC">
        <w:rPr>
          <w:i/>
          <w:iCs/>
        </w:rPr>
        <w:t xml:space="preserve">lessee’s </w:t>
      </w:r>
      <w:r w:rsidRPr="003573DC">
        <w:t>balance sheet</w:t>
      </w:r>
      <w:r>
        <w:t xml:space="preserve">, and </w:t>
      </w:r>
      <w:r w:rsidRPr="003573DC">
        <w:t xml:space="preserve">the lessee </w:t>
      </w:r>
      <w:r w:rsidRPr="003573DC">
        <w:rPr>
          <w:i/>
          <w:iCs/>
        </w:rPr>
        <w:t>controls the use of the asset</w:t>
      </w:r>
      <w:r w:rsidRPr="003573DC">
        <w:t xml:space="preserve"> for the lease term and bears the associated risks and rewards.</w:t>
      </w:r>
    </w:p>
    <w:p w14:paraId="3C2195D7" w14:textId="77777777" w:rsidR="001E62B2" w:rsidRDefault="001E62B2" w:rsidP="001E62B2">
      <w:r>
        <w:t xml:space="preserve">As such, </w:t>
      </w:r>
      <w:r>
        <w:rPr>
          <w:i/>
          <w:iCs/>
        </w:rPr>
        <w:t>the party who</w:t>
      </w:r>
      <w:r w:rsidRPr="003573DC">
        <w:rPr>
          <w:i/>
          <w:iCs/>
        </w:rPr>
        <w:t xml:space="preserve"> has control over the </w:t>
      </w:r>
      <w:r>
        <w:rPr>
          <w:i/>
          <w:iCs/>
        </w:rPr>
        <w:t xml:space="preserve">activities / </w:t>
      </w:r>
      <w:r w:rsidRPr="003573DC">
        <w:rPr>
          <w:i/>
          <w:iCs/>
        </w:rPr>
        <w:t>operations</w:t>
      </w:r>
      <w:r w:rsidRPr="003573DC">
        <w:t xml:space="preserve"> that generate emissions</w:t>
      </w:r>
      <w:r>
        <w:t xml:space="preserve"> or removals is responsible for reporting Scope 1. T</w:t>
      </w:r>
      <w:r w:rsidRPr="003573DC">
        <w:t>ypically</w:t>
      </w:r>
      <w:r>
        <w:t>, this will be</w:t>
      </w:r>
      <w:r w:rsidRPr="003573DC">
        <w:t xml:space="preserve"> the lessee in most agricultural lease arrangements</w:t>
      </w:r>
      <w:r>
        <w:t xml:space="preserve"> – as follows:</w:t>
      </w:r>
    </w:p>
    <w:p w14:paraId="6F7E224F" w14:textId="77777777" w:rsidR="001E62B2" w:rsidRPr="003573DC" w:rsidRDefault="001E62B2" w:rsidP="001E62B2">
      <w:r w:rsidRPr="003573DC">
        <w:rPr>
          <w:i/>
          <w:iCs/>
        </w:rPr>
        <w:t>Lessee</w:t>
      </w:r>
      <w:r>
        <w:rPr>
          <w:i/>
          <w:iCs/>
        </w:rPr>
        <w:t xml:space="preserve">: </w:t>
      </w:r>
      <w:r w:rsidRPr="003573DC">
        <w:t xml:space="preserve">The lessee generally has both </w:t>
      </w:r>
      <w:r w:rsidRPr="003573DC">
        <w:rPr>
          <w:i/>
          <w:iCs/>
        </w:rPr>
        <w:t>financial and operational control</w:t>
      </w:r>
      <w:r>
        <w:rPr>
          <w:i/>
          <w:iCs/>
        </w:rPr>
        <w:t xml:space="preserve"> </w:t>
      </w:r>
      <w:r w:rsidRPr="00364AE8">
        <w:t>of the leased asset</w:t>
      </w:r>
      <w:r>
        <w:t>.</w:t>
      </w:r>
      <w:r>
        <w:rPr>
          <w:i/>
          <w:iCs/>
        </w:rPr>
        <w:t xml:space="preserve"> </w:t>
      </w:r>
      <w:r>
        <w:t xml:space="preserve"> T</w:t>
      </w:r>
      <w:r w:rsidRPr="003573DC">
        <w:t xml:space="preserve">hey determine how the </w:t>
      </w:r>
      <w:r>
        <w:t xml:space="preserve">leased asset is </w:t>
      </w:r>
      <w:r w:rsidRPr="003573DC">
        <w:t>managed and bear the economic benefits and risks of its use.</w:t>
      </w:r>
      <w:r>
        <w:t xml:space="preserve"> They report emissions or removals from the use of the leased asset as Scope 1.</w:t>
      </w:r>
    </w:p>
    <w:p w14:paraId="54F71C4C" w14:textId="77777777" w:rsidR="001E62B2" w:rsidRDefault="001E62B2" w:rsidP="001E62B2">
      <w:r w:rsidRPr="003573DC">
        <w:rPr>
          <w:i/>
          <w:iCs/>
        </w:rPr>
        <w:t>Lessor:</w:t>
      </w:r>
      <w:r>
        <w:t xml:space="preserve"> </w:t>
      </w:r>
      <w:r w:rsidRPr="003573DC">
        <w:t>Retains legal ownership of the asset but typically has no operational control once the lease is in place. The lessor</w:t>
      </w:r>
      <w:r>
        <w:t xml:space="preserve">, where relevant </w:t>
      </w:r>
      <w:r w:rsidRPr="003573DC">
        <w:t xml:space="preserve">may report </w:t>
      </w:r>
      <w:r w:rsidRPr="003573DC">
        <w:rPr>
          <w:i/>
          <w:iCs/>
        </w:rPr>
        <w:t>Scope 3 (downstream leased-asset)</w:t>
      </w:r>
      <w:r w:rsidRPr="003573DC">
        <w:t xml:space="preserve"> emissions associated with the lessee’s use of the asset.</w:t>
      </w:r>
      <w:r>
        <w:t xml:space="preserve"> However, if the lessor is directing land use change on leased </w:t>
      </w:r>
      <w:proofErr w:type="gramStart"/>
      <w:r>
        <w:t>land</w:t>
      </w:r>
      <w:proofErr w:type="gramEnd"/>
      <w:r>
        <w:t xml:space="preserve"> then the lessor retains Scope 1 reporting </w:t>
      </w:r>
      <w:proofErr w:type="gramStart"/>
      <w:r>
        <w:t>responsibility</w:t>
      </w:r>
      <w:proofErr w:type="gramEnd"/>
      <w:r>
        <w:t xml:space="preserve"> and the lessee would treat as Scope 3.</w:t>
      </w:r>
    </w:p>
    <w:p w14:paraId="27056328" w14:textId="77777777" w:rsidR="001E62B2" w:rsidRDefault="001E62B2" w:rsidP="001E62B2">
      <w:r>
        <w:t xml:space="preserve">See Table 1 for more guidance. </w:t>
      </w:r>
    </w:p>
    <w:p w14:paraId="677101E4" w14:textId="77777777" w:rsidR="001E62B2" w:rsidRDefault="001E62B2" w:rsidP="001E62B2"/>
    <w:p w14:paraId="75627F7C" w14:textId="77777777" w:rsidR="001E62B2" w:rsidRDefault="001E62B2" w:rsidP="001E62B2">
      <w:pPr>
        <w:sectPr w:rsidR="001E62B2" w:rsidSect="007257B3">
          <w:headerReference w:type="default" r:id="rId70"/>
          <w:pgSz w:w="11906" w:h="16838"/>
          <w:pgMar w:top="1440" w:right="1440" w:bottom="1440" w:left="1440" w:header="708" w:footer="708" w:gutter="0"/>
          <w:lnNumType w:countBy="1"/>
          <w:cols w:space="708"/>
          <w:docGrid w:linePitch="360"/>
        </w:sectPr>
      </w:pPr>
    </w:p>
    <w:p w14:paraId="5EC1BB52" w14:textId="4A6C6E41" w:rsidR="001E62B2" w:rsidRPr="00982925" w:rsidRDefault="001E62B2" w:rsidP="001E62B2">
      <w:pPr>
        <w:pStyle w:val="Heading4"/>
        <w:numPr>
          <w:ilvl w:val="0"/>
          <w:numId w:val="0"/>
        </w:numPr>
      </w:pPr>
      <w:r w:rsidRPr="00982925">
        <w:lastRenderedPageBreak/>
        <w:t xml:space="preserve">Table 1 </w:t>
      </w:r>
      <w:r>
        <w:t xml:space="preserve">- </w:t>
      </w:r>
      <w:r w:rsidRPr="00982925">
        <w:t xml:space="preserve">Scope 1 or Scope 3 reporting responsibilities for lessees </w:t>
      </w:r>
      <w:r w:rsidR="00C020BC">
        <w:t>and</w:t>
      </w:r>
      <w:r w:rsidRPr="00982925">
        <w:t xml:space="preserve"> lessors </w:t>
      </w:r>
      <w:r>
        <w:t xml:space="preserve">on leased lands </w:t>
      </w:r>
    </w:p>
    <w:tbl>
      <w:tblPr>
        <w:tblW w:w="12920" w:type="dxa"/>
        <w:tblLook w:val="04A0" w:firstRow="1" w:lastRow="0" w:firstColumn="1" w:lastColumn="0" w:noHBand="0" w:noVBand="1"/>
      </w:tblPr>
      <w:tblGrid>
        <w:gridCol w:w="2000"/>
        <w:gridCol w:w="1940"/>
        <w:gridCol w:w="2151"/>
        <w:gridCol w:w="2149"/>
        <w:gridCol w:w="2160"/>
        <w:gridCol w:w="2520"/>
      </w:tblGrid>
      <w:tr w:rsidR="001E62B2" w:rsidRPr="00982925" w14:paraId="4D32BCA7" w14:textId="77777777">
        <w:trPr>
          <w:trHeight w:val="641"/>
          <w:tblHeader/>
        </w:trPr>
        <w:tc>
          <w:tcPr>
            <w:tcW w:w="2000"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493C1B9F" w14:textId="77777777" w:rsidR="001E62B2" w:rsidRPr="00982925"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982925">
              <w:rPr>
                <w:rFonts w:ascii="Aptos Narrow" w:eastAsia="Times New Roman" w:hAnsi="Aptos Narrow" w:cs="Times New Roman"/>
                <w:b/>
                <w:bCs/>
                <w:color w:val="000000"/>
                <w:kern w:val="0"/>
                <w:lang w:eastAsia="en-AU"/>
                <w14:ligatures w14:val="none"/>
              </w:rPr>
              <w:t>Consolidation approach</w:t>
            </w:r>
          </w:p>
        </w:tc>
        <w:tc>
          <w:tcPr>
            <w:tcW w:w="1940" w:type="dxa"/>
            <w:tcBorders>
              <w:top w:val="single" w:sz="4" w:space="0" w:color="auto"/>
              <w:left w:val="nil"/>
              <w:bottom w:val="single" w:sz="4" w:space="0" w:color="auto"/>
              <w:right w:val="single" w:sz="4" w:space="0" w:color="auto"/>
            </w:tcBorders>
            <w:shd w:val="clear" w:color="000000" w:fill="E8E8E8"/>
            <w:vAlign w:val="center"/>
            <w:hideMark/>
          </w:tcPr>
          <w:p w14:paraId="21FC6CA5" w14:textId="77777777" w:rsidR="001E62B2" w:rsidRPr="00982925"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982925">
              <w:rPr>
                <w:rFonts w:ascii="Aptos Narrow" w:eastAsia="Times New Roman" w:hAnsi="Aptos Narrow" w:cs="Times New Roman"/>
                <w:b/>
                <w:bCs/>
                <w:color w:val="000000"/>
                <w:kern w:val="0"/>
                <w:lang w:eastAsia="en-AU"/>
                <w14:ligatures w14:val="none"/>
              </w:rPr>
              <w:t>Responsibilities</w:t>
            </w:r>
          </w:p>
        </w:tc>
        <w:tc>
          <w:tcPr>
            <w:tcW w:w="2151" w:type="dxa"/>
            <w:tcBorders>
              <w:top w:val="single" w:sz="4" w:space="0" w:color="auto"/>
              <w:left w:val="nil"/>
              <w:bottom w:val="single" w:sz="4" w:space="0" w:color="auto"/>
              <w:right w:val="single" w:sz="4" w:space="0" w:color="auto"/>
            </w:tcBorders>
            <w:shd w:val="clear" w:color="000000" w:fill="E8E8E8"/>
            <w:vAlign w:val="center"/>
            <w:hideMark/>
          </w:tcPr>
          <w:p w14:paraId="6BE0AD29" w14:textId="77777777" w:rsidR="001E62B2" w:rsidRPr="00982925"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982925">
              <w:rPr>
                <w:rFonts w:ascii="Aptos Narrow" w:eastAsia="Times New Roman" w:hAnsi="Aptos Narrow" w:cs="Times New Roman"/>
                <w:b/>
                <w:bCs/>
                <w:color w:val="000000"/>
                <w:kern w:val="0"/>
                <w:lang w:eastAsia="en-AU"/>
                <w14:ligatures w14:val="none"/>
              </w:rPr>
              <w:t>Lessee activities</w:t>
            </w:r>
          </w:p>
        </w:tc>
        <w:tc>
          <w:tcPr>
            <w:tcW w:w="2149" w:type="dxa"/>
            <w:tcBorders>
              <w:top w:val="single" w:sz="4" w:space="0" w:color="auto"/>
              <w:left w:val="nil"/>
              <w:bottom w:val="single" w:sz="4" w:space="0" w:color="auto"/>
              <w:right w:val="single" w:sz="4" w:space="0" w:color="auto"/>
            </w:tcBorders>
            <w:shd w:val="clear" w:color="000000" w:fill="E8E8E8"/>
            <w:vAlign w:val="center"/>
            <w:hideMark/>
          </w:tcPr>
          <w:p w14:paraId="255FF914" w14:textId="77777777" w:rsidR="001E62B2" w:rsidRPr="00982925"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982925">
              <w:rPr>
                <w:rFonts w:ascii="Aptos Narrow" w:eastAsia="Times New Roman" w:hAnsi="Aptos Narrow" w:cs="Times New Roman"/>
                <w:b/>
                <w:bCs/>
                <w:color w:val="000000"/>
                <w:kern w:val="0"/>
                <w:lang w:eastAsia="en-AU"/>
                <w14:ligatures w14:val="none"/>
              </w:rPr>
              <w:t>Example sources / sinks</w:t>
            </w:r>
          </w:p>
        </w:tc>
        <w:tc>
          <w:tcPr>
            <w:tcW w:w="2160" w:type="dxa"/>
            <w:tcBorders>
              <w:top w:val="single" w:sz="4" w:space="0" w:color="auto"/>
              <w:left w:val="nil"/>
              <w:bottom w:val="single" w:sz="4" w:space="0" w:color="auto"/>
              <w:right w:val="single" w:sz="4" w:space="0" w:color="auto"/>
            </w:tcBorders>
            <w:shd w:val="clear" w:color="000000" w:fill="E8E8E8"/>
            <w:vAlign w:val="center"/>
            <w:hideMark/>
          </w:tcPr>
          <w:p w14:paraId="6DE33F6B" w14:textId="77777777" w:rsidR="001E62B2" w:rsidRPr="00982925"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982925">
              <w:rPr>
                <w:rFonts w:ascii="Aptos Narrow" w:eastAsia="Times New Roman" w:hAnsi="Aptos Narrow" w:cs="Times New Roman"/>
                <w:b/>
                <w:bCs/>
                <w:color w:val="000000"/>
                <w:kern w:val="0"/>
                <w:lang w:eastAsia="en-AU"/>
                <w14:ligatures w14:val="none"/>
              </w:rPr>
              <w:t>Lessee treatment</w:t>
            </w:r>
          </w:p>
        </w:tc>
        <w:tc>
          <w:tcPr>
            <w:tcW w:w="2520" w:type="dxa"/>
            <w:tcBorders>
              <w:top w:val="single" w:sz="4" w:space="0" w:color="auto"/>
              <w:left w:val="nil"/>
              <w:bottom w:val="single" w:sz="4" w:space="0" w:color="auto"/>
              <w:right w:val="single" w:sz="4" w:space="0" w:color="auto"/>
            </w:tcBorders>
            <w:shd w:val="clear" w:color="000000" w:fill="E8E8E8"/>
            <w:vAlign w:val="center"/>
            <w:hideMark/>
          </w:tcPr>
          <w:p w14:paraId="4204CCD4" w14:textId="77777777" w:rsidR="001E62B2" w:rsidRPr="00982925"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982925">
              <w:rPr>
                <w:rFonts w:ascii="Aptos Narrow" w:eastAsia="Times New Roman" w:hAnsi="Aptos Narrow" w:cs="Times New Roman"/>
                <w:b/>
                <w:bCs/>
                <w:color w:val="000000"/>
                <w:kern w:val="0"/>
                <w:lang w:eastAsia="en-AU"/>
                <w14:ligatures w14:val="none"/>
              </w:rPr>
              <w:t>Lessor’s treatment</w:t>
            </w:r>
          </w:p>
        </w:tc>
      </w:tr>
      <w:tr w:rsidR="001E62B2" w:rsidRPr="00982925" w14:paraId="60C10C57" w14:textId="77777777">
        <w:trPr>
          <w:trHeight w:val="1139"/>
          <w:tblHeader/>
        </w:trPr>
        <w:tc>
          <w:tcPr>
            <w:tcW w:w="2000" w:type="dxa"/>
            <w:tcBorders>
              <w:top w:val="nil"/>
              <w:left w:val="single" w:sz="4" w:space="0" w:color="auto"/>
              <w:bottom w:val="single" w:sz="4" w:space="0" w:color="auto"/>
              <w:right w:val="single" w:sz="4" w:space="0" w:color="auto"/>
            </w:tcBorders>
            <w:vAlign w:val="center"/>
            <w:hideMark/>
          </w:tcPr>
          <w:p w14:paraId="2E7C3221" w14:textId="77777777" w:rsidR="001E62B2" w:rsidRPr="00982925" w:rsidRDefault="001E62B2">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Operational o</w:t>
            </w:r>
            <w:r w:rsidRPr="00982925">
              <w:rPr>
                <w:rFonts w:ascii="Aptos Narrow" w:eastAsia="Times New Roman" w:hAnsi="Aptos Narrow" w:cs="Times New Roman"/>
                <w:color w:val="000000"/>
                <w:kern w:val="0"/>
                <w:lang w:eastAsia="en-AU"/>
                <w14:ligatures w14:val="none"/>
              </w:rPr>
              <w:t xml:space="preserve">r financial </w:t>
            </w:r>
            <w:r w:rsidRPr="00982925" w:rsidDel="001D1AEB">
              <w:rPr>
                <w:rFonts w:ascii="Aptos Narrow" w:eastAsia="Times New Roman" w:hAnsi="Aptos Narrow" w:cs="Times New Roman"/>
                <w:color w:val="000000"/>
                <w:kern w:val="0"/>
                <w:lang w:eastAsia="en-AU"/>
                <w14:ligatures w14:val="none"/>
              </w:rPr>
              <w:t>control</w:t>
            </w:r>
          </w:p>
        </w:tc>
        <w:tc>
          <w:tcPr>
            <w:tcW w:w="1940" w:type="dxa"/>
            <w:tcBorders>
              <w:top w:val="nil"/>
              <w:left w:val="nil"/>
              <w:bottom w:val="single" w:sz="4" w:space="0" w:color="auto"/>
              <w:right w:val="single" w:sz="4" w:space="0" w:color="auto"/>
            </w:tcBorders>
            <w:vAlign w:val="center"/>
            <w:hideMark/>
          </w:tcPr>
          <w:p w14:paraId="6D9BDF32" w14:textId="77777777" w:rsidR="001E62B2" w:rsidRPr="00982925" w:rsidRDefault="001E62B2">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Lessee manages the land</w:t>
            </w:r>
          </w:p>
        </w:tc>
        <w:tc>
          <w:tcPr>
            <w:tcW w:w="2151" w:type="dxa"/>
            <w:tcBorders>
              <w:top w:val="nil"/>
              <w:left w:val="nil"/>
              <w:bottom w:val="single" w:sz="4" w:space="0" w:color="auto"/>
              <w:right w:val="single" w:sz="4" w:space="0" w:color="auto"/>
            </w:tcBorders>
            <w:vAlign w:val="center"/>
            <w:hideMark/>
          </w:tcPr>
          <w:p w14:paraId="0FCE7EBF" w14:textId="77777777" w:rsidR="001E62B2" w:rsidRPr="00982925" w:rsidRDefault="001E62B2">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Grazing or cropping operations</w:t>
            </w:r>
          </w:p>
        </w:tc>
        <w:tc>
          <w:tcPr>
            <w:tcW w:w="2149" w:type="dxa"/>
            <w:tcBorders>
              <w:top w:val="nil"/>
              <w:left w:val="nil"/>
              <w:bottom w:val="single" w:sz="4" w:space="0" w:color="auto"/>
              <w:right w:val="single" w:sz="4" w:space="0" w:color="auto"/>
            </w:tcBorders>
            <w:vAlign w:val="center"/>
            <w:hideMark/>
          </w:tcPr>
          <w:p w14:paraId="7FE12958" w14:textId="77777777" w:rsidR="001E62B2" w:rsidRPr="00982925" w:rsidRDefault="001E62B2">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Enteric CH₄, manure N₂O, soil N₂O (fertiliser, grazing)</w:t>
            </w:r>
          </w:p>
        </w:tc>
        <w:tc>
          <w:tcPr>
            <w:tcW w:w="2160" w:type="dxa"/>
            <w:tcBorders>
              <w:top w:val="nil"/>
              <w:left w:val="nil"/>
              <w:bottom w:val="single" w:sz="4" w:space="0" w:color="auto"/>
              <w:right w:val="single" w:sz="4" w:space="0" w:color="auto"/>
            </w:tcBorders>
            <w:vAlign w:val="center"/>
            <w:hideMark/>
          </w:tcPr>
          <w:p w14:paraId="7BFC0B81" w14:textId="77777777" w:rsidR="001E62B2" w:rsidRPr="00982925" w:rsidRDefault="001E62B2">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 xml:space="preserve">Scope 1 – Lessee reports </w:t>
            </w:r>
            <w:r>
              <w:rPr>
                <w:rFonts w:ascii="Aptos Narrow" w:eastAsia="Times New Roman" w:hAnsi="Aptos Narrow" w:cs="Times New Roman"/>
                <w:color w:val="000000"/>
                <w:kern w:val="0"/>
                <w:lang w:eastAsia="en-AU"/>
                <w14:ligatures w14:val="none"/>
              </w:rPr>
              <w:t>as</w:t>
            </w:r>
            <w:r w:rsidRPr="00982925">
              <w:rPr>
                <w:rFonts w:ascii="Aptos Narrow" w:eastAsia="Times New Roman" w:hAnsi="Aptos Narrow" w:cs="Times New Roman"/>
                <w:color w:val="000000"/>
                <w:kern w:val="0"/>
                <w:lang w:eastAsia="en-AU"/>
                <w14:ligatures w14:val="none"/>
              </w:rPr>
              <w:t xml:space="preserve"> direct emissions</w:t>
            </w:r>
          </w:p>
        </w:tc>
        <w:tc>
          <w:tcPr>
            <w:tcW w:w="2520" w:type="dxa"/>
            <w:tcBorders>
              <w:top w:val="nil"/>
              <w:left w:val="nil"/>
              <w:bottom w:val="single" w:sz="4" w:space="0" w:color="auto"/>
              <w:right w:val="single" w:sz="4" w:space="0" w:color="auto"/>
            </w:tcBorders>
            <w:vAlign w:val="center"/>
            <w:hideMark/>
          </w:tcPr>
          <w:p w14:paraId="0F523B7E" w14:textId="77777777" w:rsidR="001E62B2" w:rsidRPr="00982925" w:rsidRDefault="001E62B2">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Scope 3 (downstream)</w:t>
            </w:r>
            <w:r>
              <w:rPr>
                <w:rFonts w:ascii="Aptos Narrow" w:eastAsia="Times New Roman" w:hAnsi="Aptos Narrow" w:cs="Times New Roman"/>
                <w:color w:val="000000"/>
                <w:kern w:val="0"/>
                <w:lang w:eastAsia="en-AU"/>
                <w14:ligatures w14:val="none"/>
              </w:rPr>
              <w:t xml:space="preserve"> </w:t>
            </w:r>
            <w:r w:rsidRPr="00982925">
              <w:rPr>
                <w:rFonts w:ascii="Aptos Narrow" w:eastAsia="Times New Roman" w:hAnsi="Aptos Narrow" w:cs="Times New Roman"/>
                <w:color w:val="000000"/>
                <w:kern w:val="0"/>
                <w:lang w:eastAsia="en-AU"/>
                <w14:ligatures w14:val="none"/>
              </w:rPr>
              <w:t xml:space="preserve">– </w:t>
            </w:r>
            <w:r>
              <w:rPr>
                <w:rFonts w:ascii="Aptos Narrow" w:eastAsia="Times New Roman" w:hAnsi="Aptos Narrow" w:cs="Times New Roman"/>
                <w:color w:val="000000"/>
                <w:kern w:val="0"/>
                <w:lang w:eastAsia="en-AU"/>
                <w14:ligatures w14:val="none"/>
              </w:rPr>
              <w:t>Lessor reports as indirect emissions</w:t>
            </w:r>
          </w:p>
        </w:tc>
      </w:tr>
      <w:tr w:rsidR="001E62B2" w:rsidRPr="00982925" w14:paraId="64B23A59" w14:textId="77777777">
        <w:trPr>
          <w:trHeight w:val="1126"/>
          <w:tblHeader/>
        </w:trPr>
        <w:tc>
          <w:tcPr>
            <w:tcW w:w="2000" w:type="dxa"/>
            <w:tcBorders>
              <w:top w:val="nil"/>
              <w:left w:val="single" w:sz="4" w:space="0" w:color="auto"/>
              <w:bottom w:val="single" w:sz="4" w:space="0" w:color="auto"/>
              <w:right w:val="single" w:sz="4" w:space="0" w:color="auto"/>
            </w:tcBorders>
            <w:vAlign w:val="center"/>
            <w:hideMark/>
          </w:tcPr>
          <w:p w14:paraId="69034EF4" w14:textId="77777777" w:rsidR="001E62B2" w:rsidRPr="00982925" w:rsidRDefault="001E62B2">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Operational or f</w:t>
            </w:r>
            <w:r w:rsidRPr="00982925">
              <w:rPr>
                <w:rFonts w:ascii="Aptos Narrow" w:eastAsia="Times New Roman" w:hAnsi="Aptos Narrow" w:cs="Times New Roman"/>
                <w:color w:val="000000"/>
                <w:kern w:val="0"/>
                <w:lang w:eastAsia="en-AU"/>
                <w14:ligatures w14:val="none"/>
              </w:rPr>
              <w:t xml:space="preserve">inancial control </w:t>
            </w:r>
          </w:p>
        </w:tc>
        <w:tc>
          <w:tcPr>
            <w:tcW w:w="1940" w:type="dxa"/>
            <w:tcBorders>
              <w:top w:val="nil"/>
              <w:left w:val="nil"/>
              <w:bottom w:val="single" w:sz="4" w:space="0" w:color="auto"/>
              <w:right w:val="single" w:sz="4" w:space="0" w:color="auto"/>
            </w:tcBorders>
            <w:vAlign w:val="center"/>
            <w:hideMark/>
          </w:tcPr>
          <w:p w14:paraId="3EF8CF51" w14:textId="77777777" w:rsidR="001E62B2" w:rsidRPr="00982925" w:rsidRDefault="001E62B2">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Lessee initia</w:t>
            </w:r>
            <w:r>
              <w:rPr>
                <w:rFonts w:ascii="Aptos Narrow" w:eastAsia="Times New Roman" w:hAnsi="Aptos Narrow" w:cs="Times New Roman"/>
                <w:color w:val="000000"/>
                <w:kern w:val="0"/>
                <w:lang w:eastAsia="en-AU"/>
                <w14:ligatures w14:val="none"/>
              </w:rPr>
              <w:t>tes</w:t>
            </w:r>
            <w:r w:rsidRPr="00982925">
              <w:rPr>
                <w:rFonts w:ascii="Aptos Narrow" w:eastAsia="Times New Roman" w:hAnsi="Aptos Narrow" w:cs="Times New Roman"/>
                <w:color w:val="000000"/>
                <w:kern w:val="0"/>
                <w:lang w:eastAsia="en-AU"/>
                <w14:ligatures w14:val="none"/>
              </w:rPr>
              <w:t xml:space="preserve"> and implements the land use change</w:t>
            </w:r>
          </w:p>
        </w:tc>
        <w:tc>
          <w:tcPr>
            <w:tcW w:w="2151" w:type="dxa"/>
            <w:tcBorders>
              <w:top w:val="nil"/>
              <w:left w:val="nil"/>
              <w:bottom w:val="single" w:sz="4" w:space="0" w:color="auto"/>
              <w:right w:val="single" w:sz="4" w:space="0" w:color="auto"/>
            </w:tcBorders>
            <w:vAlign w:val="center"/>
            <w:hideMark/>
          </w:tcPr>
          <w:p w14:paraId="6A3626BF" w14:textId="77777777" w:rsidR="001E62B2" w:rsidRPr="00982925" w:rsidRDefault="001E62B2">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Land use change (initiated by lesse</w:t>
            </w:r>
            <w:r>
              <w:rPr>
                <w:rFonts w:ascii="Aptos Narrow" w:eastAsia="Times New Roman" w:hAnsi="Aptos Narrow" w:cs="Times New Roman"/>
                <w:color w:val="000000"/>
                <w:kern w:val="0"/>
                <w:lang w:eastAsia="en-AU"/>
                <w14:ligatures w14:val="none"/>
              </w:rPr>
              <w:t>e</w:t>
            </w:r>
            <w:r w:rsidRPr="00982925">
              <w:rPr>
                <w:rFonts w:ascii="Aptos Narrow" w:eastAsia="Times New Roman" w:hAnsi="Aptos Narrow" w:cs="Times New Roman"/>
                <w:color w:val="000000"/>
                <w:kern w:val="0"/>
                <w:lang w:eastAsia="en-AU"/>
                <w14:ligatures w14:val="none"/>
              </w:rPr>
              <w:t xml:space="preserve">) - e.g. clearing woody vegetation </w:t>
            </w:r>
          </w:p>
        </w:tc>
        <w:tc>
          <w:tcPr>
            <w:tcW w:w="2149" w:type="dxa"/>
            <w:tcBorders>
              <w:top w:val="nil"/>
              <w:left w:val="nil"/>
              <w:bottom w:val="single" w:sz="4" w:space="0" w:color="auto"/>
              <w:right w:val="single" w:sz="4" w:space="0" w:color="auto"/>
            </w:tcBorders>
            <w:vAlign w:val="center"/>
            <w:hideMark/>
          </w:tcPr>
          <w:p w14:paraId="3A7962CD" w14:textId="77777777" w:rsidR="001E62B2" w:rsidRPr="00982925" w:rsidRDefault="001E62B2">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 xml:space="preserve">Vegetation clearing or planting  </w:t>
            </w:r>
          </w:p>
        </w:tc>
        <w:tc>
          <w:tcPr>
            <w:tcW w:w="2160" w:type="dxa"/>
            <w:tcBorders>
              <w:top w:val="nil"/>
              <w:left w:val="nil"/>
              <w:bottom w:val="single" w:sz="4" w:space="0" w:color="auto"/>
              <w:right w:val="single" w:sz="4" w:space="0" w:color="auto"/>
            </w:tcBorders>
            <w:vAlign w:val="center"/>
            <w:hideMark/>
          </w:tcPr>
          <w:p w14:paraId="5DD01E26" w14:textId="77777777" w:rsidR="001E62B2" w:rsidRPr="00982925" w:rsidRDefault="001E62B2">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 xml:space="preserve">Scope 1 (LULUCF) – Lessee reports </w:t>
            </w:r>
            <w:r>
              <w:rPr>
                <w:rFonts w:ascii="Aptos Narrow" w:eastAsia="Times New Roman" w:hAnsi="Aptos Narrow" w:cs="Times New Roman"/>
                <w:color w:val="000000"/>
                <w:kern w:val="0"/>
                <w:lang w:eastAsia="en-AU"/>
                <w14:ligatures w14:val="none"/>
              </w:rPr>
              <w:t>as direct emissions</w:t>
            </w:r>
            <w:r w:rsidRPr="00982925">
              <w:rPr>
                <w:rFonts w:ascii="Aptos Narrow" w:eastAsia="Times New Roman" w:hAnsi="Aptos Narrow" w:cs="Times New Roman"/>
                <w:color w:val="000000"/>
                <w:kern w:val="0"/>
                <w:lang w:eastAsia="en-AU"/>
                <w14:ligatures w14:val="none"/>
              </w:rPr>
              <w:t>.</w:t>
            </w:r>
          </w:p>
        </w:tc>
        <w:tc>
          <w:tcPr>
            <w:tcW w:w="2520" w:type="dxa"/>
            <w:tcBorders>
              <w:top w:val="nil"/>
              <w:left w:val="nil"/>
              <w:bottom w:val="single" w:sz="4" w:space="0" w:color="auto"/>
              <w:right w:val="single" w:sz="4" w:space="0" w:color="auto"/>
            </w:tcBorders>
            <w:vAlign w:val="center"/>
            <w:hideMark/>
          </w:tcPr>
          <w:p w14:paraId="1421832E" w14:textId="77777777" w:rsidR="001E62B2" w:rsidRPr="00982925" w:rsidRDefault="001E62B2">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 xml:space="preserve">Scope 3 (downstream) – Lessor </w:t>
            </w:r>
            <w:r>
              <w:rPr>
                <w:rFonts w:ascii="Aptos Narrow" w:eastAsia="Times New Roman" w:hAnsi="Aptos Narrow" w:cs="Times New Roman"/>
                <w:color w:val="000000"/>
                <w:kern w:val="0"/>
                <w:lang w:eastAsia="en-AU"/>
                <w14:ligatures w14:val="none"/>
              </w:rPr>
              <w:t>reports as indirect emissions</w:t>
            </w:r>
          </w:p>
        </w:tc>
      </w:tr>
      <w:tr w:rsidR="001E62B2" w:rsidRPr="00982925" w14:paraId="113D81E4" w14:textId="77777777">
        <w:trPr>
          <w:trHeight w:val="1255"/>
          <w:tblHeader/>
        </w:trPr>
        <w:tc>
          <w:tcPr>
            <w:tcW w:w="2000" w:type="dxa"/>
            <w:tcBorders>
              <w:top w:val="nil"/>
              <w:left w:val="single" w:sz="4" w:space="0" w:color="auto"/>
              <w:bottom w:val="single" w:sz="4" w:space="0" w:color="auto"/>
              <w:right w:val="single" w:sz="4" w:space="0" w:color="auto"/>
            </w:tcBorders>
            <w:vAlign w:val="center"/>
            <w:hideMark/>
          </w:tcPr>
          <w:p w14:paraId="247562D7" w14:textId="77777777" w:rsidR="001E62B2" w:rsidRPr="00982925" w:rsidRDefault="001E62B2">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Operational or financial control</w:t>
            </w:r>
          </w:p>
        </w:tc>
        <w:tc>
          <w:tcPr>
            <w:tcW w:w="1940" w:type="dxa"/>
            <w:tcBorders>
              <w:top w:val="nil"/>
              <w:left w:val="nil"/>
              <w:bottom w:val="single" w:sz="4" w:space="0" w:color="auto"/>
              <w:right w:val="single" w:sz="4" w:space="0" w:color="auto"/>
            </w:tcBorders>
            <w:vAlign w:val="center"/>
            <w:hideMark/>
          </w:tcPr>
          <w:p w14:paraId="465DAB45" w14:textId="77777777" w:rsidR="001E62B2" w:rsidRPr="00982925" w:rsidRDefault="001E62B2">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Lessor directs (or implements) land use change</w:t>
            </w:r>
          </w:p>
        </w:tc>
        <w:tc>
          <w:tcPr>
            <w:tcW w:w="2151" w:type="dxa"/>
            <w:tcBorders>
              <w:top w:val="nil"/>
              <w:left w:val="nil"/>
              <w:bottom w:val="single" w:sz="4" w:space="0" w:color="auto"/>
              <w:right w:val="single" w:sz="4" w:space="0" w:color="auto"/>
            </w:tcBorders>
            <w:vAlign w:val="center"/>
            <w:hideMark/>
          </w:tcPr>
          <w:p w14:paraId="128055C1" w14:textId="77777777" w:rsidR="001E62B2" w:rsidRPr="00982925" w:rsidRDefault="001E62B2">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 xml:space="preserve">Land use change </w:t>
            </w:r>
            <w:r w:rsidRPr="00982925">
              <w:rPr>
                <w:rFonts w:ascii="Aptos Narrow" w:eastAsia="Times New Roman" w:hAnsi="Aptos Narrow" w:cs="Times New Roman"/>
                <w:i/>
                <w:iCs/>
                <w:color w:val="000000"/>
                <w:kern w:val="0"/>
                <w:lang w:eastAsia="en-AU"/>
                <w14:ligatures w14:val="none"/>
              </w:rPr>
              <w:t xml:space="preserve">directed by the lessor </w:t>
            </w:r>
            <w:r w:rsidRPr="00982925">
              <w:rPr>
                <w:rFonts w:ascii="Aptos Narrow" w:eastAsia="Times New Roman" w:hAnsi="Aptos Narrow" w:cs="Times New Roman"/>
                <w:color w:val="000000"/>
                <w:kern w:val="0"/>
                <w:lang w:eastAsia="en-AU"/>
                <w14:ligatures w14:val="none"/>
              </w:rPr>
              <w:t xml:space="preserve">(e.g. clearing required pre-lease) </w:t>
            </w:r>
          </w:p>
        </w:tc>
        <w:tc>
          <w:tcPr>
            <w:tcW w:w="2149" w:type="dxa"/>
            <w:tcBorders>
              <w:top w:val="nil"/>
              <w:left w:val="nil"/>
              <w:bottom w:val="single" w:sz="4" w:space="0" w:color="auto"/>
              <w:right w:val="single" w:sz="4" w:space="0" w:color="auto"/>
            </w:tcBorders>
            <w:vAlign w:val="center"/>
            <w:hideMark/>
          </w:tcPr>
          <w:p w14:paraId="60667EDD" w14:textId="77777777" w:rsidR="001E62B2" w:rsidRPr="00982925" w:rsidRDefault="001E62B2">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 xml:space="preserve">Vegetation clearing or planting  </w:t>
            </w:r>
          </w:p>
        </w:tc>
        <w:tc>
          <w:tcPr>
            <w:tcW w:w="2160" w:type="dxa"/>
            <w:tcBorders>
              <w:top w:val="nil"/>
              <w:left w:val="nil"/>
              <w:bottom w:val="single" w:sz="4" w:space="0" w:color="auto"/>
              <w:right w:val="single" w:sz="4" w:space="0" w:color="auto"/>
            </w:tcBorders>
            <w:vAlign w:val="center"/>
            <w:hideMark/>
          </w:tcPr>
          <w:p w14:paraId="571DD580" w14:textId="77777777" w:rsidR="001E62B2" w:rsidRPr="00982925" w:rsidRDefault="001E62B2">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 xml:space="preserve">Scope 3 (upstream) – Lessee reports emissions </w:t>
            </w:r>
            <w:r>
              <w:rPr>
                <w:rFonts w:ascii="Aptos Narrow" w:eastAsia="Times New Roman" w:hAnsi="Aptos Narrow" w:cs="Times New Roman"/>
                <w:color w:val="000000"/>
                <w:kern w:val="0"/>
                <w:lang w:eastAsia="en-AU"/>
                <w14:ligatures w14:val="none"/>
              </w:rPr>
              <w:t>as indirect emissions</w:t>
            </w:r>
            <w:r w:rsidRPr="00982925">
              <w:rPr>
                <w:rFonts w:ascii="Aptos Narrow" w:eastAsia="Times New Roman" w:hAnsi="Aptos Narrow" w:cs="Times New Roman"/>
                <w:color w:val="000000"/>
                <w:kern w:val="0"/>
                <w:lang w:eastAsia="en-AU"/>
                <w14:ligatures w14:val="none"/>
              </w:rPr>
              <w:t>.</w:t>
            </w:r>
          </w:p>
        </w:tc>
        <w:tc>
          <w:tcPr>
            <w:tcW w:w="2520" w:type="dxa"/>
            <w:tcBorders>
              <w:top w:val="nil"/>
              <w:left w:val="nil"/>
              <w:bottom w:val="single" w:sz="4" w:space="0" w:color="auto"/>
              <w:right w:val="single" w:sz="4" w:space="0" w:color="auto"/>
            </w:tcBorders>
            <w:vAlign w:val="center"/>
            <w:hideMark/>
          </w:tcPr>
          <w:p w14:paraId="2E947AF3" w14:textId="77777777" w:rsidR="001E62B2" w:rsidRPr="00982925" w:rsidRDefault="001E62B2">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 xml:space="preserve">Scope 1 (LULUCF) – Lessor reports </w:t>
            </w:r>
            <w:r>
              <w:rPr>
                <w:rFonts w:ascii="Aptos Narrow" w:eastAsia="Times New Roman" w:hAnsi="Aptos Narrow" w:cs="Times New Roman"/>
                <w:color w:val="000000"/>
                <w:kern w:val="0"/>
                <w:lang w:eastAsia="en-AU"/>
                <w14:ligatures w14:val="none"/>
              </w:rPr>
              <w:t>as direct emissions</w:t>
            </w:r>
            <w:r w:rsidRPr="00982925">
              <w:rPr>
                <w:rFonts w:ascii="Aptos Narrow" w:eastAsia="Times New Roman" w:hAnsi="Aptos Narrow" w:cs="Times New Roman"/>
                <w:color w:val="000000"/>
                <w:kern w:val="0"/>
                <w:lang w:eastAsia="en-AU"/>
                <w14:ligatures w14:val="none"/>
              </w:rPr>
              <w:t>.</w:t>
            </w:r>
          </w:p>
        </w:tc>
      </w:tr>
      <w:tr w:rsidR="001E62B2" w:rsidRPr="00982925" w14:paraId="5AF609C7" w14:textId="77777777">
        <w:trPr>
          <w:trHeight w:val="1410"/>
          <w:tblHeader/>
        </w:trPr>
        <w:tc>
          <w:tcPr>
            <w:tcW w:w="2000" w:type="dxa"/>
            <w:tcBorders>
              <w:top w:val="nil"/>
              <w:left w:val="single" w:sz="4" w:space="0" w:color="auto"/>
              <w:bottom w:val="single" w:sz="4" w:space="0" w:color="auto"/>
              <w:right w:val="single" w:sz="4" w:space="0" w:color="auto"/>
            </w:tcBorders>
            <w:vAlign w:val="center"/>
            <w:hideMark/>
          </w:tcPr>
          <w:p w14:paraId="7FACB17C" w14:textId="77777777" w:rsidR="001E62B2" w:rsidRPr="00982925" w:rsidRDefault="001E62B2">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Equity share</w:t>
            </w:r>
          </w:p>
        </w:tc>
        <w:tc>
          <w:tcPr>
            <w:tcW w:w="1940" w:type="dxa"/>
            <w:tcBorders>
              <w:top w:val="nil"/>
              <w:left w:val="nil"/>
              <w:bottom w:val="single" w:sz="4" w:space="0" w:color="auto"/>
              <w:right w:val="single" w:sz="4" w:space="0" w:color="auto"/>
            </w:tcBorders>
            <w:vAlign w:val="center"/>
            <w:hideMark/>
          </w:tcPr>
          <w:p w14:paraId="1F21E1F4" w14:textId="77777777" w:rsidR="001E62B2" w:rsidRPr="00982925" w:rsidRDefault="001E62B2">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 xml:space="preserve">Joint management </w:t>
            </w:r>
          </w:p>
        </w:tc>
        <w:tc>
          <w:tcPr>
            <w:tcW w:w="2151" w:type="dxa"/>
            <w:tcBorders>
              <w:top w:val="nil"/>
              <w:left w:val="nil"/>
              <w:bottom w:val="single" w:sz="4" w:space="0" w:color="auto"/>
              <w:right w:val="single" w:sz="4" w:space="0" w:color="auto"/>
            </w:tcBorders>
            <w:vAlign w:val="center"/>
            <w:hideMark/>
          </w:tcPr>
          <w:p w14:paraId="71E60383" w14:textId="77777777" w:rsidR="001E62B2" w:rsidRPr="00982925" w:rsidRDefault="001E62B2">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Share farming or joint operation (e.g. grazing or cropping) on leased lands</w:t>
            </w:r>
          </w:p>
        </w:tc>
        <w:tc>
          <w:tcPr>
            <w:tcW w:w="2149" w:type="dxa"/>
            <w:tcBorders>
              <w:top w:val="nil"/>
              <w:left w:val="nil"/>
              <w:bottom w:val="single" w:sz="4" w:space="0" w:color="auto"/>
              <w:right w:val="single" w:sz="4" w:space="0" w:color="auto"/>
            </w:tcBorders>
            <w:vAlign w:val="center"/>
            <w:hideMark/>
          </w:tcPr>
          <w:p w14:paraId="2021A96F" w14:textId="77777777" w:rsidR="001E62B2" w:rsidRPr="00982925" w:rsidRDefault="001E62B2">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All relevant agricultural and land-use sources in proportion to equity share.</w:t>
            </w:r>
          </w:p>
        </w:tc>
        <w:tc>
          <w:tcPr>
            <w:tcW w:w="2160" w:type="dxa"/>
            <w:tcBorders>
              <w:top w:val="nil"/>
              <w:left w:val="nil"/>
              <w:bottom w:val="single" w:sz="4" w:space="0" w:color="auto"/>
              <w:right w:val="single" w:sz="4" w:space="0" w:color="auto"/>
            </w:tcBorders>
            <w:vAlign w:val="center"/>
            <w:hideMark/>
          </w:tcPr>
          <w:p w14:paraId="466DD014" w14:textId="77777777" w:rsidR="001E62B2" w:rsidRPr="00982925" w:rsidRDefault="001E62B2">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Scope 1 (pro-rata) – Report share of total emissions and removals from land use.</w:t>
            </w:r>
          </w:p>
        </w:tc>
        <w:tc>
          <w:tcPr>
            <w:tcW w:w="2520" w:type="dxa"/>
            <w:tcBorders>
              <w:top w:val="nil"/>
              <w:left w:val="nil"/>
              <w:bottom w:val="single" w:sz="4" w:space="0" w:color="auto"/>
              <w:right w:val="single" w:sz="4" w:space="0" w:color="auto"/>
            </w:tcBorders>
            <w:vAlign w:val="center"/>
            <w:hideMark/>
          </w:tcPr>
          <w:p w14:paraId="7DD4776A" w14:textId="77777777" w:rsidR="001E62B2" w:rsidRPr="00982925" w:rsidRDefault="001E62B2">
            <w:pPr>
              <w:spacing w:after="0" w:line="240" w:lineRule="auto"/>
              <w:rPr>
                <w:rFonts w:ascii="Aptos Narrow" w:eastAsia="Times New Roman" w:hAnsi="Aptos Narrow" w:cs="Times New Roman"/>
                <w:color w:val="000000"/>
                <w:kern w:val="0"/>
                <w:lang w:eastAsia="en-AU"/>
                <w14:ligatures w14:val="none"/>
              </w:rPr>
            </w:pPr>
            <w:r w:rsidRPr="00982925">
              <w:rPr>
                <w:rFonts w:ascii="Aptos Narrow" w:eastAsia="Times New Roman" w:hAnsi="Aptos Narrow" w:cs="Times New Roman"/>
                <w:color w:val="000000"/>
                <w:kern w:val="0"/>
                <w:lang w:eastAsia="en-AU"/>
                <w14:ligatures w14:val="none"/>
              </w:rPr>
              <w:t>Scope 1 (pro-rata) – Report share of ownership or retained equity.</w:t>
            </w:r>
          </w:p>
        </w:tc>
      </w:tr>
    </w:tbl>
    <w:p w14:paraId="2BE20344" w14:textId="77777777" w:rsidR="001E62B2" w:rsidRDefault="001E62B2" w:rsidP="001E62B2">
      <w:pPr>
        <w:spacing w:after="0" w:line="240" w:lineRule="auto"/>
      </w:pPr>
    </w:p>
    <w:p w14:paraId="18A417BB" w14:textId="77777777" w:rsidR="001E62B2" w:rsidRDefault="001E62B2" w:rsidP="001E62B2">
      <w:pPr>
        <w:sectPr w:rsidR="001E62B2" w:rsidSect="001E62B2">
          <w:headerReference w:type="default" r:id="rId71"/>
          <w:pgSz w:w="16838" w:h="11906" w:orient="landscape"/>
          <w:pgMar w:top="1440" w:right="1440" w:bottom="1440" w:left="1440" w:header="708" w:footer="708" w:gutter="0"/>
          <w:cols w:space="708"/>
          <w:docGrid w:linePitch="360"/>
        </w:sectPr>
      </w:pPr>
    </w:p>
    <w:p w14:paraId="2B235256" w14:textId="77777777" w:rsidR="001E62B2" w:rsidRDefault="001E62B2" w:rsidP="008634D8">
      <w:pPr>
        <w:pStyle w:val="Heading3"/>
        <w:numPr>
          <w:ilvl w:val="0"/>
          <w:numId w:val="0"/>
        </w:numPr>
      </w:pPr>
      <w:r>
        <w:lastRenderedPageBreak/>
        <w:t xml:space="preserve">Agistment </w:t>
      </w:r>
    </w:p>
    <w:p w14:paraId="051A70C2" w14:textId="77777777" w:rsidR="001E62B2" w:rsidRDefault="001E62B2" w:rsidP="001E62B2">
      <w:pPr>
        <w:pStyle w:val="Heading4"/>
        <w:numPr>
          <w:ilvl w:val="0"/>
          <w:numId w:val="0"/>
        </w:numPr>
        <w:spacing w:before="0" w:after="0" w:line="240" w:lineRule="auto"/>
        <w:rPr>
          <w:rFonts w:eastAsiaTheme="minorHAnsi" w:cstheme="minorBidi"/>
          <w:i w:val="0"/>
          <w:iCs w:val="0"/>
          <w:color w:val="auto"/>
          <w:lang w:eastAsia="en-AU"/>
        </w:rPr>
      </w:pPr>
      <w:r w:rsidRPr="00522D0F">
        <w:rPr>
          <w:rFonts w:eastAsiaTheme="minorHAnsi" w:cstheme="minorBidi"/>
          <w:i w:val="0"/>
          <w:color w:val="auto"/>
          <w:lang w:eastAsia="en-AU"/>
        </w:rPr>
        <w:t>In these Guidelines</w:t>
      </w:r>
      <w:r>
        <w:rPr>
          <w:rFonts w:eastAsiaTheme="minorHAnsi" w:cstheme="minorBidi"/>
          <w:i w:val="0"/>
          <w:color w:val="auto"/>
          <w:lang w:eastAsia="en-AU"/>
        </w:rPr>
        <w:t>,</w:t>
      </w:r>
      <w:r w:rsidRPr="00522D0F">
        <w:rPr>
          <w:rFonts w:eastAsiaTheme="minorHAnsi" w:cstheme="minorBidi"/>
          <w:i w:val="0"/>
          <w:color w:val="auto"/>
          <w:lang w:eastAsia="en-AU"/>
        </w:rPr>
        <w:t xml:space="preserve"> reporting responsibility for Scope 1 versus Scope 3 emissions </w:t>
      </w:r>
      <w:r>
        <w:rPr>
          <w:rFonts w:eastAsiaTheme="minorHAnsi" w:cstheme="minorBidi"/>
          <w:i w:val="0"/>
          <w:iCs w:val="0"/>
          <w:color w:val="auto"/>
          <w:lang w:eastAsia="en-AU"/>
        </w:rPr>
        <w:t xml:space="preserve">from </w:t>
      </w:r>
      <w:proofErr w:type="spellStart"/>
      <w:r>
        <w:rPr>
          <w:rFonts w:eastAsiaTheme="minorHAnsi" w:cstheme="minorBidi"/>
          <w:i w:val="0"/>
          <w:iCs w:val="0"/>
          <w:color w:val="auto"/>
          <w:lang w:eastAsia="en-AU"/>
        </w:rPr>
        <w:t>agisted</w:t>
      </w:r>
      <w:proofErr w:type="spellEnd"/>
      <w:r>
        <w:rPr>
          <w:rFonts w:eastAsiaTheme="minorHAnsi" w:cstheme="minorBidi"/>
          <w:i w:val="0"/>
          <w:iCs w:val="0"/>
          <w:color w:val="auto"/>
          <w:lang w:eastAsia="en-AU"/>
        </w:rPr>
        <w:t xml:space="preserve"> stock </w:t>
      </w:r>
      <w:r w:rsidRPr="00522D0F">
        <w:rPr>
          <w:rFonts w:eastAsiaTheme="minorHAnsi" w:cstheme="minorBidi"/>
          <w:i w:val="0"/>
          <w:color w:val="auto"/>
          <w:lang w:eastAsia="en-AU"/>
        </w:rPr>
        <w:t xml:space="preserve">depends </w:t>
      </w:r>
      <w:r>
        <w:rPr>
          <w:rFonts w:eastAsiaTheme="minorHAnsi" w:cstheme="minorBidi"/>
          <w:i w:val="0"/>
          <w:iCs w:val="0"/>
          <w:color w:val="auto"/>
          <w:lang w:eastAsia="en-AU"/>
        </w:rPr>
        <w:t xml:space="preserve">on </w:t>
      </w:r>
      <w:r w:rsidRPr="00522D0F">
        <w:rPr>
          <w:rFonts w:eastAsiaTheme="minorHAnsi" w:cstheme="minorBidi"/>
          <w:i w:val="0"/>
          <w:color w:val="auto"/>
          <w:lang w:eastAsia="en-AU"/>
        </w:rPr>
        <w:t xml:space="preserve">who exercises operational control and </w:t>
      </w:r>
      <w:r>
        <w:rPr>
          <w:rFonts w:eastAsiaTheme="minorHAnsi" w:cstheme="minorBidi"/>
          <w:i w:val="0"/>
          <w:color w:val="auto"/>
          <w:lang w:eastAsia="en-AU"/>
        </w:rPr>
        <w:t xml:space="preserve">receives the most financial </w:t>
      </w:r>
      <w:r w:rsidRPr="00522D0F">
        <w:rPr>
          <w:rFonts w:eastAsiaTheme="minorHAnsi" w:cstheme="minorBidi"/>
          <w:i w:val="0"/>
          <w:color w:val="auto"/>
          <w:lang w:eastAsia="en-AU"/>
        </w:rPr>
        <w:t xml:space="preserve">benefit from the </w:t>
      </w:r>
      <w:proofErr w:type="spellStart"/>
      <w:r w:rsidRPr="00522D0F">
        <w:rPr>
          <w:rFonts w:eastAsiaTheme="minorHAnsi" w:cstheme="minorBidi"/>
          <w:i w:val="0"/>
          <w:color w:val="auto"/>
          <w:lang w:eastAsia="en-AU"/>
        </w:rPr>
        <w:t>agisted</w:t>
      </w:r>
      <w:proofErr w:type="spellEnd"/>
      <w:r w:rsidRPr="00522D0F">
        <w:rPr>
          <w:rFonts w:eastAsiaTheme="minorHAnsi" w:cstheme="minorBidi"/>
          <w:i w:val="0"/>
          <w:color w:val="auto"/>
          <w:lang w:eastAsia="en-AU"/>
        </w:rPr>
        <w:t xml:space="preserve"> livestock’s performance</w:t>
      </w:r>
      <w:r>
        <w:rPr>
          <w:rFonts w:eastAsiaTheme="minorHAnsi" w:cstheme="minorBidi"/>
          <w:i w:val="0"/>
          <w:iCs w:val="0"/>
          <w:color w:val="auto"/>
          <w:lang w:eastAsia="en-AU"/>
        </w:rPr>
        <w:t>.</w:t>
      </w:r>
    </w:p>
    <w:p w14:paraId="626468D7" w14:textId="77777777" w:rsidR="001E62B2" w:rsidRDefault="001E62B2" w:rsidP="001E62B2">
      <w:pPr>
        <w:spacing w:after="0" w:line="240" w:lineRule="auto"/>
        <w:rPr>
          <w:lang w:eastAsia="en-AU"/>
        </w:rPr>
      </w:pPr>
    </w:p>
    <w:p w14:paraId="4116D9F2" w14:textId="77777777" w:rsidR="001E62B2" w:rsidRDefault="001E62B2" w:rsidP="001E62B2">
      <w:pPr>
        <w:spacing w:after="0" w:line="240" w:lineRule="auto"/>
        <w:rPr>
          <w:lang w:eastAsia="en-AU"/>
        </w:rPr>
      </w:pPr>
      <w:r>
        <w:rPr>
          <w:lang w:eastAsia="en-AU"/>
        </w:rPr>
        <w:t>Note</w:t>
      </w:r>
      <w:r w:rsidRPr="00E80854">
        <w:rPr>
          <w:lang w:eastAsia="en-AU"/>
        </w:rPr>
        <w:t>,</w:t>
      </w:r>
      <w:r>
        <w:rPr>
          <w:lang w:eastAsia="en-AU"/>
        </w:rPr>
        <w:t xml:space="preserve"> under the GHG Protocol Agricultural Guidance, the landholder always assumes Scope 1 emissions reporting responsibilities regardless of who maintains operational or financial</w:t>
      </w:r>
      <w:r w:rsidRPr="00E80854">
        <w:rPr>
          <w:lang w:eastAsia="en-AU"/>
        </w:rPr>
        <w:t xml:space="preserve"> </w:t>
      </w:r>
      <w:r>
        <w:rPr>
          <w:lang w:eastAsia="en-AU"/>
        </w:rPr>
        <w:t xml:space="preserve">control of the animals. If required to report using GHG Protocol, an entity could either choose to follow the GHG Protocol Agricultural Guidance </w:t>
      </w:r>
      <w:proofErr w:type="gramStart"/>
      <w:r>
        <w:rPr>
          <w:lang w:eastAsia="en-AU"/>
        </w:rPr>
        <w:t>rules,</w:t>
      </w:r>
      <w:r w:rsidRPr="00E80854">
        <w:rPr>
          <w:lang w:eastAsia="en-AU"/>
        </w:rPr>
        <w:t xml:space="preserve"> or</w:t>
      </w:r>
      <w:proofErr w:type="gramEnd"/>
      <w:r w:rsidRPr="00E80854">
        <w:rPr>
          <w:lang w:eastAsia="en-AU"/>
        </w:rPr>
        <w:t xml:space="preserve"> </w:t>
      </w:r>
      <w:r>
        <w:rPr>
          <w:lang w:eastAsia="en-AU"/>
        </w:rPr>
        <w:t xml:space="preserve">transparently document the treatment of </w:t>
      </w:r>
      <w:proofErr w:type="spellStart"/>
      <w:r>
        <w:rPr>
          <w:lang w:eastAsia="en-AU"/>
        </w:rPr>
        <w:t>agisted</w:t>
      </w:r>
      <w:proofErr w:type="spellEnd"/>
      <w:r>
        <w:rPr>
          <w:lang w:eastAsia="en-AU"/>
        </w:rPr>
        <w:t xml:space="preserve"> animals in line with the rules below.    </w:t>
      </w:r>
    </w:p>
    <w:p w14:paraId="1E6B3727" w14:textId="77777777" w:rsidR="00D34B0A" w:rsidRDefault="00D34B0A" w:rsidP="001E62B2">
      <w:pPr>
        <w:spacing w:after="0" w:line="240" w:lineRule="auto"/>
        <w:rPr>
          <w:lang w:eastAsia="en-AU"/>
        </w:rPr>
      </w:pPr>
    </w:p>
    <w:p w14:paraId="739ECFF5" w14:textId="3491779E" w:rsidR="00D34B0A" w:rsidRPr="00522D0F" w:rsidRDefault="00D34B0A" w:rsidP="001E62B2">
      <w:pPr>
        <w:spacing w:after="0" w:line="240" w:lineRule="auto"/>
        <w:rPr>
          <w:lang w:eastAsia="en-AU"/>
        </w:rPr>
      </w:pPr>
      <w:r>
        <w:rPr>
          <w:lang w:eastAsia="en-AU"/>
        </w:rPr>
        <w:t xml:space="preserve">In the case where </w:t>
      </w:r>
      <w:r w:rsidR="00C87B05">
        <w:rPr>
          <w:lang w:eastAsia="en-AU"/>
        </w:rPr>
        <w:t xml:space="preserve">equity-share is </w:t>
      </w:r>
      <w:r w:rsidR="00A47E3F">
        <w:rPr>
          <w:lang w:eastAsia="en-AU"/>
        </w:rPr>
        <w:t xml:space="preserve">selected as </w:t>
      </w:r>
      <w:r w:rsidR="00C87B05">
        <w:rPr>
          <w:lang w:eastAsia="en-AU"/>
        </w:rPr>
        <w:t>the consolidation approach</w:t>
      </w:r>
      <w:r w:rsidR="00827810">
        <w:rPr>
          <w:lang w:eastAsia="en-AU"/>
        </w:rPr>
        <w:t xml:space="preserve">, or operation or financial control is unclear, </w:t>
      </w:r>
      <w:r w:rsidR="00611E3F">
        <w:rPr>
          <w:lang w:eastAsia="en-AU"/>
        </w:rPr>
        <w:t xml:space="preserve">Scope 1 reporting responsibilities </w:t>
      </w:r>
      <w:r w:rsidR="00827810">
        <w:rPr>
          <w:lang w:eastAsia="en-AU"/>
        </w:rPr>
        <w:t xml:space="preserve">shall be assumed by the livestock owner.  </w:t>
      </w:r>
    </w:p>
    <w:p w14:paraId="24B3EA97" w14:textId="77777777" w:rsidR="001E62B2" w:rsidRDefault="001E62B2" w:rsidP="001E62B2">
      <w:pPr>
        <w:spacing w:after="0" w:line="240" w:lineRule="auto"/>
        <w:rPr>
          <w:rStyle w:val="IntenseEmphasis"/>
          <w:i w:val="0"/>
          <w:iCs w:val="0"/>
          <w:color w:val="auto"/>
        </w:rPr>
      </w:pPr>
    </w:p>
    <w:p w14:paraId="253B55E2" w14:textId="1C252B18" w:rsidR="001E62B2" w:rsidRDefault="001E62B2" w:rsidP="001E62B2">
      <w:pPr>
        <w:spacing w:after="0" w:line="240" w:lineRule="auto"/>
        <w:rPr>
          <w:lang w:eastAsia="en-AU"/>
        </w:rPr>
      </w:pPr>
      <w:r w:rsidRPr="00064DBD">
        <w:rPr>
          <w:lang w:eastAsia="en-AU"/>
        </w:rPr>
        <w:t xml:space="preserve">Agistment in Australia typically falls into one of </w:t>
      </w:r>
      <w:r w:rsidR="009C731A">
        <w:rPr>
          <w:lang w:eastAsia="en-AU"/>
        </w:rPr>
        <w:t>2</w:t>
      </w:r>
      <w:r w:rsidRPr="00064DBD">
        <w:rPr>
          <w:lang w:eastAsia="en-AU"/>
        </w:rPr>
        <w:t xml:space="preserve"> broad scenarios.</w:t>
      </w:r>
      <w:r>
        <w:rPr>
          <w:lang w:eastAsia="en-AU"/>
        </w:rPr>
        <w:t xml:space="preserve"> Either:</w:t>
      </w:r>
    </w:p>
    <w:p w14:paraId="705A8D53" w14:textId="77777777" w:rsidR="001E62B2" w:rsidRPr="009D48C6" w:rsidRDefault="001E62B2" w:rsidP="00076B9B">
      <w:pPr>
        <w:pStyle w:val="ListParagraph"/>
        <w:numPr>
          <w:ilvl w:val="0"/>
          <w:numId w:val="20"/>
        </w:numPr>
        <w:rPr>
          <w:rFonts w:eastAsiaTheme="majorEastAsia" w:cstheme="majorBidi"/>
        </w:rPr>
      </w:pPr>
      <w:r>
        <w:rPr>
          <w:lang w:eastAsia="en-AU"/>
        </w:rPr>
        <w:t xml:space="preserve">the landholder takes primary responsibility for management and performance of </w:t>
      </w:r>
      <w:proofErr w:type="spellStart"/>
      <w:r>
        <w:rPr>
          <w:lang w:eastAsia="en-AU"/>
        </w:rPr>
        <w:t>agisted</w:t>
      </w:r>
      <w:proofErr w:type="spellEnd"/>
      <w:r>
        <w:rPr>
          <w:lang w:eastAsia="en-AU"/>
        </w:rPr>
        <w:t xml:space="preserve"> stock; or </w:t>
      </w:r>
    </w:p>
    <w:p w14:paraId="5CEC9B44" w14:textId="77777777" w:rsidR="001E62B2" w:rsidRPr="00EE326A" w:rsidRDefault="001E62B2" w:rsidP="00076B9B">
      <w:pPr>
        <w:pStyle w:val="ListParagraph"/>
        <w:numPr>
          <w:ilvl w:val="0"/>
          <w:numId w:val="20"/>
        </w:numPr>
        <w:rPr>
          <w:rFonts w:eastAsiaTheme="majorEastAsia" w:cstheme="majorBidi"/>
        </w:rPr>
      </w:pPr>
      <w:r>
        <w:rPr>
          <w:lang w:eastAsia="en-AU"/>
        </w:rPr>
        <w:t>the livestock owner continues to manage the stock and their performance on the landholder’s land.</w:t>
      </w:r>
    </w:p>
    <w:p w14:paraId="7C0D721E" w14:textId="77777777" w:rsidR="001E62B2" w:rsidRDefault="001E62B2" w:rsidP="001E62B2">
      <w:pPr>
        <w:pStyle w:val="Heading5"/>
        <w:numPr>
          <w:ilvl w:val="0"/>
          <w:numId w:val="0"/>
        </w:numPr>
        <w:ind w:left="1008" w:hanging="1008"/>
      </w:pPr>
      <w:r>
        <w:t xml:space="preserve">Scenario 1 – operational control of livestock maintained by the landholder </w:t>
      </w:r>
    </w:p>
    <w:p w14:paraId="2ADFD0C0" w14:textId="77777777" w:rsidR="001E62B2" w:rsidRDefault="001E62B2" w:rsidP="001E62B2">
      <w:pPr>
        <w:spacing w:after="0" w:line="240" w:lineRule="auto"/>
      </w:pPr>
      <w:r w:rsidRPr="0014427C">
        <w:t xml:space="preserve">In this scenario, the </w:t>
      </w:r>
      <w:r w:rsidRPr="00522D0F">
        <w:t xml:space="preserve">landholder </w:t>
      </w:r>
      <w:r w:rsidRPr="0014427C">
        <w:t xml:space="preserve">takes </w:t>
      </w:r>
      <w:r w:rsidRPr="00522D0F">
        <w:t>primary responsibility for day-to-day management</w:t>
      </w:r>
      <w:r w:rsidRPr="0014427C">
        <w:t xml:space="preserve"> of the </w:t>
      </w:r>
      <w:proofErr w:type="spellStart"/>
      <w:r w:rsidRPr="0014427C">
        <w:t>agisted</w:t>
      </w:r>
      <w:proofErr w:type="spellEnd"/>
      <w:r w:rsidRPr="0014427C">
        <w:t xml:space="preserve"> stock and </w:t>
      </w:r>
      <w:r>
        <w:t>is financially rewarded for their performance</w:t>
      </w:r>
      <w:r w:rsidRPr="0014427C">
        <w:t>.</w:t>
      </w:r>
    </w:p>
    <w:p w14:paraId="6758264C" w14:textId="77777777" w:rsidR="001E62B2" w:rsidRPr="0014427C" w:rsidRDefault="001E62B2" w:rsidP="001E62B2">
      <w:pPr>
        <w:spacing w:after="0" w:line="240" w:lineRule="auto"/>
      </w:pPr>
      <w:r w:rsidRPr="0014427C">
        <w:br/>
        <w:t xml:space="preserve">Because the landholder </w:t>
      </w:r>
      <w:r>
        <w:t>is</w:t>
      </w:r>
      <w:r w:rsidRPr="0014427C">
        <w:t xml:space="preserve"> </w:t>
      </w:r>
      <w:r w:rsidRPr="00522D0F">
        <w:t>operational</w:t>
      </w:r>
      <w:r>
        <w:t>ly responsible</w:t>
      </w:r>
      <w:r w:rsidRPr="00522D0F">
        <w:t xml:space="preserve"> </w:t>
      </w:r>
      <w:r>
        <w:t xml:space="preserve">for the </w:t>
      </w:r>
      <w:proofErr w:type="spellStart"/>
      <w:r>
        <w:t>agisted</w:t>
      </w:r>
      <w:proofErr w:type="spellEnd"/>
      <w:r>
        <w:t xml:space="preserve"> stock</w:t>
      </w:r>
      <w:r w:rsidRPr="0014427C">
        <w:t xml:space="preserve">, they are responsible for reporting </w:t>
      </w:r>
      <w:r w:rsidRPr="00522D0F">
        <w:t>Scope 1 livestock emissions</w:t>
      </w:r>
      <w:r w:rsidRPr="0014427C">
        <w:t xml:space="preserve"> (enteric and manure), along with any land-use, land-use change, and forestry (LULUCF) emission</w:t>
      </w:r>
      <w:r>
        <w:t>s</w:t>
      </w:r>
      <w:r w:rsidRPr="0014427C">
        <w:t xml:space="preserve"> or removals associated with the property.</w:t>
      </w:r>
      <w:r>
        <w:t xml:space="preserve"> </w:t>
      </w:r>
    </w:p>
    <w:p w14:paraId="3BC21590" w14:textId="77777777" w:rsidR="001E62B2" w:rsidRDefault="001E62B2" w:rsidP="001E62B2">
      <w:pPr>
        <w:spacing w:after="0" w:line="240" w:lineRule="auto"/>
      </w:pPr>
    </w:p>
    <w:p w14:paraId="1FC21AFE" w14:textId="77777777" w:rsidR="001E62B2" w:rsidRPr="00522D0F" w:rsidRDefault="001E62B2" w:rsidP="001E62B2">
      <w:pPr>
        <w:rPr>
          <w:b/>
        </w:rPr>
      </w:pPr>
      <w:r w:rsidRPr="001E40C2">
        <w:rPr>
          <w:b/>
          <w:bCs/>
        </w:rPr>
        <w:t>Typical indicators of this scenario include:</w:t>
      </w:r>
    </w:p>
    <w:p w14:paraId="74924867" w14:textId="77777777" w:rsidR="001E62B2" w:rsidRPr="001E40C2" w:rsidRDefault="001E62B2" w:rsidP="00076B9B">
      <w:pPr>
        <w:numPr>
          <w:ilvl w:val="0"/>
          <w:numId w:val="27"/>
        </w:numPr>
        <w:spacing w:after="0" w:line="240" w:lineRule="auto"/>
        <w:ind w:left="714" w:hanging="357"/>
      </w:pPr>
      <w:r w:rsidRPr="001E40C2">
        <w:t xml:space="preserve">The landholder makes daily management decisions about </w:t>
      </w:r>
      <w:r w:rsidRPr="00522D0F">
        <w:t>feeding, breeding, veterinary care, and animal movements</w:t>
      </w:r>
      <w:r w:rsidRPr="001E40C2">
        <w:t>.</w:t>
      </w:r>
    </w:p>
    <w:p w14:paraId="2AF09839" w14:textId="77777777" w:rsidR="001E62B2" w:rsidRPr="001E40C2" w:rsidRDefault="001E62B2" w:rsidP="00076B9B">
      <w:pPr>
        <w:numPr>
          <w:ilvl w:val="0"/>
          <w:numId w:val="27"/>
        </w:numPr>
        <w:spacing w:after="0" w:line="240" w:lineRule="auto"/>
        <w:ind w:left="714" w:hanging="357"/>
      </w:pPr>
      <w:r w:rsidRPr="001E40C2">
        <w:t xml:space="preserve">The landholder </w:t>
      </w:r>
      <w:r w:rsidRPr="00522D0F">
        <w:t>accepts production risk</w:t>
      </w:r>
      <w:r w:rsidRPr="001E40C2">
        <w:t>, such as changes in mortality or growth rates.</w:t>
      </w:r>
    </w:p>
    <w:p w14:paraId="6B0C7F79" w14:textId="77777777" w:rsidR="001E62B2" w:rsidRPr="001E40C2" w:rsidRDefault="001E62B2" w:rsidP="00076B9B">
      <w:pPr>
        <w:numPr>
          <w:ilvl w:val="0"/>
          <w:numId w:val="27"/>
        </w:numPr>
        <w:spacing w:after="0" w:line="240" w:lineRule="auto"/>
        <w:ind w:left="714" w:hanging="357"/>
      </w:pPr>
      <w:r w:rsidRPr="001E40C2">
        <w:t xml:space="preserve">The landholder is </w:t>
      </w:r>
      <w:r w:rsidRPr="00522D0F">
        <w:t xml:space="preserve">financially rewarded for </w:t>
      </w:r>
      <w:proofErr w:type="spellStart"/>
      <w:r w:rsidRPr="00522D0F">
        <w:t>herd</w:t>
      </w:r>
      <w:proofErr w:type="spellEnd"/>
      <w:r w:rsidRPr="00522D0F">
        <w:t xml:space="preserve"> performance</w:t>
      </w:r>
      <w:r w:rsidRPr="001E40C2">
        <w:t>, for example, being paid per kilogram of liveweight gain rather than a simple pasture-lease fee.</w:t>
      </w:r>
    </w:p>
    <w:p w14:paraId="59832AB5" w14:textId="77777777" w:rsidR="001E62B2" w:rsidRDefault="001E62B2" w:rsidP="001E62B2">
      <w:pPr>
        <w:spacing w:after="0" w:line="240" w:lineRule="auto"/>
        <w:rPr>
          <w:b/>
          <w:bCs/>
        </w:rPr>
      </w:pPr>
    </w:p>
    <w:p w14:paraId="180A555F" w14:textId="77777777" w:rsidR="001E62B2" w:rsidRDefault="001E62B2" w:rsidP="001E62B2">
      <w:pPr>
        <w:spacing w:after="0" w:line="240" w:lineRule="auto"/>
      </w:pPr>
      <w:r w:rsidRPr="0082210B">
        <w:rPr>
          <w:b/>
          <w:bCs/>
        </w:rPr>
        <w:t>Rule</w:t>
      </w:r>
      <w:r>
        <w:rPr>
          <w:b/>
          <w:bCs/>
        </w:rPr>
        <w:t>s</w:t>
      </w:r>
      <w:r w:rsidRPr="0082210B">
        <w:br/>
      </w:r>
      <w:r w:rsidRPr="00802AEC">
        <w:rPr>
          <w:rFonts w:eastAsia="Times New Roman"/>
          <w:i/>
          <w:iCs/>
          <w:lang w:eastAsia="en-AU"/>
        </w:rPr>
        <w:t>Scope 1 livestock emissions:</w:t>
      </w:r>
      <w:r>
        <w:rPr>
          <w:rFonts w:eastAsia="Times New Roman"/>
          <w:lang w:eastAsia="en-AU"/>
        </w:rPr>
        <w:t xml:space="preserve"> </w:t>
      </w:r>
      <w:r w:rsidRPr="0093630D">
        <w:t xml:space="preserve">If the landholder manages the stock </w:t>
      </w:r>
      <w:r w:rsidRPr="0093630D">
        <w:rPr>
          <w:i/>
          <w:iCs/>
        </w:rPr>
        <w:t>as if they were their own</w:t>
      </w:r>
      <w:r w:rsidRPr="0093630D">
        <w:t xml:space="preserve">, they are deemed to have </w:t>
      </w:r>
      <w:r w:rsidRPr="00522D0F">
        <w:t>operational or financial control</w:t>
      </w:r>
      <w:r w:rsidRPr="0093630D">
        <w:t xml:space="preserve"> and therefore</w:t>
      </w:r>
      <w:r>
        <w:t xml:space="preserve"> shall </w:t>
      </w:r>
      <w:r w:rsidRPr="0093630D">
        <w:t>include the emissions in their Scope 1 inventory.</w:t>
      </w:r>
      <w:r>
        <w:t xml:space="preserve">  </w:t>
      </w:r>
    </w:p>
    <w:p w14:paraId="5F79DB67" w14:textId="77777777" w:rsidR="001E62B2" w:rsidRDefault="001E62B2" w:rsidP="001E62B2">
      <w:pPr>
        <w:spacing w:after="0" w:line="240" w:lineRule="auto"/>
      </w:pPr>
    </w:p>
    <w:p w14:paraId="60E2D99B" w14:textId="77777777" w:rsidR="001E62B2" w:rsidRDefault="001E62B2" w:rsidP="001E62B2">
      <w:pPr>
        <w:spacing w:after="0" w:line="240" w:lineRule="auto"/>
      </w:pPr>
      <w:r w:rsidRPr="00802AEC">
        <w:rPr>
          <w:rFonts w:eastAsia="Times New Roman"/>
          <w:i/>
          <w:iCs/>
          <w:lang w:eastAsia="en-AU"/>
        </w:rPr>
        <w:t>Scope 3 Livestock emissions:</w:t>
      </w:r>
      <w:r>
        <w:rPr>
          <w:rFonts w:eastAsia="Times New Roman"/>
          <w:lang w:eastAsia="en-AU"/>
        </w:rPr>
        <w:t xml:space="preserve"> </w:t>
      </w:r>
      <w:r>
        <w:t>The livestock owner shall report the enteric and manure emissions as part of their Scope 3 emissions.</w:t>
      </w:r>
    </w:p>
    <w:p w14:paraId="79C2EB51" w14:textId="77777777" w:rsidR="001E62B2" w:rsidRDefault="001E62B2" w:rsidP="001E62B2">
      <w:pPr>
        <w:spacing w:after="0" w:line="240" w:lineRule="auto"/>
      </w:pPr>
    </w:p>
    <w:p w14:paraId="45CA84BA" w14:textId="77777777" w:rsidR="001E62B2" w:rsidRPr="007323D0" w:rsidRDefault="001E62B2" w:rsidP="001E62B2">
      <w:pPr>
        <w:spacing w:after="0" w:line="240" w:lineRule="auto"/>
        <w:rPr>
          <w:rFonts w:eastAsia="Times New Roman" w:cs="Times New Roman"/>
          <w:kern w:val="0"/>
          <w:lang w:eastAsia="en-AU"/>
          <w14:ligatures w14:val="none"/>
        </w:rPr>
      </w:pPr>
      <w:r w:rsidRPr="00802AEC">
        <w:rPr>
          <w:rFonts w:eastAsia="Times New Roman"/>
          <w:i/>
          <w:iCs/>
          <w:lang w:eastAsia="en-AU"/>
        </w:rPr>
        <w:t>Scope 1 LULUCF emissions:</w:t>
      </w:r>
      <w:r>
        <w:rPr>
          <w:rFonts w:eastAsia="Times New Roman"/>
          <w:lang w:eastAsia="en-AU"/>
        </w:rPr>
        <w:t xml:space="preserve"> The landholder shall report </w:t>
      </w:r>
      <w:r w:rsidRPr="0014427C">
        <w:t>LULUCF emission</w:t>
      </w:r>
      <w:r>
        <w:t>s</w:t>
      </w:r>
      <w:r w:rsidRPr="0014427C">
        <w:t xml:space="preserve"> or removals associated with the property</w:t>
      </w:r>
      <w:r>
        <w:t xml:space="preserve"> as their Scope 1.</w:t>
      </w:r>
      <w:r w:rsidRPr="007323D0">
        <w:rPr>
          <w:rFonts w:eastAsia="Times New Roman"/>
          <w:lang w:eastAsia="en-AU"/>
        </w:rPr>
        <w:t xml:space="preserve"> </w:t>
      </w:r>
    </w:p>
    <w:p w14:paraId="0552A89E" w14:textId="77777777" w:rsidR="001E62B2" w:rsidRPr="0082210B" w:rsidRDefault="001E62B2" w:rsidP="001E62B2">
      <w:pPr>
        <w:spacing w:after="0" w:line="240" w:lineRule="auto"/>
      </w:pPr>
    </w:p>
    <w:p w14:paraId="4F1B6F18" w14:textId="77777777" w:rsidR="001E62B2" w:rsidRPr="00522D0F" w:rsidRDefault="001E62B2" w:rsidP="001E62B2">
      <w:pPr>
        <w:pStyle w:val="Heading5"/>
        <w:numPr>
          <w:ilvl w:val="0"/>
          <w:numId w:val="0"/>
        </w:numPr>
        <w:ind w:left="1008" w:hanging="1008"/>
      </w:pPr>
      <w:r w:rsidRPr="00522D0F">
        <w:lastRenderedPageBreak/>
        <w:t xml:space="preserve">Scenario 2 – operational control </w:t>
      </w:r>
      <w:r>
        <w:t xml:space="preserve">of livestock maintained </w:t>
      </w:r>
      <w:r w:rsidRPr="00522D0F">
        <w:t xml:space="preserve">by </w:t>
      </w:r>
      <w:r>
        <w:t>the livestock owner</w:t>
      </w:r>
    </w:p>
    <w:p w14:paraId="6A81C04F" w14:textId="77777777" w:rsidR="001E62B2" w:rsidRDefault="001E62B2" w:rsidP="001E62B2">
      <w:r w:rsidRPr="008C328F">
        <w:t>In this scenario, the</w:t>
      </w:r>
      <w:r>
        <w:t xml:space="preserve"> live</w:t>
      </w:r>
      <w:r w:rsidRPr="00522D0F">
        <w:t xml:space="preserve">stock owner </w:t>
      </w:r>
      <w:r w:rsidRPr="008C328F">
        <w:t xml:space="preserve">retains management control </w:t>
      </w:r>
      <w:r>
        <w:t xml:space="preserve">over the </w:t>
      </w:r>
      <w:proofErr w:type="spellStart"/>
      <w:r>
        <w:t>agisted</w:t>
      </w:r>
      <w:proofErr w:type="spellEnd"/>
      <w:r>
        <w:t xml:space="preserve"> animals </w:t>
      </w:r>
      <w:r w:rsidRPr="008C328F">
        <w:t>and receives the economic benefits from animal performance</w:t>
      </w:r>
      <w:r>
        <w:t xml:space="preserve"> (e.g. does not pay the landholder for </w:t>
      </w:r>
      <w:r w:rsidRPr="001E40C2">
        <w:t>kilogram of liveweight gain</w:t>
      </w:r>
      <w:r>
        <w:t>)</w:t>
      </w:r>
      <w:r w:rsidRPr="008C328F">
        <w:t>.</w:t>
      </w:r>
    </w:p>
    <w:p w14:paraId="0EBB99AD" w14:textId="761D39C9" w:rsidR="001E62B2" w:rsidRPr="00151AD2" w:rsidRDefault="001E62B2" w:rsidP="001E62B2">
      <w:r w:rsidRPr="00151AD2">
        <w:t xml:space="preserve">The landholder </w:t>
      </w:r>
      <w:r>
        <w:t>only</w:t>
      </w:r>
      <w:r w:rsidRPr="00151AD2">
        <w:t xml:space="preserve"> provides access to feed and water</w:t>
      </w:r>
      <w:r>
        <w:t>,</w:t>
      </w:r>
      <w:r w:rsidRPr="00151AD2">
        <w:t xml:space="preserve"> </w:t>
      </w:r>
      <w:r>
        <w:t>and</w:t>
      </w:r>
      <w:r w:rsidRPr="00151AD2">
        <w:t xml:space="preserve"> general supervision of the property.</w:t>
      </w:r>
      <w:r w:rsidRPr="00151AD2">
        <w:br/>
      </w:r>
      <w:r>
        <w:t>T</w:t>
      </w:r>
      <w:r w:rsidRPr="00151AD2">
        <w:t xml:space="preserve">he </w:t>
      </w:r>
      <w:r>
        <w:t>live</w:t>
      </w:r>
      <w:r w:rsidRPr="00522D0F">
        <w:t>stock owner</w:t>
      </w:r>
      <w:r w:rsidRPr="00151AD2">
        <w:t xml:space="preserve"> </w:t>
      </w:r>
      <w:r>
        <w:t xml:space="preserve">is deemed to have </w:t>
      </w:r>
      <w:r w:rsidRPr="00151AD2">
        <w:t xml:space="preserve">operational and financial control </w:t>
      </w:r>
      <w:r>
        <w:t xml:space="preserve">of the </w:t>
      </w:r>
      <w:proofErr w:type="spellStart"/>
      <w:r>
        <w:t>agisted</w:t>
      </w:r>
      <w:proofErr w:type="spellEnd"/>
      <w:r>
        <w:t xml:space="preserve"> animals </w:t>
      </w:r>
      <w:r w:rsidRPr="00151AD2">
        <w:t xml:space="preserve">and </w:t>
      </w:r>
      <w:r w:rsidR="008F521B">
        <w:t>shall</w:t>
      </w:r>
      <w:r w:rsidRPr="00151AD2" w:rsidDel="008F521B">
        <w:t xml:space="preserve"> </w:t>
      </w:r>
      <w:r w:rsidRPr="00151AD2">
        <w:t xml:space="preserve">therefore report </w:t>
      </w:r>
      <w:r w:rsidRPr="00522D0F">
        <w:t>100% of enteric and manure emissions</w:t>
      </w:r>
      <w:r w:rsidRPr="00151AD2">
        <w:t xml:space="preserve"> as</w:t>
      </w:r>
      <w:r>
        <w:t xml:space="preserve"> their</w:t>
      </w:r>
      <w:r w:rsidRPr="00151AD2">
        <w:t xml:space="preserve"> </w:t>
      </w:r>
      <w:r w:rsidRPr="00522D0F">
        <w:t>Scope 1</w:t>
      </w:r>
      <w:r>
        <w:t xml:space="preserve"> emissions</w:t>
      </w:r>
      <w:r w:rsidRPr="00151AD2">
        <w:t>.</w:t>
      </w:r>
      <w:r>
        <w:t xml:space="preserve"> Any</w:t>
      </w:r>
      <w:r w:rsidRPr="0014427C">
        <w:t xml:space="preserve"> land</w:t>
      </w:r>
      <w:r>
        <w:t xml:space="preserve"> </w:t>
      </w:r>
      <w:r w:rsidRPr="0014427C">
        <w:t>use, land</w:t>
      </w:r>
      <w:r>
        <w:t xml:space="preserve"> </w:t>
      </w:r>
      <w:r w:rsidRPr="0014427C">
        <w:t>use change, and forestry (LULUCF) emission</w:t>
      </w:r>
      <w:r>
        <w:t>s</w:t>
      </w:r>
      <w:r w:rsidRPr="0014427C">
        <w:t xml:space="preserve"> or removals associated with the property</w:t>
      </w:r>
      <w:r>
        <w:t xml:space="preserve"> would be reported as the landholder’s Scope 1 emissions. </w:t>
      </w:r>
    </w:p>
    <w:p w14:paraId="4E0348CE" w14:textId="77777777" w:rsidR="001E62B2" w:rsidRPr="004413C3" w:rsidRDefault="001E62B2" w:rsidP="001E62B2">
      <w:r w:rsidRPr="004413C3">
        <w:rPr>
          <w:b/>
          <w:bCs/>
        </w:rPr>
        <w:t>Typical indicators of this scenario include:</w:t>
      </w:r>
    </w:p>
    <w:p w14:paraId="6F0CE132" w14:textId="77777777" w:rsidR="001E62B2" w:rsidRDefault="001E62B2" w:rsidP="00076B9B">
      <w:pPr>
        <w:numPr>
          <w:ilvl w:val="0"/>
          <w:numId w:val="28"/>
        </w:numPr>
        <w:spacing w:after="0" w:line="240" w:lineRule="auto"/>
        <w:ind w:left="714" w:hanging="357"/>
      </w:pPr>
      <w:r>
        <w:t>t</w:t>
      </w:r>
      <w:r w:rsidRPr="00375D5E">
        <w:t xml:space="preserve">he </w:t>
      </w:r>
      <w:r>
        <w:t>live</w:t>
      </w:r>
      <w:r w:rsidRPr="00375D5E">
        <w:t xml:space="preserve">stock owner retains </w:t>
      </w:r>
      <w:r>
        <w:t>the</w:t>
      </w:r>
      <w:r w:rsidRPr="00375D5E">
        <w:t xml:space="preserve"> </w:t>
      </w:r>
      <w:r w:rsidRPr="00522D0F">
        <w:t>production risk</w:t>
      </w:r>
      <w:r w:rsidRPr="00375D5E">
        <w:t xml:space="preserve"> (e.g. animal health, weight gain, or losses)</w:t>
      </w:r>
    </w:p>
    <w:p w14:paraId="5C283D9D" w14:textId="77777777" w:rsidR="001E62B2" w:rsidRDefault="001E62B2" w:rsidP="00076B9B">
      <w:pPr>
        <w:numPr>
          <w:ilvl w:val="0"/>
          <w:numId w:val="28"/>
        </w:numPr>
        <w:spacing w:after="0" w:line="240" w:lineRule="auto"/>
        <w:ind w:left="714" w:hanging="357"/>
      </w:pPr>
      <w:r>
        <w:t>t</w:t>
      </w:r>
      <w:r w:rsidRPr="004413C3">
        <w:t xml:space="preserve">he </w:t>
      </w:r>
      <w:r>
        <w:t>live</w:t>
      </w:r>
      <w:r w:rsidRPr="004413C3">
        <w:t xml:space="preserve">stock owner makes all </w:t>
      </w:r>
      <w:r w:rsidRPr="00522D0F">
        <w:t>financial and management decisions</w:t>
      </w:r>
      <w:r w:rsidRPr="00375D5E">
        <w:t xml:space="preserve"> about the</w:t>
      </w:r>
      <w:r w:rsidRPr="004413C3">
        <w:t xml:space="preserve"> herd</w:t>
      </w:r>
    </w:p>
    <w:p w14:paraId="0ED09305" w14:textId="77777777" w:rsidR="001E62B2" w:rsidRDefault="001E62B2" w:rsidP="00076B9B">
      <w:pPr>
        <w:numPr>
          <w:ilvl w:val="0"/>
          <w:numId w:val="28"/>
        </w:numPr>
        <w:spacing w:after="0" w:line="240" w:lineRule="auto"/>
        <w:ind w:left="714" w:hanging="357"/>
      </w:pPr>
      <w:r>
        <w:t xml:space="preserve">the </w:t>
      </w:r>
      <w:r w:rsidRPr="004413C3">
        <w:t xml:space="preserve">landholder’s role is limited to </w:t>
      </w:r>
      <w:r w:rsidRPr="00802AEC">
        <w:t>providing pasture or agistment facilities</w:t>
      </w:r>
      <w:r w:rsidRPr="00375D5E">
        <w:t>, without directing herd management or benefiting from performance.</w:t>
      </w:r>
    </w:p>
    <w:p w14:paraId="72A4D844" w14:textId="77777777" w:rsidR="001E62B2" w:rsidRDefault="001E62B2" w:rsidP="001E62B2">
      <w:pPr>
        <w:spacing w:after="0" w:line="240" w:lineRule="auto"/>
        <w:rPr>
          <w:rFonts w:eastAsia="Times New Roman"/>
          <w:lang w:eastAsia="en-AU"/>
        </w:rPr>
      </w:pPr>
    </w:p>
    <w:p w14:paraId="3909A469" w14:textId="77777777" w:rsidR="001E62B2" w:rsidRPr="00522D0F" w:rsidRDefault="001E62B2" w:rsidP="001E62B2">
      <w:pPr>
        <w:spacing w:after="0" w:line="240" w:lineRule="auto"/>
        <w:rPr>
          <w:rFonts w:eastAsia="Times New Roman"/>
          <w:b/>
          <w:lang w:eastAsia="en-AU"/>
        </w:rPr>
      </w:pPr>
      <w:r w:rsidRPr="00522D0F">
        <w:rPr>
          <w:rFonts w:eastAsia="Times New Roman"/>
          <w:b/>
          <w:lang w:eastAsia="en-AU"/>
        </w:rPr>
        <w:t>Rule</w:t>
      </w:r>
      <w:r>
        <w:rPr>
          <w:rFonts w:eastAsia="Times New Roman"/>
          <w:b/>
          <w:bCs/>
          <w:lang w:eastAsia="en-AU"/>
        </w:rPr>
        <w:t>s</w:t>
      </w:r>
      <w:r w:rsidRPr="00522D0F">
        <w:rPr>
          <w:rFonts w:eastAsia="Times New Roman"/>
          <w:b/>
          <w:lang w:eastAsia="en-AU"/>
        </w:rPr>
        <w:t xml:space="preserve"> </w:t>
      </w:r>
    </w:p>
    <w:p w14:paraId="41F525CA" w14:textId="77777777" w:rsidR="001E62B2" w:rsidRDefault="001E62B2" w:rsidP="001E62B2">
      <w:pPr>
        <w:spacing w:after="0" w:line="240" w:lineRule="auto"/>
        <w:rPr>
          <w:rFonts w:eastAsia="Times New Roman"/>
          <w:lang w:eastAsia="en-AU"/>
        </w:rPr>
      </w:pPr>
      <w:r w:rsidRPr="00522D0F">
        <w:rPr>
          <w:rFonts w:eastAsia="Times New Roman"/>
          <w:i/>
          <w:lang w:eastAsia="en-AU"/>
        </w:rPr>
        <w:t>Scope 1 livestock emissions:</w:t>
      </w:r>
      <w:r>
        <w:rPr>
          <w:rFonts w:eastAsia="Times New Roman"/>
          <w:lang w:eastAsia="en-AU"/>
        </w:rPr>
        <w:t xml:space="preserve"> </w:t>
      </w:r>
      <w:r w:rsidRPr="007323D0">
        <w:rPr>
          <w:rFonts w:eastAsia="Times New Roman"/>
          <w:lang w:eastAsia="en-AU"/>
        </w:rPr>
        <w:t xml:space="preserve">If the </w:t>
      </w:r>
      <w:r>
        <w:rPr>
          <w:rFonts w:eastAsia="Times New Roman"/>
          <w:lang w:eastAsia="en-AU"/>
        </w:rPr>
        <w:t>live</w:t>
      </w:r>
      <w:r w:rsidRPr="00522D0F">
        <w:rPr>
          <w:rFonts w:eastAsia="Times New Roman"/>
          <w:lang w:eastAsia="en-AU"/>
        </w:rPr>
        <w:t>stock owner retains day-to-day management and receives the primary economic benefit</w:t>
      </w:r>
      <w:r w:rsidRPr="007323D0">
        <w:rPr>
          <w:rFonts w:eastAsia="Times New Roman"/>
          <w:lang w:eastAsia="en-AU"/>
        </w:rPr>
        <w:t xml:space="preserve"> from livestock performance, the </w:t>
      </w:r>
      <w:r>
        <w:rPr>
          <w:rFonts w:eastAsia="Times New Roman"/>
          <w:lang w:eastAsia="en-AU"/>
        </w:rPr>
        <w:t>live</w:t>
      </w:r>
      <w:r w:rsidRPr="00522D0F">
        <w:rPr>
          <w:rFonts w:eastAsia="Times New Roman"/>
          <w:lang w:eastAsia="en-AU"/>
        </w:rPr>
        <w:t xml:space="preserve">stock owner </w:t>
      </w:r>
      <w:r>
        <w:rPr>
          <w:rFonts w:eastAsia="Times New Roman"/>
          <w:lang w:eastAsia="en-AU"/>
        </w:rPr>
        <w:t xml:space="preserve">shall </w:t>
      </w:r>
      <w:r w:rsidRPr="00522D0F">
        <w:rPr>
          <w:rFonts w:eastAsia="Times New Roman"/>
          <w:lang w:eastAsia="en-AU"/>
        </w:rPr>
        <w:t xml:space="preserve">report all </w:t>
      </w:r>
      <w:r>
        <w:rPr>
          <w:rFonts w:eastAsia="Times New Roman"/>
          <w:lang w:eastAsia="en-AU"/>
        </w:rPr>
        <w:t xml:space="preserve">enteric and manure </w:t>
      </w:r>
      <w:r w:rsidRPr="00522D0F">
        <w:rPr>
          <w:rFonts w:eastAsia="Times New Roman"/>
          <w:lang w:eastAsia="en-AU"/>
        </w:rPr>
        <w:t>Scope 1 emissions</w:t>
      </w:r>
      <w:r>
        <w:rPr>
          <w:rFonts w:eastAsia="Times New Roman"/>
          <w:lang w:eastAsia="en-AU"/>
        </w:rPr>
        <w:t xml:space="preserve"> associated with the </w:t>
      </w:r>
      <w:proofErr w:type="spellStart"/>
      <w:r>
        <w:rPr>
          <w:rFonts w:eastAsia="Times New Roman"/>
          <w:lang w:eastAsia="en-AU"/>
        </w:rPr>
        <w:t>agisted</w:t>
      </w:r>
      <w:proofErr w:type="spellEnd"/>
      <w:r>
        <w:rPr>
          <w:rFonts w:eastAsia="Times New Roman"/>
          <w:lang w:eastAsia="en-AU"/>
        </w:rPr>
        <w:t xml:space="preserve"> livestock. </w:t>
      </w:r>
    </w:p>
    <w:p w14:paraId="74B78175" w14:textId="77777777" w:rsidR="001E62B2" w:rsidRDefault="001E62B2" w:rsidP="001E62B2">
      <w:pPr>
        <w:spacing w:after="0" w:line="240" w:lineRule="auto"/>
        <w:rPr>
          <w:rFonts w:eastAsia="Times New Roman"/>
          <w:lang w:eastAsia="en-AU"/>
        </w:rPr>
      </w:pPr>
      <w:r w:rsidRPr="007323D0">
        <w:rPr>
          <w:rFonts w:eastAsia="Times New Roman"/>
          <w:lang w:eastAsia="en-AU"/>
        </w:rPr>
        <w:br/>
      </w:r>
      <w:r w:rsidRPr="00522D0F">
        <w:rPr>
          <w:rFonts w:eastAsia="Times New Roman"/>
          <w:i/>
          <w:lang w:eastAsia="en-AU"/>
        </w:rPr>
        <w:t>Scope 3 Livestock emissions:</w:t>
      </w:r>
      <w:r>
        <w:rPr>
          <w:rFonts w:eastAsia="Times New Roman"/>
          <w:lang w:eastAsia="en-AU"/>
        </w:rPr>
        <w:t xml:space="preserve"> </w:t>
      </w:r>
      <w:r w:rsidRPr="007323D0">
        <w:rPr>
          <w:rFonts w:eastAsia="Times New Roman"/>
          <w:lang w:eastAsia="en-AU"/>
        </w:rPr>
        <w:t>The landholder’s role is limited to providing access to feed</w:t>
      </w:r>
      <w:r>
        <w:rPr>
          <w:rFonts w:eastAsia="Times New Roman"/>
          <w:lang w:eastAsia="en-AU"/>
        </w:rPr>
        <w:t xml:space="preserve"> or</w:t>
      </w:r>
      <w:r w:rsidRPr="007323D0">
        <w:rPr>
          <w:rFonts w:eastAsia="Times New Roman"/>
          <w:lang w:eastAsia="en-AU"/>
        </w:rPr>
        <w:t xml:space="preserve"> water, or general oversight, without directing management or benefiting financially from herd performance.</w:t>
      </w:r>
      <w:r>
        <w:rPr>
          <w:rFonts w:eastAsia="Times New Roman"/>
          <w:lang w:eastAsia="en-AU"/>
        </w:rPr>
        <w:t xml:space="preserve"> The landholder shall report the enteric and manure emissions from </w:t>
      </w:r>
      <w:proofErr w:type="spellStart"/>
      <w:r>
        <w:rPr>
          <w:rFonts w:eastAsia="Times New Roman"/>
          <w:lang w:eastAsia="en-AU"/>
        </w:rPr>
        <w:t>agisted</w:t>
      </w:r>
      <w:proofErr w:type="spellEnd"/>
      <w:r>
        <w:rPr>
          <w:rFonts w:eastAsia="Times New Roman"/>
          <w:lang w:eastAsia="en-AU"/>
        </w:rPr>
        <w:t xml:space="preserve"> livestock as their Scope 3 emissions.  </w:t>
      </w:r>
    </w:p>
    <w:p w14:paraId="3EEE65DB" w14:textId="77777777" w:rsidR="001E62B2" w:rsidRDefault="001E62B2" w:rsidP="001E62B2">
      <w:pPr>
        <w:spacing w:after="0" w:line="240" w:lineRule="auto"/>
        <w:rPr>
          <w:rFonts w:eastAsia="Times New Roman"/>
          <w:lang w:eastAsia="en-AU"/>
        </w:rPr>
      </w:pPr>
    </w:p>
    <w:p w14:paraId="5AC6623E" w14:textId="77777777" w:rsidR="001E62B2" w:rsidRDefault="001E62B2" w:rsidP="001E62B2">
      <w:pPr>
        <w:spacing w:after="0" w:line="240" w:lineRule="auto"/>
      </w:pPr>
      <w:r w:rsidRPr="00522D0F">
        <w:rPr>
          <w:rFonts w:eastAsia="Times New Roman"/>
          <w:i/>
          <w:iCs/>
          <w:lang w:eastAsia="en-AU"/>
        </w:rPr>
        <w:t>Scope 1 LULUCF emissions:</w:t>
      </w:r>
      <w:r>
        <w:rPr>
          <w:rFonts w:eastAsia="Times New Roman"/>
          <w:lang w:eastAsia="en-AU"/>
        </w:rPr>
        <w:t xml:space="preserve"> The landholder shall report </w:t>
      </w:r>
      <w:r w:rsidRPr="0014427C">
        <w:t>LULUCF emission</w:t>
      </w:r>
      <w:r>
        <w:t>s</w:t>
      </w:r>
      <w:r w:rsidRPr="0014427C">
        <w:t xml:space="preserve"> or removals associated with the property</w:t>
      </w:r>
      <w:r>
        <w:t xml:space="preserve"> as their Scope 1.</w:t>
      </w:r>
    </w:p>
    <w:p w14:paraId="07B3BCA5" w14:textId="77777777" w:rsidR="001E62B2" w:rsidRDefault="001E62B2" w:rsidP="001E62B2">
      <w:pPr>
        <w:spacing w:after="0" w:line="240" w:lineRule="auto"/>
      </w:pPr>
    </w:p>
    <w:p w14:paraId="1558AA6F" w14:textId="77777777" w:rsidR="001E62B2" w:rsidRPr="007323D0" w:rsidRDefault="001E62B2" w:rsidP="001E62B2">
      <w:pPr>
        <w:spacing w:after="0" w:line="240" w:lineRule="auto"/>
        <w:rPr>
          <w:rFonts w:eastAsia="Times New Roman" w:cs="Times New Roman"/>
          <w:kern w:val="0"/>
          <w:lang w:eastAsia="en-AU"/>
          <w14:ligatures w14:val="none"/>
        </w:rPr>
      </w:pPr>
      <w:r>
        <w:t xml:space="preserve">Table 2 provides example scenarios for agistment and Scope 1 or 3 reporting responsibilities. </w:t>
      </w:r>
      <w:r w:rsidRPr="007323D0" w:rsidDel="00375D5E">
        <w:rPr>
          <w:rFonts w:eastAsia="Times New Roman"/>
          <w:lang w:eastAsia="en-AU"/>
        </w:rPr>
        <w:t xml:space="preserve"> </w:t>
      </w:r>
    </w:p>
    <w:p w14:paraId="058F2969" w14:textId="77777777" w:rsidR="001E62B2" w:rsidRDefault="001E62B2" w:rsidP="001E62B2">
      <w:pPr>
        <w:sectPr w:rsidR="001E62B2" w:rsidSect="007257B3">
          <w:headerReference w:type="default" r:id="rId72"/>
          <w:pgSz w:w="11906" w:h="16838"/>
          <w:pgMar w:top="1440" w:right="1440" w:bottom="1440" w:left="1440" w:header="708" w:footer="708" w:gutter="0"/>
          <w:lnNumType w:countBy="1"/>
          <w:cols w:space="708"/>
          <w:docGrid w:linePitch="360"/>
        </w:sectPr>
      </w:pPr>
    </w:p>
    <w:p w14:paraId="603466C0" w14:textId="77777777" w:rsidR="001E62B2" w:rsidRDefault="001E62B2" w:rsidP="001E62B2">
      <w:pPr>
        <w:pStyle w:val="Heading4"/>
        <w:numPr>
          <w:ilvl w:val="0"/>
          <w:numId w:val="0"/>
        </w:numPr>
        <w:ind w:left="864" w:hanging="864"/>
      </w:pPr>
      <w:r>
        <w:lastRenderedPageBreak/>
        <w:t xml:space="preserve">Table 2: </w:t>
      </w:r>
      <w:r w:rsidRPr="00407346">
        <w:t xml:space="preserve">Agistment scenarios </w:t>
      </w:r>
    </w:p>
    <w:tbl>
      <w:tblPr>
        <w:tblW w:w="12891" w:type="dxa"/>
        <w:tblLook w:val="04A0" w:firstRow="1" w:lastRow="0" w:firstColumn="1" w:lastColumn="0" w:noHBand="0" w:noVBand="1"/>
      </w:tblPr>
      <w:tblGrid>
        <w:gridCol w:w="4531"/>
        <w:gridCol w:w="1920"/>
        <w:gridCol w:w="2040"/>
        <w:gridCol w:w="4400"/>
      </w:tblGrid>
      <w:tr w:rsidR="001E62B2" w:rsidRPr="007546C8" w14:paraId="2FB60F4E" w14:textId="77777777">
        <w:trPr>
          <w:trHeight w:val="870"/>
        </w:trPr>
        <w:tc>
          <w:tcPr>
            <w:tcW w:w="4531"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5556CA23" w14:textId="77777777" w:rsidR="001E62B2" w:rsidRPr="007546C8"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7546C8">
              <w:rPr>
                <w:rFonts w:ascii="Aptos Narrow" w:eastAsia="Times New Roman" w:hAnsi="Aptos Narrow" w:cs="Times New Roman"/>
                <w:b/>
                <w:bCs/>
                <w:color w:val="000000"/>
                <w:kern w:val="0"/>
                <w:lang w:eastAsia="en-AU"/>
                <w14:ligatures w14:val="none"/>
              </w:rPr>
              <w:t>Scenario and Activity</w:t>
            </w:r>
          </w:p>
        </w:tc>
        <w:tc>
          <w:tcPr>
            <w:tcW w:w="1920" w:type="dxa"/>
            <w:tcBorders>
              <w:top w:val="single" w:sz="4" w:space="0" w:color="auto"/>
              <w:left w:val="nil"/>
              <w:bottom w:val="single" w:sz="4" w:space="0" w:color="auto"/>
              <w:right w:val="single" w:sz="4" w:space="0" w:color="auto"/>
            </w:tcBorders>
            <w:shd w:val="clear" w:color="000000" w:fill="E8E8E8"/>
            <w:vAlign w:val="center"/>
            <w:hideMark/>
          </w:tcPr>
          <w:p w14:paraId="7D957A40" w14:textId="77777777" w:rsidR="001E62B2" w:rsidRPr="007546C8" w:rsidRDefault="001E62B2">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Livestock</w:t>
            </w:r>
            <w:r w:rsidRPr="007546C8">
              <w:rPr>
                <w:rFonts w:ascii="Aptos Narrow" w:eastAsia="Times New Roman" w:hAnsi="Aptos Narrow" w:cs="Times New Roman"/>
                <w:b/>
                <w:bCs/>
                <w:color w:val="000000"/>
                <w:kern w:val="0"/>
                <w:lang w:eastAsia="en-AU"/>
                <w14:ligatures w14:val="none"/>
              </w:rPr>
              <w:t xml:space="preserve"> Owner Reporting Responsibility</w:t>
            </w:r>
          </w:p>
        </w:tc>
        <w:tc>
          <w:tcPr>
            <w:tcW w:w="2040" w:type="dxa"/>
            <w:tcBorders>
              <w:top w:val="single" w:sz="4" w:space="0" w:color="auto"/>
              <w:left w:val="nil"/>
              <w:bottom w:val="single" w:sz="4" w:space="0" w:color="auto"/>
              <w:right w:val="single" w:sz="4" w:space="0" w:color="auto"/>
            </w:tcBorders>
            <w:shd w:val="clear" w:color="000000" w:fill="E8E8E8"/>
            <w:vAlign w:val="center"/>
            <w:hideMark/>
          </w:tcPr>
          <w:p w14:paraId="6A7FEBC6" w14:textId="77777777" w:rsidR="001E62B2" w:rsidRPr="007546C8"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7546C8">
              <w:rPr>
                <w:rFonts w:ascii="Aptos Narrow" w:eastAsia="Times New Roman" w:hAnsi="Aptos Narrow" w:cs="Times New Roman"/>
                <w:b/>
                <w:bCs/>
                <w:color w:val="000000"/>
                <w:kern w:val="0"/>
                <w:lang w:eastAsia="en-AU"/>
                <w14:ligatures w14:val="none"/>
              </w:rPr>
              <w:t>Landholder Reporting Responsibility</w:t>
            </w:r>
          </w:p>
        </w:tc>
        <w:tc>
          <w:tcPr>
            <w:tcW w:w="4400" w:type="dxa"/>
            <w:tcBorders>
              <w:top w:val="single" w:sz="4" w:space="0" w:color="auto"/>
              <w:left w:val="nil"/>
              <w:bottom w:val="single" w:sz="4" w:space="0" w:color="auto"/>
              <w:right w:val="single" w:sz="4" w:space="0" w:color="auto"/>
            </w:tcBorders>
            <w:shd w:val="clear" w:color="000000" w:fill="E8E8E8"/>
            <w:vAlign w:val="center"/>
            <w:hideMark/>
          </w:tcPr>
          <w:p w14:paraId="4884F4F4" w14:textId="77777777" w:rsidR="001E62B2" w:rsidRPr="007546C8"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7546C8">
              <w:rPr>
                <w:rFonts w:ascii="Aptos Narrow" w:eastAsia="Times New Roman" w:hAnsi="Aptos Narrow" w:cs="Times New Roman"/>
                <w:b/>
                <w:bCs/>
                <w:color w:val="000000"/>
                <w:kern w:val="0"/>
                <w:lang w:eastAsia="en-AU"/>
                <w14:ligatures w14:val="none"/>
              </w:rPr>
              <w:t>Notes on con</w:t>
            </w:r>
            <w:r>
              <w:rPr>
                <w:rFonts w:ascii="Aptos Narrow" w:eastAsia="Times New Roman" w:hAnsi="Aptos Narrow" w:cs="Times New Roman"/>
                <w:b/>
                <w:bCs/>
                <w:color w:val="000000"/>
                <w:kern w:val="0"/>
                <w:lang w:eastAsia="en-AU"/>
                <w14:ligatures w14:val="none"/>
              </w:rPr>
              <w:t>solidation</w:t>
            </w:r>
            <w:r w:rsidRPr="007546C8">
              <w:rPr>
                <w:rFonts w:ascii="Aptos Narrow" w:eastAsia="Times New Roman" w:hAnsi="Aptos Narrow" w:cs="Times New Roman"/>
                <w:b/>
                <w:bCs/>
                <w:color w:val="000000"/>
                <w:kern w:val="0"/>
                <w:lang w:eastAsia="en-AU"/>
                <w14:ligatures w14:val="none"/>
              </w:rPr>
              <w:t xml:space="preserve"> approach </w:t>
            </w:r>
          </w:p>
        </w:tc>
      </w:tr>
      <w:tr w:rsidR="001E62B2" w:rsidRPr="007546C8" w14:paraId="6A8890D8" w14:textId="77777777">
        <w:trPr>
          <w:trHeight w:val="1700"/>
        </w:trPr>
        <w:tc>
          <w:tcPr>
            <w:tcW w:w="4531" w:type="dxa"/>
            <w:tcBorders>
              <w:top w:val="nil"/>
              <w:left w:val="single" w:sz="4" w:space="0" w:color="auto"/>
              <w:bottom w:val="single" w:sz="4" w:space="0" w:color="auto"/>
              <w:right w:val="single" w:sz="4" w:space="0" w:color="auto"/>
            </w:tcBorders>
            <w:vAlign w:val="center"/>
            <w:hideMark/>
          </w:tcPr>
          <w:p w14:paraId="7675F4EE" w14:textId="77777777" w:rsidR="001E62B2" w:rsidRPr="007546C8" w:rsidRDefault="001E62B2">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Short-term agistment, livestock owned by farmer, no land management changes; no landholder management of animals (other than presence on land)</w:t>
            </w:r>
          </w:p>
        </w:tc>
        <w:tc>
          <w:tcPr>
            <w:tcW w:w="1920" w:type="dxa"/>
            <w:tcBorders>
              <w:top w:val="nil"/>
              <w:left w:val="nil"/>
              <w:bottom w:val="single" w:sz="4" w:space="0" w:color="auto"/>
              <w:right w:val="single" w:sz="4" w:space="0" w:color="auto"/>
            </w:tcBorders>
            <w:vAlign w:val="center"/>
            <w:hideMark/>
          </w:tcPr>
          <w:p w14:paraId="2642473F" w14:textId="77777777" w:rsidR="001E62B2" w:rsidRPr="007546C8" w:rsidRDefault="001E62B2">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 xml:space="preserve">Scope 1 </w:t>
            </w:r>
          </w:p>
        </w:tc>
        <w:tc>
          <w:tcPr>
            <w:tcW w:w="2040" w:type="dxa"/>
            <w:tcBorders>
              <w:top w:val="nil"/>
              <w:left w:val="nil"/>
              <w:bottom w:val="single" w:sz="4" w:space="0" w:color="auto"/>
              <w:right w:val="single" w:sz="4" w:space="0" w:color="auto"/>
            </w:tcBorders>
            <w:vAlign w:val="center"/>
            <w:hideMark/>
          </w:tcPr>
          <w:p w14:paraId="57B40E3B" w14:textId="77777777" w:rsidR="001E62B2" w:rsidRPr="007546C8" w:rsidRDefault="001E62B2">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 xml:space="preserve">Scope 3: may optionally disclose animal emissions </w:t>
            </w:r>
          </w:p>
        </w:tc>
        <w:tc>
          <w:tcPr>
            <w:tcW w:w="4400" w:type="dxa"/>
            <w:tcBorders>
              <w:top w:val="nil"/>
              <w:left w:val="nil"/>
              <w:bottom w:val="single" w:sz="4" w:space="0" w:color="auto"/>
              <w:right w:val="single" w:sz="4" w:space="0" w:color="auto"/>
            </w:tcBorders>
            <w:vAlign w:val="center"/>
            <w:hideMark/>
          </w:tcPr>
          <w:p w14:paraId="3192DF2D" w14:textId="77777777" w:rsidR="001E62B2" w:rsidRPr="007546C8" w:rsidRDefault="001E62B2">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Livestock</w:t>
            </w:r>
            <w:r w:rsidRPr="007546C8">
              <w:rPr>
                <w:rFonts w:ascii="Aptos Narrow" w:eastAsia="Times New Roman" w:hAnsi="Aptos Narrow" w:cs="Times New Roman"/>
                <w:color w:val="000000"/>
                <w:kern w:val="0"/>
                <w:lang w:eastAsia="en-AU"/>
                <w14:ligatures w14:val="none"/>
              </w:rPr>
              <w:t xml:space="preserve"> owner retains operational &amp; financial control of herd. Landholder provides feed/water access. </w:t>
            </w:r>
          </w:p>
        </w:tc>
      </w:tr>
      <w:tr w:rsidR="001E62B2" w:rsidRPr="007546C8" w14:paraId="734ACF5A" w14:textId="77777777">
        <w:trPr>
          <w:trHeight w:val="1160"/>
        </w:trPr>
        <w:tc>
          <w:tcPr>
            <w:tcW w:w="4531" w:type="dxa"/>
            <w:tcBorders>
              <w:top w:val="nil"/>
              <w:left w:val="single" w:sz="4" w:space="0" w:color="auto"/>
              <w:bottom w:val="single" w:sz="4" w:space="0" w:color="auto"/>
              <w:right w:val="single" w:sz="4" w:space="0" w:color="auto"/>
            </w:tcBorders>
            <w:vAlign w:val="center"/>
            <w:hideMark/>
          </w:tcPr>
          <w:p w14:paraId="1429A3F6" w14:textId="77777777" w:rsidR="001E62B2" w:rsidRPr="007546C8" w:rsidRDefault="001E62B2">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 xml:space="preserve">Long-term / managed agistment where </w:t>
            </w:r>
            <w:r w:rsidRPr="00C63A8B">
              <w:rPr>
                <w:rFonts w:ascii="Aptos Narrow" w:eastAsia="Times New Roman" w:hAnsi="Aptos Narrow" w:cs="Times New Roman"/>
                <w:i/>
                <w:iCs/>
                <w:color w:val="000000"/>
                <w:kern w:val="0"/>
                <w:lang w:eastAsia="en-AU"/>
                <w14:ligatures w14:val="none"/>
              </w:rPr>
              <w:t>landholder</w:t>
            </w:r>
            <w:r w:rsidRPr="007546C8">
              <w:rPr>
                <w:rFonts w:ascii="Aptos Narrow" w:eastAsia="Times New Roman" w:hAnsi="Aptos Narrow" w:cs="Times New Roman"/>
                <w:color w:val="000000"/>
                <w:kern w:val="0"/>
                <w:lang w:eastAsia="en-AU"/>
                <w14:ligatures w14:val="none"/>
              </w:rPr>
              <w:t xml:space="preserve"> makes animal management decisions </w:t>
            </w:r>
          </w:p>
        </w:tc>
        <w:tc>
          <w:tcPr>
            <w:tcW w:w="1920" w:type="dxa"/>
            <w:tcBorders>
              <w:top w:val="nil"/>
              <w:left w:val="nil"/>
              <w:bottom w:val="single" w:sz="4" w:space="0" w:color="auto"/>
              <w:right w:val="single" w:sz="4" w:space="0" w:color="auto"/>
            </w:tcBorders>
            <w:vAlign w:val="center"/>
            <w:hideMark/>
          </w:tcPr>
          <w:p w14:paraId="1C83C0A7" w14:textId="77777777" w:rsidR="001E62B2" w:rsidRPr="007546C8" w:rsidRDefault="001E62B2">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Scope 3 (under other Upstream Leased Assets)</w:t>
            </w:r>
          </w:p>
        </w:tc>
        <w:tc>
          <w:tcPr>
            <w:tcW w:w="2040" w:type="dxa"/>
            <w:tcBorders>
              <w:top w:val="nil"/>
              <w:left w:val="nil"/>
              <w:bottom w:val="single" w:sz="4" w:space="0" w:color="auto"/>
              <w:right w:val="single" w:sz="4" w:space="0" w:color="auto"/>
            </w:tcBorders>
            <w:vAlign w:val="center"/>
            <w:hideMark/>
          </w:tcPr>
          <w:p w14:paraId="0582878F" w14:textId="77777777" w:rsidR="001E62B2" w:rsidRPr="007546C8" w:rsidRDefault="001E62B2">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Scope 1</w:t>
            </w:r>
          </w:p>
        </w:tc>
        <w:tc>
          <w:tcPr>
            <w:tcW w:w="4400" w:type="dxa"/>
            <w:tcBorders>
              <w:top w:val="nil"/>
              <w:left w:val="nil"/>
              <w:bottom w:val="single" w:sz="4" w:space="0" w:color="auto"/>
              <w:right w:val="single" w:sz="4" w:space="0" w:color="auto"/>
            </w:tcBorders>
            <w:vAlign w:val="center"/>
            <w:hideMark/>
          </w:tcPr>
          <w:p w14:paraId="7B9737F6" w14:textId="77777777" w:rsidR="001E62B2" w:rsidRPr="007546C8" w:rsidRDefault="001E62B2">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Landholder effectively controls herd operations and bears production risk.</w:t>
            </w:r>
          </w:p>
        </w:tc>
      </w:tr>
      <w:tr w:rsidR="001E62B2" w:rsidRPr="007546C8" w14:paraId="1017D6E2" w14:textId="77777777">
        <w:trPr>
          <w:trHeight w:val="870"/>
        </w:trPr>
        <w:tc>
          <w:tcPr>
            <w:tcW w:w="4531" w:type="dxa"/>
            <w:tcBorders>
              <w:top w:val="nil"/>
              <w:left w:val="single" w:sz="4" w:space="0" w:color="auto"/>
              <w:bottom w:val="single" w:sz="4" w:space="0" w:color="auto"/>
              <w:right w:val="single" w:sz="4" w:space="0" w:color="auto"/>
            </w:tcBorders>
            <w:vAlign w:val="center"/>
            <w:hideMark/>
          </w:tcPr>
          <w:p w14:paraId="18019A9F" w14:textId="77777777" w:rsidR="001E62B2" w:rsidRPr="007546C8" w:rsidRDefault="001E62B2">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Agistment fee tied to animal performance (custom feeding)</w:t>
            </w:r>
          </w:p>
        </w:tc>
        <w:tc>
          <w:tcPr>
            <w:tcW w:w="1920" w:type="dxa"/>
            <w:tcBorders>
              <w:top w:val="nil"/>
              <w:left w:val="nil"/>
              <w:bottom w:val="single" w:sz="4" w:space="0" w:color="auto"/>
              <w:right w:val="single" w:sz="4" w:space="0" w:color="auto"/>
            </w:tcBorders>
            <w:vAlign w:val="center"/>
            <w:hideMark/>
          </w:tcPr>
          <w:p w14:paraId="10958109" w14:textId="77777777" w:rsidR="001E62B2" w:rsidRPr="007546C8" w:rsidRDefault="001E62B2">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Scope 3 (under other Upstream Leased Assets)</w:t>
            </w:r>
          </w:p>
        </w:tc>
        <w:tc>
          <w:tcPr>
            <w:tcW w:w="2040" w:type="dxa"/>
            <w:tcBorders>
              <w:top w:val="nil"/>
              <w:left w:val="nil"/>
              <w:bottom w:val="single" w:sz="4" w:space="0" w:color="auto"/>
              <w:right w:val="single" w:sz="4" w:space="0" w:color="auto"/>
            </w:tcBorders>
            <w:vAlign w:val="center"/>
            <w:hideMark/>
          </w:tcPr>
          <w:p w14:paraId="5283DD62" w14:textId="77777777" w:rsidR="001E62B2" w:rsidRPr="007546C8" w:rsidRDefault="001E62B2">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Scope 1</w:t>
            </w:r>
          </w:p>
        </w:tc>
        <w:tc>
          <w:tcPr>
            <w:tcW w:w="4400" w:type="dxa"/>
            <w:tcBorders>
              <w:top w:val="nil"/>
              <w:left w:val="nil"/>
              <w:bottom w:val="single" w:sz="4" w:space="0" w:color="auto"/>
              <w:right w:val="single" w:sz="4" w:space="0" w:color="auto"/>
            </w:tcBorders>
            <w:vAlign w:val="center"/>
            <w:hideMark/>
          </w:tcPr>
          <w:p w14:paraId="27D0CB66" w14:textId="77777777" w:rsidR="001E62B2" w:rsidRPr="007546C8" w:rsidRDefault="001E62B2">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Landholder effectively controls herd operations and bears production risk.</w:t>
            </w:r>
          </w:p>
        </w:tc>
      </w:tr>
      <w:tr w:rsidR="001E62B2" w:rsidRPr="007546C8" w14:paraId="45D6AA8B" w14:textId="77777777">
        <w:trPr>
          <w:trHeight w:val="870"/>
        </w:trPr>
        <w:tc>
          <w:tcPr>
            <w:tcW w:w="4531" w:type="dxa"/>
            <w:tcBorders>
              <w:top w:val="nil"/>
              <w:left w:val="single" w:sz="4" w:space="0" w:color="auto"/>
              <w:bottom w:val="single" w:sz="4" w:space="0" w:color="auto"/>
              <w:right w:val="single" w:sz="4" w:space="0" w:color="auto"/>
            </w:tcBorders>
            <w:vAlign w:val="center"/>
            <w:hideMark/>
          </w:tcPr>
          <w:p w14:paraId="7D9B52DF" w14:textId="77777777" w:rsidR="001E62B2" w:rsidRPr="007546C8" w:rsidRDefault="001E62B2">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 xml:space="preserve">Landholder clears land / </w:t>
            </w:r>
            <w:proofErr w:type="gramStart"/>
            <w:r w:rsidRPr="007546C8">
              <w:rPr>
                <w:rFonts w:ascii="Aptos Narrow" w:eastAsia="Times New Roman" w:hAnsi="Aptos Narrow" w:cs="Times New Roman"/>
                <w:color w:val="000000"/>
                <w:kern w:val="0"/>
                <w:lang w:eastAsia="en-AU"/>
                <w14:ligatures w14:val="none"/>
              </w:rPr>
              <w:t>sows</w:t>
            </w:r>
            <w:proofErr w:type="gramEnd"/>
            <w:r w:rsidRPr="007546C8">
              <w:rPr>
                <w:rFonts w:ascii="Aptos Narrow" w:eastAsia="Times New Roman" w:hAnsi="Aptos Narrow" w:cs="Times New Roman"/>
                <w:color w:val="000000"/>
                <w:kern w:val="0"/>
                <w:lang w:eastAsia="en-AU"/>
                <w14:ligatures w14:val="none"/>
              </w:rPr>
              <w:t xml:space="preserve"> pasture for agistment</w:t>
            </w:r>
          </w:p>
        </w:tc>
        <w:tc>
          <w:tcPr>
            <w:tcW w:w="1920" w:type="dxa"/>
            <w:tcBorders>
              <w:top w:val="nil"/>
              <w:left w:val="nil"/>
              <w:bottom w:val="single" w:sz="4" w:space="0" w:color="auto"/>
              <w:right w:val="single" w:sz="4" w:space="0" w:color="auto"/>
            </w:tcBorders>
            <w:vAlign w:val="center"/>
            <w:hideMark/>
          </w:tcPr>
          <w:p w14:paraId="4AC72CBF" w14:textId="77777777" w:rsidR="001E62B2" w:rsidRPr="007546C8" w:rsidRDefault="001E62B2">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 xml:space="preserve">No obligation to report emissions </w:t>
            </w:r>
          </w:p>
        </w:tc>
        <w:tc>
          <w:tcPr>
            <w:tcW w:w="2040" w:type="dxa"/>
            <w:tcBorders>
              <w:top w:val="nil"/>
              <w:left w:val="nil"/>
              <w:bottom w:val="single" w:sz="4" w:space="0" w:color="auto"/>
              <w:right w:val="single" w:sz="4" w:space="0" w:color="auto"/>
            </w:tcBorders>
            <w:vAlign w:val="center"/>
            <w:hideMark/>
          </w:tcPr>
          <w:p w14:paraId="560C7F6A" w14:textId="77777777" w:rsidR="001E62B2" w:rsidRPr="007546C8" w:rsidRDefault="001E62B2">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Scope 1</w:t>
            </w:r>
          </w:p>
        </w:tc>
        <w:tc>
          <w:tcPr>
            <w:tcW w:w="4400" w:type="dxa"/>
            <w:tcBorders>
              <w:top w:val="nil"/>
              <w:left w:val="nil"/>
              <w:bottom w:val="single" w:sz="4" w:space="0" w:color="auto"/>
              <w:right w:val="single" w:sz="4" w:space="0" w:color="auto"/>
            </w:tcBorders>
            <w:vAlign w:val="center"/>
            <w:hideMark/>
          </w:tcPr>
          <w:p w14:paraId="3880F228" w14:textId="77777777" w:rsidR="001E62B2" w:rsidRPr="007546C8" w:rsidRDefault="001E62B2">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Landholder exercises operational control of land. LUC emissions split proportionally only if equity shared.</w:t>
            </w:r>
          </w:p>
        </w:tc>
      </w:tr>
      <w:tr w:rsidR="001E62B2" w:rsidRPr="007546C8" w14:paraId="08768EB6" w14:textId="77777777">
        <w:trPr>
          <w:trHeight w:val="580"/>
        </w:trPr>
        <w:tc>
          <w:tcPr>
            <w:tcW w:w="4531" w:type="dxa"/>
            <w:tcBorders>
              <w:top w:val="nil"/>
              <w:left w:val="single" w:sz="4" w:space="0" w:color="auto"/>
              <w:bottom w:val="single" w:sz="4" w:space="0" w:color="auto"/>
              <w:right w:val="single" w:sz="4" w:space="0" w:color="auto"/>
            </w:tcBorders>
            <w:vAlign w:val="center"/>
            <w:hideMark/>
          </w:tcPr>
          <w:p w14:paraId="5759714F" w14:textId="77777777" w:rsidR="001E62B2" w:rsidRPr="007546C8" w:rsidRDefault="001E62B2">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Landholder applies fertiliser / irrigates</w:t>
            </w:r>
          </w:p>
        </w:tc>
        <w:tc>
          <w:tcPr>
            <w:tcW w:w="1920" w:type="dxa"/>
            <w:tcBorders>
              <w:top w:val="nil"/>
              <w:left w:val="nil"/>
              <w:bottom w:val="single" w:sz="4" w:space="0" w:color="auto"/>
              <w:right w:val="single" w:sz="4" w:space="0" w:color="auto"/>
            </w:tcBorders>
            <w:vAlign w:val="center"/>
            <w:hideMark/>
          </w:tcPr>
          <w:p w14:paraId="1D5CC33C" w14:textId="77777777" w:rsidR="001E62B2" w:rsidRPr="007546C8" w:rsidRDefault="001E62B2">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 xml:space="preserve">No obligation to report emissions </w:t>
            </w:r>
          </w:p>
        </w:tc>
        <w:tc>
          <w:tcPr>
            <w:tcW w:w="2040" w:type="dxa"/>
            <w:tcBorders>
              <w:top w:val="nil"/>
              <w:left w:val="nil"/>
              <w:bottom w:val="single" w:sz="4" w:space="0" w:color="auto"/>
              <w:right w:val="single" w:sz="4" w:space="0" w:color="auto"/>
            </w:tcBorders>
            <w:vAlign w:val="center"/>
            <w:hideMark/>
          </w:tcPr>
          <w:p w14:paraId="0ABA9EFB" w14:textId="77777777" w:rsidR="001E62B2" w:rsidRPr="007546C8" w:rsidRDefault="001E62B2">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Scope 1</w:t>
            </w:r>
          </w:p>
        </w:tc>
        <w:tc>
          <w:tcPr>
            <w:tcW w:w="4400" w:type="dxa"/>
            <w:tcBorders>
              <w:top w:val="nil"/>
              <w:left w:val="nil"/>
              <w:bottom w:val="single" w:sz="4" w:space="0" w:color="auto"/>
              <w:right w:val="single" w:sz="4" w:space="0" w:color="auto"/>
            </w:tcBorders>
            <w:vAlign w:val="center"/>
            <w:hideMark/>
          </w:tcPr>
          <w:p w14:paraId="3471AFEB" w14:textId="77777777" w:rsidR="001E62B2" w:rsidRPr="007546C8" w:rsidRDefault="001E62B2">
            <w:pPr>
              <w:spacing w:after="0" w:line="240" w:lineRule="auto"/>
              <w:rPr>
                <w:rFonts w:ascii="Aptos Narrow" w:eastAsia="Times New Roman" w:hAnsi="Aptos Narrow" w:cs="Times New Roman"/>
                <w:color w:val="000000"/>
                <w:kern w:val="0"/>
                <w:lang w:eastAsia="en-AU"/>
                <w14:ligatures w14:val="none"/>
              </w:rPr>
            </w:pPr>
            <w:r w:rsidRPr="007546C8">
              <w:rPr>
                <w:rFonts w:ascii="Aptos Narrow" w:eastAsia="Times New Roman" w:hAnsi="Aptos Narrow" w:cs="Times New Roman"/>
                <w:color w:val="000000"/>
                <w:kern w:val="0"/>
                <w:lang w:eastAsia="en-AU"/>
                <w14:ligatures w14:val="none"/>
              </w:rPr>
              <w:t>Landholder’s direct emissions.</w:t>
            </w:r>
          </w:p>
        </w:tc>
      </w:tr>
    </w:tbl>
    <w:p w14:paraId="474D8268" w14:textId="77777777" w:rsidR="001E62B2" w:rsidRDefault="001E62B2" w:rsidP="001E62B2"/>
    <w:p w14:paraId="30908F10" w14:textId="77777777" w:rsidR="001E62B2" w:rsidRDefault="001E62B2" w:rsidP="001E62B2">
      <w:pPr>
        <w:sectPr w:rsidR="001E62B2" w:rsidSect="001E62B2">
          <w:headerReference w:type="default" r:id="rId73"/>
          <w:pgSz w:w="16838" w:h="11906" w:orient="landscape"/>
          <w:pgMar w:top="1440" w:right="1440" w:bottom="1440" w:left="1440" w:header="708" w:footer="708" w:gutter="0"/>
          <w:cols w:space="708"/>
          <w:docGrid w:linePitch="360"/>
        </w:sectPr>
      </w:pPr>
    </w:p>
    <w:p w14:paraId="34CD2D8F" w14:textId="42585031" w:rsidR="001E62B2" w:rsidRDefault="001E62B2" w:rsidP="001E62B2">
      <w:pPr>
        <w:pStyle w:val="Heading1"/>
        <w:numPr>
          <w:ilvl w:val="0"/>
          <w:numId w:val="0"/>
        </w:numPr>
      </w:pPr>
      <w:bookmarkStart w:id="104" w:name="_Toc225269985"/>
      <w:r>
        <w:lastRenderedPageBreak/>
        <w:t xml:space="preserve">Appendix </w:t>
      </w:r>
      <w:r w:rsidR="0084341E">
        <w:t>D</w:t>
      </w:r>
      <w:r>
        <w:t xml:space="preserve"> </w:t>
      </w:r>
      <w:r w:rsidR="00A416F0">
        <w:t>-</w:t>
      </w:r>
      <w:r>
        <w:t xml:space="preserve"> Criteria for applying Method 3 approaches</w:t>
      </w:r>
      <w:bookmarkEnd w:id="104"/>
      <w:r>
        <w:t xml:space="preserve"> </w:t>
      </w:r>
    </w:p>
    <w:p w14:paraId="3E598B22" w14:textId="77777777" w:rsidR="001E62B2" w:rsidRDefault="001E62B2" w:rsidP="001E62B2">
      <w:r>
        <w:t xml:space="preserve">This appendix provides draft proposed rules and criteria for Method 3 approaches for consultation purposes. </w:t>
      </w:r>
    </w:p>
    <w:p w14:paraId="0C3B7C6F" w14:textId="78B42EC6" w:rsidR="001E62B2" w:rsidRDefault="001E62B2" w:rsidP="001E62B2">
      <w:r>
        <w:t>If an</w:t>
      </w:r>
      <w:r w:rsidRPr="001040D4">
        <w:t xml:space="preserve"> entity </w:t>
      </w:r>
      <w:r>
        <w:t>chooses to use</w:t>
      </w:r>
      <w:r w:rsidRPr="001040D4">
        <w:t xml:space="preserve"> a Method 3 approach, the</w:t>
      </w:r>
      <w:r w:rsidDel="000C18A8">
        <w:t xml:space="preserve"> </w:t>
      </w:r>
      <w:r>
        <w:t xml:space="preserve">entity shall document the approach and rationale for its selection, including information to demonstrate that the approach </w:t>
      </w:r>
      <w:r w:rsidRPr="001040D4">
        <w:t>yield</w:t>
      </w:r>
      <w:r>
        <w:t>s</w:t>
      </w:r>
      <w:r w:rsidRPr="001040D4">
        <w:t xml:space="preserve"> accurate, consistent and reproducible results</w:t>
      </w:r>
      <w:r>
        <w:t xml:space="preserve"> (e.g. provide uncertainty ranges or confidence levels). To ensure Method 3 approaches are robust and credible, they </w:t>
      </w:r>
      <w:r w:rsidR="008F521B">
        <w:t xml:space="preserve">shall </w:t>
      </w:r>
      <w:r>
        <w:t xml:space="preserve">meet a set of minimum criteria as described below. </w:t>
      </w:r>
    </w:p>
    <w:p w14:paraId="61216312" w14:textId="77777777" w:rsidR="001E62B2" w:rsidRPr="00945658" w:rsidRDefault="001E62B2" w:rsidP="001E62B2">
      <w:pPr>
        <w:spacing w:line="279" w:lineRule="auto"/>
        <w:rPr>
          <w:b/>
        </w:rPr>
      </w:pPr>
      <w:r w:rsidRPr="008F4E7E">
        <w:t>Method 3</w:t>
      </w:r>
      <w:r>
        <w:t xml:space="preserve"> approaches</w:t>
      </w:r>
      <w:r w:rsidRPr="008F4E7E">
        <w:t xml:space="preserve"> shall </w:t>
      </w:r>
      <w:r>
        <w:t>either be:</w:t>
      </w:r>
    </w:p>
    <w:p w14:paraId="58E2A4F2" w14:textId="77777777" w:rsidR="001E62B2" w:rsidRDefault="001E62B2" w:rsidP="00076B9B">
      <w:pPr>
        <w:pStyle w:val="ListParagraph"/>
        <w:numPr>
          <w:ilvl w:val="0"/>
          <w:numId w:val="24"/>
        </w:numPr>
      </w:pPr>
      <w:r w:rsidRPr="00945658">
        <w:rPr>
          <w:b/>
        </w:rPr>
        <w:t xml:space="preserve">Consistent with a </w:t>
      </w:r>
      <w:r>
        <w:rPr>
          <w:b/>
        </w:rPr>
        <w:t>method</w:t>
      </w:r>
      <w:r w:rsidRPr="00945658">
        <w:rPr>
          <w:b/>
        </w:rPr>
        <w:t xml:space="preserve"> published in a </w:t>
      </w:r>
      <w:r>
        <w:rPr>
          <w:b/>
        </w:rPr>
        <w:t>peer reviewed</w:t>
      </w:r>
      <w:r w:rsidRPr="00945658">
        <w:rPr>
          <w:b/>
        </w:rPr>
        <w:t xml:space="preserve"> scientific journal</w:t>
      </w:r>
      <w:r>
        <w:rPr>
          <w:rStyle w:val="FootnoteReference"/>
        </w:rPr>
        <w:footnoteReference w:id="19"/>
      </w:r>
      <w:r w:rsidRPr="00945658">
        <w:rPr>
          <w:b/>
        </w:rPr>
        <w:t>.</w:t>
      </w:r>
      <w:r w:rsidRPr="008F4E7E">
        <w:t xml:space="preserve"> </w:t>
      </w:r>
      <w:r>
        <w:t xml:space="preserve">The </w:t>
      </w:r>
      <w:r w:rsidRPr="009E1B5A">
        <w:t xml:space="preserve">study </w:t>
      </w:r>
      <w:r>
        <w:t xml:space="preserve">from which the method has been taken shall be </w:t>
      </w:r>
      <w:r w:rsidRPr="009E1B5A">
        <w:t xml:space="preserve">relevant to the context (e.g. </w:t>
      </w:r>
      <w:r w:rsidRPr="004520FF">
        <w:t xml:space="preserve">farming system, environment) </w:t>
      </w:r>
      <w:r>
        <w:t>in which it is being used to estimate</w:t>
      </w:r>
      <w:r w:rsidRPr="004520FF">
        <w:t xml:space="preserve"> GHG emissions or removals</w:t>
      </w:r>
      <w:r>
        <w:t>.</w:t>
      </w:r>
      <w:r w:rsidRPr="009E1B5A">
        <w:t xml:space="preserve"> For example, a </w:t>
      </w:r>
      <w:r>
        <w:t xml:space="preserve">method for estimating emissions reductions associated with a feed supplement that is derived from confinement fed animals cannot be applied to </w:t>
      </w:r>
      <w:r w:rsidRPr="009E1B5A">
        <w:t>a pasture-based system. This requirement ensures that</w:t>
      </w:r>
      <w:r>
        <w:t xml:space="preserve"> only</w:t>
      </w:r>
      <w:r w:rsidRPr="009E1B5A">
        <w:t xml:space="preserve"> </w:t>
      </w:r>
      <w:r>
        <w:t>methods</w:t>
      </w:r>
      <w:r w:rsidRPr="009E1B5A">
        <w:t xml:space="preserve"> that are applicable to the system being assessed</w:t>
      </w:r>
      <w:r>
        <w:t xml:space="preserve"> are used</w:t>
      </w:r>
      <w:r w:rsidRPr="009E1B5A">
        <w:t xml:space="preserve">. </w:t>
      </w:r>
    </w:p>
    <w:p w14:paraId="09DEB7FA" w14:textId="77777777" w:rsidR="001E62B2" w:rsidRDefault="001E62B2" w:rsidP="001E62B2">
      <w:pPr>
        <w:pStyle w:val="ListParagraph"/>
      </w:pPr>
    </w:p>
    <w:p w14:paraId="4044A00D" w14:textId="77777777" w:rsidR="001E62B2" w:rsidRDefault="001E62B2" w:rsidP="00076B9B">
      <w:pPr>
        <w:pStyle w:val="ListParagraph"/>
        <w:numPr>
          <w:ilvl w:val="0"/>
          <w:numId w:val="24"/>
        </w:numPr>
      </w:pPr>
      <w:r w:rsidRPr="00CF296E">
        <w:rPr>
          <w:b/>
          <w:bCs/>
        </w:rPr>
        <w:t>Consistent with a methodology from a carbon crediting program that has</w:t>
      </w:r>
      <w:r>
        <w:rPr>
          <w:b/>
          <w:bCs/>
        </w:rPr>
        <w:t xml:space="preserve"> </w:t>
      </w:r>
      <w:hyperlink r:id="rId74" w:history="1">
        <w:r w:rsidRPr="00BD1D33">
          <w:rPr>
            <w:rStyle w:val="Hyperlink"/>
            <w:b/>
            <w:bCs/>
          </w:rPr>
          <w:t>International Carbon Reduction and Offset Alliance</w:t>
        </w:r>
      </w:hyperlink>
      <w:r w:rsidRPr="00CF296E">
        <w:rPr>
          <w:b/>
          <w:bCs/>
        </w:rPr>
        <w:t xml:space="preserve"> </w:t>
      </w:r>
      <w:r>
        <w:rPr>
          <w:b/>
          <w:bCs/>
        </w:rPr>
        <w:t>(</w:t>
      </w:r>
      <w:r w:rsidRPr="00CF296E">
        <w:rPr>
          <w:b/>
          <w:bCs/>
        </w:rPr>
        <w:t>ICROA</w:t>
      </w:r>
      <w:r>
        <w:rPr>
          <w:b/>
          <w:bCs/>
        </w:rPr>
        <w:t>)</w:t>
      </w:r>
      <w:r w:rsidRPr="00CF296E">
        <w:rPr>
          <w:b/>
          <w:bCs/>
        </w:rPr>
        <w:t xml:space="preserve"> accreditation.</w:t>
      </w:r>
      <w:r>
        <w:t xml:space="preserve"> The system to which the methodology is applied shall be an eligible system under that methodology.</w:t>
      </w:r>
      <w:r w:rsidRPr="004D3A2B">
        <w:rPr>
          <w:b/>
          <w:bCs/>
        </w:rPr>
        <w:t xml:space="preserve"> </w:t>
      </w:r>
    </w:p>
    <w:p w14:paraId="23BCEF56" w14:textId="77777777" w:rsidR="001E62B2" w:rsidRPr="00BD1D33" w:rsidRDefault="001E62B2" w:rsidP="001E62B2">
      <w:r>
        <w:t>In addition, data used for Method 3 approaches shall be:</w:t>
      </w:r>
    </w:p>
    <w:p w14:paraId="22367D34" w14:textId="77777777" w:rsidR="001E62B2" w:rsidRDefault="001E62B2" w:rsidP="00076B9B">
      <w:pPr>
        <w:pStyle w:val="ListParagraph"/>
        <w:numPr>
          <w:ilvl w:val="0"/>
          <w:numId w:val="26"/>
        </w:numPr>
      </w:pPr>
      <w:r w:rsidRPr="003D51FE">
        <w:rPr>
          <w:b/>
          <w:bCs/>
        </w:rPr>
        <w:t>Compliant with</w:t>
      </w:r>
      <w:r>
        <w:rPr>
          <w:b/>
          <w:bCs/>
        </w:rPr>
        <w:t xml:space="preserve"> domestic or</w:t>
      </w:r>
      <w:r w:rsidRPr="003D51FE">
        <w:rPr>
          <w:b/>
          <w:bCs/>
        </w:rPr>
        <w:t xml:space="preserve"> international </w:t>
      </w:r>
      <w:r>
        <w:rPr>
          <w:b/>
          <w:bCs/>
        </w:rPr>
        <w:t xml:space="preserve">measurement </w:t>
      </w:r>
      <w:r w:rsidRPr="003D51FE">
        <w:rPr>
          <w:b/>
          <w:bCs/>
        </w:rPr>
        <w:t>standards.</w:t>
      </w:r>
      <w:r>
        <w:t xml:space="preserve"> </w:t>
      </w:r>
      <w:r w:rsidRPr="008F4E7E">
        <w:t>Where a Method</w:t>
      </w:r>
      <w:r>
        <w:t> </w:t>
      </w:r>
      <w:r w:rsidRPr="008F4E7E">
        <w:t>3 approach relies upon the direct measurement of a GHG in the field</w:t>
      </w:r>
      <w:r>
        <w:t>,</w:t>
      </w:r>
      <w:r w:rsidRPr="008F4E7E">
        <w:t xml:space="preserve"> compliance with a relevant </w:t>
      </w:r>
      <w:r>
        <w:t xml:space="preserve">domestic or </w:t>
      </w:r>
      <w:r w:rsidRPr="008F4E7E">
        <w:t>internationally recognised standard</w:t>
      </w:r>
      <w:r>
        <w:t xml:space="preserve"> shall be demonstrated</w:t>
      </w:r>
      <w:r w:rsidRPr="008F4E7E">
        <w:t xml:space="preserve"> for the period during which measurements were taken</w:t>
      </w:r>
      <w:r>
        <w:t xml:space="preserve">. This requirement is to ensure the approach </w:t>
      </w:r>
      <w:r w:rsidRPr="001040D4">
        <w:t>yield</w:t>
      </w:r>
      <w:r>
        <w:t>s</w:t>
      </w:r>
      <w:r w:rsidRPr="001040D4">
        <w:t xml:space="preserve"> accurate, consistent and reproducible results</w:t>
      </w:r>
      <w:r w:rsidRPr="008F4E7E">
        <w:t xml:space="preserve">. </w:t>
      </w:r>
    </w:p>
    <w:p w14:paraId="1F6DE7E5" w14:textId="77777777" w:rsidR="001E62B2" w:rsidRDefault="001E62B2" w:rsidP="001E62B2">
      <w:pPr>
        <w:pStyle w:val="ListParagraph"/>
        <w:spacing w:line="279" w:lineRule="auto"/>
        <w:rPr>
          <w:b/>
          <w:bCs/>
        </w:rPr>
      </w:pPr>
    </w:p>
    <w:p w14:paraId="68630A81" w14:textId="4857272D" w:rsidR="00176C0F" w:rsidRDefault="00CC12EC" w:rsidP="001E62B2">
      <w:pPr>
        <w:pStyle w:val="ListParagraph"/>
        <w:numPr>
          <w:ilvl w:val="0"/>
          <w:numId w:val="26"/>
        </w:numPr>
        <w:spacing w:line="279" w:lineRule="auto"/>
        <w:sectPr w:rsidR="00176C0F" w:rsidSect="007257B3">
          <w:headerReference w:type="default" r:id="rId75"/>
          <w:pgSz w:w="11906" w:h="16838"/>
          <w:pgMar w:top="1440" w:right="1440" w:bottom="1440" w:left="1440" w:header="708" w:footer="708" w:gutter="0"/>
          <w:lnNumType w:countBy="1"/>
          <w:cols w:space="708"/>
          <w:docGrid w:linePitch="360"/>
        </w:sectPr>
      </w:pPr>
      <w:r>
        <w:rPr>
          <w:b/>
          <w:bCs/>
        </w:rPr>
        <w:t>A</w:t>
      </w:r>
      <w:r w:rsidR="001E62B2" w:rsidRPr="00BD1D33">
        <w:rPr>
          <w:b/>
          <w:bCs/>
        </w:rPr>
        <w:t>ccredited</w:t>
      </w:r>
      <w:r>
        <w:rPr>
          <w:b/>
          <w:bCs/>
        </w:rPr>
        <w:t xml:space="preserve"> laboratory</w:t>
      </w:r>
      <w:r w:rsidR="001E62B2">
        <w:t xml:space="preserve">. </w:t>
      </w:r>
      <w:r w:rsidR="001E62B2" w:rsidRPr="008F4E7E">
        <w:t xml:space="preserve">Where a Method 3 approach </w:t>
      </w:r>
      <w:r w:rsidR="001E62B2">
        <w:t>uses data from</w:t>
      </w:r>
      <w:r w:rsidR="001E62B2" w:rsidRPr="008F4E7E">
        <w:t xml:space="preserve"> laboratory analysis</w:t>
      </w:r>
      <w:r w:rsidR="001E62B2">
        <w:t>,</w:t>
      </w:r>
      <w:r w:rsidR="001E62B2" w:rsidRPr="008F4E7E">
        <w:t xml:space="preserve"> documentation shall be provided that the laboratory was accredited by a relevant internationally </w:t>
      </w:r>
      <w:r w:rsidR="001E62B2">
        <w:t xml:space="preserve">or domestically </w:t>
      </w:r>
      <w:r w:rsidR="001E62B2" w:rsidRPr="008F4E7E">
        <w:t>recognised standard for the analysis performed</w:t>
      </w:r>
      <w:r w:rsidR="001E62B2" w:rsidRPr="00384496">
        <w:t xml:space="preserve"> </w:t>
      </w:r>
      <w:r w:rsidR="001E62B2" w:rsidRPr="008F4E7E">
        <w:t>at the time of analysi</w:t>
      </w:r>
      <w:r w:rsidR="001E62B2">
        <w:t xml:space="preserve">s (e.g. </w:t>
      </w:r>
      <w:r w:rsidR="001E62B2" w:rsidRPr="00BD1D33">
        <w:t>ISO 17025 – General Laboratory Accreditation</w:t>
      </w:r>
      <w:r w:rsidR="001E62B2">
        <w:t xml:space="preserve">; National Association of Testing Authorities). </w:t>
      </w:r>
      <w:r w:rsidR="001E62B2" w:rsidRPr="007E6B65">
        <w:t>The</w:t>
      </w:r>
      <w:r w:rsidR="001E62B2" w:rsidRPr="008F4E7E">
        <w:t xml:space="preserve"> analysis method and any sample preparation shall be consistent with those used in published literature</w:t>
      </w:r>
      <w:r w:rsidR="001E62B2">
        <w:t>,</w:t>
      </w:r>
      <w:r w:rsidR="001E62B2" w:rsidRPr="008F4E7E">
        <w:t xml:space="preserve"> be fit for purpose</w:t>
      </w:r>
      <w:r w:rsidR="001E62B2">
        <w:t xml:space="preserve"> and reported.</w:t>
      </w:r>
    </w:p>
    <w:p w14:paraId="01A461DC" w14:textId="6D6291C7" w:rsidR="001E62B2" w:rsidRPr="00BC2311" w:rsidRDefault="00176C0F" w:rsidP="00451890">
      <w:pPr>
        <w:pStyle w:val="Heading1"/>
        <w:numPr>
          <w:ilvl w:val="0"/>
          <w:numId w:val="0"/>
        </w:numPr>
        <w:spacing w:before="0" w:after="0"/>
      </w:pPr>
      <w:bookmarkStart w:id="105" w:name="_Toc225269986"/>
      <w:r>
        <w:lastRenderedPageBreak/>
        <w:t>Appendix E – Entity Inventory Reporting Template</w:t>
      </w:r>
      <w:bookmarkEnd w:id="105"/>
    </w:p>
    <w:p w14:paraId="522A2D17" w14:textId="4D73AC56" w:rsidR="007F1B08" w:rsidRPr="006A4EA9" w:rsidRDefault="007F1B08" w:rsidP="007F1B08">
      <w:r w:rsidRPr="006A4EA9">
        <w:t xml:space="preserve">Note </w:t>
      </w:r>
      <w:r w:rsidRPr="004661B3">
        <w:rPr>
          <w:i/>
          <w:color w:val="156082" w:themeColor="accent1"/>
        </w:rPr>
        <w:t>blue italicised text</w:t>
      </w:r>
      <w:r w:rsidRPr="004661B3">
        <w:rPr>
          <w:color w:val="156082" w:themeColor="accent1"/>
        </w:rPr>
        <w:t xml:space="preserve"> </w:t>
      </w:r>
      <w:r w:rsidRPr="006A4EA9">
        <w:t>in boxes</w:t>
      </w:r>
      <w:r>
        <w:t xml:space="preserve"> throughout the Reporting Template is example text only. </w:t>
      </w:r>
    </w:p>
    <w:p w14:paraId="0CAFE6E0" w14:textId="105FFCA5" w:rsidR="003D5F25" w:rsidRPr="006849E2" w:rsidRDefault="003D5F25" w:rsidP="003D5F25">
      <w:pPr>
        <w:pStyle w:val="Heading3"/>
        <w:numPr>
          <w:ilvl w:val="0"/>
          <w:numId w:val="0"/>
        </w:numPr>
      </w:pPr>
      <w:r>
        <w:t>Entity information</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8789"/>
      </w:tblGrid>
      <w:tr w:rsidR="001E62B2" w14:paraId="2BD3AE16" w14:textId="77777777" w:rsidTr="0090710F">
        <w:trPr>
          <w:trHeight w:val="170"/>
        </w:trPr>
        <w:tc>
          <w:tcPr>
            <w:tcW w:w="4531" w:type="dxa"/>
            <w:vAlign w:val="center"/>
          </w:tcPr>
          <w:p w14:paraId="248120B1" w14:textId="77777777" w:rsidR="001E62B2" w:rsidRPr="00CD7292" w:rsidRDefault="001E62B2">
            <w:pPr>
              <w:pStyle w:val="Heading3"/>
              <w:numPr>
                <w:ilvl w:val="0"/>
                <w:numId w:val="0"/>
              </w:numPr>
              <w:spacing w:before="0" w:after="0"/>
              <w:ind w:left="720" w:hanging="720"/>
              <w:rPr>
                <w:b/>
                <w:color w:val="auto"/>
                <w:sz w:val="22"/>
                <w:szCs w:val="22"/>
              </w:rPr>
            </w:pPr>
            <w:bookmarkStart w:id="106" w:name="_Toc206156770"/>
            <w:r w:rsidRPr="00CD7292">
              <w:rPr>
                <w:b/>
                <w:color w:val="auto"/>
                <w:sz w:val="22"/>
                <w:szCs w:val="22"/>
              </w:rPr>
              <w:t>Entity name and ABN/s</w:t>
            </w:r>
          </w:p>
        </w:tc>
        <w:tc>
          <w:tcPr>
            <w:tcW w:w="8789" w:type="dxa"/>
            <w:vAlign w:val="center"/>
          </w:tcPr>
          <w:p w14:paraId="08CFED6A" w14:textId="77777777" w:rsidR="001E62B2" w:rsidRPr="002A139B" w:rsidRDefault="001E62B2">
            <w:pPr>
              <w:rPr>
                <w:color w:val="153D63" w:themeColor="text2" w:themeTint="E6"/>
              </w:rPr>
            </w:pPr>
          </w:p>
        </w:tc>
      </w:tr>
      <w:tr w:rsidR="001E62B2" w14:paraId="68EB2D34" w14:textId="77777777" w:rsidTr="0090710F">
        <w:trPr>
          <w:trHeight w:val="170"/>
        </w:trPr>
        <w:tc>
          <w:tcPr>
            <w:tcW w:w="4531" w:type="dxa"/>
            <w:vAlign w:val="center"/>
          </w:tcPr>
          <w:p w14:paraId="418655E0" w14:textId="77777777" w:rsidR="001E62B2" w:rsidRPr="00CD7292" w:rsidRDefault="001E62B2">
            <w:pPr>
              <w:pStyle w:val="Heading3"/>
              <w:numPr>
                <w:ilvl w:val="0"/>
                <w:numId w:val="0"/>
              </w:numPr>
              <w:spacing w:before="0" w:after="0"/>
              <w:ind w:left="720" w:hanging="720"/>
              <w:rPr>
                <w:b/>
                <w:color w:val="auto"/>
                <w:sz w:val="22"/>
                <w:szCs w:val="22"/>
              </w:rPr>
            </w:pPr>
            <w:r w:rsidRPr="00CD7292">
              <w:rPr>
                <w:b/>
                <w:color w:val="auto"/>
                <w:sz w:val="22"/>
                <w:szCs w:val="22"/>
              </w:rPr>
              <w:t>Business profile and structure</w:t>
            </w:r>
          </w:p>
        </w:tc>
        <w:tc>
          <w:tcPr>
            <w:tcW w:w="8789" w:type="dxa"/>
            <w:vAlign w:val="center"/>
          </w:tcPr>
          <w:p w14:paraId="59994B50" w14:textId="175F4CBF" w:rsidR="001E62B2" w:rsidRPr="002A139B" w:rsidRDefault="001E62B2">
            <w:pPr>
              <w:rPr>
                <w:color w:val="153D63" w:themeColor="text2" w:themeTint="E6"/>
              </w:rPr>
            </w:pPr>
            <w:r>
              <w:t>[</w:t>
            </w:r>
            <w:r w:rsidRPr="003B201D">
              <w:t>Outline type of operation</w:t>
            </w:r>
            <w:r>
              <w:t>]</w:t>
            </w:r>
            <w:r w:rsidRPr="003B201D">
              <w:t xml:space="preserve"> </w:t>
            </w:r>
            <w:r w:rsidRPr="002A139B">
              <w:rPr>
                <w:i/>
                <w:color w:val="153D63" w:themeColor="text2" w:themeTint="E6"/>
              </w:rPr>
              <w:t>e.g. mixed farming system producing grain, legumes and sheep meat</w:t>
            </w:r>
            <w:r w:rsidR="00512D3D">
              <w:rPr>
                <w:i/>
                <w:color w:val="153D63" w:themeColor="text2" w:themeTint="E6"/>
              </w:rPr>
              <w:t xml:space="preserve"> and wool</w:t>
            </w:r>
            <w:r>
              <w:rPr>
                <w:i/>
                <w:color w:val="153D63" w:themeColor="text2" w:themeTint="E6"/>
              </w:rPr>
              <w:t xml:space="preserve">. </w:t>
            </w:r>
          </w:p>
        </w:tc>
      </w:tr>
      <w:tr w:rsidR="00201C1C" w14:paraId="732DD422" w14:textId="77777777" w:rsidTr="0090710F">
        <w:trPr>
          <w:trHeight w:val="170"/>
        </w:trPr>
        <w:tc>
          <w:tcPr>
            <w:tcW w:w="4531" w:type="dxa"/>
            <w:vAlign w:val="center"/>
          </w:tcPr>
          <w:p w14:paraId="6DFC32BE" w14:textId="77777777" w:rsidR="00201C1C" w:rsidRPr="00CD7292" w:rsidRDefault="00201C1C" w:rsidP="001A7D3E">
            <w:pPr>
              <w:pStyle w:val="Heading3"/>
              <w:numPr>
                <w:ilvl w:val="0"/>
                <w:numId w:val="0"/>
              </w:numPr>
              <w:spacing w:before="0" w:after="0"/>
              <w:ind w:left="720" w:hanging="720"/>
              <w:rPr>
                <w:b/>
                <w:color w:val="auto"/>
                <w:sz w:val="22"/>
                <w:szCs w:val="22"/>
              </w:rPr>
            </w:pPr>
            <w:r w:rsidRPr="00CD7292">
              <w:rPr>
                <w:b/>
                <w:color w:val="auto"/>
                <w:sz w:val="22"/>
                <w:szCs w:val="22"/>
              </w:rPr>
              <w:t>Organisational boundary approach</w:t>
            </w:r>
          </w:p>
        </w:tc>
        <w:tc>
          <w:tcPr>
            <w:tcW w:w="8789" w:type="dxa"/>
            <w:vAlign w:val="center"/>
          </w:tcPr>
          <w:p w14:paraId="7F338314" w14:textId="77777777" w:rsidR="00201C1C" w:rsidRDefault="00201C1C" w:rsidP="001A7D3E">
            <w:r w:rsidRPr="003B201D">
              <w:t xml:space="preserve">□ Operational </w:t>
            </w:r>
            <w:r>
              <w:t>c</w:t>
            </w:r>
            <w:r w:rsidRPr="003B201D">
              <w:t xml:space="preserve">ontrol □ Financial </w:t>
            </w:r>
            <w:r>
              <w:t>c</w:t>
            </w:r>
            <w:r w:rsidRPr="003B201D">
              <w:t xml:space="preserve">ontrol □ Equity </w:t>
            </w:r>
            <w:r>
              <w:t>s</w:t>
            </w:r>
            <w:r w:rsidRPr="003B201D">
              <w:t>hare</w:t>
            </w:r>
          </w:p>
          <w:p w14:paraId="7638915F" w14:textId="77777777" w:rsidR="00201C1C" w:rsidRPr="00C35914" w:rsidRDefault="00201C1C" w:rsidP="001A7D3E"/>
        </w:tc>
      </w:tr>
      <w:tr w:rsidR="001E62B2" w14:paraId="43D6C50C" w14:textId="77777777" w:rsidTr="0090710F">
        <w:trPr>
          <w:trHeight w:val="170"/>
        </w:trPr>
        <w:tc>
          <w:tcPr>
            <w:tcW w:w="4531" w:type="dxa"/>
            <w:vAlign w:val="center"/>
          </w:tcPr>
          <w:p w14:paraId="2132085F" w14:textId="77777777" w:rsidR="001E62B2" w:rsidRPr="00CD7292" w:rsidRDefault="001E62B2">
            <w:pPr>
              <w:pStyle w:val="Heading3"/>
              <w:numPr>
                <w:ilvl w:val="0"/>
                <w:numId w:val="0"/>
              </w:numPr>
              <w:spacing w:before="0" w:after="0"/>
              <w:ind w:left="720" w:hanging="720"/>
              <w:rPr>
                <w:b/>
                <w:color w:val="auto"/>
                <w:sz w:val="22"/>
                <w:szCs w:val="22"/>
              </w:rPr>
            </w:pPr>
            <w:r w:rsidRPr="00CD7292">
              <w:rPr>
                <w:b/>
                <w:color w:val="auto"/>
                <w:sz w:val="22"/>
                <w:szCs w:val="22"/>
              </w:rPr>
              <w:t xml:space="preserve">Property locations </w:t>
            </w:r>
          </w:p>
        </w:tc>
        <w:tc>
          <w:tcPr>
            <w:tcW w:w="8789" w:type="dxa"/>
            <w:vAlign w:val="center"/>
          </w:tcPr>
          <w:p w14:paraId="1777EE3E" w14:textId="77777777" w:rsidR="001E62B2" w:rsidRPr="004661B3" w:rsidRDefault="001E62B2">
            <w:pPr>
              <w:rPr>
                <w:i/>
                <w:color w:val="156082" w:themeColor="accent1"/>
              </w:rPr>
            </w:pPr>
            <w:r w:rsidRPr="004661B3">
              <w:rPr>
                <w:i/>
                <w:color w:val="156082" w:themeColor="accent1"/>
              </w:rPr>
              <w:t>E.g. 3 properties in Victoria Wimmera and Mallee</w:t>
            </w:r>
          </w:p>
          <w:p w14:paraId="6EFB902B" w14:textId="77777777" w:rsidR="001E62B2" w:rsidRPr="003B201D" w:rsidRDefault="001E62B2"/>
        </w:tc>
      </w:tr>
      <w:tr w:rsidR="001E62B2" w14:paraId="0013293A" w14:textId="77777777" w:rsidTr="0090710F">
        <w:trPr>
          <w:trHeight w:val="170"/>
        </w:trPr>
        <w:tc>
          <w:tcPr>
            <w:tcW w:w="4531" w:type="dxa"/>
            <w:vAlign w:val="center"/>
          </w:tcPr>
          <w:p w14:paraId="215227EA" w14:textId="77777777" w:rsidR="001E62B2" w:rsidRPr="00CD7292" w:rsidRDefault="001E62B2">
            <w:pPr>
              <w:pStyle w:val="Heading3"/>
              <w:numPr>
                <w:ilvl w:val="0"/>
                <w:numId w:val="0"/>
              </w:numPr>
              <w:spacing w:before="0" w:after="0"/>
              <w:ind w:left="720" w:hanging="720"/>
              <w:rPr>
                <w:b/>
                <w:color w:val="auto"/>
                <w:sz w:val="22"/>
                <w:szCs w:val="22"/>
              </w:rPr>
            </w:pPr>
            <w:r w:rsidRPr="00CD7292">
              <w:rPr>
                <w:b/>
                <w:color w:val="auto"/>
                <w:sz w:val="22"/>
                <w:szCs w:val="22"/>
              </w:rPr>
              <w:t xml:space="preserve">Production types and areas </w:t>
            </w:r>
          </w:p>
        </w:tc>
        <w:tc>
          <w:tcPr>
            <w:tcW w:w="8789" w:type="dxa"/>
            <w:vAlign w:val="center"/>
          </w:tcPr>
          <w:p w14:paraId="67D20B94" w14:textId="27E97FCF" w:rsidR="001E62B2" w:rsidRPr="004661B3" w:rsidRDefault="001E62B2">
            <w:pPr>
              <w:rPr>
                <w:i/>
              </w:rPr>
            </w:pPr>
            <w:r w:rsidRPr="004661B3">
              <w:rPr>
                <w:i/>
                <w:color w:val="156082" w:themeColor="accent1"/>
              </w:rPr>
              <w:t xml:space="preserve">E.g. Property 1: Wimmera. </w:t>
            </w:r>
            <w:r w:rsidR="00DB44EC">
              <w:rPr>
                <w:i/>
                <w:color w:val="156082" w:themeColor="accent1"/>
              </w:rPr>
              <w:t>Area</w:t>
            </w:r>
            <w:r w:rsidR="00C252AC">
              <w:rPr>
                <w:i/>
                <w:color w:val="156082" w:themeColor="accent1"/>
              </w:rPr>
              <w:t xml:space="preserve"> (e.g</w:t>
            </w:r>
            <w:r w:rsidR="00621A11">
              <w:rPr>
                <w:i/>
                <w:color w:val="156082" w:themeColor="accent1"/>
              </w:rPr>
              <w:t>.</w:t>
            </w:r>
            <w:r w:rsidR="00C252AC">
              <w:rPr>
                <w:i/>
                <w:color w:val="156082" w:themeColor="accent1"/>
              </w:rPr>
              <w:t xml:space="preserve"> </w:t>
            </w:r>
            <w:r w:rsidRPr="004661B3">
              <w:rPr>
                <w:i/>
                <w:color w:val="156082" w:themeColor="accent1"/>
              </w:rPr>
              <w:t>#ha</w:t>
            </w:r>
            <w:r w:rsidR="00C252AC">
              <w:rPr>
                <w:i/>
                <w:color w:val="156082" w:themeColor="accent1"/>
              </w:rPr>
              <w:t xml:space="preserve">) </w:t>
            </w:r>
            <w:r w:rsidR="00DB44EC">
              <w:rPr>
                <w:i/>
                <w:color w:val="156082" w:themeColor="accent1"/>
              </w:rPr>
              <w:t>under each production type</w:t>
            </w:r>
            <w:r w:rsidRPr="004661B3">
              <w:rPr>
                <w:i/>
                <w:color w:val="156082" w:themeColor="accent1"/>
              </w:rPr>
              <w:t>. Lot and DP identifiers.</w:t>
            </w:r>
          </w:p>
        </w:tc>
      </w:tr>
      <w:tr w:rsidR="0090710F" w:rsidRPr="004661B3" w14:paraId="5B7105A9" w14:textId="77777777" w:rsidTr="0090710F">
        <w:trPr>
          <w:trHeight w:val="170"/>
        </w:trPr>
        <w:tc>
          <w:tcPr>
            <w:tcW w:w="4531" w:type="dxa"/>
            <w:vAlign w:val="center"/>
          </w:tcPr>
          <w:p w14:paraId="0F380A0B" w14:textId="77777777" w:rsidR="0090710F" w:rsidRPr="00CD7292" w:rsidRDefault="0090710F" w:rsidP="001A7D3E">
            <w:pPr>
              <w:pStyle w:val="Heading3"/>
              <w:numPr>
                <w:ilvl w:val="0"/>
                <w:numId w:val="0"/>
              </w:numPr>
              <w:spacing w:before="0" w:after="0"/>
              <w:ind w:left="28" w:hanging="28"/>
              <w:rPr>
                <w:b/>
                <w:color w:val="auto"/>
                <w:sz w:val="22"/>
                <w:szCs w:val="22"/>
              </w:rPr>
            </w:pPr>
            <w:bookmarkStart w:id="107" w:name="_Toc206156777"/>
            <w:r w:rsidRPr="00CD7292">
              <w:rPr>
                <w:b/>
                <w:color w:val="auto"/>
                <w:sz w:val="22"/>
                <w:szCs w:val="22"/>
              </w:rPr>
              <w:t xml:space="preserve">Conditions experienced during reporting period </w:t>
            </w:r>
            <w:bookmarkEnd w:id="107"/>
            <w:r>
              <w:rPr>
                <w:b/>
                <w:color w:val="auto"/>
                <w:sz w:val="22"/>
                <w:szCs w:val="22"/>
              </w:rPr>
              <w:t>or any material changes in boundary</w:t>
            </w:r>
          </w:p>
        </w:tc>
        <w:tc>
          <w:tcPr>
            <w:tcW w:w="8789" w:type="dxa"/>
            <w:vAlign w:val="center"/>
          </w:tcPr>
          <w:p w14:paraId="73E60C41" w14:textId="77777777" w:rsidR="0090710F" w:rsidRPr="004661B3" w:rsidRDefault="0090710F" w:rsidP="001A7D3E">
            <w:pPr>
              <w:rPr>
                <w:i/>
                <w:color w:val="156082" w:themeColor="accent1"/>
              </w:rPr>
            </w:pPr>
            <w:r>
              <w:t xml:space="preserve"> [List significant events affecting emissions (e.g. bushfire, destocking in drought, stage in production cycle)]</w:t>
            </w:r>
          </w:p>
        </w:tc>
      </w:tr>
      <w:tr w:rsidR="00201C1C" w14:paraId="6BF87126" w14:textId="77777777" w:rsidTr="0090710F">
        <w:trPr>
          <w:trHeight w:val="170"/>
        </w:trPr>
        <w:tc>
          <w:tcPr>
            <w:tcW w:w="4531" w:type="dxa"/>
            <w:vAlign w:val="center"/>
          </w:tcPr>
          <w:p w14:paraId="7C3B23BD" w14:textId="3DD09FCA" w:rsidR="00201C1C" w:rsidRPr="00CD7292" w:rsidRDefault="004E5FD1" w:rsidP="001A7D3E">
            <w:pPr>
              <w:pStyle w:val="Heading3"/>
              <w:numPr>
                <w:ilvl w:val="0"/>
                <w:numId w:val="0"/>
              </w:numPr>
              <w:spacing w:before="0" w:after="0"/>
              <w:ind w:left="720" w:hanging="720"/>
              <w:rPr>
                <w:b/>
                <w:color w:val="auto"/>
                <w:sz w:val="22"/>
                <w:szCs w:val="22"/>
              </w:rPr>
            </w:pPr>
            <w:r>
              <w:rPr>
                <w:b/>
                <w:color w:val="auto"/>
                <w:sz w:val="22"/>
                <w:szCs w:val="22"/>
              </w:rPr>
              <w:t>Entity c</w:t>
            </w:r>
            <w:r w:rsidR="00201C1C" w:rsidRPr="00CD7292">
              <w:rPr>
                <w:b/>
                <w:color w:val="auto"/>
                <w:sz w:val="22"/>
                <w:szCs w:val="22"/>
              </w:rPr>
              <w:t xml:space="preserve">ontact </w:t>
            </w:r>
          </w:p>
        </w:tc>
        <w:tc>
          <w:tcPr>
            <w:tcW w:w="8789" w:type="dxa"/>
            <w:vAlign w:val="center"/>
          </w:tcPr>
          <w:p w14:paraId="03D70C1D" w14:textId="73FEF81E" w:rsidR="00201C1C" w:rsidRPr="00A256E6" w:rsidRDefault="00A256E6" w:rsidP="001A7D3E">
            <w:pPr>
              <w:rPr>
                <w:bCs/>
              </w:rPr>
            </w:pPr>
            <w:r>
              <w:rPr>
                <w:bCs/>
              </w:rPr>
              <w:t>[n</w:t>
            </w:r>
            <w:r w:rsidRPr="00A256E6">
              <w:rPr>
                <w:bCs/>
              </w:rPr>
              <w:t>ame and contact details</w:t>
            </w:r>
            <w:r>
              <w:rPr>
                <w:bCs/>
              </w:rPr>
              <w:t>]</w:t>
            </w:r>
          </w:p>
        </w:tc>
      </w:tr>
    </w:tbl>
    <w:p w14:paraId="3318E758" w14:textId="22B692B0" w:rsidR="001106A2" w:rsidRDefault="001106A2" w:rsidP="001106A2">
      <w:pPr>
        <w:pStyle w:val="Heading3"/>
        <w:numPr>
          <w:ilvl w:val="0"/>
          <w:numId w:val="0"/>
        </w:numPr>
      </w:pPr>
      <w:r>
        <w:t>Summary information</w:t>
      </w:r>
    </w:p>
    <w:tbl>
      <w:tblPr>
        <w:tblStyle w:val="TableGrid"/>
        <w:tblW w:w="133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7513"/>
      </w:tblGrid>
      <w:tr w:rsidR="00ED1606" w14:paraId="3950A434" w14:textId="77777777" w:rsidTr="00C779E9">
        <w:trPr>
          <w:trHeight w:val="170"/>
        </w:trPr>
        <w:tc>
          <w:tcPr>
            <w:tcW w:w="5807" w:type="dxa"/>
            <w:vAlign w:val="center"/>
          </w:tcPr>
          <w:p w14:paraId="21CCF016" w14:textId="1D5AAAC0" w:rsidR="00ED1606" w:rsidRPr="00CD7292" w:rsidRDefault="00ED1606">
            <w:pPr>
              <w:pStyle w:val="Heading3"/>
              <w:numPr>
                <w:ilvl w:val="0"/>
                <w:numId w:val="0"/>
              </w:numPr>
              <w:spacing w:before="0" w:after="0"/>
              <w:ind w:left="720" w:hanging="720"/>
              <w:rPr>
                <w:b/>
                <w:color w:val="auto"/>
                <w:sz w:val="22"/>
                <w:szCs w:val="22"/>
              </w:rPr>
            </w:pPr>
            <w:r>
              <w:rPr>
                <w:b/>
                <w:color w:val="auto"/>
                <w:sz w:val="22"/>
                <w:szCs w:val="22"/>
              </w:rPr>
              <w:t xml:space="preserve">Reporting </w:t>
            </w:r>
            <w:r w:rsidR="0016025F">
              <w:rPr>
                <w:b/>
                <w:color w:val="auto"/>
                <w:sz w:val="22"/>
                <w:szCs w:val="22"/>
              </w:rPr>
              <w:t>year</w:t>
            </w:r>
          </w:p>
        </w:tc>
        <w:tc>
          <w:tcPr>
            <w:tcW w:w="7513" w:type="dxa"/>
            <w:vAlign w:val="center"/>
          </w:tcPr>
          <w:p w14:paraId="4E233FBA" w14:textId="0F8690BB" w:rsidR="00ED1606" w:rsidRPr="00EE4B67" w:rsidRDefault="0078782D">
            <w:pPr>
              <w:rPr>
                <w:i/>
                <w:iCs/>
              </w:rPr>
            </w:pPr>
            <w:r w:rsidRPr="00EE4B67">
              <w:rPr>
                <w:i/>
                <w:iCs/>
                <w:color w:val="156082" w:themeColor="accent1"/>
              </w:rPr>
              <w:t xml:space="preserve">2025 </w:t>
            </w:r>
            <w:r w:rsidR="00CA28DA">
              <w:rPr>
                <w:i/>
                <w:iCs/>
                <w:color w:val="156082" w:themeColor="accent1"/>
              </w:rPr>
              <w:t>(</w:t>
            </w:r>
            <w:r w:rsidR="006120DD">
              <w:rPr>
                <w:i/>
                <w:iCs/>
                <w:color w:val="156082" w:themeColor="accent1"/>
              </w:rPr>
              <w:t xml:space="preserve">e.g. </w:t>
            </w:r>
            <w:r w:rsidR="00CA28DA" w:rsidRPr="00166A27">
              <w:rPr>
                <w:i/>
                <w:color w:val="156082" w:themeColor="accent1"/>
              </w:rPr>
              <w:t>financial reporting year; calendar yea</w:t>
            </w:r>
            <w:r w:rsidR="00CA28DA">
              <w:rPr>
                <w:i/>
                <w:color w:val="156082" w:themeColor="accent1"/>
              </w:rPr>
              <w:t>r)</w:t>
            </w:r>
          </w:p>
        </w:tc>
      </w:tr>
      <w:tr w:rsidR="00796541" w14:paraId="7D612946" w14:textId="77777777" w:rsidTr="00C779E9">
        <w:trPr>
          <w:trHeight w:val="170"/>
        </w:trPr>
        <w:tc>
          <w:tcPr>
            <w:tcW w:w="5807" w:type="dxa"/>
            <w:vAlign w:val="center"/>
          </w:tcPr>
          <w:p w14:paraId="7736D132" w14:textId="2985FCD1" w:rsidR="00796541" w:rsidRPr="00147B6E" w:rsidRDefault="00E50B40" w:rsidP="00E50B40">
            <w:pPr>
              <w:pStyle w:val="Heading3"/>
              <w:numPr>
                <w:ilvl w:val="0"/>
                <w:numId w:val="0"/>
              </w:numPr>
              <w:spacing w:before="0" w:after="0"/>
              <w:rPr>
                <w:b/>
                <w:iCs/>
                <w:color w:val="auto"/>
                <w:sz w:val="22"/>
                <w:szCs w:val="22"/>
              </w:rPr>
            </w:pPr>
            <w:r>
              <w:rPr>
                <w:b/>
                <w:iCs/>
                <w:color w:val="auto"/>
                <w:sz w:val="22"/>
                <w:szCs w:val="22"/>
              </w:rPr>
              <w:t xml:space="preserve">Reporting period </w:t>
            </w:r>
            <w:r w:rsidRPr="00F363F0">
              <w:rPr>
                <w:bCs/>
                <w:iCs/>
                <w:color w:val="auto"/>
                <w:sz w:val="22"/>
                <w:szCs w:val="22"/>
              </w:rPr>
              <w:t>(if relevant)</w:t>
            </w:r>
          </w:p>
        </w:tc>
        <w:tc>
          <w:tcPr>
            <w:tcW w:w="7513" w:type="dxa"/>
            <w:vAlign w:val="center"/>
          </w:tcPr>
          <w:p w14:paraId="0D0469F2" w14:textId="5429C4C8" w:rsidR="00796541" w:rsidRPr="00166A27" w:rsidRDefault="00E50B40" w:rsidP="001A7D3E">
            <w:pPr>
              <w:rPr>
                <w:i/>
                <w:color w:val="156082" w:themeColor="accent1"/>
              </w:rPr>
            </w:pPr>
            <w:r>
              <w:rPr>
                <w:i/>
                <w:color w:val="156082" w:themeColor="accent1"/>
              </w:rPr>
              <w:t>2020-2025</w:t>
            </w:r>
          </w:p>
        </w:tc>
      </w:tr>
      <w:tr w:rsidR="00E50B40" w14:paraId="07C5397C" w14:textId="77777777" w:rsidTr="00C779E9">
        <w:trPr>
          <w:trHeight w:val="170"/>
        </w:trPr>
        <w:tc>
          <w:tcPr>
            <w:tcW w:w="5807" w:type="dxa"/>
            <w:vAlign w:val="center"/>
          </w:tcPr>
          <w:p w14:paraId="2A01C24B" w14:textId="7EB63EF0" w:rsidR="00E50B40" w:rsidRPr="00147B6E" w:rsidRDefault="00A6730A" w:rsidP="009974D6">
            <w:pPr>
              <w:pStyle w:val="Heading3"/>
              <w:numPr>
                <w:ilvl w:val="0"/>
                <w:numId w:val="0"/>
              </w:numPr>
              <w:spacing w:before="0" w:after="0"/>
              <w:ind w:left="720" w:hanging="720"/>
              <w:rPr>
                <w:b/>
                <w:iCs/>
                <w:color w:val="auto"/>
                <w:sz w:val="22"/>
                <w:szCs w:val="22"/>
              </w:rPr>
            </w:pPr>
            <w:r>
              <w:rPr>
                <w:b/>
                <w:iCs/>
                <w:color w:val="auto"/>
                <w:sz w:val="22"/>
                <w:szCs w:val="22"/>
              </w:rPr>
              <w:t xml:space="preserve">Reporting </w:t>
            </w:r>
            <w:r w:rsidR="00CA28DA">
              <w:rPr>
                <w:b/>
                <w:iCs/>
                <w:color w:val="auto"/>
                <w:sz w:val="22"/>
                <w:szCs w:val="22"/>
              </w:rPr>
              <w:t>y</w:t>
            </w:r>
            <w:r>
              <w:rPr>
                <w:b/>
                <w:iCs/>
                <w:color w:val="auto"/>
                <w:sz w:val="22"/>
                <w:szCs w:val="22"/>
              </w:rPr>
              <w:t xml:space="preserve">ear </w:t>
            </w:r>
            <w:r w:rsidR="00E143F8">
              <w:rPr>
                <w:b/>
                <w:iCs/>
                <w:color w:val="auto"/>
                <w:sz w:val="22"/>
                <w:szCs w:val="22"/>
              </w:rPr>
              <w:t xml:space="preserve">- </w:t>
            </w:r>
            <w:r w:rsidR="004A209D">
              <w:rPr>
                <w:b/>
                <w:iCs/>
                <w:color w:val="auto"/>
                <w:sz w:val="22"/>
                <w:szCs w:val="22"/>
              </w:rPr>
              <w:t>net</w:t>
            </w:r>
            <w:r w:rsidR="004100DA">
              <w:rPr>
                <w:b/>
                <w:iCs/>
                <w:color w:val="auto"/>
                <w:sz w:val="22"/>
                <w:szCs w:val="22"/>
              </w:rPr>
              <w:t xml:space="preserve"> </w:t>
            </w:r>
            <w:r>
              <w:rPr>
                <w:b/>
                <w:iCs/>
                <w:color w:val="auto"/>
                <w:sz w:val="22"/>
                <w:szCs w:val="22"/>
              </w:rPr>
              <w:t>emissions</w:t>
            </w:r>
            <w:r w:rsidR="001C531A">
              <w:rPr>
                <w:b/>
                <w:iCs/>
                <w:color w:val="auto"/>
                <w:sz w:val="22"/>
                <w:szCs w:val="22"/>
              </w:rPr>
              <w:t xml:space="preserve"> </w:t>
            </w:r>
            <w:r w:rsidR="00321A01" w:rsidRPr="00321A01">
              <w:rPr>
                <w:bCs/>
                <w:iCs/>
                <w:color w:val="auto"/>
                <w:sz w:val="22"/>
                <w:szCs w:val="22"/>
              </w:rPr>
              <w:t>(a)(b)</w:t>
            </w:r>
          </w:p>
        </w:tc>
        <w:tc>
          <w:tcPr>
            <w:tcW w:w="7513" w:type="dxa"/>
            <w:vAlign w:val="center"/>
          </w:tcPr>
          <w:p w14:paraId="208775F7" w14:textId="3118398E" w:rsidR="00E50B40" w:rsidRPr="00166A27" w:rsidRDefault="00F363F0" w:rsidP="001A7D3E">
            <w:pPr>
              <w:rPr>
                <w:i/>
                <w:color w:val="156082" w:themeColor="accent1"/>
              </w:rPr>
            </w:pPr>
            <w:r>
              <w:rPr>
                <w:rFonts w:eastAsia="Times New Roman" w:cs="Times New Roman"/>
                <w:kern w:val="0"/>
                <w:lang w:eastAsia="en-AU"/>
                <w14:ligatures w14:val="none"/>
              </w:rPr>
              <w:t>t</w:t>
            </w:r>
            <w:r w:rsidRPr="009812AC">
              <w:rPr>
                <w:rFonts w:eastAsia="Times New Roman" w:cs="Times New Roman"/>
                <w:kern w:val="0"/>
                <w:lang w:eastAsia="en-AU"/>
                <w14:ligatures w14:val="none"/>
              </w:rPr>
              <w:t>/CO₂-e</w:t>
            </w:r>
          </w:p>
        </w:tc>
      </w:tr>
      <w:tr w:rsidR="00A6730A" w14:paraId="5C085B7B" w14:textId="77777777" w:rsidTr="00C779E9">
        <w:trPr>
          <w:trHeight w:val="170"/>
        </w:trPr>
        <w:tc>
          <w:tcPr>
            <w:tcW w:w="5807" w:type="dxa"/>
            <w:vAlign w:val="center"/>
          </w:tcPr>
          <w:p w14:paraId="18B11016" w14:textId="70F7174B" w:rsidR="00A6730A" w:rsidRPr="00147B6E" w:rsidRDefault="00A6730A" w:rsidP="00A6730A">
            <w:pPr>
              <w:pStyle w:val="Heading3"/>
              <w:numPr>
                <w:ilvl w:val="0"/>
                <w:numId w:val="0"/>
              </w:numPr>
              <w:spacing w:before="0" w:after="0"/>
              <w:ind w:left="720" w:hanging="720"/>
              <w:rPr>
                <w:b/>
                <w:iCs/>
                <w:color w:val="auto"/>
                <w:sz w:val="22"/>
                <w:szCs w:val="22"/>
              </w:rPr>
            </w:pPr>
            <w:r>
              <w:rPr>
                <w:b/>
                <w:iCs/>
                <w:color w:val="auto"/>
                <w:sz w:val="22"/>
                <w:szCs w:val="22"/>
              </w:rPr>
              <w:t xml:space="preserve">Reporting period </w:t>
            </w:r>
            <w:r w:rsidR="001C531A">
              <w:rPr>
                <w:b/>
                <w:iCs/>
                <w:color w:val="auto"/>
                <w:sz w:val="22"/>
                <w:szCs w:val="22"/>
              </w:rPr>
              <w:t>–</w:t>
            </w:r>
            <w:r w:rsidR="00E143F8">
              <w:rPr>
                <w:b/>
                <w:iCs/>
                <w:color w:val="auto"/>
                <w:sz w:val="22"/>
                <w:szCs w:val="22"/>
              </w:rPr>
              <w:t xml:space="preserve"> </w:t>
            </w:r>
            <w:r w:rsidR="001C531A">
              <w:rPr>
                <w:b/>
                <w:iCs/>
                <w:color w:val="auto"/>
                <w:sz w:val="22"/>
                <w:szCs w:val="22"/>
              </w:rPr>
              <w:t>net</w:t>
            </w:r>
            <w:r w:rsidR="00E143F8">
              <w:rPr>
                <w:b/>
                <w:iCs/>
                <w:color w:val="auto"/>
                <w:sz w:val="22"/>
                <w:szCs w:val="22"/>
              </w:rPr>
              <w:t xml:space="preserve"> </w:t>
            </w:r>
            <w:r>
              <w:rPr>
                <w:b/>
                <w:iCs/>
                <w:color w:val="auto"/>
                <w:sz w:val="22"/>
                <w:szCs w:val="22"/>
              </w:rPr>
              <w:t>emissions</w:t>
            </w:r>
            <w:r w:rsidR="00CA28DA">
              <w:rPr>
                <w:b/>
                <w:iCs/>
                <w:color w:val="auto"/>
                <w:sz w:val="22"/>
                <w:szCs w:val="22"/>
              </w:rPr>
              <w:t xml:space="preserve"> </w:t>
            </w:r>
            <w:r w:rsidR="00CA28DA" w:rsidRPr="00F363F0">
              <w:rPr>
                <w:bCs/>
                <w:iCs/>
                <w:color w:val="auto"/>
                <w:sz w:val="22"/>
                <w:szCs w:val="22"/>
              </w:rPr>
              <w:t>(if relevant)</w:t>
            </w:r>
          </w:p>
        </w:tc>
        <w:tc>
          <w:tcPr>
            <w:tcW w:w="7513" w:type="dxa"/>
            <w:vAlign w:val="center"/>
          </w:tcPr>
          <w:p w14:paraId="5BC2D23D" w14:textId="19F577FF" w:rsidR="00A6730A" w:rsidRPr="00166A27" w:rsidRDefault="00F363F0" w:rsidP="00A6730A">
            <w:pPr>
              <w:rPr>
                <w:i/>
                <w:color w:val="156082" w:themeColor="accent1"/>
              </w:rPr>
            </w:pPr>
            <w:r>
              <w:rPr>
                <w:rFonts w:eastAsia="Times New Roman" w:cs="Times New Roman"/>
                <w:kern w:val="0"/>
                <w:lang w:eastAsia="en-AU"/>
                <w14:ligatures w14:val="none"/>
              </w:rPr>
              <w:t>t</w:t>
            </w:r>
            <w:r w:rsidRPr="009812AC">
              <w:rPr>
                <w:rFonts w:eastAsia="Times New Roman" w:cs="Times New Roman"/>
                <w:kern w:val="0"/>
                <w:lang w:eastAsia="en-AU"/>
                <w14:ligatures w14:val="none"/>
              </w:rPr>
              <w:t>/CO₂-e</w:t>
            </w:r>
            <w:r>
              <w:rPr>
                <w:rFonts w:eastAsia="Times New Roman" w:cs="Times New Roman"/>
                <w:kern w:val="0"/>
                <w:lang w:eastAsia="en-AU"/>
                <w14:ligatures w14:val="none"/>
              </w:rPr>
              <w:t xml:space="preserve"> </w:t>
            </w:r>
          </w:p>
        </w:tc>
      </w:tr>
      <w:tr w:rsidR="000617E3" w14:paraId="5B41F05E" w14:textId="77777777" w:rsidTr="00C779E9">
        <w:trPr>
          <w:trHeight w:val="170"/>
        </w:trPr>
        <w:tc>
          <w:tcPr>
            <w:tcW w:w="5807" w:type="dxa"/>
            <w:shd w:val="clear" w:color="auto" w:fill="E8E8E8" w:themeFill="background2"/>
            <w:vAlign w:val="center"/>
          </w:tcPr>
          <w:p w14:paraId="4844F9B5" w14:textId="77777777" w:rsidR="000617E3" w:rsidRDefault="000617E3" w:rsidP="00A6730A">
            <w:pPr>
              <w:pStyle w:val="Heading3"/>
              <w:numPr>
                <w:ilvl w:val="0"/>
                <w:numId w:val="0"/>
              </w:numPr>
              <w:spacing w:before="0" w:after="0"/>
              <w:ind w:left="720" w:hanging="720"/>
              <w:rPr>
                <w:b/>
                <w:iCs/>
                <w:color w:val="auto"/>
                <w:sz w:val="22"/>
                <w:szCs w:val="22"/>
              </w:rPr>
            </w:pPr>
          </w:p>
        </w:tc>
        <w:tc>
          <w:tcPr>
            <w:tcW w:w="7513" w:type="dxa"/>
            <w:shd w:val="clear" w:color="auto" w:fill="E8E8E8" w:themeFill="background2"/>
            <w:vAlign w:val="center"/>
          </w:tcPr>
          <w:p w14:paraId="192C8047" w14:textId="77777777" w:rsidR="000617E3" w:rsidRDefault="000617E3" w:rsidP="00A6730A">
            <w:pPr>
              <w:rPr>
                <w:rFonts w:eastAsia="Times New Roman" w:cs="Times New Roman"/>
                <w:kern w:val="0"/>
                <w:lang w:eastAsia="en-AU"/>
                <w14:ligatures w14:val="none"/>
              </w:rPr>
            </w:pPr>
          </w:p>
        </w:tc>
      </w:tr>
      <w:tr w:rsidR="001E62B2" w14:paraId="5D2F4004" w14:textId="77777777" w:rsidTr="00C779E9">
        <w:trPr>
          <w:trHeight w:val="170"/>
        </w:trPr>
        <w:tc>
          <w:tcPr>
            <w:tcW w:w="5807" w:type="dxa"/>
            <w:vAlign w:val="center"/>
          </w:tcPr>
          <w:p w14:paraId="7A213E3B" w14:textId="153C8B29" w:rsidR="001E62B2" w:rsidRPr="00CD7292" w:rsidRDefault="001E62B2">
            <w:pPr>
              <w:pStyle w:val="Heading3"/>
              <w:numPr>
                <w:ilvl w:val="0"/>
                <w:numId w:val="0"/>
              </w:numPr>
              <w:spacing w:before="0" w:after="0"/>
              <w:ind w:left="720" w:hanging="720"/>
              <w:rPr>
                <w:b/>
                <w:color w:val="auto"/>
                <w:sz w:val="22"/>
                <w:szCs w:val="22"/>
              </w:rPr>
            </w:pPr>
            <w:r w:rsidRPr="00CD7292">
              <w:rPr>
                <w:b/>
                <w:color w:val="auto"/>
                <w:sz w:val="22"/>
                <w:szCs w:val="22"/>
              </w:rPr>
              <w:t xml:space="preserve">Base year (or period) </w:t>
            </w:r>
            <w:r w:rsidR="001A0678" w:rsidRPr="001A0678">
              <w:rPr>
                <w:bCs/>
                <w:color w:val="auto"/>
                <w:sz w:val="22"/>
                <w:szCs w:val="22"/>
              </w:rPr>
              <w:t>(if relevant)</w:t>
            </w:r>
          </w:p>
        </w:tc>
        <w:tc>
          <w:tcPr>
            <w:tcW w:w="7513" w:type="dxa"/>
            <w:vAlign w:val="center"/>
          </w:tcPr>
          <w:p w14:paraId="685D450F" w14:textId="7761B5AD" w:rsidR="001E62B2" w:rsidRPr="003B201D" w:rsidRDefault="001E62B2"/>
        </w:tc>
      </w:tr>
      <w:tr w:rsidR="001E62B2" w14:paraId="1093B9ED" w14:textId="77777777" w:rsidTr="00C779E9">
        <w:trPr>
          <w:trHeight w:val="170"/>
        </w:trPr>
        <w:tc>
          <w:tcPr>
            <w:tcW w:w="5807" w:type="dxa"/>
            <w:vAlign w:val="center"/>
          </w:tcPr>
          <w:p w14:paraId="78B7C50C" w14:textId="100AF8DC" w:rsidR="001E62B2" w:rsidRPr="00CD7292" w:rsidRDefault="001E62B2">
            <w:pPr>
              <w:pStyle w:val="Heading3"/>
              <w:numPr>
                <w:ilvl w:val="0"/>
                <w:numId w:val="0"/>
              </w:numPr>
              <w:spacing w:before="0" w:after="0"/>
              <w:ind w:left="720" w:hanging="720"/>
              <w:rPr>
                <w:b/>
                <w:color w:val="auto"/>
                <w:sz w:val="22"/>
                <w:szCs w:val="22"/>
              </w:rPr>
            </w:pPr>
            <w:r w:rsidRPr="00CD7292">
              <w:rPr>
                <w:b/>
                <w:color w:val="auto"/>
                <w:sz w:val="22"/>
                <w:szCs w:val="22"/>
              </w:rPr>
              <w:t xml:space="preserve">Base </w:t>
            </w:r>
            <w:r w:rsidR="00A6730A">
              <w:rPr>
                <w:b/>
                <w:color w:val="auto"/>
                <w:sz w:val="22"/>
                <w:szCs w:val="22"/>
              </w:rPr>
              <w:t xml:space="preserve">year (or </w:t>
            </w:r>
            <w:r w:rsidRPr="00CD7292">
              <w:rPr>
                <w:b/>
                <w:color w:val="auto"/>
                <w:sz w:val="22"/>
                <w:szCs w:val="22"/>
              </w:rPr>
              <w:t>period</w:t>
            </w:r>
            <w:r w:rsidR="00A6730A">
              <w:rPr>
                <w:b/>
                <w:color w:val="auto"/>
                <w:sz w:val="22"/>
                <w:szCs w:val="22"/>
              </w:rPr>
              <w:t>)</w:t>
            </w:r>
            <w:r w:rsidR="00A6730A" w:rsidRPr="00CD7292">
              <w:rPr>
                <w:b/>
                <w:color w:val="auto"/>
                <w:sz w:val="22"/>
                <w:szCs w:val="22"/>
              </w:rPr>
              <w:t xml:space="preserve"> </w:t>
            </w:r>
            <w:r w:rsidR="001C531A">
              <w:rPr>
                <w:b/>
                <w:color w:val="auto"/>
                <w:sz w:val="22"/>
                <w:szCs w:val="22"/>
              </w:rPr>
              <w:t>–</w:t>
            </w:r>
            <w:r w:rsidRPr="00CD7292">
              <w:rPr>
                <w:b/>
                <w:color w:val="auto"/>
                <w:sz w:val="22"/>
                <w:szCs w:val="22"/>
              </w:rPr>
              <w:t xml:space="preserve"> </w:t>
            </w:r>
            <w:r w:rsidR="001C531A">
              <w:rPr>
                <w:b/>
                <w:color w:val="auto"/>
                <w:sz w:val="22"/>
                <w:szCs w:val="22"/>
              </w:rPr>
              <w:t>net</w:t>
            </w:r>
            <w:r w:rsidR="00E143F8">
              <w:rPr>
                <w:b/>
                <w:color w:val="auto"/>
                <w:sz w:val="22"/>
                <w:szCs w:val="22"/>
              </w:rPr>
              <w:t xml:space="preserve"> </w:t>
            </w:r>
            <w:r w:rsidRPr="00CD7292">
              <w:rPr>
                <w:b/>
                <w:color w:val="auto"/>
                <w:sz w:val="22"/>
                <w:szCs w:val="22"/>
              </w:rPr>
              <w:t xml:space="preserve">emissions </w:t>
            </w:r>
          </w:p>
        </w:tc>
        <w:tc>
          <w:tcPr>
            <w:tcW w:w="7513" w:type="dxa"/>
            <w:vAlign w:val="center"/>
          </w:tcPr>
          <w:p w14:paraId="3D0F5745" w14:textId="79091FA4" w:rsidR="001E62B2" w:rsidRPr="003B201D" w:rsidRDefault="001E62B2">
            <w:r w:rsidRPr="009812AC">
              <w:rPr>
                <w:rFonts w:eastAsia="Times New Roman" w:cs="Times New Roman"/>
                <w:kern w:val="0"/>
                <w:lang w:eastAsia="en-AU"/>
                <w14:ligatures w14:val="none"/>
              </w:rPr>
              <w:t>t/CO₂-e</w:t>
            </w:r>
            <w:r>
              <w:rPr>
                <w:rFonts w:eastAsia="Times New Roman" w:cs="Times New Roman"/>
                <w:kern w:val="0"/>
                <w:lang w:eastAsia="en-AU"/>
                <w14:ligatures w14:val="none"/>
              </w:rPr>
              <w:t xml:space="preserve"> </w:t>
            </w:r>
          </w:p>
        </w:tc>
      </w:tr>
      <w:tr w:rsidR="000617E3" w14:paraId="471E798B" w14:textId="77777777" w:rsidTr="00C779E9">
        <w:trPr>
          <w:trHeight w:val="170"/>
        </w:trPr>
        <w:tc>
          <w:tcPr>
            <w:tcW w:w="5807" w:type="dxa"/>
            <w:shd w:val="clear" w:color="auto" w:fill="E8E8E8" w:themeFill="background2"/>
            <w:vAlign w:val="center"/>
          </w:tcPr>
          <w:p w14:paraId="09604BE1" w14:textId="77777777" w:rsidR="000617E3" w:rsidRPr="00E56001" w:rsidRDefault="000617E3" w:rsidP="00A6730A">
            <w:pPr>
              <w:pStyle w:val="Heading3"/>
              <w:numPr>
                <w:ilvl w:val="0"/>
                <w:numId w:val="0"/>
              </w:numPr>
              <w:spacing w:before="0" w:after="0"/>
              <w:ind w:left="720" w:hanging="720"/>
              <w:rPr>
                <w:b/>
                <w:color w:val="auto"/>
                <w:sz w:val="22"/>
                <w:szCs w:val="22"/>
              </w:rPr>
            </w:pPr>
          </w:p>
        </w:tc>
        <w:tc>
          <w:tcPr>
            <w:tcW w:w="7513" w:type="dxa"/>
            <w:shd w:val="clear" w:color="auto" w:fill="E8E8E8" w:themeFill="background2"/>
            <w:vAlign w:val="center"/>
          </w:tcPr>
          <w:p w14:paraId="4E4BA5A5" w14:textId="77777777" w:rsidR="000617E3" w:rsidRDefault="000617E3" w:rsidP="00A6730A">
            <w:pPr>
              <w:rPr>
                <w:rFonts w:ascii="Aptos" w:eastAsia="Times New Roman" w:hAnsi="Aptos" w:cs="Times New Roman"/>
                <w:i/>
                <w:iCs/>
                <w:color w:val="156082"/>
                <w:kern w:val="0"/>
                <w:lang w:eastAsia="en-AU"/>
                <w14:ligatures w14:val="none"/>
              </w:rPr>
            </w:pPr>
          </w:p>
        </w:tc>
      </w:tr>
      <w:tr w:rsidR="00A6730A" w14:paraId="024D98F8" w14:textId="77777777" w:rsidTr="00C779E9">
        <w:trPr>
          <w:trHeight w:val="170"/>
        </w:trPr>
        <w:tc>
          <w:tcPr>
            <w:tcW w:w="5807" w:type="dxa"/>
            <w:vAlign w:val="center"/>
          </w:tcPr>
          <w:p w14:paraId="1406E987" w14:textId="549AA8EF" w:rsidR="00A6730A" w:rsidRPr="00CD7292" w:rsidRDefault="00A6730A" w:rsidP="00A6730A">
            <w:pPr>
              <w:pStyle w:val="Heading3"/>
              <w:numPr>
                <w:ilvl w:val="0"/>
                <w:numId w:val="0"/>
              </w:numPr>
              <w:spacing w:before="0" w:after="0"/>
              <w:ind w:left="720" w:hanging="720"/>
              <w:rPr>
                <w:b/>
                <w:color w:val="auto"/>
                <w:sz w:val="22"/>
                <w:szCs w:val="22"/>
              </w:rPr>
            </w:pPr>
            <w:r w:rsidRPr="00E56001">
              <w:rPr>
                <w:b/>
                <w:color w:val="auto"/>
                <w:sz w:val="22"/>
                <w:szCs w:val="22"/>
              </w:rPr>
              <w:t xml:space="preserve">GWP </w:t>
            </w:r>
            <w:r w:rsidR="00EA2F82">
              <w:rPr>
                <w:b/>
                <w:color w:val="auto"/>
                <w:sz w:val="22"/>
                <w:szCs w:val="22"/>
              </w:rPr>
              <w:t>metric source</w:t>
            </w:r>
            <w:r>
              <w:rPr>
                <w:rFonts w:eastAsia="Times New Roman" w:cs="Times New Roman"/>
                <w:b/>
                <w:bCs/>
                <w:color w:val="000000"/>
                <w:kern w:val="0"/>
                <w:lang w:eastAsia="en-AU"/>
                <w14:ligatures w14:val="none"/>
              </w:rPr>
              <w:t xml:space="preserve"> </w:t>
            </w:r>
          </w:p>
        </w:tc>
        <w:tc>
          <w:tcPr>
            <w:tcW w:w="7513" w:type="dxa"/>
            <w:vAlign w:val="center"/>
          </w:tcPr>
          <w:p w14:paraId="6839891A" w14:textId="60FC84F1" w:rsidR="00A6730A" w:rsidRPr="003B201D" w:rsidRDefault="00A6730A" w:rsidP="00A6730A">
            <w:r>
              <w:rPr>
                <w:rFonts w:ascii="Aptos" w:eastAsia="Times New Roman" w:hAnsi="Aptos" w:cs="Times New Roman"/>
                <w:i/>
                <w:iCs/>
                <w:color w:val="156082"/>
                <w:kern w:val="0"/>
                <w:lang w:eastAsia="en-AU"/>
                <w14:ligatures w14:val="none"/>
              </w:rPr>
              <w:t xml:space="preserve">GWP100 - IPCC AR5 </w:t>
            </w:r>
          </w:p>
        </w:tc>
      </w:tr>
      <w:tr w:rsidR="001E62B2" w14:paraId="7E28CE9D" w14:textId="77777777" w:rsidTr="00C779E9">
        <w:trPr>
          <w:trHeight w:val="170"/>
        </w:trPr>
        <w:tc>
          <w:tcPr>
            <w:tcW w:w="5807" w:type="dxa"/>
            <w:vAlign w:val="center"/>
          </w:tcPr>
          <w:p w14:paraId="6A734FC8" w14:textId="4553E764" w:rsidR="001E62B2" w:rsidRPr="00CD7292" w:rsidRDefault="001E62B2">
            <w:pPr>
              <w:pStyle w:val="Heading3"/>
              <w:numPr>
                <w:ilvl w:val="0"/>
                <w:numId w:val="0"/>
              </w:numPr>
              <w:spacing w:before="0" w:after="0"/>
              <w:ind w:left="720" w:hanging="720"/>
              <w:rPr>
                <w:b/>
                <w:color w:val="auto"/>
                <w:sz w:val="22"/>
                <w:szCs w:val="22"/>
              </w:rPr>
            </w:pPr>
            <w:bookmarkStart w:id="108" w:name="_Toc206156780"/>
            <w:r w:rsidRPr="00CD7292">
              <w:rPr>
                <w:b/>
                <w:color w:val="auto"/>
                <w:sz w:val="22"/>
                <w:szCs w:val="22"/>
              </w:rPr>
              <w:t>GHG calculator used</w:t>
            </w:r>
            <w:bookmarkEnd w:id="108"/>
            <w:r w:rsidRPr="00CD7292">
              <w:rPr>
                <w:b/>
                <w:color w:val="auto"/>
                <w:sz w:val="22"/>
                <w:szCs w:val="22"/>
              </w:rPr>
              <w:t xml:space="preserve"> </w:t>
            </w:r>
            <w:r w:rsidR="00813D92">
              <w:rPr>
                <w:b/>
                <w:color w:val="auto"/>
                <w:sz w:val="22"/>
                <w:szCs w:val="22"/>
              </w:rPr>
              <w:t xml:space="preserve">(if </w:t>
            </w:r>
            <w:r w:rsidR="00A6730A">
              <w:rPr>
                <w:b/>
                <w:color w:val="auto"/>
                <w:sz w:val="22"/>
                <w:szCs w:val="22"/>
              </w:rPr>
              <w:t>applicable</w:t>
            </w:r>
            <w:r w:rsidR="00813D92">
              <w:rPr>
                <w:b/>
                <w:color w:val="auto"/>
                <w:sz w:val="22"/>
                <w:szCs w:val="22"/>
              </w:rPr>
              <w:t>)</w:t>
            </w:r>
          </w:p>
        </w:tc>
        <w:tc>
          <w:tcPr>
            <w:tcW w:w="7513" w:type="dxa"/>
            <w:vAlign w:val="center"/>
          </w:tcPr>
          <w:p w14:paraId="64C895D4" w14:textId="77777777" w:rsidR="001E62B2" w:rsidRPr="003B201D" w:rsidRDefault="001E62B2"/>
        </w:tc>
      </w:tr>
    </w:tbl>
    <w:p w14:paraId="5344A1A0" w14:textId="47B65320" w:rsidR="004C6D70" w:rsidRDefault="004C6D70" w:rsidP="00321A01">
      <w:pPr>
        <w:spacing w:after="0"/>
        <w:ind w:right="635"/>
        <w:jc w:val="both"/>
        <w:rPr>
          <w:sz w:val="18"/>
          <w:szCs w:val="18"/>
        </w:rPr>
      </w:pPr>
      <w:r w:rsidRPr="00CB6065">
        <w:rPr>
          <w:sz w:val="18"/>
          <w:szCs w:val="18"/>
        </w:rPr>
        <w:t xml:space="preserve">(a) Land management activities can </w:t>
      </w:r>
      <w:r>
        <w:rPr>
          <w:sz w:val="18"/>
          <w:szCs w:val="18"/>
        </w:rPr>
        <w:t xml:space="preserve">lead to both </w:t>
      </w:r>
      <w:r w:rsidRPr="00CB6065">
        <w:rPr>
          <w:sz w:val="18"/>
          <w:szCs w:val="18"/>
        </w:rPr>
        <w:t>emissions and removals of biogenic CO</w:t>
      </w:r>
      <w:r w:rsidRPr="00CB6065">
        <w:rPr>
          <w:sz w:val="18"/>
          <w:szCs w:val="18"/>
          <w:vertAlign w:val="subscript"/>
        </w:rPr>
        <w:t>2</w:t>
      </w:r>
      <w:r>
        <w:rPr>
          <w:sz w:val="18"/>
          <w:szCs w:val="18"/>
        </w:rPr>
        <w:t xml:space="preserve">. These are </w:t>
      </w:r>
      <w:r w:rsidR="00FD418D">
        <w:rPr>
          <w:sz w:val="18"/>
          <w:szCs w:val="18"/>
        </w:rPr>
        <w:t>summed</w:t>
      </w:r>
      <w:r w:rsidDel="006F1A27">
        <w:rPr>
          <w:sz w:val="18"/>
          <w:szCs w:val="18"/>
        </w:rPr>
        <w:t xml:space="preserve"> </w:t>
      </w:r>
      <w:r w:rsidR="006F1A27">
        <w:rPr>
          <w:sz w:val="18"/>
          <w:szCs w:val="18"/>
        </w:rPr>
        <w:t>to give net biogenic CO</w:t>
      </w:r>
      <w:r w:rsidR="006F1A27" w:rsidRPr="004C34D4">
        <w:rPr>
          <w:sz w:val="18"/>
          <w:szCs w:val="18"/>
          <w:vertAlign w:val="subscript"/>
        </w:rPr>
        <w:t>2</w:t>
      </w:r>
      <w:r w:rsidR="006F1A27">
        <w:rPr>
          <w:sz w:val="18"/>
          <w:szCs w:val="18"/>
        </w:rPr>
        <w:t>.</w:t>
      </w:r>
      <w:r>
        <w:rPr>
          <w:sz w:val="18"/>
          <w:szCs w:val="18"/>
        </w:rPr>
        <w:t xml:space="preserve"> Net removals should be reported as</w:t>
      </w:r>
      <w:r w:rsidR="00B92E72">
        <w:rPr>
          <w:sz w:val="18"/>
          <w:szCs w:val="18"/>
        </w:rPr>
        <w:t xml:space="preserve"> a</w:t>
      </w:r>
      <w:r>
        <w:rPr>
          <w:sz w:val="18"/>
          <w:szCs w:val="18"/>
        </w:rPr>
        <w:t xml:space="preserve"> negative value</w:t>
      </w:r>
      <w:r w:rsidR="00702665">
        <w:rPr>
          <w:sz w:val="18"/>
          <w:szCs w:val="18"/>
        </w:rPr>
        <w:t xml:space="preserve">. </w:t>
      </w:r>
      <w:r>
        <w:rPr>
          <w:sz w:val="18"/>
          <w:szCs w:val="18"/>
        </w:rPr>
        <w:t xml:space="preserve"> </w:t>
      </w:r>
      <w:r w:rsidR="00E55BB7">
        <w:rPr>
          <w:sz w:val="18"/>
          <w:szCs w:val="18"/>
        </w:rPr>
        <w:t xml:space="preserve">Net in this context does refer to </w:t>
      </w:r>
      <w:r w:rsidR="00A4410A">
        <w:rPr>
          <w:sz w:val="18"/>
          <w:szCs w:val="18"/>
        </w:rPr>
        <w:t>adjustments for purchased or sold carbon credits.</w:t>
      </w:r>
    </w:p>
    <w:p w14:paraId="0BF630DF" w14:textId="389FDE73" w:rsidR="00321A01" w:rsidRPr="00CB6065" w:rsidRDefault="00321A01" w:rsidP="00C325C2">
      <w:pPr>
        <w:ind w:right="633"/>
        <w:jc w:val="both"/>
        <w:rPr>
          <w:sz w:val="18"/>
          <w:szCs w:val="18"/>
        </w:rPr>
      </w:pPr>
      <w:r>
        <w:rPr>
          <w:sz w:val="18"/>
          <w:szCs w:val="18"/>
        </w:rPr>
        <w:t>(b)</w:t>
      </w:r>
      <w:r w:rsidR="00910F69">
        <w:rPr>
          <w:sz w:val="18"/>
          <w:szCs w:val="18"/>
        </w:rPr>
        <w:t xml:space="preserve"> Entity </w:t>
      </w:r>
      <w:r w:rsidR="005F43EC">
        <w:rPr>
          <w:sz w:val="18"/>
          <w:szCs w:val="18"/>
        </w:rPr>
        <w:t>may</w:t>
      </w:r>
      <w:r w:rsidR="00910F69">
        <w:rPr>
          <w:sz w:val="18"/>
          <w:szCs w:val="18"/>
        </w:rPr>
        <w:t xml:space="preserve"> presen</w:t>
      </w:r>
      <w:r w:rsidR="008E3D13">
        <w:rPr>
          <w:sz w:val="18"/>
          <w:szCs w:val="18"/>
        </w:rPr>
        <w:t>t separate net emissions estimates whe</w:t>
      </w:r>
      <w:r w:rsidR="00F1583D">
        <w:rPr>
          <w:sz w:val="18"/>
          <w:szCs w:val="18"/>
        </w:rPr>
        <w:t>n applying</w:t>
      </w:r>
      <w:r w:rsidR="008E3D13">
        <w:rPr>
          <w:sz w:val="18"/>
          <w:szCs w:val="18"/>
        </w:rPr>
        <w:t xml:space="preserve"> the market-based scope 2 </w:t>
      </w:r>
      <w:r w:rsidR="00F1583D">
        <w:rPr>
          <w:sz w:val="18"/>
          <w:szCs w:val="18"/>
        </w:rPr>
        <w:t xml:space="preserve">method </w:t>
      </w:r>
      <w:r w:rsidR="008E3D13">
        <w:rPr>
          <w:sz w:val="18"/>
          <w:szCs w:val="18"/>
        </w:rPr>
        <w:t xml:space="preserve">or </w:t>
      </w:r>
      <w:r w:rsidR="00F1583D">
        <w:rPr>
          <w:sz w:val="18"/>
          <w:szCs w:val="18"/>
        </w:rPr>
        <w:t xml:space="preserve">the </w:t>
      </w:r>
      <w:r w:rsidR="008E3D13">
        <w:rPr>
          <w:sz w:val="18"/>
          <w:szCs w:val="18"/>
        </w:rPr>
        <w:t>HWP approach</w:t>
      </w:r>
      <w:r w:rsidR="00F1583D">
        <w:rPr>
          <w:sz w:val="18"/>
          <w:szCs w:val="18"/>
        </w:rPr>
        <w:t>,</w:t>
      </w:r>
      <w:r w:rsidR="008E3D13">
        <w:rPr>
          <w:sz w:val="18"/>
          <w:szCs w:val="18"/>
        </w:rPr>
        <w:t xml:space="preserve"> or </w:t>
      </w:r>
      <w:r w:rsidR="0091640D">
        <w:rPr>
          <w:sz w:val="18"/>
          <w:szCs w:val="18"/>
        </w:rPr>
        <w:t xml:space="preserve">when </w:t>
      </w:r>
      <w:r w:rsidR="008E3D13">
        <w:rPr>
          <w:sz w:val="18"/>
          <w:szCs w:val="18"/>
        </w:rPr>
        <w:t xml:space="preserve">adjustments </w:t>
      </w:r>
      <w:r w:rsidR="0091640D">
        <w:rPr>
          <w:sz w:val="18"/>
          <w:szCs w:val="18"/>
        </w:rPr>
        <w:t>are required for</w:t>
      </w:r>
      <w:r w:rsidR="008E3D13">
        <w:rPr>
          <w:sz w:val="18"/>
          <w:szCs w:val="18"/>
        </w:rPr>
        <w:t xml:space="preserve"> generated and sold ACCU</w:t>
      </w:r>
      <w:r w:rsidR="00457D78">
        <w:rPr>
          <w:sz w:val="18"/>
          <w:szCs w:val="18"/>
        </w:rPr>
        <w:t>s</w:t>
      </w:r>
      <w:r w:rsidR="00745848">
        <w:rPr>
          <w:sz w:val="18"/>
          <w:szCs w:val="18"/>
        </w:rPr>
        <w:t xml:space="preserve">. </w:t>
      </w:r>
      <w:r w:rsidR="0091640D" w:rsidRPr="0091640D">
        <w:rPr>
          <w:sz w:val="18"/>
          <w:szCs w:val="18"/>
        </w:rPr>
        <w:t xml:space="preserve">Any such separate estimates </w:t>
      </w:r>
      <w:r w:rsidR="008F521B">
        <w:rPr>
          <w:sz w:val="18"/>
          <w:szCs w:val="18"/>
        </w:rPr>
        <w:t xml:space="preserve">shall </w:t>
      </w:r>
      <w:r w:rsidR="0091640D" w:rsidRPr="0091640D">
        <w:rPr>
          <w:sz w:val="18"/>
          <w:szCs w:val="18"/>
        </w:rPr>
        <w:t xml:space="preserve"> be clearly distinguished and identified in the reporting.</w:t>
      </w:r>
    </w:p>
    <w:p w14:paraId="59168B5E" w14:textId="74A7B028" w:rsidR="001E62B2" w:rsidRPr="006849E2" w:rsidRDefault="001E62B2" w:rsidP="001E62B2">
      <w:pPr>
        <w:pStyle w:val="Heading3"/>
        <w:numPr>
          <w:ilvl w:val="0"/>
          <w:numId w:val="0"/>
        </w:numPr>
      </w:pPr>
      <w:r>
        <w:br w:type="page"/>
      </w:r>
      <w:r w:rsidR="00773D5E">
        <w:lastRenderedPageBreak/>
        <w:t>E</w:t>
      </w:r>
      <w:r w:rsidRPr="006849E2">
        <w:t>missions</w:t>
      </w:r>
      <w:r>
        <w:t xml:space="preserve"> and removals </w:t>
      </w:r>
      <w:r w:rsidRPr="006849E2">
        <w:t>by source</w:t>
      </w:r>
      <w:r w:rsidR="00773D5E">
        <w:t xml:space="preserve"> and sink</w:t>
      </w:r>
      <w:r w:rsidR="00224B4D">
        <w:t xml:space="preserve"> category</w:t>
      </w:r>
      <w:bookmarkEnd w:id="106"/>
    </w:p>
    <w:tbl>
      <w:tblPr>
        <w:tblW w:w="120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3"/>
        <w:gridCol w:w="2863"/>
        <w:gridCol w:w="1600"/>
        <w:gridCol w:w="1015"/>
        <w:gridCol w:w="1432"/>
        <w:gridCol w:w="890"/>
        <w:gridCol w:w="13"/>
        <w:gridCol w:w="1753"/>
      </w:tblGrid>
      <w:tr w:rsidR="00541974" w:rsidRPr="00C10CFF" w14:paraId="21C21DA0" w14:textId="77777777">
        <w:trPr>
          <w:trHeight w:val="678"/>
          <w:tblHeader/>
        </w:trPr>
        <w:tc>
          <w:tcPr>
            <w:tcW w:w="2483" w:type="dxa"/>
            <w:shd w:val="clear" w:color="auto" w:fill="E8E8E8" w:themeFill="background2"/>
            <w:hideMark/>
          </w:tcPr>
          <w:p w14:paraId="50ED7847" w14:textId="77777777" w:rsidR="001E62B2" w:rsidRPr="00C10CFF"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C10CFF">
              <w:rPr>
                <w:rFonts w:ascii="Aptos Narrow" w:eastAsia="Times New Roman" w:hAnsi="Aptos Narrow" w:cs="Times New Roman"/>
                <w:b/>
                <w:bCs/>
                <w:color w:val="000000"/>
                <w:kern w:val="0"/>
                <w:lang w:eastAsia="en-AU"/>
                <w14:ligatures w14:val="none"/>
              </w:rPr>
              <w:t>Scope</w:t>
            </w:r>
          </w:p>
        </w:tc>
        <w:tc>
          <w:tcPr>
            <w:tcW w:w="2863" w:type="dxa"/>
            <w:shd w:val="clear" w:color="auto" w:fill="E8E8E8" w:themeFill="background2"/>
            <w:hideMark/>
          </w:tcPr>
          <w:p w14:paraId="412C218C" w14:textId="64D250CB" w:rsidR="001E62B2" w:rsidRPr="00C10CFF"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C10CFF">
              <w:rPr>
                <w:rFonts w:ascii="Aptos Narrow" w:eastAsia="Times New Roman" w:hAnsi="Aptos Narrow" w:cs="Times New Roman"/>
                <w:b/>
                <w:bCs/>
                <w:color w:val="000000"/>
                <w:kern w:val="0"/>
                <w:lang w:eastAsia="en-AU"/>
                <w14:ligatures w14:val="none"/>
              </w:rPr>
              <w:t xml:space="preserve">Source / </w:t>
            </w:r>
            <w:r w:rsidR="00ED1364">
              <w:rPr>
                <w:rFonts w:ascii="Aptos Narrow" w:eastAsia="Times New Roman" w:hAnsi="Aptos Narrow" w:cs="Times New Roman"/>
                <w:b/>
                <w:bCs/>
                <w:color w:val="000000"/>
                <w:kern w:val="0"/>
                <w:lang w:eastAsia="en-AU"/>
                <w14:ligatures w14:val="none"/>
              </w:rPr>
              <w:t>Sink</w:t>
            </w:r>
            <w:r w:rsidR="00224B4D">
              <w:rPr>
                <w:rFonts w:ascii="Aptos Narrow" w:eastAsia="Times New Roman" w:hAnsi="Aptos Narrow" w:cs="Times New Roman"/>
                <w:b/>
                <w:bCs/>
                <w:color w:val="000000"/>
                <w:kern w:val="0"/>
                <w:lang w:eastAsia="en-AU"/>
                <w14:ligatures w14:val="none"/>
              </w:rPr>
              <w:t xml:space="preserve"> Category</w:t>
            </w:r>
          </w:p>
        </w:tc>
        <w:tc>
          <w:tcPr>
            <w:tcW w:w="1600" w:type="dxa"/>
            <w:shd w:val="clear" w:color="auto" w:fill="E8E8E8" w:themeFill="background2"/>
            <w:hideMark/>
          </w:tcPr>
          <w:p w14:paraId="550FC4F6" w14:textId="77777777" w:rsidR="001E62B2" w:rsidRPr="00C10CFF"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C10CFF">
              <w:rPr>
                <w:rFonts w:ascii="Aptos Narrow" w:eastAsia="Times New Roman" w:hAnsi="Aptos Narrow" w:cs="Times New Roman"/>
                <w:b/>
                <w:bCs/>
                <w:color w:val="000000"/>
                <w:kern w:val="0"/>
                <w:lang w:eastAsia="en-AU"/>
                <w14:ligatures w14:val="none"/>
              </w:rPr>
              <w:t>Gas</w:t>
            </w:r>
          </w:p>
        </w:tc>
        <w:tc>
          <w:tcPr>
            <w:tcW w:w="1015" w:type="dxa"/>
            <w:shd w:val="clear" w:color="auto" w:fill="E8E8E8" w:themeFill="background2"/>
            <w:hideMark/>
          </w:tcPr>
          <w:p w14:paraId="5903E7AF" w14:textId="77777777" w:rsidR="001E62B2" w:rsidRPr="00C10CFF" w:rsidRDefault="001E62B2">
            <w:pPr>
              <w:spacing w:after="0" w:line="240" w:lineRule="auto"/>
              <w:jc w:val="center"/>
              <w:rPr>
                <w:rFonts w:ascii="Aptos Narrow" w:eastAsia="Times New Roman" w:hAnsi="Aptos Narrow" w:cs="Times New Roman"/>
                <w:b/>
                <w:bCs/>
                <w:kern w:val="0"/>
                <w:lang w:eastAsia="en-AU"/>
                <w14:ligatures w14:val="none"/>
              </w:rPr>
            </w:pPr>
            <w:r w:rsidRPr="00C10CFF">
              <w:rPr>
                <w:rFonts w:ascii="Aptos Narrow" w:eastAsia="Times New Roman" w:hAnsi="Aptos Narrow" w:cs="Times New Roman"/>
                <w:b/>
                <w:bCs/>
                <w:kern w:val="0"/>
                <w:lang w:eastAsia="en-AU"/>
                <w14:ligatures w14:val="none"/>
              </w:rPr>
              <w:t>Method</w:t>
            </w:r>
          </w:p>
        </w:tc>
        <w:tc>
          <w:tcPr>
            <w:tcW w:w="1432" w:type="dxa"/>
            <w:shd w:val="clear" w:color="auto" w:fill="E8E8E8" w:themeFill="background2"/>
          </w:tcPr>
          <w:p w14:paraId="05DC0802" w14:textId="77777777" w:rsidR="001E62B2" w:rsidRPr="00C10CFF" w:rsidRDefault="001E62B2">
            <w:pPr>
              <w:spacing w:after="0" w:line="240" w:lineRule="auto"/>
              <w:jc w:val="center"/>
              <w:rPr>
                <w:rFonts w:ascii="Aptos Narrow" w:eastAsia="Times New Roman" w:hAnsi="Aptos Narrow" w:cs="Times New Roman"/>
                <w:b/>
                <w:bCs/>
                <w:kern w:val="0"/>
                <w:lang w:eastAsia="en-AU"/>
                <w14:ligatures w14:val="none"/>
              </w:rPr>
            </w:pPr>
            <w:r>
              <w:rPr>
                <w:rFonts w:ascii="Aptos Narrow" w:eastAsia="Times New Roman" w:hAnsi="Aptos Narrow" w:cs="Times New Roman"/>
                <w:b/>
                <w:bCs/>
                <w:kern w:val="0"/>
                <w:lang w:eastAsia="en-AU"/>
                <w14:ligatures w14:val="none"/>
              </w:rPr>
              <w:t>Mass of gas</w:t>
            </w:r>
            <w:r>
              <w:rPr>
                <w:rFonts w:ascii="Aptos Narrow" w:eastAsia="Times New Roman" w:hAnsi="Aptos Narrow" w:cs="Times New Roman"/>
                <w:b/>
                <w:bCs/>
                <w:kern w:val="0"/>
                <w:lang w:eastAsia="en-AU"/>
                <w14:ligatures w14:val="none"/>
              </w:rPr>
              <w:br/>
              <w:t>(t)</w:t>
            </w:r>
          </w:p>
        </w:tc>
        <w:tc>
          <w:tcPr>
            <w:tcW w:w="890" w:type="dxa"/>
            <w:shd w:val="clear" w:color="auto" w:fill="E8E8E8" w:themeFill="background2"/>
            <w:hideMark/>
          </w:tcPr>
          <w:p w14:paraId="652BE9A0" w14:textId="33A34BBE" w:rsidR="001E62B2" w:rsidRPr="00C10CFF" w:rsidRDefault="001E62B2">
            <w:pPr>
              <w:spacing w:after="0" w:line="240" w:lineRule="auto"/>
              <w:jc w:val="center"/>
              <w:rPr>
                <w:rFonts w:ascii="Aptos Narrow" w:eastAsia="Times New Roman" w:hAnsi="Aptos Narrow" w:cs="Times New Roman"/>
                <w:b/>
                <w:bCs/>
                <w:kern w:val="0"/>
                <w:lang w:eastAsia="en-AU"/>
                <w14:ligatures w14:val="none"/>
              </w:rPr>
            </w:pPr>
            <w:r w:rsidRPr="00C10CFF">
              <w:rPr>
                <w:rFonts w:ascii="Aptos Narrow" w:eastAsia="Times New Roman" w:hAnsi="Aptos Narrow" w:cs="Times New Roman"/>
                <w:b/>
                <w:bCs/>
                <w:kern w:val="0"/>
                <w:lang w:eastAsia="en-AU"/>
                <w14:ligatures w14:val="none"/>
              </w:rPr>
              <w:t>GWP</w:t>
            </w:r>
          </w:p>
        </w:tc>
        <w:tc>
          <w:tcPr>
            <w:tcW w:w="1766" w:type="dxa"/>
            <w:gridSpan w:val="2"/>
            <w:shd w:val="clear" w:color="auto" w:fill="E8E8E8" w:themeFill="background2"/>
            <w:hideMark/>
          </w:tcPr>
          <w:p w14:paraId="60AE821B" w14:textId="5921A00A" w:rsidR="001E62B2" w:rsidRPr="00C10CFF" w:rsidRDefault="00092CCA">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 xml:space="preserve">Net </w:t>
            </w:r>
            <w:r w:rsidR="001E62B2" w:rsidRPr="00C10CFF">
              <w:rPr>
                <w:rFonts w:ascii="Aptos Narrow" w:eastAsia="Times New Roman" w:hAnsi="Aptos Narrow" w:cs="Times New Roman"/>
                <w:b/>
                <w:bCs/>
                <w:color w:val="000000"/>
                <w:kern w:val="0"/>
                <w:lang w:eastAsia="en-AU"/>
                <w14:ligatures w14:val="none"/>
              </w:rPr>
              <w:t>Emissions</w:t>
            </w:r>
            <w:r w:rsidR="001E62B2">
              <w:rPr>
                <w:rFonts w:ascii="Aptos Narrow" w:eastAsia="Times New Roman" w:hAnsi="Aptos Narrow" w:cs="Times New Roman"/>
                <w:b/>
                <w:bCs/>
                <w:color w:val="000000"/>
                <w:kern w:val="0"/>
                <w:lang w:eastAsia="en-AU"/>
                <w14:ligatures w14:val="none"/>
              </w:rPr>
              <w:br/>
            </w:r>
            <w:r w:rsidR="001E62B2" w:rsidRPr="00C10CFF">
              <w:rPr>
                <w:rFonts w:ascii="Aptos Narrow" w:eastAsia="Times New Roman" w:hAnsi="Aptos Narrow" w:cs="Times New Roman"/>
                <w:b/>
                <w:bCs/>
                <w:color w:val="000000"/>
                <w:kern w:val="0"/>
                <w:lang w:eastAsia="en-AU"/>
                <w14:ligatures w14:val="none"/>
              </w:rPr>
              <w:t>(t</w:t>
            </w:r>
            <w:r w:rsidR="00E143F8" w:rsidRPr="00C10CFF">
              <w:rPr>
                <w:rFonts w:ascii="Aptos Narrow" w:eastAsia="Times New Roman" w:hAnsi="Aptos Narrow" w:cs="Times New Roman"/>
                <w:b/>
                <w:bCs/>
                <w:color w:val="000000"/>
                <w:kern w:val="0"/>
                <w:lang w:eastAsia="en-AU"/>
                <w14:ligatures w14:val="none"/>
              </w:rPr>
              <w:t xml:space="preserve"> </w:t>
            </w:r>
            <w:r w:rsidR="00ED03AF" w:rsidRPr="00C10CFF">
              <w:rPr>
                <w:rFonts w:ascii="Aptos Narrow" w:eastAsia="Times New Roman" w:hAnsi="Aptos Narrow" w:cs="Times New Roman"/>
                <w:b/>
                <w:bCs/>
                <w:color w:val="000000"/>
                <w:kern w:val="0"/>
                <w:lang w:eastAsia="en-AU"/>
                <w14:ligatures w14:val="none"/>
              </w:rPr>
              <w:t>CO₂-e</w:t>
            </w:r>
            <w:r w:rsidR="001E62B2" w:rsidRPr="00C10CFF">
              <w:rPr>
                <w:rFonts w:ascii="Aptos Narrow" w:eastAsia="Times New Roman" w:hAnsi="Aptos Narrow" w:cs="Times New Roman"/>
                <w:b/>
                <w:bCs/>
                <w:color w:val="000000"/>
                <w:kern w:val="0"/>
                <w:lang w:eastAsia="en-AU"/>
                <w14:ligatures w14:val="none"/>
              </w:rPr>
              <w:t>)</w:t>
            </w:r>
            <w:r w:rsidR="00E143F8" w:rsidRPr="00DC1877">
              <w:rPr>
                <w:rFonts w:eastAsia="Times New Roman" w:cs="Times New Roman"/>
                <w:b/>
                <w:iCs/>
                <w:kern w:val="0"/>
                <w:vertAlign w:val="superscript"/>
                <w:lang w:eastAsia="en-AU"/>
                <w14:ligatures w14:val="none"/>
              </w:rPr>
              <w:t xml:space="preserve"> (a</w:t>
            </w:r>
            <w:r w:rsidR="001E62B2">
              <w:rPr>
                <w:rFonts w:eastAsia="Times New Roman" w:cs="Times New Roman"/>
                <w:b/>
                <w:kern w:val="0"/>
                <w:vertAlign w:val="superscript"/>
                <w:lang w:eastAsia="en-AU"/>
                <w14:ligatures w14:val="none"/>
              </w:rPr>
              <w:t>)</w:t>
            </w:r>
          </w:p>
        </w:tc>
      </w:tr>
      <w:tr w:rsidR="001E62B2" w:rsidRPr="00C10CFF" w14:paraId="6209C929" w14:textId="77777777">
        <w:trPr>
          <w:trHeight w:val="363"/>
        </w:trPr>
        <w:tc>
          <w:tcPr>
            <w:tcW w:w="12049" w:type="dxa"/>
            <w:gridSpan w:val="8"/>
            <w:shd w:val="clear" w:color="auto" w:fill="E8E8E8" w:themeFill="background2"/>
            <w:vAlign w:val="center"/>
          </w:tcPr>
          <w:p w14:paraId="2EF75878" w14:textId="77777777" w:rsidR="001E62B2" w:rsidRPr="002124A0" w:rsidRDefault="001E62B2">
            <w:pPr>
              <w:spacing w:after="0" w:line="240" w:lineRule="auto"/>
              <w:rPr>
                <w:rFonts w:eastAsia="Times New Roman" w:cs="Times New Roman"/>
                <w:iCs/>
                <w:color w:val="153D63" w:themeColor="text2" w:themeTint="E6"/>
                <w:kern w:val="0"/>
                <w:lang w:eastAsia="en-AU"/>
                <w14:ligatures w14:val="none"/>
              </w:rPr>
            </w:pPr>
            <w:r w:rsidRPr="002124A0">
              <w:rPr>
                <w:rFonts w:eastAsia="Times New Roman" w:cs="Times New Roman"/>
                <w:b/>
                <w:iCs/>
                <w:kern w:val="0"/>
                <w:lang w:eastAsia="en-AU"/>
                <w14:ligatures w14:val="none"/>
              </w:rPr>
              <w:t xml:space="preserve">Scope 1 </w:t>
            </w:r>
            <w:r>
              <w:rPr>
                <w:rFonts w:eastAsia="Times New Roman" w:cs="Times New Roman"/>
                <w:b/>
                <w:iCs/>
                <w:kern w:val="0"/>
                <w:lang w:eastAsia="en-AU"/>
                <w14:ligatures w14:val="none"/>
              </w:rPr>
              <w:t>emissions</w:t>
            </w:r>
          </w:p>
        </w:tc>
      </w:tr>
      <w:tr w:rsidR="001E62B2" w:rsidRPr="00C10CFF" w14:paraId="2EA0200F" w14:textId="77777777" w:rsidTr="007628D8">
        <w:trPr>
          <w:trHeight w:val="20"/>
        </w:trPr>
        <w:tc>
          <w:tcPr>
            <w:tcW w:w="2483" w:type="dxa"/>
            <w:vAlign w:val="center"/>
            <w:hideMark/>
          </w:tcPr>
          <w:p w14:paraId="2C77145F" w14:textId="77777777"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Scope 1</w:t>
            </w:r>
          </w:p>
        </w:tc>
        <w:tc>
          <w:tcPr>
            <w:tcW w:w="2863" w:type="dxa"/>
            <w:vAlign w:val="center"/>
            <w:hideMark/>
          </w:tcPr>
          <w:p w14:paraId="6F553841" w14:textId="77777777"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e.g. enteric fermentation (sheep)</w:t>
            </w:r>
          </w:p>
        </w:tc>
        <w:tc>
          <w:tcPr>
            <w:tcW w:w="1600" w:type="dxa"/>
            <w:vAlign w:val="center"/>
            <w:hideMark/>
          </w:tcPr>
          <w:p w14:paraId="335C1B36" w14:textId="77777777"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CH₄</w:t>
            </w:r>
          </w:p>
        </w:tc>
        <w:tc>
          <w:tcPr>
            <w:tcW w:w="1015" w:type="dxa"/>
            <w:vAlign w:val="center"/>
            <w:hideMark/>
          </w:tcPr>
          <w:p w14:paraId="6F8CBB5C" w14:textId="77777777"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1</w:t>
            </w:r>
          </w:p>
        </w:tc>
        <w:tc>
          <w:tcPr>
            <w:tcW w:w="1432" w:type="dxa"/>
            <w:vAlign w:val="center"/>
          </w:tcPr>
          <w:p w14:paraId="04FCA2F9" w14:textId="0C2F4DBD" w:rsidR="001E62B2" w:rsidRPr="00C17C8A" w:rsidRDefault="00860414">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4</w:t>
            </w:r>
            <w:r w:rsidR="002A3496">
              <w:rPr>
                <w:rFonts w:eastAsia="Times New Roman" w:cs="Times New Roman"/>
                <w:i/>
                <w:color w:val="153D63" w:themeColor="text2" w:themeTint="E6"/>
                <w:kern w:val="0"/>
                <w:lang w:eastAsia="en-AU"/>
                <w14:ligatures w14:val="none"/>
              </w:rPr>
              <w:t>5</w:t>
            </w:r>
          </w:p>
        </w:tc>
        <w:tc>
          <w:tcPr>
            <w:tcW w:w="890" w:type="dxa"/>
            <w:vAlign w:val="center"/>
            <w:hideMark/>
          </w:tcPr>
          <w:p w14:paraId="6B04E952" w14:textId="72A21725"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28</w:t>
            </w:r>
          </w:p>
        </w:tc>
        <w:tc>
          <w:tcPr>
            <w:tcW w:w="1766" w:type="dxa"/>
            <w:gridSpan w:val="2"/>
            <w:vAlign w:val="center"/>
            <w:hideMark/>
          </w:tcPr>
          <w:p w14:paraId="3677D7D7" w14:textId="47374928" w:rsidR="001E62B2" w:rsidRPr="00C17C8A" w:rsidRDefault="00DF35E2">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1260</w:t>
            </w:r>
          </w:p>
        </w:tc>
      </w:tr>
      <w:tr w:rsidR="001E62B2" w:rsidRPr="00C10CFF" w14:paraId="52F7BE2D" w14:textId="77777777" w:rsidTr="007628D8">
        <w:trPr>
          <w:trHeight w:val="20"/>
        </w:trPr>
        <w:tc>
          <w:tcPr>
            <w:tcW w:w="2483" w:type="dxa"/>
            <w:vAlign w:val="center"/>
          </w:tcPr>
          <w:p w14:paraId="4FFAA7D4" w14:textId="77777777"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Scope 1</w:t>
            </w:r>
          </w:p>
        </w:tc>
        <w:tc>
          <w:tcPr>
            <w:tcW w:w="2863" w:type="dxa"/>
            <w:vAlign w:val="center"/>
          </w:tcPr>
          <w:p w14:paraId="5E055BB0" w14:textId="77777777"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manure management</w:t>
            </w:r>
          </w:p>
        </w:tc>
        <w:tc>
          <w:tcPr>
            <w:tcW w:w="1600" w:type="dxa"/>
            <w:vAlign w:val="center"/>
          </w:tcPr>
          <w:p w14:paraId="0E9B4974" w14:textId="77777777"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N₂O</w:t>
            </w:r>
          </w:p>
        </w:tc>
        <w:tc>
          <w:tcPr>
            <w:tcW w:w="1015" w:type="dxa"/>
            <w:vAlign w:val="center"/>
          </w:tcPr>
          <w:p w14:paraId="765DAACC" w14:textId="77777777"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2</w:t>
            </w:r>
          </w:p>
        </w:tc>
        <w:tc>
          <w:tcPr>
            <w:tcW w:w="1432" w:type="dxa"/>
            <w:vAlign w:val="center"/>
          </w:tcPr>
          <w:p w14:paraId="026E5524" w14:textId="7D91E6D0" w:rsidR="001E62B2" w:rsidRPr="00C17C8A" w:rsidRDefault="00AC5CCF">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3.</w:t>
            </w:r>
            <w:r w:rsidR="002A3496">
              <w:rPr>
                <w:rFonts w:eastAsia="Times New Roman" w:cs="Times New Roman"/>
                <w:i/>
                <w:color w:val="153D63" w:themeColor="text2" w:themeTint="E6"/>
                <w:kern w:val="0"/>
                <w:lang w:eastAsia="en-AU"/>
                <w14:ligatures w14:val="none"/>
              </w:rPr>
              <w:t>2</w:t>
            </w:r>
          </w:p>
        </w:tc>
        <w:tc>
          <w:tcPr>
            <w:tcW w:w="890" w:type="dxa"/>
            <w:vAlign w:val="center"/>
          </w:tcPr>
          <w:p w14:paraId="5DC4F176" w14:textId="4F5ED615"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265</w:t>
            </w:r>
          </w:p>
        </w:tc>
        <w:tc>
          <w:tcPr>
            <w:tcW w:w="1766" w:type="dxa"/>
            <w:gridSpan w:val="2"/>
            <w:vAlign w:val="center"/>
          </w:tcPr>
          <w:p w14:paraId="67701C3A" w14:textId="49F31778" w:rsidR="001E62B2" w:rsidRPr="00C17C8A" w:rsidRDefault="00AC5CCF">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848</w:t>
            </w:r>
          </w:p>
        </w:tc>
      </w:tr>
      <w:tr w:rsidR="002B2801" w:rsidRPr="00C10CFF" w14:paraId="0A4D28A4" w14:textId="77777777" w:rsidTr="007628D8">
        <w:trPr>
          <w:trHeight w:val="20"/>
        </w:trPr>
        <w:tc>
          <w:tcPr>
            <w:tcW w:w="2483" w:type="dxa"/>
            <w:vAlign w:val="center"/>
          </w:tcPr>
          <w:p w14:paraId="1B81028F" w14:textId="382DBD0E" w:rsidR="002B2801" w:rsidRPr="00C17C8A" w:rsidRDefault="002B2801">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Scope 1</w:t>
            </w:r>
          </w:p>
        </w:tc>
        <w:tc>
          <w:tcPr>
            <w:tcW w:w="2863" w:type="dxa"/>
            <w:vAlign w:val="center"/>
          </w:tcPr>
          <w:p w14:paraId="3F4BEC36" w14:textId="1003047E" w:rsidR="002B2801" w:rsidRPr="00C17C8A" w:rsidRDefault="002B2801">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 xml:space="preserve">fuel combustion </w:t>
            </w:r>
          </w:p>
        </w:tc>
        <w:tc>
          <w:tcPr>
            <w:tcW w:w="1600" w:type="dxa"/>
            <w:vAlign w:val="center"/>
          </w:tcPr>
          <w:p w14:paraId="5EB1994D" w14:textId="03C508CA" w:rsidR="002B2801" w:rsidRPr="00C17C8A" w:rsidRDefault="002B2801">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CO₂</w:t>
            </w:r>
          </w:p>
        </w:tc>
        <w:tc>
          <w:tcPr>
            <w:tcW w:w="1015" w:type="dxa"/>
            <w:vAlign w:val="center"/>
          </w:tcPr>
          <w:p w14:paraId="5E52F5F6" w14:textId="01C1B494" w:rsidR="002B2801" w:rsidRPr="00C17C8A" w:rsidRDefault="002B2801">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1</w:t>
            </w:r>
          </w:p>
        </w:tc>
        <w:tc>
          <w:tcPr>
            <w:tcW w:w="1432" w:type="dxa"/>
            <w:vAlign w:val="center"/>
          </w:tcPr>
          <w:p w14:paraId="2FB2DA26" w14:textId="4DFDDE60" w:rsidR="002B2801" w:rsidRDefault="00FA0D08">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160</w:t>
            </w:r>
          </w:p>
        </w:tc>
        <w:tc>
          <w:tcPr>
            <w:tcW w:w="890" w:type="dxa"/>
            <w:vAlign w:val="center"/>
          </w:tcPr>
          <w:p w14:paraId="7B67C056" w14:textId="3957DC97" w:rsidR="002B2801" w:rsidRPr="00C17C8A" w:rsidRDefault="005C188E">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1</w:t>
            </w:r>
          </w:p>
        </w:tc>
        <w:tc>
          <w:tcPr>
            <w:tcW w:w="1766" w:type="dxa"/>
            <w:gridSpan w:val="2"/>
            <w:vAlign w:val="center"/>
          </w:tcPr>
          <w:p w14:paraId="564AAFF5" w14:textId="3A3F0723" w:rsidR="002B2801" w:rsidRDefault="00FA0D08">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160</w:t>
            </w:r>
          </w:p>
        </w:tc>
      </w:tr>
      <w:tr w:rsidR="001E62B2" w:rsidRPr="00C10CFF" w14:paraId="69DF39D1" w14:textId="77777777">
        <w:trPr>
          <w:trHeight w:val="389"/>
        </w:trPr>
        <w:tc>
          <w:tcPr>
            <w:tcW w:w="10296" w:type="dxa"/>
            <w:gridSpan w:val="7"/>
            <w:vAlign w:val="center"/>
          </w:tcPr>
          <w:p w14:paraId="0547ADC7" w14:textId="77777777" w:rsidR="001E62B2" w:rsidRPr="002124A0" w:rsidRDefault="001E62B2">
            <w:pPr>
              <w:spacing w:after="0" w:line="240" w:lineRule="auto"/>
              <w:rPr>
                <w:rFonts w:eastAsia="Times New Roman" w:cs="Times New Roman"/>
                <w:iCs/>
                <w:color w:val="153D63" w:themeColor="text2" w:themeTint="E6"/>
                <w:kern w:val="0"/>
                <w:lang w:eastAsia="en-AU"/>
                <w14:ligatures w14:val="none"/>
              </w:rPr>
            </w:pPr>
            <w:r w:rsidRPr="002124A0">
              <w:rPr>
                <w:rFonts w:eastAsia="Times New Roman" w:cs="Times New Roman"/>
                <w:b/>
                <w:iCs/>
                <w:kern w:val="0"/>
                <w:lang w:eastAsia="en-AU"/>
                <w14:ligatures w14:val="none"/>
              </w:rPr>
              <w:t>Scope 1 total</w:t>
            </w:r>
          </w:p>
        </w:tc>
        <w:tc>
          <w:tcPr>
            <w:tcW w:w="1753" w:type="dxa"/>
          </w:tcPr>
          <w:p w14:paraId="29E24E36" w14:textId="5AE0C83C" w:rsidR="001E62B2" w:rsidRPr="00363508" w:rsidRDefault="00AC5CCF">
            <w:pPr>
              <w:spacing w:after="0" w:line="240" w:lineRule="auto"/>
              <w:jc w:val="center"/>
              <w:rPr>
                <w:rFonts w:eastAsia="Times New Roman" w:cs="Times New Roman"/>
                <w:b/>
                <w:i/>
                <w:color w:val="153D63" w:themeColor="text2" w:themeTint="E6"/>
                <w:kern w:val="0"/>
                <w:lang w:eastAsia="en-AU"/>
                <w14:ligatures w14:val="none"/>
              </w:rPr>
            </w:pPr>
            <w:r>
              <w:rPr>
                <w:rFonts w:eastAsia="Times New Roman" w:cs="Times New Roman"/>
                <w:b/>
                <w:bCs/>
                <w:i/>
                <w:color w:val="153D63" w:themeColor="text2" w:themeTint="E6"/>
                <w:kern w:val="0"/>
                <w:lang w:eastAsia="en-AU"/>
                <w14:ligatures w14:val="none"/>
              </w:rPr>
              <w:t>2108</w:t>
            </w:r>
          </w:p>
        </w:tc>
      </w:tr>
      <w:tr w:rsidR="001E62B2" w:rsidRPr="00C10CFF" w14:paraId="0120C0A4" w14:textId="77777777">
        <w:trPr>
          <w:trHeight w:val="499"/>
        </w:trPr>
        <w:tc>
          <w:tcPr>
            <w:tcW w:w="12049" w:type="dxa"/>
            <w:gridSpan w:val="8"/>
            <w:shd w:val="clear" w:color="auto" w:fill="E8E8E8" w:themeFill="background2"/>
            <w:vAlign w:val="center"/>
          </w:tcPr>
          <w:p w14:paraId="33B9FCB7" w14:textId="77777777" w:rsidR="001E62B2" w:rsidRPr="002124A0" w:rsidRDefault="001E62B2">
            <w:pPr>
              <w:spacing w:after="0" w:line="240" w:lineRule="auto"/>
              <w:rPr>
                <w:rFonts w:eastAsia="Times New Roman" w:cs="Times New Roman"/>
                <w:b/>
                <w:iCs/>
                <w:color w:val="153D63" w:themeColor="text2" w:themeTint="E6"/>
                <w:kern w:val="0"/>
                <w:lang w:eastAsia="en-AU"/>
                <w14:ligatures w14:val="none"/>
              </w:rPr>
            </w:pPr>
            <w:r w:rsidRPr="002124A0">
              <w:rPr>
                <w:rFonts w:eastAsia="Times New Roman" w:cs="Times New Roman"/>
                <w:b/>
                <w:iCs/>
                <w:kern w:val="0"/>
                <w:lang w:eastAsia="en-AU"/>
                <w14:ligatures w14:val="none"/>
              </w:rPr>
              <w:t>Scope 2</w:t>
            </w:r>
            <w:r>
              <w:rPr>
                <w:rFonts w:eastAsia="Times New Roman" w:cs="Times New Roman"/>
                <w:b/>
                <w:iCs/>
                <w:kern w:val="0"/>
                <w:lang w:eastAsia="en-AU"/>
                <w14:ligatures w14:val="none"/>
              </w:rPr>
              <w:t xml:space="preserve"> emissions</w:t>
            </w:r>
          </w:p>
        </w:tc>
      </w:tr>
      <w:tr w:rsidR="001E62B2" w:rsidRPr="00C10CFF" w14:paraId="31261E23" w14:textId="77777777" w:rsidTr="007628D8">
        <w:trPr>
          <w:trHeight w:val="20"/>
        </w:trPr>
        <w:tc>
          <w:tcPr>
            <w:tcW w:w="2483" w:type="dxa"/>
            <w:vAlign w:val="center"/>
            <w:hideMark/>
          </w:tcPr>
          <w:p w14:paraId="608B03FB" w14:textId="77777777" w:rsidR="001E62B2" w:rsidRPr="00E73A64" w:rsidRDefault="001E62B2">
            <w:pPr>
              <w:spacing w:after="0" w:line="240" w:lineRule="auto"/>
              <w:jc w:val="center"/>
              <w:rPr>
                <w:rFonts w:eastAsia="Times New Roman" w:cs="Times New Roman"/>
                <w:bCs/>
                <w:iCs/>
                <w:color w:val="153D63" w:themeColor="text2" w:themeTint="E6"/>
                <w:kern w:val="0"/>
                <w:lang w:eastAsia="en-AU"/>
                <w14:ligatures w14:val="none"/>
              </w:rPr>
            </w:pPr>
            <w:r>
              <w:rPr>
                <w:rFonts w:eastAsia="Times New Roman" w:cs="Times New Roman"/>
                <w:bCs/>
                <w:iCs/>
                <w:color w:val="153D63" w:themeColor="text2" w:themeTint="E6"/>
                <w:kern w:val="0"/>
                <w:lang w:eastAsia="en-AU"/>
                <w14:ligatures w14:val="none"/>
              </w:rPr>
              <w:t>L</w:t>
            </w:r>
            <w:r w:rsidRPr="00E73A64">
              <w:rPr>
                <w:rFonts w:eastAsia="Times New Roman" w:cs="Times New Roman"/>
                <w:bCs/>
                <w:iCs/>
                <w:color w:val="153D63" w:themeColor="text2" w:themeTint="E6"/>
                <w:kern w:val="0"/>
                <w:lang w:eastAsia="en-AU"/>
                <w14:ligatures w14:val="none"/>
              </w:rPr>
              <w:t>ocation-based</w:t>
            </w:r>
          </w:p>
        </w:tc>
        <w:tc>
          <w:tcPr>
            <w:tcW w:w="2863" w:type="dxa"/>
            <w:vAlign w:val="center"/>
            <w:hideMark/>
          </w:tcPr>
          <w:p w14:paraId="50249B10" w14:textId="77777777"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p</w:t>
            </w:r>
            <w:r w:rsidRPr="00C17C8A">
              <w:rPr>
                <w:rFonts w:eastAsia="Times New Roman" w:cs="Times New Roman"/>
                <w:i/>
                <w:color w:val="153D63" w:themeColor="text2" w:themeTint="E6"/>
                <w:kern w:val="0"/>
                <w:lang w:eastAsia="en-AU"/>
                <w14:ligatures w14:val="none"/>
              </w:rPr>
              <w:t>urchased electricity</w:t>
            </w:r>
          </w:p>
        </w:tc>
        <w:tc>
          <w:tcPr>
            <w:tcW w:w="1600" w:type="dxa"/>
            <w:vAlign w:val="center"/>
            <w:hideMark/>
          </w:tcPr>
          <w:p w14:paraId="275D82D1" w14:textId="7EA73439"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CO</w:t>
            </w:r>
            <w:r w:rsidR="00A4597B" w:rsidRPr="00C17C8A">
              <w:rPr>
                <w:rFonts w:eastAsia="Times New Roman" w:cs="Times New Roman"/>
                <w:i/>
                <w:color w:val="153D63" w:themeColor="text2" w:themeTint="E6"/>
                <w:kern w:val="0"/>
                <w:lang w:eastAsia="en-AU"/>
                <w14:ligatures w14:val="none"/>
              </w:rPr>
              <w:t>₂-e</w:t>
            </w:r>
          </w:p>
        </w:tc>
        <w:tc>
          <w:tcPr>
            <w:tcW w:w="1015" w:type="dxa"/>
            <w:vAlign w:val="center"/>
            <w:hideMark/>
          </w:tcPr>
          <w:p w14:paraId="497042C6" w14:textId="488D8594" w:rsidR="001E62B2" w:rsidRPr="00C17C8A" w:rsidRDefault="00B014A4">
            <w:pPr>
              <w:spacing w:after="0" w:line="240" w:lineRule="auto"/>
              <w:jc w:val="center"/>
              <w:rPr>
                <w:rFonts w:eastAsia="Times New Roman" w:cs="Times New Roman"/>
                <w:color w:val="153D63" w:themeColor="text2" w:themeTint="E6"/>
                <w:kern w:val="0"/>
                <w:lang w:eastAsia="en-AU"/>
                <w14:ligatures w14:val="none"/>
              </w:rPr>
            </w:pPr>
            <w:r>
              <w:rPr>
                <w:rFonts w:eastAsia="Times New Roman" w:cs="Times New Roman"/>
                <w:color w:val="153D63" w:themeColor="text2" w:themeTint="E6"/>
                <w:kern w:val="0"/>
                <w:lang w:eastAsia="en-AU"/>
                <w14:ligatures w14:val="none"/>
              </w:rPr>
              <w:t>NA</w:t>
            </w:r>
          </w:p>
        </w:tc>
        <w:tc>
          <w:tcPr>
            <w:tcW w:w="1432" w:type="dxa"/>
            <w:vAlign w:val="center"/>
          </w:tcPr>
          <w:p w14:paraId="72BE7E44" w14:textId="1B3F7DC1" w:rsidR="001E62B2" w:rsidRPr="00C17C8A" w:rsidRDefault="00F342AD">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420</w:t>
            </w:r>
          </w:p>
        </w:tc>
        <w:tc>
          <w:tcPr>
            <w:tcW w:w="890" w:type="dxa"/>
            <w:vAlign w:val="center"/>
          </w:tcPr>
          <w:p w14:paraId="10FEFCD4" w14:textId="15E22AB4" w:rsidR="001E62B2" w:rsidRPr="00C17C8A" w:rsidRDefault="00A4597B">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n/a</w:t>
            </w:r>
          </w:p>
        </w:tc>
        <w:tc>
          <w:tcPr>
            <w:tcW w:w="1766" w:type="dxa"/>
            <w:gridSpan w:val="2"/>
            <w:vAlign w:val="center"/>
          </w:tcPr>
          <w:p w14:paraId="213609E3" w14:textId="1ED26C11" w:rsidR="001E62B2" w:rsidRPr="00363508" w:rsidRDefault="00F342AD">
            <w:pPr>
              <w:spacing w:after="0" w:line="240" w:lineRule="auto"/>
              <w:jc w:val="center"/>
              <w:rPr>
                <w:rFonts w:eastAsia="Times New Roman" w:cs="Times New Roman"/>
                <w:b/>
                <w:i/>
                <w:color w:val="153D63" w:themeColor="text2" w:themeTint="E6"/>
                <w:kern w:val="0"/>
                <w:lang w:eastAsia="en-AU"/>
                <w14:ligatures w14:val="none"/>
              </w:rPr>
            </w:pPr>
            <w:r>
              <w:rPr>
                <w:rFonts w:eastAsia="Times New Roman" w:cs="Times New Roman"/>
                <w:b/>
                <w:bCs/>
                <w:i/>
                <w:color w:val="153D63" w:themeColor="text2" w:themeTint="E6"/>
                <w:kern w:val="0"/>
                <w:lang w:eastAsia="en-AU"/>
                <w14:ligatures w14:val="none"/>
              </w:rPr>
              <w:t>420</w:t>
            </w:r>
          </w:p>
        </w:tc>
      </w:tr>
      <w:tr w:rsidR="001E62B2" w:rsidRPr="00C10CFF" w14:paraId="390E50A9" w14:textId="77777777">
        <w:trPr>
          <w:trHeight w:val="410"/>
        </w:trPr>
        <w:tc>
          <w:tcPr>
            <w:tcW w:w="12049" w:type="dxa"/>
            <w:gridSpan w:val="8"/>
            <w:shd w:val="clear" w:color="auto" w:fill="E8E8E8" w:themeFill="background2"/>
            <w:vAlign w:val="center"/>
          </w:tcPr>
          <w:p w14:paraId="1E5EE1EF" w14:textId="77777777" w:rsidR="001E62B2" w:rsidRPr="002124A0" w:rsidRDefault="001E62B2">
            <w:pPr>
              <w:spacing w:after="0" w:line="240" w:lineRule="auto"/>
              <w:rPr>
                <w:rFonts w:eastAsia="Times New Roman" w:cs="Times New Roman"/>
                <w:b/>
                <w:bCs/>
                <w:iCs/>
                <w:color w:val="153D63" w:themeColor="text2" w:themeTint="E6"/>
                <w:kern w:val="0"/>
                <w:lang w:eastAsia="en-AU"/>
                <w14:ligatures w14:val="none"/>
              </w:rPr>
            </w:pPr>
            <w:r w:rsidRPr="002124A0">
              <w:rPr>
                <w:rFonts w:eastAsia="Times New Roman" w:cs="Times New Roman"/>
                <w:b/>
                <w:bCs/>
                <w:iCs/>
                <w:kern w:val="0"/>
                <w:lang w:eastAsia="en-AU"/>
                <w14:ligatures w14:val="none"/>
              </w:rPr>
              <w:t xml:space="preserve">Scope 3 </w:t>
            </w:r>
            <w:r>
              <w:rPr>
                <w:rFonts w:eastAsia="Times New Roman" w:cs="Times New Roman"/>
                <w:b/>
                <w:bCs/>
                <w:iCs/>
                <w:kern w:val="0"/>
                <w:lang w:eastAsia="en-AU"/>
                <w14:ligatures w14:val="none"/>
              </w:rPr>
              <w:t>emissions</w:t>
            </w:r>
          </w:p>
        </w:tc>
      </w:tr>
      <w:tr w:rsidR="001E62B2" w:rsidRPr="00C10CFF" w14:paraId="71105837" w14:textId="77777777" w:rsidTr="007628D8">
        <w:trPr>
          <w:trHeight w:val="20"/>
        </w:trPr>
        <w:tc>
          <w:tcPr>
            <w:tcW w:w="2483" w:type="dxa"/>
            <w:vAlign w:val="center"/>
          </w:tcPr>
          <w:p w14:paraId="75393E21" w14:textId="77777777"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Scope 3</w:t>
            </w:r>
          </w:p>
        </w:tc>
        <w:tc>
          <w:tcPr>
            <w:tcW w:w="2863" w:type="dxa"/>
            <w:vAlign w:val="center"/>
          </w:tcPr>
          <w:p w14:paraId="301176EB" w14:textId="77777777"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p</w:t>
            </w:r>
            <w:r w:rsidRPr="00C17C8A">
              <w:rPr>
                <w:rFonts w:eastAsia="Times New Roman" w:cs="Times New Roman"/>
                <w:i/>
                <w:color w:val="153D63" w:themeColor="text2" w:themeTint="E6"/>
                <w:kern w:val="0"/>
                <w:lang w:eastAsia="en-AU"/>
                <w14:ligatures w14:val="none"/>
              </w:rPr>
              <w:t>urchased feed</w:t>
            </w:r>
          </w:p>
        </w:tc>
        <w:tc>
          <w:tcPr>
            <w:tcW w:w="1600" w:type="dxa"/>
            <w:vAlign w:val="center"/>
          </w:tcPr>
          <w:p w14:paraId="290BE3D3" w14:textId="77777777"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CO₂-e</w:t>
            </w:r>
          </w:p>
        </w:tc>
        <w:tc>
          <w:tcPr>
            <w:tcW w:w="1015" w:type="dxa"/>
            <w:vAlign w:val="center"/>
          </w:tcPr>
          <w:p w14:paraId="482FCFF2" w14:textId="784A6A36" w:rsidR="001E62B2" w:rsidRPr="00C17C8A" w:rsidRDefault="00B014A4">
            <w:pPr>
              <w:spacing w:after="0" w:line="240" w:lineRule="auto"/>
              <w:jc w:val="center"/>
              <w:rPr>
                <w:rFonts w:eastAsia="Times New Roman" w:cs="Times New Roman"/>
                <w:color w:val="153D63" w:themeColor="text2" w:themeTint="E6"/>
                <w:kern w:val="0"/>
                <w:lang w:eastAsia="en-AU"/>
                <w14:ligatures w14:val="none"/>
              </w:rPr>
            </w:pPr>
            <w:r>
              <w:rPr>
                <w:rFonts w:eastAsia="Times New Roman" w:cs="Times New Roman"/>
                <w:color w:val="153D63" w:themeColor="text2" w:themeTint="E6"/>
                <w:kern w:val="0"/>
                <w:lang w:eastAsia="en-AU"/>
                <w14:ligatures w14:val="none"/>
              </w:rPr>
              <w:t>1</w:t>
            </w:r>
          </w:p>
        </w:tc>
        <w:tc>
          <w:tcPr>
            <w:tcW w:w="1432" w:type="dxa"/>
            <w:vAlign w:val="center"/>
          </w:tcPr>
          <w:p w14:paraId="6D495CE4" w14:textId="3E353726" w:rsidR="001E62B2" w:rsidRPr="00C17C8A" w:rsidRDefault="001E0279">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380</w:t>
            </w:r>
          </w:p>
        </w:tc>
        <w:tc>
          <w:tcPr>
            <w:tcW w:w="890" w:type="dxa"/>
            <w:vAlign w:val="center"/>
          </w:tcPr>
          <w:p w14:paraId="327D78D6" w14:textId="77777777"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n/a</w:t>
            </w:r>
          </w:p>
        </w:tc>
        <w:tc>
          <w:tcPr>
            <w:tcW w:w="1766" w:type="dxa"/>
            <w:gridSpan w:val="2"/>
            <w:vAlign w:val="center"/>
          </w:tcPr>
          <w:p w14:paraId="129173B3" w14:textId="27DC7F44" w:rsidR="001E62B2" w:rsidRPr="00C17C8A" w:rsidRDefault="001E0279">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380</w:t>
            </w:r>
          </w:p>
        </w:tc>
      </w:tr>
      <w:tr w:rsidR="001E62B2" w:rsidRPr="00C10CFF" w14:paraId="728277CB" w14:textId="77777777" w:rsidTr="007628D8">
        <w:trPr>
          <w:trHeight w:val="20"/>
        </w:trPr>
        <w:tc>
          <w:tcPr>
            <w:tcW w:w="2483" w:type="dxa"/>
            <w:vAlign w:val="center"/>
          </w:tcPr>
          <w:p w14:paraId="1B152D0B" w14:textId="77777777"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Scope 3</w:t>
            </w:r>
          </w:p>
        </w:tc>
        <w:tc>
          <w:tcPr>
            <w:tcW w:w="2863" w:type="dxa"/>
            <w:vAlign w:val="center"/>
          </w:tcPr>
          <w:p w14:paraId="166DCA9A" w14:textId="77777777"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p</w:t>
            </w:r>
            <w:r w:rsidRPr="00C17C8A">
              <w:rPr>
                <w:rFonts w:eastAsia="Times New Roman" w:cs="Times New Roman"/>
                <w:i/>
                <w:color w:val="153D63" w:themeColor="text2" w:themeTint="E6"/>
                <w:kern w:val="0"/>
                <w:lang w:eastAsia="en-AU"/>
                <w14:ligatures w14:val="none"/>
              </w:rPr>
              <w:t>urchased seeds &amp; fertilisers</w:t>
            </w:r>
          </w:p>
        </w:tc>
        <w:tc>
          <w:tcPr>
            <w:tcW w:w="1600" w:type="dxa"/>
            <w:vAlign w:val="center"/>
          </w:tcPr>
          <w:p w14:paraId="0D0233FD" w14:textId="77777777"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CO₂-e</w:t>
            </w:r>
          </w:p>
        </w:tc>
        <w:tc>
          <w:tcPr>
            <w:tcW w:w="1015" w:type="dxa"/>
            <w:vAlign w:val="center"/>
          </w:tcPr>
          <w:p w14:paraId="289133AC" w14:textId="59D98596" w:rsidR="001E62B2" w:rsidRPr="00C17C8A" w:rsidRDefault="00B014A4">
            <w:pPr>
              <w:spacing w:after="0" w:line="240" w:lineRule="auto"/>
              <w:jc w:val="center"/>
              <w:rPr>
                <w:rFonts w:eastAsia="Times New Roman" w:cs="Times New Roman"/>
                <w:color w:val="153D63" w:themeColor="text2" w:themeTint="E6"/>
                <w:kern w:val="0"/>
                <w:lang w:eastAsia="en-AU"/>
                <w14:ligatures w14:val="none"/>
              </w:rPr>
            </w:pPr>
            <w:r>
              <w:rPr>
                <w:rFonts w:eastAsia="Times New Roman" w:cs="Times New Roman"/>
                <w:color w:val="153D63" w:themeColor="text2" w:themeTint="E6"/>
                <w:kern w:val="0"/>
                <w:lang w:eastAsia="en-AU"/>
                <w14:ligatures w14:val="none"/>
              </w:rPr>
              <w:t>1</w:t>
            </w:r>
          </w:p>
        </w:tc>
        <w:tc>
          <w:tcPr>
            <w:tcW w:w="1432" w:type="dxa"/>
            <w:vAlign w:val="center"/>
          </w:tcPr>
          <w:p w14:paraId="65782141" w14:textId="661C02A1" w:rsidR="001E62B2" w:rsidRPr="00C17C8A" w:rsidRDefault="00F12083">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1</w:t>
            </w:r>
            <w:r w:rsidR="001E0279">
              <w:rPr>
                <w:rFonts w:eastAsia="Times New Roman" w:cs="Times New Roman"/>
                <w:i/>
                <w:color w:val="153D63" w:themeColor="text2" w:themeTint="E6"/>
                <w:kern w:val="0"/>
                <w:lang w:eastAsia="en-AU"/>
                <w14:ligatures w14:val="none"/>
              </w:rPr>
              <w:t>60</w:t>
            </w:r>
          </w:p>
        </w:tc>
        <w:tc>
          <w:tcPr>
            <w:tcW w:w="890" w:type="dxa"/>
            <w:vAlign w:val="center"/>
          </w:tcPr>
          <w:p w14:paraId="4CA0974D" w14:textId="77777777"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n/a</w:t>
            </w:r>
          </w:p>
        </w:tc>
        <w:tc>
          <w:tcPr>
            <w:tcW w:w="1766" w:type="dxa"/>
            <w:gridSpan w:val="2"/>
            <w:vAlign w:val="center"/>
          </w:tcPr>
          <w:p w14:paraId="47D932E6" w14:textId="472E1CC3" w:rsidR="001E62B2" w:rsidRPr="00C17C8A" w:rsidRDefault="001E0279">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160</w:t>
            </w:r>
          </w:p>
        </w:tc>
      </w:tr>
      <w:tr w:rsidR="00E74068" w:rsidRPr="00C10CFF" w14:paraId="4F79A152" w14:textId="77777777" w:rsidTr="007628D8">
        <w:trPr>
          <w:trHeight w:val="20"/>
        </w:trPr>
        <w:tc>
          <w:tcPr>
            <w:tcW w:w="2483" w:type="dxa"/>
            <w:vAlign w:val="center"/>
          </w:tcPr>
          <w:p w14:paraId="7BFA9162" w14:textId="7ED6372C" w:rsidR="00E74068" w:rsidRPr="00C17C8A" w:rsidRDefault="00E74068">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Scope 3</w:t>
            </w:r>
          </w:p>
        </w:tc>
        <w:tc>
          <w:tcPr>
            <w:tcW w:w="2863" w:type="dxa"/>
            <w:vAlign w:val="center"/>
          </w:tcPr>
          <w:p w14:paraId="56A85037" w14:textId="0B7F7070" w:rsidR="00E74068" w:rsidRDefault="00E74068">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upstream fuel</w:t>
            </w:r>
          </w:p>
        </w:tc>
        <w:tc>
          <w:tcPr>
            <w:tcW w:w="1600" w:type="dxa"/>
            <w:vAlign w:val="center"/>
          </w:tcPr>
          <w:p w14:paraId="121A3250" w14:textId="040EFA8A" w:rsidR="00E74068" w:rsidRPr="00C17C8A" w:rsidRDefault="008E4970">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CO₂-e</w:t>
            </w:r>
          </w:p>
        </w:tc>
        <w:tc>
          <w:tcPr>
            <w:tcW w:w="1015" w:type="dxa"/>
            <w:vAlign w:val="center"/>
          </w:tcPr>
          <w:p w14:paraId="1208E2DC" w14:textId="5F5200AD" w:rsidR="00E74068" w:rsidRDefault="008E4970">
            <w:pPr>
              <w:spacing w:after="0" w:line="240" w:lineRule="auto"/>
              <w:jc w:val="center"/>
              <w:rPr>
                <w:rFonts w:eastAsia="Times New Roman" w:cs="Times New Roman"/>
                <w:color w:val="153D63" w:themeColor="text2" w:themeTint="E6"/>
                <w:kern w:val="0"/>
                <w:lang w:eastAsia="en-AU"/>
                <w14:ligatures w14:val="none"/>
              </w:rPr>
            </w:pPr>
            <w:r>
              <w:rPr>
                <w:rFonts w:eastAsia="Times New Roman" w:cs="Times New Roman"/>
                <w:color w:val="153D63" w:themeColor="text2" w:themeTint="E6"/>
                <w:kern w:val="0"/>
                <w:lang w:eastAsia="en-AU"/>
                <w14:ligatures w14:val="none"/>
              </w:rPr>
              <w:t>1</w:t>
            </w:r>
          </w:p>
        </w:tc>
        <w:tc>
          <w:tcPr>
            <w:tcW w:w="1432" w:type="dxa"/>
            <w:vAlign w:val="center"/>
          </w:tcPr>
          <w:p w14:paraId="79F3C372" w14:textId="4228D614" w:rsidR="00E74068" w:rsidRDefault="008E4970">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95</w:t>
            </w:r>
          </w:p>
        </w:tc>
        <w:tc>
          <w:tcPr>
            <w:tcW w:w="890" w:type="dxa"/>
            <w:vAlign w:val="center"/>
          </w:tcPr>
          <w:p w14:paraId="179DEF17" w14:textId="3B7FD6C4" w:rsidR="00E74068" w:rsidRDefault="008E4970">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n</w:t>
            </w:r>
            <w:r w:rsidR="00CA2D2D">
              <w:rPr>
                <w:rFonts w:eastAsia="Times New Roman" w:cs="Times New Roman"/>
                <w:i/>
                <w:color w:val="153D63" w:themeColor="text2" w:themeTint="E6"/>
                <w:kern w:val="0"/>
                <w:lang w:eastAsia="en-AU"/>
                <w14:ligatures w14:val="none"/>
              </w:rPr>
              <w:t>/a</w:t>
            </w:r>
          </w:p>
        </w:tc>
        <w:tc>
          <w:tcPr>
            <w:tcW w:w="1766" w:type="dxa"/>
            <w:gridSpan w:val="2"/>
            <w:vAlign w:val="center"/>
          </w:tcPr>
          <w:p w14:paraId="20EA16CE" w14:textId="68748C52" w:rsidR="00E74068" w:rsidRDefault="00CA2D2D">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95</w:t>
            </w:r>
          </w:p>
        </w:tc>
      </w:tr>
      <w:tr w:rsidR="001E62B2" w:rsidRPr="00C10CFF" w14:paraId="55164295" w14:textId="77777777" w:rsidTr="00363508">
        <w:trPr>
          <w:trHeight w:val="367"/>
        </w:trPr>
        <w:tc>
          <w:tcPr>
            <w:tcW w:w="10296" w:type="dxa"/>
            <w:gridSpan w:val="7"/>
            <w:vAlign w:val="center"/>
          </w:tcPr>
          <w:p w14:paraId="123AA993" w14:textId="77777777" w:rsidR="001E62B2" w:rsidRPr="002124A0" w:rsidRDefault="001E62B2">
            <w:pPr>
              <w:spacing w:after="0" w:line="240" w:lineRule="auto"/>
              <w:rPr>
                <w:rFonts w:eastAsia="Times New Roman" w:cs="Times New Roman"/>
                <w:b/>
                <w:iCs/>
                <w:color w:val="153D63" w:themeColor="text2" w:themeTint="E6"/>
                <w:kern w:val="0"/>
                <w:lang w:eastAsia="en-AU"/>
                <w14:ligatures w14:val="none"/>
              </w:rPr>
            </w:pPr>
            <w:r w:rsidRPr="002124A0">
              <w:rPr>
                <w:rFonts w:eastAsia="Times New Roman" w:cs="Times New Roman"/>
                <w:b/>
                <w:iCs/>
                <w:kern w:val="0"/>
                <w:lang w:eastAsia="en-AU"/>
                <w14:ligatures w14:val="none"/>
              </w:rPr>
              <w:t>Scope 3 total</w:t>
            </w:r>
          </w:p>
        </w:tc>
        <w:tc>
          <w:tcPr>
            <w:tcW w:w="1753" w:type="dxa"/>
            <w:vAlign w:val="center"/>
          </w:tcPr>
          <w:p w14:paraId="6F882592" w14:textId="7B7825CB" w:rsidR="001E62B2" w:rsidRPr="00363508" w:rsidRDefault="00356059" w:rsidP="00363508">
            <w:pPr>
              <w:spacing w:after="0" w:line="240" w:lineRule="auto"/>
              <w:jc w:val="center"/>
              <w:rPr>
                <w:rFonts w:eastAsia="Times New Roman" w:cs="Times New Roman"/>
                <w:b/>
                <w:i/>
                <w:color w:val="153D63" w:themeColor="text2" w:themeTint="E6"/>
                <w:kern w:val="0"/>
                <w:lang w:eastAsia="en-AU"/>
                <w14:ligatures w14:val="none"/>
              </w:rPr>
            </w:pPr>
            <w:r>
              <w:rPr>
                <w:rFonts w:eastAsia="Times New Roman" w:cs="Times New Roman"/>
                <w:b/>
                <w:bCs/>
                <w:i/>
                <w:color w:val="153D63" w:themeColor="text2" w:themeTint="E6"/>
                <w:kern w:val="0"/>
                <w:lang w:eastAsia="en-AU"/>
                <w14:ligatures w14:val="none"/>
              </w:rPr>
              <w:t>635</w:t>
            </w:r>
          </w:p>
        </w:tc>
      </w:tr>
      <w:tr w:rsidR="001E62B2" w:rsidRPr="00C10CFF" w14:paraId="29DE3226" w14:textId="77777777">
        <w:trPr>
          <w:trHeight w:val="367"/>
        </w:trPr>
        <w:tc>
          <w:tcPr>
            <w:tcW w:w="12049" w:type="dxa"/>
            <w:gridSpan w:val="8"/>
            <w:shd w:val="clear" w:color="auto" w:fill="E8E8E8" w:themeFill="background2"/>
            <w:vAlign w:val="center"/>
          </w:tcPr>
          <w:p w14:paraId="52052160" w14:textId="3F75933D" w:rsidR="001E62B2" w:rsidRPr="00C17C8A" w:rsidRDefault="001E62B2">
            <w:pPr>
              <w:spacing w:after="0" w:line="240" w:lineRule="auto"/>
              <w:rPr>
                <w:rFonts w:eastAsia="Times New Roman" w:cs="Times New Roman"/>
                <w:i/>
                <w:color w:val="153D63" w:themeColor="text2" w:themeTint="E6"/>
                <w:kern w:val="0"/>
                <w:lang w:eastAsia="en-AU"/>
                <w14:ligatures w14:val="none"/>
              </w:rPr>
            </w:pPr>
            <w:r>
              <w:rPr>
                <w:rFonts w:eastAsia="Times New Roman" w:cs="Times New Roman"/>
                <w:b/>
                <w:iCs/>
                <w:kern w:val="0"/>
                <w:lang w:eastAsia="en-AU"/>
                <w14:ligatures w14:val="none"/>
              </w:rPr>
              <w:t>Biogenic CO</w:t>
            </w:r>
            <w:r w:rsidRPr="002A7345">
              <w:rPr>
                <w:rFonts w:eastAsia="Times New Roman" w:cs="Times New Roman"/>
                <w:b/>
                <w:iCs/>
                <w:kern w:val="0"/>
                <w:vertAlign w:val="subscript"/>
                <w:lang w:eastAsia="en-AU"/>
                <w14:ligatures w14:val="none"/>
              </w:rPr>
              <w:t>2</w:t>
            </w:r>
            <w:r>
              <w:rPr>
                <w:rFonts w:eastAsia="Times New Roman" w:cs="Times New Roman"/>
                <w:b/>
                <w:iCs/>
                <w:kern w:val="0"/>
                <w:lang w:eastAsia="en-AU"/>
                <w14:ligatures w14:val="none"/>
              </w:rPr>
              <w:t xml:space="preserve"> </w:t>
            </w:r>
            <w:r w:rsidR="00DC1877" w:rsidRPr="00DC1877">
              <w:rPr>
                <w:rFonts w:eastAsia="Times New Roman" w:cs="Times New Roman"/>
                <w:b/>
                <w:iCs/>
                <w:kern w:val="0"/>
                <w:vertAlign w:val="superscript"/>
                <w:lang w:eastAsia="en-AU"/>
                <w14:ligatures w14:val="none"/>
              </w:rPr>
              <w:t>(a)</w:t>
            </w:r>
          </w:p>
        </w:tc>
      </w:tr>
      <w:tr w:rsidR="001E62B2" w:rsidRPr="00C17C8A" w14:paraId="6077CEEF" w14:textId="77777777" w:rsidTr="007628D8">
        <w:trPr>
          <w:trHeight w:val="20"/>
        </w:trPr>
        <w:tc>
          <w:tcPr>
            <w:tcW w:w="2483" w:type="dxa"/>
            <w:vAlign w:val="center"/>
          </w:tcPr>
          <w:p w14:paraId="4C36A037" w14:textId="77777777"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Scope 1</w:t>
            </w:r>
          </w:p>
        </w:tc>
        <w:tc>
          <w:tcPr>
            <w:tcW w:w="2863" w:type="dxa"/>
            <w:vAlign w:val="center"/>
          </w:tcPr>
          <w:p w14:paraId="66AD3199" w14:textId="592C106F" w:rsidR="001E62B2" w:rsidRPr="00C17C8A" w:rsidRDefault="003F0883">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L</w:t>
            </w:r>
            <w:r w:rsidR="00CB4E8C">
              <w:rPr>
                <w:rFonts w:eastAsia="Times New Roman" w:cs="Times New Roman"/>
                <w:i/>
                <w:color w:val="153D63" w:themeColor="text2" w:themeTint="E6"/>
                <w:kern w:val="0"/>
                <w:lang w:eastAsia="en-AU"/>
                <w14:ligatures w14:val="none"/>
              </w:rPr>
              <w:t>and</w:t>
            </w:r>
            <w:r w:rsidR="00CB4E8C" w:rsidRPr="00C17C8A">
              <w:rPr>
                <w:rFonts w:eastAsia="Times New Roman" w:cs="Times New Roman"/>
                <w:i/>
                <w:color w:val="153D63" w:themeColor="text2" w:themeTint="E6"/>
                <w:kern w:val="0"/>
                <w:lang w:eastAsia="en-AU"/>
                <w14:ligatures w14:val="none"/>
              </w:rPr>
              <w:t xml:space="preserve"> </w:t>
            </w:r>
            <w:r w:rsidR="001E62B2" w:rsidRPr="00C17C8A">
              <w:rPr>
                <w:rFonts w:eastAsia="Times New Roman" w:cs="Times New Roman"/>
                <w:i/>
                <w:color w:val="153D63" w:themeColor="text2" w:themeTint="E6"/>
                <w:kern w:val="0"/>
                <w:lang w:eastAsia="en-AU"/>
                <w14:ligatures w14:val="none"/>
              </w:rPr>
              <w:t>clear</w:t>
            </w:r>
            <w:r w:rsidR="00CB4E8C">
              <w:rPr>
                <w:rFonts w:eastAsia="Times New Roman" w:cs="Times New Roman"/>
                <w:i/>
                <w:color w:val="153D63" w:themeColor="text2" w:themeTint="E6"/>
                <w:kern w:val="0"/>
                <w:lang w:eastAsia="en-AU"/>
                <w14:ligatures w14:val="none"/>
              </w:rPr>
              <w:t>ing</w:t>
            </w:r>
          </w:p>
        </w:tc>
        <w:tc>
          <w:tcPr>
            <w:tcW w:w="1600" w:type="dxa"/>
            <w:vAlign w:val="center"/>
          </w:tcPr>
          <w:p w14:paraId="1D54AFB3" w14:textId="0059A7EC"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B</w:t>
            </w:r>
            <w:r w:rsidRPr="00C17C8A">
              <w:rPr>
                <w:rFonts w:eastAsia="Times New Roman" w:cs="Times New Roman"/>
                <w:i/>
                <w:color w:val="153D63" w:themeColor="text2" w:themeTint="E6"/>
                <w:kern w:val="0"/>
                <w:lang w:eastAsia="en-AU"/>
                <w14:ligatures w14:val="none"/>
              </w:rPr>
              <w:t>iogenic CO₂</w:t>
            </w:r>
          </w:p>
        </w:tc>
        <w:tc>
          <w:tcPr>
            <w:tcW w:w="1015" w:type="dxa"/>
            <w:vAlign w:val="center"/>
          </w:tcPr>
          <w:p w14:paraId="54E515D5" w14:textId="77777777"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2</w:t>
            </w:r>
          </w:p>
        </w:tc>
        <w:tc>
          <w:tcPr>
            <w:tcW w:w="1432" w:type="dxa"/>
            <w:vAlign w:val="center"/>
          </w:tcPr>
          <w:p w14:paraId="738361DF" w14:textId="70AAC229" w:rsidR="001E62B2" w:rsidRPr="00C17C8A" w:rsidRDefault="00174A3E">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520</w:t>
            </w:r>
          </w:p>
        </w:tc>
        <w:tc>
          <w:tcPr>
            <w:tcW w:w="890" w:type="dxa"/>
            <w:vAlign w:val="center"/>
          </w:tcPr>
          <w:p w14:paraId="124E8B85" w14:textId="77777777"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sidRPr="00C17C8A">
              <w:rPr>
                <w:rFonts w:eastAsia="Times New Roman" w:cs="Times New Roman"/>
                <w:i/>
                <w:color w:val="153D63" w:themeColor="text2" w:themeTint="E6"/>
                <w:kern w:val="0"/>
                <w:lang w:eastAsia="en-AU"/>
                <w14:ligatures w14:val="none"/>
              </w:rPr>
              <w:t>1</w:t>
            </w:r>
          </w:p>
        </w:tc>
        <w:tc>
          <w:tcPr>
            <w:tcW w:w="1766" w:type="dxa"/>
            <w:gridSpan w:val="2"/>
            <w:vAlign w:val="center"/>
          </w:tcPr>
          <w:p w14:paraId="6A4B292F" w14:textId="1BA1F076" w:rsidR="001E62B2" w:rsidRPr="00C17C8A" w:rsidRDefault="00DC5C33">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520</w:t>
            </w:r>
          </w:p>
        </w:tc>
      </w:tr>
      <w:tr w:rsidR="001E62B2" w:rsidRPr="00C10CFF" w14:paraId="02AEBEF0" w14:textId="77777777" w:rsidTr="007628D8">
        <w:trPr>
          <w:trHeight w:val="20"/>
        </w:trPr>
        <w:tc>
          <w:tcPr>
            <w:tcW w:w="2483" w:type="dxa"/>
            <w:vAlign w:val="center"/>
          </w:tcPr>
          <w:p w14:paraId="6F4A7F03" w14:textId="0447D659"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Scope 1</w:t>
            </w:r>
          </w:p>
        </w:tc>
        <w:tc>
          <w:tcPr>
            <w:tcW w:w="2863" w:type="dxa"/>
            <w:vAlign w:val="center"/>
          </w:tcPr>
          <w:p w14:paraId="17F78E47" w14:textId="2EB3F35B" w:rsidR="001E62B2" w:rsidRPr="00C17C8A" w:rsidRDefault="003F0883">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Revegetation</w:t>
            </w:r>
          </w:p>
        </w:tc>
        <w:tc>
          <w:tcPr>
            <w:tcW w:w="1600" w:type="dxa"/>
            <w:vAlign w:val="center"/>
          </w:tcPr>
          <w:p w14:paraId="0F19FAC2" w14:textId="0A8BB95E"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B</w:t>
            </w:r>
            <w:r w:rsidRPr="00C17C8A">
              <w:rPr>
                <w:rFonts w:eastAsia="Times New Roman" w:cs="Times New Roman"/>
                <w:i/>
                <w:color w:val="153D63" w:themeColor="text2" w:themeTint="E6"/>
                <w:kern w:val="0"/>
                <w:lang w:eastAsia="en-AU"/>
                <w14:ligatures w14:val="none"/>
              </w:rPr>
              <w:t>iogenic CO₂</w:t>
            </w:r>
          </w:p>
        </w:tc>
        <w:tc>
          <w:tcPr>
            <w:tcW w:w="1015" w:type="dxa"/>
            <w:vAlign w:val="center"/>
          </w:tcPr>
          <w:p w14:paraId="72B5AA75" w14:textId="77777777" w:rsidR="001E62B2" w:rsidRPr="00C17C8A" w:rsidRDefault="001E62B2">
            <w:pPr>
              <w:spacing w:after="0" w:line="240" w:lineRule="auto"/>
              <w:jc w:val="center"/>
              <w:rPr>
                <w:rFonts w:eastAsia="Times New Roman" w:cs="Times New Roman"/>
                <w:color w:val="153D63" w:themeColor="text2" w:themeTint="E6"/>
                <w:kern w:val="0"/>
                <w:lang w:eastAsia="en-AU"/>
                <w14:ligatures w14:val="none"/>
              </w:rPr>
            </w:pPr>
            <w:r>
              <w:rPr>
                <w:rFonts w:eastAsia="Times New Roman" w:cs="Times New Roman"/>
                <w:color w:val="153D63" w:themeColor="text2" w:themeTint="E6"/>
                <w:kern w:val="0"/>
                <w:lang w:eastAsia="en-AU"/>
                <w14:ligatures w14:val="none"/>
              </w:rPr>
              <w:t>2</w:t>
            </w:r>
          </w:p>
        </w:tc>
        <w:tc>
          <w:tcPr>
            <w:tcW w:w="1432" w:type="dxa"/>
            <w:vAlign w:val="center"/>
          </w:tcPr>
          <w:p w14:paraId="3E593D5F" w14:textId="154E1573" w:rsidR="001E62B2" w:rsidRPr="00C17C8A" w:rsidRDefault="00174A3E">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-1240</w:t>
            </w:r>
          </w:p>
        </w:tc>
        <w:tc>
          <w:tcPr>
            <w:tcW w:w="890" w:type="dxa"/>
            <w:vAlign w:val="center"/>
          </w:tcPr>
          <w:p w14:paraId="00942A86" w14:textId="77777777" w:rsidR="001E62B2" w:rsidRPr="00C17C8A" w:rsidRDefault="001E62B2">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1</w:t>
            </w:r>
          </w:p>
        </w:tc>
        <w:tc>
          <w:tcPr>
            <w:tcW w:w="1766" w:type="dxa"/>
            <w:gridSpan w:val="2"/>
            <w:vAlign w:val="center"/>
          </w:tcPr>
          <w:p w14:paraId="4F301552" w14:textId="54B4740C" w:rsidR="001E62B2" w:rsidRPr="00C17C8A" w:rsidRDefault="00DC5C33">
            <w:pPr>
              <w:spacing w:after="0" w:line="240" w:lineRule="auto"/>
              <w:jc w:val="center"/>
              <w:rPr>
                <w:rFonts w:eastAsia="Times New Roman" w:cs="Times New Roman"/>
                <w:i/>
                <w:color w:val="153D63" w:themeColor="text2" w:themeTint="E6"/>
                <w:kern w:val="0"/>
                <w:lang w:eastAsia="en-AU"/>
                <w14:ligatures w14:val="none"/>
              </w:rPr>
            </w:pPr>
            <w:r>
              <w:rPr>
                <w:rFonts w:eastAsia="Times New Roman" w:cs="Times New Roman"/>
                <w:i/>
                <w:color w:val="153D63" w:themeColor="text2" w:themeTint="E6"/>
                <w:kern w:val="0"/>
                <w:lang w:eastAsia="en-AU"/>
                <w14:ligatures w14:val="none"/>
              </w:rPr>
              <w:t>-1240</w:t>
            </w:r>
          </w:p>
        </w:tc>
      </w:tr>
      <w:tr w:rsidR="001E62B2" w:rsidRPr="00C10CFF" w14:paraId="77556B99" w14:textId="77777777" w:rsidTr="00363508">
        <w:trPr>
          <w:trHeight w:val="367"/>
        </w:trPr>
        <w:tc>
          <w:tcPr>
            <w:tcW w:w="10296" w:type="dxa"/>
            <w:gridSpan w:val="7"/>
            <w:vAlign w:val="center"/>
          </w:tcPr>
          <w:p w14:paraId="04DFBB75" w14:textId="5209B28E" w:rsidR="001E62B2" w:rsidRPr="002124A0" w:rsidRDefault="001E62B2">
            <w:pPr>
              <w:spacing w:after="0" w:line="240" w:lineRule="auto"/>
              <w:rPr>
                <w:rFonts w:eastAsia="Times New Roman" w:cs="Times New Roman"/>
                <w:b/>
                <w:iCs/>
                <w:kern w:val="0"/>
                <w:lang w:eastAsia="en-AU"/>
                <w14:ligatures w14:val="none"/>
              </w:rPr>
            </w:pPr>
            <w:r>
              <w:rPr>
                <w:rFonts w:eastAsia="Times New Roman" w:cs="Times New Roman"/>
                <w:b/>
                <w:iCs/>
                <w:kern w:val="0"/>
                <w:lang w:eastAsia="en-AU"/>
                <w14:ligatures w14:val="none"/>
              </w:rPr>
              <w:t>Biogenic CO</w:t>
            </w:r>
            <w:r w:rsidRPr="002A7345">
              <w:rPr>
                <w:rFonts w:eastAsia="Times New Roman" w:cs="Times New Roman"/>
                <w:b/>
                <w:iCs/>
                <w:kern w:val="0"/>
                <w:vertAlign w:val="subscript"/>
                <w:lang w:eastAsia="en-AU"/>
                <w14:ligatures w14:val="none"/>
              </w:rPr>
              <w:t>2</w:t>
            </w:r>
            <w:r>
              <w:rPr>
                <w:rFonts w:eastAsia="Times New Roman" w:cs="Times New Roman"/>
                <w:b/>
                <w:iCs/>
                <w:kern w:val="0"/>
                <w:lang w:eastAsia="en-AU"/>
                <w14:ligatures w14:val="none"/>
              </w:rPr>
              <w:t xml:space="preserve"> total</w:t>
            </w:r>
          </w:p>
        </w:tc>
        <w:tc>
          <w:tcPr>
            <w:tcW w:w="1753" w:type="dxa"/>
            <w:vAlign w:val="center"/>
          </w:tcPr>
          <w:p w14:paraId="162728D0" w14:textId="58AB353F" w:rsidR="001E62B2" w:rsidRPr="00363508" w:rsidRDefault="00DC5C33" w:rsidP="00363508">
            <w:pPr>
              <w:spacing w:after="0" w:line="240" w:lineRule="auto"/>
              <w:jc w:val="center"/>
              <w:rPr>
                <w:rFonts w:eastAsia="Times New Roman" w:cs="Times New Roman"/>
                <w:b/>
                <w:i/>
                <w:color w:val="153D63" w:themeColor="text2" w:themeTint="E6"/>
                <w:kern w:val="0"/>
                <w:lang w:eastAsia="en-AU"/>
                <w14:ligatures w14:val="none"/>
              </w:rPr>
            </w:pPr>
            <w:r>
              <w:rPr>
                <w:rFonts w:eastAsia="Times New Roman" w:cs="Times New Roman"/>
                <w:b/>
                <w:bCs/>
                <w:i/>
                <w:color w:val="153D63" w:themeColor="text2" w:themeTint="E6"/>
                <w:kern w:val="0"/>
                <w:lang w:eastAsia="en-AU"/>
                <w14:ligatures w14:val="none"/>
              </w:rPr>
              <w:t>-720</w:t>
            </w:r>
          </w:p>
        </w:tc>
      </w:tr>
    </w:tbl>
    <w:p w14:paraId="254D4B51" w14:textId="570463F3" w:rsidR="00092CCA" w:rsidRPr="007778DC" w:rsidRDefault="00092CCA" w:rsidP="00092CCA">
      <w:pPr>
        <w:ind w:right="1909"/>
        <w:jc w:val="both"/>
        <w:rPr>
          <w:b/>
          <w:sz w:val="18"/>
          <w:szCs w:val="18"/>
        </w:rPr>
      </w:pPr>
      <w:bookmarkStart w:id="109" w:name="_Toc206156787"/>
      <w:bookmarkStart w:id="110" w:name="_Toc206156782"/>
      <w:r w:rsidRPr="00CB6065">
        <w:rPr>
          <w:sz w:val="18"/>
          <w:szCs w:val="18"/>
        </w:rPr>
        <w:t xml:space="preserve">(a) Land management activities can </w:t>
      </w:r>
      <w:r>
        <w:rPr>
          <w:sz w:val="18"/>
          <w:szCs w:val="18"/>
        </w:rPr>
        <w:t xml:space="preserve">lead to both </w:t>
      </w:r>
      <w:r w:rsidRPr="00CB6065">
        <w:rPr>
          <w:sz w:val="18"/>
          <w:szCs w:val="18"/>
        </w:rPr>
        <w:t>emissions and removals of biogenic CO</w:t>
      </w:r>
      <w:r w:rsidRPr="00CB6065">
        <w:rPr>
          <w:sz w:val="18"/>
          <w:szCs w:val="18"/>
          <w:vertAlign w:val="subscript"/>
        </w:rPr>
        <w:t>2</w:t>
      </w:r>
      <w:r>
        <w:rPr>
          <w:sz w:val="18"/>
          <w:szCs w:val="18"/>
        </w:rPr>
        <w:t xml:space="preserve">. These are combined to present net totals. Net removals should be reported as a negative value. Net in this context does </w:t>
      </w:r>
      <w:r w:rsidR="00057555">
        <w:rPr>
          <w:sz w:val="18"/>
          <w:szCs w:val="18"/>
        </w:rPr>
        <w:t xml:space="preserve">not </w:t>
      </w:r>
      <w:r>
        <w:rPr>
          <w:sz w:val="18"/>
          <w:szCs w:val="18"/>
        </w:rPr>
        <w:t>refer to adjustments for purchased or sold carbon credits.</w:t>
      </w:r>
      <w:r w:rsidR="00A4095A">
        <w:rPr>
          <w:sz w:val="18"/>
          <w:szCs w:val="18"/>
        </w:rPr>
        <w:t xml:space="preserve"> Biogenic carbon totals should not be netted with fossil carbon emissions. </w:t>
      </w:r>
    </w:p>
    <w:p w14:paraId="5999D7CA" w14:textId="51DB403B" w:rsidR="000205C1" w:rsidRDefault="000205C1" w:rsidP="009E77D2">
      <w:pPr>
        <w:pStyle w:val="Heading3"/>
        <w:numPr>
          <w:ilvl w:val="0"/>
          <w:numId w:val="0"/>
        </w:numPr>
      </w:pPr>
      <w:r>
        <w:lastRenderedPageBreak/>
        <w:t xml:space="preserve">Totals by gas </w:t>
      </w:r>
    </w:p>
    <w:tbl>
      <w:tblPr>
        <w:tblW w:w="11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515"/>
        <w:gridCol w:w="1360"/>
        <w:gridCol w:w="1211"/>
        <w:gridCol w:w="1503"/>
        <w:gridCol w:w="1852"/>
        <w:gridCol w:w="2138"/>
      </w:tblGrid>
      <w:tr w:rsidR="001E62B2" w:rsidRPr="00B53E44" w14:paraId="73AD5140" w14:textId="77777777" w:rsidTr="00310A5D">
        <w:trPr>
          <w:trHeight w:val="580"/>
          <w:tblHeader/>
        </w:trPr>
        <w:tc>
          <w:tcPr>
            <w:tcW w:w="1980" w:type="dxa"/>
            <w:shd w:val="clear" w:color="auto" w:fill="E8E8E8" w:themeFill="background2"/>
            <w:vAlign w:val="center"/>
            <w:hideMark/>
          </w:tcPr>
          <w:bookmarkEnd w:id="109"/>
          <w:p w14:paraId="60699FD7" w14:textId="77777777" w:rsidR="001E62B2" w:rsidRPr="00E96401"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E96401">
              <w:rPr>
                <w:rFonts w:ascii="Aptos Narrow" w:eastAsia="Times New Roman" w:hAnsi="Aptos Narrow" w:cs="Times New Roman"/>
                <w:b/>
                <w:bCs/>
                <w:color w:val="000000"/>
                <w:kern w:val="0"/>
                <w:lang w:eastAsia="en-AU"/>
                <w14:ligatures w14:val="none"/>
              </w:rPr>
              <w:t>Gas</w:t>
            </w:r>
          </w:p>
        </w:tc>
        <w:tc>
          <w:tcPr>
            <w:tcW w:w="1515" w:type="dxa"/>
            <w:shd w:val="clear" w:color="auto" w:fill="E8E8E8" w:themeFill="background2"/>
            <w:vAlign w:val="center"/>
            <w:hideMark/>
          </w:tcPr>
          <w:p w14:paraId="4F25DE4F" w14:textId="77777777" w:rsidR="001E62B2" w:rsidRPr="00E96401"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E96401">
              <w:rPr>
                <w:rFonts w:ascii="Aptos Narrow" w:eastAsia="Times New Roman" w:hAnsi="Aptos Narrow" w:cs="Times New Roman"/>
                <w:b/>
                <w:bCs/>
                <w:color w:val="000000"/>
                <w:kern w:val="0"/>
                <w:lang w:eastAsia="en-AU"/>
                <w14:ligatures w14:val="none"/>
              </w:rPr>
              <w:t>Scope 1 (t)</w:t>
            </w:r>
          </w:p>
        </w:tc>
        <w:tc>
          <w:tcPr>
            <w:tcW w:w="1360" w:type="dxa"/>
            <w:shd w:val="clear" w:color="auto" w:fill="E8E8E8" w:themeFill="background2"/>
            <w:vAlign w:val="center"/>
            <w:hideMark/>
          </w:tcPr>
          <w:p w14:paraId="7ACE696B" w14:textId="77777777" w:rsidR="001E62B2" w:rsidRPr="00E96401"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E96401">
              <w:rPr>
                <w:rFonts w:ascii="Aptos Narrow" w:eastAsia="Times New Roman" w:hAnsi="Aptos Narrow" w:cs="Times New Roman"/>
                <w:b/>
                <w:bCs/>
                <w:color w:val="000000"/>
                <w:kern w:val="0"/>
                <w:lang w:eastAsia="en-AU"/>
                <w14:ligatures w14:val="none"/>
              </w:rPr>
              <w:t>Scope 2 (t)</w:t>
            </w:r>
          </w:p>
        </w:tc>
        <w:tc>
          <w:tcPr>
            <w:tcW w:w="1211" w:type="dxa"/>
            <w:shd w:val="clear" w:color="auto" w:fill="E8E8E8" w:themeFill="background2"/>
            <w:vAlign w:val="center"/>
            <w:hideMark/>
          </w:tcPr>
          <w:p w14:paraId="5BAF1D37" w14:textId="77777777" w:rsidR="001E62B2" w:rsidRPr="00E96401"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E96401">
              <w:rPr>
                <w:rFonts w:ascii="Aptos Narrow" w:eastAsia="Times New Roman" w:hAnsi="Aptos Narrow" w:cs="Times New Roman"/>
                <w:b/>
                <w:bCs/>
                <w:color w:val="000000"/>
                <w:kern w:val="0"/>
                <w:lang w:eastAsia="en-AU"/>
                <w14:ligatures w14:val="none"/>
              </w:rPr>
              <w:t>Scope 3 (t)</w:t>
            </w:r>
          </w:p>
        </w:tc>
        <w:tc>
          <w:tcPr>
            <w:tcW w:w="1503" w:type="dxa"/>
            <w:shd w:val="clear" w:color="auto" w:fill="E8E8E8" w:themeFill="background2"/>
            <w:vAlign w:val="center"/>
            <w:hideMark/>
          </w:tcPr>
          <w:p w14:paraId="68009DD2" w14:textId="77777777" w:rsidR="001E62B2" w:rsidRPr="00E96401"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E96401">
              <w:rPr>
                <w:rFonts w:ascii="Aptos Narrow" w:eastAsia="Times New Roman" w:hAnsi="Aptos Narrow" w:cs="Times New Roman"/>
                <w:b/>
                <w:bCs/>
                <w:color w:val="000000"/>
                <w:kern w:val="0"/>
                <w:lang w:eastAsia="en-AU"/>
                <w14:ligatures w14:val="none"/>
              </w:rPr>
              <w:t>Total (t)</w:t>
            </w:r>
          </w:p>
        </w:tc>
        <w:tc>
          <w:tcPr>
            <w:tcW w:w="1852" w:type="dxa"/>
            <w:shd w:val="clear" w:color="auto" w:fill="E8E8E8" w:themeFill="background2"/>
            <w:vAlign w:val="center"/>
            <w:hideMark/>
          </w:tcPr>
          <w:p w14:paraId="50BB5021" w14:textId="53B9EF1D" w:rsidR="001E62B2" w:rsidRPr="00E96401" w:rsidRDefault="001E62B2" w:rsidP="00176C0F">
            <w:pPr>
              <w:spacing w:after="0" w:line="240" w:lineRule="auto"/>
              <w:jc w:val="center"/>
              <w:rPr>
                <w:rFonts w:ascii="Aptos Narrow" w:eastAsia="Times New Roman" w:hAnsi="Aptos Narrow" w:cs="Times New Roman"/>
                <w:b/>
                <w:bCs/>
                <w:color w:val="000000"/>
                <w:kern w:val="0"/>
                <w:lang w:eastAsia="en-AU"/>
                <w14:ligatures w14:val="none"/>
              </w:rPr>
            </w:pPr>
            <w:r w:rsidRPr="00E96401">
              <w:rPr>
                <w:rFonts w:ascii="Aptos Narrow" w:eastAsia="Times New Roman" w:hAnsi="Aptos Narrow" w:cs="Times New Roman"/>
                <w:b/>
                <w:bCs/>
                <w:color w:val="000000"/>
                <w:kern w:val="0"/>
                <w:lang w:eastAsia="en-AU"/>
                <w14:ligatures w14:val="none"/>
              </w:rPr>
              <w:t>GWP</w:t>
            </w:r>
          </w:p>
        </w:tc>
        <w:tc>
          <w:tcPr>
            <w:tcW w:w="2138" w:type="dxa"/>
            <w:shd w:val="clear" w:color="auto" w:fill="E8E8E8" w:themeFill="background2"/>
            <w:vAlign w:val="center"/>
            <w:hideMark/>
          </w:tcPr>
          <w:p w14:paraId="7717A126" w14:textId="77777777" w:rsidR="00E143F8" w:rsidRDefault="00E143F8">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 xml:space="preserve">Net </w:t>
            </w:r>
            <w:r w:rsidRPr="00C10CFF">
              <w:rPr>
                <w:rFonts w:ascii="Aptos Narrow" w:eastAsia="Times New Roman" w:hAnsi="Aptos Narrow" w:cs="Times New Roman"/>
                <w:b/>
                <w:bCs/>
                <w:color w:val="000000"/>
                <w:kern w:val="0"/>
                <w:lang w:eastAsia="en-AU"/>
                <w14:ligatures w14:val="none"/>
              </w:rPr>
              <w:t>Emissions</w:t>
            </w:r>
          </w:p>
          <w:p w14:paraId="3CFDE7AB" w14:textId="608E2544" w:rsidR="001E62B2" w:rsidRPr="00E96401" w:rsidRDefault="001E62B2">
            <w:pPr>
              <w:spacing w:after="0" w:line="240" w:lineRule="auto"/>
              <w:jc w:val="center"/>
              <w:rPr>
                <w:rFonts w:ascii="Aptos Narrow" w:eastAsia="Times New Roman" w:hAnsi="Aptos Narrow" w:cs="Times New Roman"/>
                <w:b/>
                <w:bCs/>
                <w:color w:val="000000"/>
                <w:kern w:val="0"/>
                <w:lang w:eastAsia="en-AU"/>
                <w14:ligatures w14:val="none"/>
              </w:rPr>
            </w:pPr>
            <w:r w:rsidRPr="00E96401">
              <w:rPr>
                <w:rFonts w:ascii="Aptos Narrow" w:eastAsia="Times New Roman" w:hAnsi="Aptos Narrow" w:cs="Times New Roman"/>
                <w:b/>
                <w:bCs/>
                <w:color w:val="000000"/>
                <w:kern w:val="0"/>
                <w:lang w:eastAsia="en-AU"/>
                <w14:ligatures w14:val="none"/>
              </w:rPr>
              <w:t>(t</w:t>
            </w:r>
            <w:r>
              <w:rPr>
                <w:rFonts w:ascii="Aptos Narrow" w:eastAsia="Times New Roman" w:hAnsi="Aptos Narrow" w:cs="Times New Roman"/>
                <w:b/>
                <w:bCs/>
                <w:color w:val="000000"/>
                <w:kern w:val="0"/>
                <w:lang w:eastAsia="en-AU"/>
                <w14:ligatures w14:val="none"/>
              </w:rPr>
              <w:t xml:space="preserve"> </w:t>
            </w:r>
            <w:r w:rsidRPr="00E96401">
              <w:rPr>
                <w:rFonts w:ascii="Aptos Narrow" w:eastAsia="Times New Roman" w:hAnsi="Aptos Narrow" w:cs="Times New Roman"/>
                <w:b/>
                <w:bCs/>
                <w:color w:val="000000"/>
                <w:kern w:val="0"/>
                <w:lang w:eastAsia="en-AU"/>
                <w14:ligatures w14:val="none"/>
              </w:rPr>
              <w:t>CO₂-e)</w:t>
            </w:r>
            <w:r w:rsidR="00E143F8" w:rsidRPr="00DC1877">
              <w:rPr>
                <w:rFonts w:eastAsia="Times New Roman" w:cs="Times New Roman"/>
                <w:b/>
                <w:iCs/>
                <w:kern w:val="0"/>
                <w:vertAlign w:val="superscript"/>
                <w:lang w:eastAsia="en-AU"/>
                <w14:ligatures w14:val="none"/>
              </w:rPr>
              <w:t xml:space="preserve"> (a</w:t>
            </w:r>
            <w:r w:rsidR="00E143F8">
              <w:rPr>
                <w:rFonts w:eastAsia="Times New Roman" w:cs="Times New Roman"/>
                <w:b/>
                <w:iCs/>
                <w:kern w:val="0"/>
                <w:vertAlign w:val="superscript"/>
                <w:lang w:eastAsia="en-AU"/>
                <w14:ligatures w14:val="none"/>
              </w:rPr>
              <w:t>)</w:t>
            </w:r>
          </w:p>
        </w:tc>
      </w:tr>
      <w:tr w:rsidR="001E62B2" w:rsidRPr="00E96401" w14:paraId="55BDE5AA" w14:textId="77777777" w:rsidTr="00310A5D">
        <w:trPr>
          <w:trHeight w:val="290"/>
          <w:tblHeader/>
        </w:trPr>
        <w:tc>
          <w:tcPr>
            <w:tcW w:w="1980" w:type="dxa"/>
            <w:vAlign w:val="center"/>
            <w:hideMark/>
          </w:tcPr>
          <w:p w14:paraId="5B13050D" w14:textId="7454977F" w:rsidR="001E62B2" w:rsidRPr="00E96401" w:rsidRDefault="00ED0775">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 xml:space="preserve">Non-biogenic </w:t>
            </w:r>
            <w:r w:rsidR="001E62B2" w:rsidRPr="00E96401">
              <w:rPr>
                <w:rFonts w:ascii="Aptos Narrow" w:eastAsia="Times New Roman" w:hAnsi="Aptos Narrow" w:cs="Times New Roman"/>
                <w:color w:val="000000"/>
                <w:kern w:val="0"/>
                <w:lang w:eastAsia="en-AU"/>
                <w14:ligatures w14:val="none"/>
              </w:rPr>
              <w:t>CO₂</w:t>
            </w:r>
          </w:p>
        </w:tc>
        <w:tc>
          <w:tcPr>
            <w:tcW w:w="1515" w:type="dxa"/>
            <w:vAlign w:val="center"/>
            <w:hideMark/>
          </w:tcPr>
          <w:p w14:paraId="03B5A6DB" w14:textId="1822F599" w:rsidR="001E62B2" w:rsidRPr="0012227A" w:rsidRDefault="00FE329C" w:rsidP="0012227A">
            <w:pPr>
              <w:spacing w:after="0" w:line="240" w:lineRule="auto"/>
              <w:jc w:val="center"/>
              <w:rPr>
                <w:rFonts w:ascii="Aptos Narrow" w:eastAsia="Times New Roman" w:hAnsi="Aptos Narrow" w:cs="Times New Roman"/>
                <w:color w:val="156082" w:themeColor="accent1"/>
                <w:kern w:val="0"/>
                <w:lang w:eastAsia="en-AU"/>
                <w14:ligatures w14:val="none"/>
              </w:rPr>
            </w:pPr>
            <w:r>
              <w:rPr>
                <w:rFonts w:ascii="Aptos Narrow" w:eastAsia="Times New Roman" w:hAnsi="Aptos Narrow" w:cs="Times New Roman"/>
                <w:color w:val="156082" w:themeColor="accent1"/>
                <w:kern w:val="0"/>
                <w:lang w:eastAsia="en-AU"/>
                <w14:ligatures w14:val="none"/>
              </w:rPr>
              <w:t>160</w:t>
            </w:r>
          </w:p>
        </w:tc>
        <w:tc>
          <w:tcPr>
            <w:tcW w:w="1360" w:type="dxa"/>
            <w:vAlign w:val="center"/>
            <w:hideMark/>
          </w:tcPr>
          <w:p w14:paraId="6ACEDEF2" w14:textId="60A1FE6B" w:rsidR="001E62B2" w:rsidRPr="0012227A" w:rsidRDefault="00916876" w:rsidP="0012227A">
            <w:pPr>
              <w:spacing w:after="0" w:line="240" w:lineRule="auto"/>
              <w:jc w:val="center"/>
              <w:rPr>
                <w:rFonts w:ascii="Aptos Narrow" w:eastAsia="Times New Roman" w:hAnsi="Aptos Narrow" w:cs="Times New Roman"/>
                <w:color w:val="156082" w:themeColor="accent1"/>
                <w:kern w:val="0"/>
                <w:lang w:eastAsia="en-AU"/>
                <w14:ligatures w14:val="none"/>
              </w:rPr>
            </w:pPr>
            <w:r>
              <w:rPr>
                <w:rFonts w:ascii="Aptos Narrow" w:eastAsia="Times New Roman" w:hAnsi="Aptos Narrow" w:cs="Times New Roman"/>
                <w:color w:val="156082" w:themeColor="accent1"/>
                <w:kern w:val="0"/>
                <w:lang w:eastAsia="en-AU"/>
                <w14:ligatures w14:val="none"/>
              </w:rPr>
              <w:t>420</w:t>
            </w:r>
          </w:p>
        </w:tc>
        <w:tc>
          <w:tcPr>
            <w:tcW w:w="1211" w:type="dxa"/>
            <w:vAlign w:val="center"/>
            <w:hideMark/>
          </w:tcPr>
          <w:p w14:paraId="1D4BDD62" w14:textId="4E0CD70B" w:rsidR="001E62B2" w:rsidRPr="0012227A" w:rsidRDefault="009852EB" w:rsidP="0012227A">
            <w:pPr>
              <w:spacing w:after="0" w:line="240" w:lineRule="auto"/>
              <w:jc w:val="center"/>
              <w:rPr>
                <w:rFonts w:ascii="Aptos Narrow" w:eastAsia="Times New Roman" w:hAnsi="Aptos Narrow" w:cs="Times New Roman"/>
                <w:color w:val="156082" w:themeColor="accent1"/>
                <w:kern w:val="0"/>
                <w:lang w:eastAsia="en-AU"/>
                <w14:ligatures w14:val="none"/>
              </w:rPr>
            </w:pPr>
            <w:r>
              <w:rPr>
                <w:rFonts w:ascii="Aptos Narrow" w:eastAsia="Times New Roman" w:hAnsi="Aptos Narrow" w:cs="Times New Roman"/>
                <w:color w:val="156082" w:themeColor="accent1"/>
                <w:kern w:val="0"/>
                <w:lang w:eastAsia="en-AU"/>
                <w14:ligatures w14:val="none"/>
              </w:rPr>
              <w:t>635</w:t>
            </w:r>
          </w:p>
        </w:tc>
        <w:tc>
          <w:tcPr>
            <w:tcW w:w="1503" w:type="dxa"/>
            <w:vAlign w:val="center"/>
            <w:hideMark/>
          </w:tcPr>
          <w:p w14:paraId="0278A8A2" w14:textId="7201EE23" w:rsidR="001E62B2" w:rsidRPr="0012227A" w:rsidRDefault="009852EB" w:rsidP="0012227A">
            <w:pPr>
              <w:spacing w:after="0" w:line="240" w:lineRule="auto"/>
              <w:jc w:val="center"/>
              <w:rPr>
                <w:rFonts w:ascii="Aptos Narrow" w:eastAsia="Times New Roman" w:hAnsi="Aptos Narrow" w:cs="Times New Roman"/>
                <w:color w:val="156082" w:themeColor="accent1"/>
                <w:kern w:val="0"/>
                <w:lang w:eastAsia="en-AU"/>
                <w14:ligatures w14:val="none"/>
              </w:rPr>
            </w:pPr>
            <w:r>
              <w:rPr>
                <w:rFonts w:ascii="Aptos Narrow" w:eastAsia="Times New Roman" w:hAnsi="Aptos Narrow" w:cs="Times New Roman"/>
                <w:color w:val="156082" w:themeColor="accent1"/>
                <w:kern w:val="0"/>
                <w:lang w:eastAsia="en-AU"/>
                <w14:ligatures w14:val="none"/>
              </w:rPr>
              <w:t>1215</w:t>
            </w:r>
          </w:p>
        </w:tc>
        <w:tc>
          <w:tcPr>
            <w:tcW w:w="1852" w:type="dxa"/>
            <w:vAlign w:val="center"/>
            <w:hideMark/>
          </w:tcPr>
          <w:p w14:paraId="69EA12E2" w14:textId="64E8E11A" w:rsidR="001E62B2" w:rsidRPr="0012227A" w:rsidRDefault="0012227A" w:rsidP="0012227A">
            <w:pPr>
              <w:spacing w:after="0" w:line="240" w:lineRule="auto"/>
              <w:jc w:val="center"/>
              <w:rPr>
                <w:rFonts w:ascii="Aptos Narrow" w:eastAsia="Times New Roman" w:hAnsi="Aptos Narrow" w:cs="Times New Roman"/>
                <w:color w:val="156082" w:themeColor="accent1"/>
                <w:kern w:val="0"/>
                <w:lang w:eastAsia="en-AU"/>
                <w14:ligatures w14:val="none"/>
              </w:rPr>
            </w:pPr>
            <w:r>
              <w:rPr>
                <w:rFonts w:ascii="Aptos Narrow" w:eastAsia="Times New Roman" w:hAnsi="Aptos Narrow" w:cs="Times New Roman"/>
                <w:color w:val="156082" w:themeColor="accent1"/>
                <w:kern w:val="0"/>
                <w:lang w:eastAsia="en-AU"/>
                <w14:ligatures w14:val="none"/>
              </w:rPr>
              <w:t>1</w:t>
            </w:r>
          </w:p>
        </w:tc>
        <w:tc>
          <w:tcPr>
            <w:tcW w:w="2138" w:type="dxa"/>
            <w:vAlign w:val="center"/>
            <w:hideMark/>
          </w:tcPr>
          <w:p w14:paraId="53E3659C" w14:textId="469AD46C" w:rsidR="001E62B2" w:rsidRPr="0012227A" w:rsidRDefault="009852EB" w:rsidP="0012227A">
            <w:pPr>
              <w:spacing w:after="0" w:line="240" w:lineRule="auto"/>
              <w:jc w:val="center"/>
              <w:rPr>
                <w:rFonts w:ascii="Aptos Narrow" w:eastAsia="Times New Roman" w:hAnsi="Aptos Narrow" w:cs="Times New Roman"/>
                <w:color w:val="156082" w:themeColor="accent1"/>
                <w:kern w:val="0"/>
                <w:lang w:eastAsia="en-AU"/>
                <w14:ligatures w14:val="none"/>
              </w:rPr>
            </w:pPr>
            <w:r>
              <w:rPr>
                <w:rFonts w:ascii="Aptos Narrow" w:eastAsia="Times New Roman" w:hAnsi="Aptos Narrow" w:cs="Times New Roman"/>
                <w:color w:val="156082" w:themeColor="accent1"/>
                <w:kern w:val="0"/>
                <w:lang w:eastAsia="en-AU"/>
                <w14:ligatures w14:val="none"/>
              </w:rPr>
              <w:t>1215</w:t>
            </w:r>
          </w:p>
        </w:tc>
      </w:tr>
      <w:tr w:rsidR="001E62B2" w:rsidRPr="00E96401" w14:paraId="211EF240" w14:textId="77777777" w:rsidTr="00310A5D">
        <w:trPr>
          <w:trHeight w:val="290"/>
          <w:tblHeader/>
        </w:trPr>
        <w:tc>
          <w:tcPr>
            <w:tcW w:w="1980" w:type="dxa"/>
            <w:vAlign w:val="center"/>
          </w:tcPr>
          <w:p w14:paraId="71209C59" w14:textId="1FF528E5" w:rsidR="001E62B2" w:rsidRPr="00E96401" w:rsidRDefault="001E62B2">
            <w:pPr>
              <w:spacing w:after="0" w:line="240" w:lineRule="auto"/>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 xml:space="preserve">Biogenic </w:t>
            </w:r>
            <w:r w:rsidRPr="00E96401">
              <w:rPr>
                <w:rFonts w:ascii="Aptos Narrow" w:eastAsia="Times New Roman" w:hAnsi="Aptos Narrow" w:cs="Times New Roman"/>
                <w:color w:val="000000"/>
                <w:kern w:val="0"/>
                <w:lang w:eastAsia="en-AU"/>
                <w14:ligatures w14:val="none"/>
              </w:rPr>
              <w:t>CO₂</w:t>
            </w:r>
            <w:r w:rsidR="00E50CEC" w:rsidRPr="00DC1877">
              <w:rPr>
                <w:rFonts w:eastAsia="Times New Roman" w:cs="Times New Roman"/>
                <w:b/>
                <w:iCs/>
                <w:kern w:val="0"/>
                <w:vertAlign w:val="superscript"/>
                <w:lang w:eastAsia="en-AU"/>
                <w14:ligatures w14:val="none"/>
              </w:rPr>
              <w:t>(a</w:t>
            </w:r>
            <w:r w:rsidR="00E50CEC">
              <w:rPr>
                <w:rFonts w:eastAsia="Times New Roman" w:cs="Times New Roman"/>
                <w:b/>
                <w:iCs/>
                <w:kern w:val="0"/>
                <w:vertAlign w:val="superscript"/>
                <w:lang w:eastAsia="en-AU"/>
                <w14:ligatures w14:val="none"/>
              </w:rPr>
              <w:t>)</w:t>
            </w:r>
          </w:p>
        </w:tc>
        <w:tc>
          <w:tcPr>
            <w:tcW w:w="1515" w:type="dxa"/>
            <w:vAlign w:val="center"/>
          </w:tcPr>
          <w:p w14:paraId="0B1AEA43" w14:textId="4109F3F5" w:rsidR="001E62B2" w:rsidRPr="0012227A" w:rsidRDefault="005770BB" w:rsidP="0012227A">
            <w:pPr>
              <w:spacing w:after="0" w:line="240" w:lineRule="auto"/>
              <w:jc w:val="center"/>
              <w:rPr>
                <w:rFonts w:ascii="Aptos Narrow" w:eastAsia="Times New Roman" w:hAnsi="Aptos Narrow" w:cs="Times New Roman"/>
                <w:color w:val="156082" w:themeColor="accent1"/>
                <w:kern w:val="0"/>
                <w:lang w:eastAsia="en-AU"/>
                <w14:ligatures w14:val="none"/>
              </w:rPr>
            </w:pPr>
            <w:r>
              <w:rPr>
                <w:rFonts w:ascii="Aptos Narrow" w:eastAsia="Times New Roman" w:hAnsi="Aptos Narrow" w:cs="Times New Roman"/>
                <w:color w:val="156082" w:themeColor="accent1"/>
                <w:kern w:val="0"/>
                <w:lang w:eastAsia="en-AU"/>
                <w14:ligatures w14:val="none"/>
              </w:rPr>
              <w:t>-720</w:t>
            </w:r>
          </w:p>
        </w:tc>
        <w:tc>
          <w:tcPr>
            <w:tcW w:w="1360" w:type="dxa"/>
            <w:vAlign w:val="center"/>
          </w:tcPr>
          <w:p w14:paraId="2299BD6C" w14:textId="77777777" w:rsidR="001E62B2" w:rsidRPr="0012227A" w:rsidRDefault="001E62B2" w:rsidP="0012227A">
            <w:pPr>
              <w:spacing w:after="0" w:line="240" w:lineRule="auto"/>
              <w:jc w:val="center"/>
              <w:rPr>
                <w:rFonts w:ascii="Aptos Narrow" w:eastAsia="Times New Roman" w:hAnsi="Aptos Narrow" w:cs="Times New Roman"/>
                <w:color w:val="156082" w:themeColor="accent1"/>
                <w:kern w:val="0"/>
                <w:lang w:eastAsia="en-AU"/>
                <w14:ligatures w14:val="none"/>
              </w:rPr>
            </w:pPr>
          </w:p>
        </w:tc>
        <w:tc>
          <w:tcPr>
            <w:tcW w:w="1211" w:type="dxa"/>
            <w:vAlign w:val="center"/>
          </w:tcPr>
          <w:p w14:paraId="7F048ABC" w14:textId="77777777" w:rsidR="001E62B2" w:rsidRPr="0012227A" w:rsidRDefault="001E62B2" w:rsidP="0012227A">
            <w:pPr>
              <w:spacing w:after="0" w:line="240" w:lineRule="auto"/>
              <w:jc w:val="center"/>
              <w:rPr>
                <w:rFonts w:ascii="Aptos Narrow" w:eastAsia="Times New Roman" w:hAnsi="Aptos Narrow" w:cs="Times New Roman"/>
                <w:color w:val="156082" w:themeColor="accent1"/>
                <w:kern w:val="0"/>
                <w:lang w:eastAsia="en-AU"/>
                <w14:ligatures w14:val="none"/>
              </w:rPr>
            </w:pPr>
          </w:p>
        </w:tc>
        <w:tc>
          <w:tcPr>
            <w:tcW w:w="1503" w:type="dxa"/>
            <w:vAlign w:val="center"/>
          </w:tcPr>
          <w:p w14:paraId="6C4B3878" w14:textId="0D3D73A8" w:rsidR="001E62B2" w:rsidRPr="0012227A" w:rsidRDefault="00206B3E" w:rsidP="0012227A">
            <w:pPr>
              <w:spacing w:after="0" w:line="240" w:lineRule="auto"/>
              <w:jc w:val="center"/>
              <w:rPr>
                <w:rFonts w:ascii="Aptos Narrow" w:eastAsia="Times New Roman" w:hAnsi="Aptos Narrow" w:cs="Times New Roman"/>
                <w:color w:val="156082" w:themeColor="accent1"/>
                <w:kern w:val="0"/>
                <w:lang w:eastAsia="en-AU"/>
                <w14:ligatures w14:val="none"/>
              </w:rPr>
            </w:pPr>
            <w:r>
              <w:rPr>
                <w:rFonts w:ascii="Aptos Narrow" w:eastAsia="Times New Roman" w:hAnsi="Aptos Narrow" w:cs="Times New Roman"/>
                <w:color w:val="156082" w:themeColor="accent1"/>
                <w:kern w:val="0"/>
                <w:lang w:eastAsia="en-AU"/>
                <w14:ligatures w14:val="none"/>
              </w:rPr>
              <w:t>-720</w:t>
            </w:r>
          </w:p>
        </w:tc>
        <w:tc>
          <w:tcPr>
            <w:tcW w:w="1852" w:type="dxa"/>
            <w:vAlign w:val="center"/>
          </w:tcPr>
          <w:p w14:paraId="1CC23C45" w14:textId="126D63A4" w:rsidR="001E62B2" w:rsidRPr="0012227A" w:rsidRDefault="00802E82" w:rsidP="0012227A">
            <w:pPr>
              <w:spacing w:after="0" w:line="240" w:lineRule="auto"/>
              <w:jc w:val="center"/>
              <w:rPr>
                <w:rFonts w:ascii="Aptos Narrow" w:eastAsia="Times New Roman" w:hAnsi="Aptos Narrow" w:cs="Times New Roman"/>
                <w:color w:val="156082" w:themeColor="accent1"/>
                <w:kern w:val="0"/>
                <w:lang w:eastAsia="en-AU"/>
                <w14:ligatures w14:val="none"/>
              </w:rPr>
            </w:pPr>
            <w:r w:rsidRPr="0012227A">
              <w:rPr>
                <w:rFonts w:ascii="Aptos Narrow" w:eastAsia="Times New Roman" w:hAnsi="Aptos Narrow" w:cs="Times New Roman"/>
                <w:color w:val="156082" w:themeColor="accent1"/>
                <w:kern w:val="0"/>
                <w:lang w:eastAsia="en-AU"/>
                <w14:ligatures w14:val="none"/>
              </w:rPr>
              <w:t>1</w:t>
            </w:r>
          </w:p>
        </w:tc>
        <w:tc>
          <w:tcPr>
            <w:tcW w:w="2138" w:type="dxa"/>
            <w:vAlign w:val="center"/>
          </w:tcPr>
          <w:p w14:paraId="628EF376" w14:textId="098A9AFF" w:rsidR="001E62B2" w:rsidRPr="0012227A" w:rsidRDefault="00235726" w:rsidP="0012227A">
            <w:pPr>
              <w:spacing w:after="0" w:line="240" w:lineRule="auto"/>
              <w:jc w:val="center"/>
              <w:rPr>
                <w:rFonts w:ascii="Aptos Narrow" w:eastAsia="Times New Roman" w:hAnsi="Aptos Narrow" w:cs="Times New Roman"/>
                <w:color w:val="156082" w:themeColor="accent1"/>
                <w:kern w:val="0"/>
                <w:lang w:eastAsia="en-AU"/>
                <w14:ligatures w14:val="none"/>
              </w:rPr>
            </w:pPr>
            <w:r>
              <w:rPr>
                <w:rFonts w:ascii="Aptos Narrow" w:eastAsia="Times New Roman" w:hAnsi="Aptos Narrow" w:cs="Times New Roman"/>
                <w:color w:val="156082" w:themeColor="accent1"/>
                <w:kern w:val="0"/>
                <w:lang w:eastAsia="en-AU"/>
                <w14:ligatures w14:val="none"/>
              </w:rPr>
              <w:t>-720</w:t>
            </w:r>
          </w:p>
        </w:tc>
      </w:tr>
      <w:tr w:rsidR="001E62B2" w:rsidRPr="00E96401" w14:paraId="41E2EE0E" w14:textId="77777777" w:rsidTr="00310A5D">
        <w:trPr>
          <w:trHeight w:val="290"/>
          <w:tblHeader/>
        </w:trPr>
        <w:tc>
          <w:tcPr>
            <w:tcW w:w="1980" w:type="dxa"/>
            <w:vAlign w:val="center"/>
            <w:hideMark/>
          </w:tcPr>
          <w:p w14:paraId="3B4048CF" w14:textId="77777777" w:rsidR="001E62B2" w:rsidRPr="00E96401" w:rsidRDefault="001E62B2">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CH₄</w:t>
            </w:r>
          </w:p>
        </w:tc>
        <w:tc>
          <w:tcPr>
            <w:tcW w:w="1515" w:type="dxa"/>
            <w:vAlign w:val="center"/>
            <w:hideMark/>
          </w:tcPr>
          <w:p w14:paraId="2C35F296" w14:textId="2568ED7F" w:rsidR="001E62B2" w:rsidRPr="0012227A" w:rsidRDefault="005770BB" w:rsidP="0012227A">
            <w:pPr>
              <w:spacing w:after="0" w:line="240" w:lineRule="auto"/>
              <w:jc w:val="center"/>
              <w:rPr>
                <w:rFonts w:ascii="Aptos Narrow" w:eastAsia="Times New Roman" w:hAnsi="Aptos Narrow" w:cs="Times New Roman"/>
                <w:color w:val="156082" w:themeColor="accent1"/>
                <w:kern w:val="0"/>
                <w:lang w:eastAsia="en-AU"/>
                <w14:ligatures w14:val="none"/>
              </w:rPr>
            </w:pPr>
            <w:r>
              <w:rPr>
                <w:rFonts w:ascii="Aptos Narrow" w:eastAsia="Times New Roman" w:hAnsi="Aptos Narrow" w:cs="Times New Roman"/>
                <w:color w:val="156082" w:themeColor="accent1"/>
                <w:kern w:val="0"/>
                <w:lang w:eastAsia="en-AU"/>
                <w14:ligatures w14:val="none"/>
              </w:rPr>
              <w:t>45</w:t>
            </w:r>
          </w:p>
        </w:tc>
        <w:tc>
          <w:tcPr>
            <w:tcW w:w="1360" w:type="dxa"/>
            <w:vAlign w:val="center"/>
            <w:hideMark/>
          </w:tcPr>
          <w:p w14:paraId="2CA81F9D" w14:textId="38736F77" w:rsidR="001E62B2" w:rsidRPr="0012227A" w:rsidRDefault="001E62B2" w:rsidP="0012227A">
            <w:pPr>
              <w:spacing w:after="0" w:line="240" w:lineRule="auto"/>
              <w:jc w:val="center"/>
              <w:rPr>
                <w:rFonts w:ascii="Aptos Narrow" w:eastAsia="Times New Roman" w:hAnsi="Aptos Narrow" w:cs="Times New Roman"/>
                <w:color w:val="156082" w:themeColor="accent1"/>
                <w:kern w:val="0"/>
                <w:lang w:eastAsia="en-AU"/>
                <w14:ligatures w14:val="none"/>
              </w:rPr>
            </w:pPr>
          </w:p>
        </w:tc>
        <w:tc>
          <w:tcPr>
            <w:tcW w:w="1211" w:type="dxa"/>
            <w:vAlign w:val="center"/>
            <w:hideMark/>
          </w:tcPr>
          <w:p w14:paraId="48D18993" w14:textId="77F2CB70" w:rsidR="001E62B2" w:rsidRPr="0012227A" w:rsidRDefault="001E62B2" w:rsidP="0012227A">
            <w:pPr>
              <w:spacing w:after="0" w:line="240" w:lineRule="auto"/>
              <w:jc w:val="center"/>
              <w:rPr>
                <w:rFonts w:ascii="Aptos Narrow" w:eastAsia="Times New Roman" w:hAnsi="Aptos Narrow" w:cs="Times New Roman"/>
                <w:color w:val="156082" w:themeColor="accent1"/>
                <w:kern w:val="0"/>
                <w:lang w:eastAsia="en-AU"/>
                <w14:ligatures w14:val="none"/>
              </w:rPr>
            </w:pPr>
          </w:p>
        </w:tc>
        <w:tc>
          <w:tcPr>
            <w:tcW w:w="1503" w:type="dxa"/>
            <w:vAlign w:val="center"/>
            <w:hideMark/>
          </w:tcPr>
          <w:p w14:paraId="2997A771" w14:textId="456BF834" w:rsidR="001E62B2" w:rsidRPr="0012227A" w:rsidRDefault="00D85D66" w:rsidP="0012227A">
            <w:pPr>
              <w:spacing w:after="0" w:line="240" w:lineRule="auto"/>
              <w:jc w:val="center"/>
              <w:rPr>
                <w:rFonts w:ascii="Aptos Narrow" w:eastAsia="Times New Roman" w:hAnsi="Aptos Narrow" w:cs="Times New Roman"/>
                <w:color w:val="156082" w:themeColor="accent1"/>
                <w:kern w:val="0"/>
                <w:lang w:eastAsia="en-AU"/>
                <w14:ligatures w14:val="none"/>
              </w:rPr>
            </w:pPr>
            <w:r>
              <w:rPr>
                <w:rFonts w:ascii="Aptos Narrow" w:eastAsia="Times New Roman" w:hAnsi="Aptos Narrow" w:cs="Times New Roman"/>
                <w:color w:val="156082" w:themeColor="accent1"/>
                <w:kern w:val="0"/>
                <w:lang w:eastAsia="en-AU"/>
                <w14:ligatures w14:val="none"/>
              </w:rPr>
              <w:t>45</w:t>
            </w:r>
          </w:p>
        </w:tc>
        <w:tc>
          <w:tcPr>
            <w:tcW w:w="1852" w:type="dxa"/>
            <w:vAlign w:val="center"/>
            <w:hideMark/>
          </w:tcPr>
          <w:p w14:paraId="39FF6820" w14:textId="5A1DBF47" w:rsidR="001E62B2" w:rsidRPr="0012227A" w:rsidRDefault="00DE2A1D" w:rsidP="0012227A">
            <w:pPr>
              <w:spacing w:after="0" w:line="240" w:lineRule="auto"/>
              <w:jc w:val="center"/>
              <w:rPr>
                <w:rFonts w:ascii="Aptos Narrow" w:eastAsia="Times New Roman" w:hAnsi="Aptos Narrow" w:cs="Times New Roman"/>
                <w:color w:val="156082" w:themeColor="accent1"/>
                <w:kern w:val="0"/>
                <w:lang w:eastAsia="en-AU"/>
                <w14:ligatures w14:val="none"/>
              </w:rPr>
            </w:pPr>
            <w:r w:rsidRPr="0012227A">
              <w:rPr>
                <w:rFonts w:ascii="Aptos Narrow" w:eastAsia="Times New Roman" w:hAnsi="Aptos Narrow" w:cs="Times New Roman"/>
                <w:color w:val="156082" w:themeColor="accent1"/>
                <w:kern w:val="0"/>
                <w:lang w:eastAsia="en-AU"/>
                <w14:ligatures w14:val="none"/>
              </w:rPr>
              <w:t>2</w:t>
            </w:r>
            <w:r w:rsidR="00D33B48">
              <w:rPr>
                <w:rFonts w:ascii="Aptos Narrow" w:eastAsia="Times New Roman" w:hAnsi="Aptos Narrow" w:cs="Times New Roman"/>
                <w:color w:val="156082" w:themeColor="accent1"/>
                <w:kern w:val="0"/>
                <w:lang w:eastAsia="en-AU"/>
                <w14:ligatures w14:val="none"/>
              </w:rPr>
              <w:t>8</w:t>
            </w:r>
          </w:p>
        </w:tc>
        <w:tc>
          <w:tcPr>
            <w:tcW w:w="2138" w:type="dxa"/>
            <w:vAlign w:val="center"/>
            <w:hideMark/>
          </w:tcPr>
          <w:p w14:paraId="164A77CF" w14:textId="423FDF35" w:rsidR="001E62B2" w:rsidRPr="0012227A" w:rsidRDefault="00D85D66" w:rsidP="0012227A">
            <w:pPr>
              <w:spacing w:after="0" w:line="240" w:lineRule="auto"/>
              <w:jc w:val="center"/>
              <w:rPr>
                <w:rFonts w:ascii="Aptos Narrow" w:eastAsia="Times New Roman" w:hAnsi="Aptos Narrow" w:cs="Times New Roman"/>
                <w:color w:val="156082" w:themeColor="accent1"/>
                <w:kern w:val="0"/>
                <w:lang w:eastAsia="en-AU"/>
                <w14:ligatures w14:val="none"/>
              </w:rPr>
            </w:pPr>
            <w:r>
              <w:rPr>
                <w:rFonts w:ascii="Aptos Narrow" w:eastAsia="Times New Roman" w:hAnsi="Aptos Narrow" w:cs="Times New Roman"/>
                <w:color w:val="156082" w:themeColor="accent1"/>
                <w:kern w:val="0"/>
                <w:lang w:eastAsia="en-AU"/>
                <w14:ligatures w14:val="none"/>
              </w:rPr>
              <w:t>1260</w:t>
            </w:r>
          </w:p>
        </w:tc>
      </w:tr>
      <w:tr w:rsidR="001E62B2" w:rsidRPr="00E96401" w14:paraId="68EE80C1" w14:textId="77777777" w:rsidTr="00310A5D">
        <w:trPr>
          <w:trHeight w:val="290"/>
          <w:tblHeader/>
        </w:trPr>
        <w:tc>
          <w:tcPr>
            <w:tcW w:w="1980" w:type="dxa"/>
            <w:vAlign w:val="center"/>
            <w:hideMark/>
          </w:tcPr>
          <w:p w14:paraId="39D36F38" w14:textId="77777777" w:rsidR="001E62B2" w:rsidRPr="00E96401" w:rsidRDefault="001E62B2">
            <w:pPr>
              <w:spacing w:after="0" w:line="240" w:lineRule="auto"/>
              <w:rPr>
                <w:rFonts w:ascii="Aptos Narrow" w:eastAsia="Times New Roman" w:hAnsi="Aptos Narrow" w:cs="Times New Roman"/>
                <w:color w:val="000000"/>
                <w:kern w:val="0"/>
                <w:lang w:eastAsia="en-AU"/>
                <w14:ligatures w14:val="none"/>
              </w:rPr>
            </w:pPr>
            <w:r w:rsidRPr="00E96401">
              <w:rPr>
                <w:rFonts w:ascii="Aptos Narrow" w:eastAsia="Times New Roman" w:hAnsi="Aptos Narrow" w:cs="Times New Roman"/>
                <w:color w:val="000000"/>
                <w:kern w:val="0"/>
                <w:lang w:eastAsia="en-AU"/>
                <w14:ligatures w14:val="none"/>
              </w:rPr>
              <w:t>N₂O</w:t>
            </w:r>
          </w:p>
        </w:tc>
        <w:tc>
          <w:tcPr>
            <w:tcW w:w="1515" w:type="dxa"/>
            <w:vAlign w:val="center"/>
            <w:hideMark/>
          </w:tcPr>
          <w:p w14:paraId="7F5E92E7" w14:textId="2762DAFB" w:rsidR="001E62B2" w:rsidRPr="0012227A" w:rsidRDefault="005770BB" w:rsidP="0012227A">
            <w:pPr>
              <w:spacing w:after="0" w:line="240" w:lineRule="auto"/>
              <w:jc w:val="center"/>
              <w:rPr>
                <w:rFonts w:ascii="Aptos Narrow" w:eastAsia="Times New Roman" w:hAnsi="Aptos Narrow" w:cs="Times New Roman"/>
                <w:color w:val="156082" w:themeColor="accent1"/>
                <w:kern w:val="0"/>
                <w:lang w:eastAsia="en-AU"/>
                <w14:ligatures w14:val="none"/>
              </w:rPr>
            </w:pPr>
            <w:r>
              <w:rPr>
                <w:rFonts w:ascii="Aptos Narrow" w:eastAsia="Times New Roman" w:hAnsi="Aptos Narrow" w:cs="Times New Roman"/>
                <w:color w:val="156082" w:themeColor="accent1"/>
                <w:kern w:val="0"/>
                <w:lang w:eastAsia="en-AU"/>
                <w14:ligatures w14:val="none"/>
              </w:rPr>
              <w:t>3.</w:t>
            </w:r>
            <w:r w:rsidR="00DE2A1D" w:rsidRPr="0012227A">
              <w:rPr>
                <w:rFonts w:ascii="Aptos Narrow" w:eastAsia="Times New Roman" w:hAnsi="Aptos Narrow" w:cs="Times New Roman"/>
                <w:color w:val="156082" w:themeColor="accent1"/>
                <w:kern w:val="0"/>
                <w:lang w:eastAsia="en-AU"/>
                <w14:ligatures w14:val="none"/>
              </w:rPr>
              <w:t>2</w:t>
            </w:r>
          </w:p>
        </w:tc>
        <w:tc>
          <w:tcPr>
            <w:tcW w:w="1360" w:type="dxa"/>
            <w:vAlign w:val="center"/>
            <w:hideMark/>
          </w:tcPr>
          <w:p w14:paraId="6A36A6C5" w14:textId="62F21E10" w:rsidR="001E62B2" w:rsidRPr="0012227A" w:rsidRDefault="001E62B2" w:rsidP="0012227A">
            <w:pPr>
              <w:spacing w:after="0" w:line="240" w:lineRule="auto"/>
              <w:jc w:val="center"/>
              <w:rPr>
                <w:rFonts w:ascii="Aptos Narrow" w:eastAsia="Times New Roman" w:hAnsi="Aptos Narrow" w:cs="Times New Roman"/>
                <w:color w:val="156082" w:themeColor="accent1"/>
                <w:kern w:val="0"/>
                <w:lang w:eastAsia="en-AU"/>
                <w14:ligatures w14:val="none"/>
              </w:rPr>
            </w:pPr>
          </w:p>
        </w:tc>
        <w:tc>
          <w:tcPr>
            <w:tcW w:w="1211" w:type="dxa"/>
            <w:vAlign w:val="center"/>
            <w:hideMark/>
          </w:tcPr>
          <w:p w14:paraId="4DA8C156" w14:textId="0D7BD6F5" w:rsidR="001E62B2" w:rsidRPr="0012227A" w:rsidRDefault="001E62B2" w:rsidP="0012227A">
            <w:pPr>
              <w:spacing w:after="0" w:line="240" w:lineRule="auto"/>
              <w:jc w:val="center"/>
              <w:rPr>
                <w:rFonts w:ascii="Aptos Narrow" w:eastAsia="Times New Roman" w:hAnsi="Aptos Narrow" w:cs="Times New Roman"/>
                <w:color w:val="156082" w:themeColor="accent1"/>
                <w:kern w:val="0"/>
                <w:lang w:eastAsia="en-AU"/>
                <w14:ligatures w14:val="none"/>
              </w:rPr>
            </w:pPr>
          </w:p>
        </w:tc>
        <w:tc>
          <w:tcPr>
            <w:tcW w:w="1503" w:type="dxa"/>
            <w:vAlign w:val="center"/>
            <w:hideMark/>
          </w:tcPr>
          <w:p w14:paraId="5E0DDE0D" w14:textId="1677AA26" w:rsidR="001E62B2" w:rsidRPr="0012227A" w:rsidRDefault="005A7B41" w:rsidP="0012227A">
            <w:pPr>
              <w:spacing w:after="0" w:line="240" w:lineRule="auto"/>
              <w:jc w:val="center"/>
              <w:rPr>
                <w:rFonts w:ascii="Aptos Narrow" w:eastAsia="Times New Roman" w:hAnsi="Aptos Narrow" w:cs="Times New Roman"/>
                <w:color w:val="156082" w:themeColor="accent1"/>
                <w:kern w:val="0"/>
                <w:lang w:eastAsia="en-AU"/>
                <w14:ligatures w14:val="none"/>
              </w:rPr>
            </w:pPr>
            <w:r>
              <w:rPr>
                <w:rFonts w:ascii="Aptos Narrow" w:eastAsia="Times New Roman" w:hAnsi="Aptos Narrow" w:cs="Times New Roman"/>
                <w:color w:val="156082" w:themeColor="accent1"/>
                <w:kern w:val="0"/>
                <w:lang w:eastAsia="en-AU"/>
                <w14:ligatures w14:val="none"/>
              </w:rPr>
              <w:t>3.</w:t>
            </w:r>
            <w:r w:rsidR="00DE2A1D" w:rsidRPr="0012227A">
              <w:rPr>
                <w:rFonts w:ascii="Aptos Narrow" w:eastAsia="Times New Roman" w:hAnsi="Aptos Narrow" w:cs="Times New Roman"/>
                <w:color w:val="156082" w:themeColor="accent1"/>
                <w:kern w:val="0"/>
                <w:lang w:eastAsia="en-AU"/>
                <w14:ligatures w14:val="none"/>
              </w:rPr>
              <w:t>2</w:t>
            </w:r>
          </w:p>
        </w:tc>
        <w:tc>
          <w:tcPr>
            <w:tcW w:w="1852" w:type="dxa"/>
            <w:vAlign w:val="center"/>
            <w:hideMark/>
          </w:tcPr>
          <w:p w14:paraId="550C8272" w14:textId="49D25355" w:rsidR="001E62B2" w:rsidRPr="0012227A" w:rsidRDefault="00DE2A1D" w:rsidP="0012227A">
            <w:pPr>
              <w:spacing w:after="0" w:line="240" w:lineRule="auto"/>
              <w:jc w:val="center"/>
              <w:rPr>
                <w:rFonts w:ascii="Aptos Narrow" w:eastAsia="Times New Roman" w:hAnsi="Aptos Narrow" w:cs="Times New Roman"/>
                <w:color w:val="156082" w:themeColor="accent1"/>
                <w:kern w:val="0"/>
                <w:lang w:eastAsia="en-AU"/>
                <w14:ligatures w14:val="none"/>
              </w:rPr>
            </w:pPr>
            <w:r w:rsidRPr="0012227A">
              <w:rPr>
                <w:rFonts w:ascii="Aptos Narrow" w:eastAsia="Times New Roman" w:hAnsi="Aptos Narrow" w:cs="Times New Roman"/>
                <w:color w:val="156082" w:themeColor="accent1"/>
                <w:kern w:val="0"/>
                <w:lang w:eastAsia="en-AU"/>
                <w14:ligatures w14:val="none"/>
              </w:rPr>
              <w:t>265</w:t>
            </w:r>
          </w:p>
        </w:tc>
        <w:tc>
          <w:tcPr>
            <w:tcW w:w="2138" w:type="dxa"/>
            <w:vAlign w:val="center"/>
            <w:hideMark/>
          </w:tcPr>
          <w:p w14:paraId="5BF53491" w14:textId="07C73AEA" w:rsidR="001E62B2" w:rsidRPr="0012227A" w:rsidRDefault="007905E1" w:rsidP="0012227A">
            <w:pPr>
              <w:spacing w:after="0" w:line="240" w:lineRule="auto"/>
              <w:jc w:val="center"/>
              <w:rPr>
                <w:rFonts w:ascii="Aptos Narrow" w:eastAsia="Times New Roman" w:hAnsi="Aptos Narrow" w:cs="Times New Roman"/>
                <w:color w:val="156082" w:themeColor="accent1"/>
                <w:kern w:val="0"/>
                <w:lang w:eastAsia="en-AU"/>
                <w14:ligatures w14:val="none"/>
              </w:rPr>
            </w:pPr>
            <w:r>
              <w:rPr>
                <w:rFonts w:ascii="Aptos Narrow" w:eastAsia="Times New Roman" w:hAnsi="Aptos Narrow" w:cs="Times New Roman"/>
                <w:color w:val="156082" w:themeColor="accent1"/>
                <w:kern w:val="0"/>
                <w:lang w:eastAsia="en-AU"/>
                <w14:ligatures w14:val="none"/>
              </w:rPr>
              <w:t>848</w:t>
            </w:r>
          </w:p>
        </w:tc>
      </w:tr>
      <w:tr w:rsidR="000205C1" w:rsidRPr="00E96401" w14:paraId="2066FD57" w14:textId="77777777" w:rsidTr="00310A5D">
        <w:trPr>
          <w:trHeight w:val="290"/>
          <w:tblHeader/>
        </w:trPr>
        <w:tc>
          <w:tcPr>
            <w:tcW w:w="1980" w:type="dxa"/>
            <w:vAlign w:val="center"/>
          </w:tcPr>
          <w:p w14:paraId="22FB2073" w14:textId="57BDF5B7" w:rsidR="000205C1" w:rsidRPr="00310A5D" w:rsidRDefault="000205C1">
            <w:pPr>
              <w:spacing w:after="0" w:line="240" w:lineRule="auto"/>
              <w:rPr>
                <w:rFonts w:ascii="Aptos Narrow" w:eastAsia="Times New Roman" w:hAnsi="Aptos Narrow" w:cs="Times New Roman"/>
                <w:i/>
                <w:iCs/>
                <w:color w:val="000000"/>
                <w:kern w:val="0"/>
                <w:lang w:eastAsia="en-AU"/>
                <w14:ligatures w14:val="none"/>
              </w:rPr>
            </w:pPr>
            <w:r w:rsidRPr="00310A5D">
              <w:rPr>
                <w:rFonts w:ascii="Aptos Narrow" w:eastAsia="Times New Roman" w:hAnsi="Aptos Narrow" w:cs="Times New Roman"/>
                <w:i/>
                <w:iCs/>
                <w:color w:val="000000"/>
                <w:kern w:val="0"/>
                <w:lang w:eastAsia="en-AU"/>
                <w14:ligatures w14:val="none"/>
              </w:rPr>
              <w:t>Other gases</w:t>
            </w:r>
          </w:p>
        </w:tc>
        <w:tc>
          <w:tcPr>
            <w:tcW w:w="1515" w:type="dxa"/>
            <w:vAlign w:val="center"/>
          </w:tcPr>
          <w:p w14:paraId="1718A2AA" w14:textId="77777777" w:rsidR="000205C1" w:rsidRPr="0012227A" w:rsidRDefault="000205C1" w:rsidP="0012227A">
            <w:pPr>
              <w:spacing w:after="0" w:line="240" w:lineRule="auto"/>
              <w:jc w:val="center"/>
              <w:rPr>
                <w:rFonts w:ascii="Aptos Narrow" w:eastAsia="Times New Roman" w:hAnsi="Aptos Narrow" w:cs="Times New Roman"/>
                <w:color w:val="156082" w:themeColor="accent1"/>
                <w:kern w:val="0"/>
                <w:lang w:eastAsia="en-AU"/>
                <w14:ligatures w14:val="none"/>
              </w:rPr>
            </w:pPr>
          </w:p>
        </w:tc>
        <w:tc>
          <w:tcPr>
            <w:tcW w:w="1360" w:type="dxa"/>
            <w:vAlign w:val="center"/>
          </w:tcPr>
          <w:p w14:paraId="272500CB" w14:textId="77777777" w:rsidR="000205C1" w:rsidRPr="0012227A" w:rsidRDefault="000205C1" w:rsidP="0012227A">
            <w:pPr>
              <w:spacing w:after="0" w:line="240" w:lineRule="auto"/>
              <w:jc w:val="center"/>
              <w:rPr>
                <w:rFonts w:ascii="Aptos Narrow" w:eastAsia="Times New Roman" w:hAnsi="Aptos Narrow" w:cs="Times New Roman"/>
                <w:color w:val="156082" w:themeColor="accent1"/>
                <w:kern w:val="0"/>
                <w:lang w:eastAsia="en-AU"/>
                <w14:ligatures w14:val="none"/>
              </w:rPr>
            </w:pPr>
          </w:p>
        </w:tc>
        <w:tc>
          <w:tcPr>
            <w:tcW w:w="1211" w:type="dxa"/>
            <w:vAlign w:val="center"/>
          </w:tcPr>
          <w:p w14:paraId="519C2597" w14:textId="77777777" w:rsidR="000205C1" w:rsidRPr="0012227A" w:rsidRDefault="000205C1" w:rsidP="0012227A">
            <w:pPr>
              <w:spacing w:after="0" w:line="240" w:lineRule="auto"/>
              <w:jc w:val="center"/>
              <w:rPr>
                <w:rFonts w:ascii="Aptos Narrow" w:eastAsia="Times New Roman" w:hAnsi="Aptos Narrow" w:cs="Times New Roman"/>
                <w:color w:val="156082" w:themeColor="accent1"/>
                <w:kern w:val="0"/>
                <w:lang w:eastAsia="en-AU"/>
                <w14:ligatures w14:val="none"/>
              </w:rPr>
            </w:pPr>
          </w:p>
        </w:tc>
        <w:tc>
          <w:tcPr>
            <w:tcW w:w="1503" w:type="dxa"/>
            <w:vAlign w:val="center"/>
          </w:tcPr>
          <w:p w14:paraId="6E5AF462" w14:textId="77777777" w:rsidR="000205C1" w:rsidRPr="0012227A" w:rsidRDefault="000205C1" w:rsidP="0012227A">
            <w:pPr>
              <w:spacing w:after="0" w:line="240" w:lineRule="auto"/>
              <w:jc w:val="center"/>
              <w:rPr>
                <w:rFonts w:ascii="Aptos Narrow" w:eastAsia="Times New Roman" w:hAnsi="Aptos Narrow" w:cs="Times New Roman"/>
                <w:color w:val="156082" w:themeColor="accent1"/>
                <w:kern w:val="0"/>
                <w:lang w:eastAsia="en-AU"/>
                <w14:ligatures w14:val="none"/>
              </w:rPr>
            </w:pPr>
          </w:p>
        </w:tc>
        <w:tc>
          <w:tcPr>
            <w:tcW w:w="1852" w:type="dxa"/>
            <w:vAlign w:val="center"/>
          </w:tcPr>
          <w:p w14:paraId="325E4E56" w14:textId="77777777" w:rsidR="000205C1" w:rsidRPr="0012227A" w:rsidRDefault="000205C1" w:rsidP="0012227A">
            <w:pPr>
              <w:spacing w:after="0" w:line="240" w:lineRule="auto"/>
              <w:jc w:val="center"/>
              <w:rPr>
                <w:rFonts w:ascii="Aptos Narrow" w:eastAsia="Times New Roman" w:hAnsi="Aptos Narrow" w:cs="Times New Roman"/>
                <w:color w:val="156082" w:themeColor="accent1"/>
                <w:kern w:val="0"/>
                <w:lang w:eastAsia="en-AU"/>
                <w14:ligatures w14:val="none"/>
              </w:rPr>
            </w:pPr>
          </w:p>
        </w:tc>
        <w:tc>
          <w:tcPr>
            <w:tcW w:w="2138" w:type="dxa"/>
            <w:vAlign w:val="center"/>
          </w:tcPr>
          <w:p w14:paraId="66F00119" w14:textId="77777777" w:rsidR="000205C1" w:rsidRPr="0012227A" w:rsidRDefault="000205C1" w:rsidP="0012227A">
            <w:pPr>
              <w:spacing w:after="0" w:line="240" w:lineRule="auto"/>
              <w:jc w:val="center"/>
              <w:rPr>
                <w:rFonts w:ascii="Aptos Narrow" w:eastAsia="Times New Roman" w:hAnsi="Aptos Narrow" w:cs="Times New Roman"/>
                <w:color w:val="156082" w:themeColor="accent1"/>
                <w:kern w:val="0"/>
                <w:lang w:eastAsia="en-AU"/>
                <w14:ligatures w14:val="none"/>
              </w:rPr>
            </w:pPr>
          </w:p>
        </w:tc>
      </w:tr>
      <w:tr w:rsidR="00F43ACE" w:rsidRPr="00E96401" w14:paraId="527B6F42" w14:textId="77777777" w:rsidTr="00310A5D">
        <w:trPr>
          <w:trHeight w:val="290"/>
          <w:tblHeader/>
        </w:trPr>
        <w:tc>
          <w:tcPr>
            <w:tcW w:w="1980" w:type="dxa"/>
            <w:vAlign w:val="center"/>
          </w:tcPr>
          <w:p w14:paraId="49486AB3" w14:textId="0578C13B" w:rsidR="00F43ACE" w:rsidRDefault="00DE2A1D">
            <w:pPr>
              <w:spacing w:after="0" w:line="240" w:lineRule="auto"/>
              <w:rPr>
                <w:rFonts w:ascii="Aptos Narrow" w:eastAsia="Times New Roman" w:hAnsi="Aptos Narrow" w:cs="Times New Roman"/>
                <w:color w:val="000000"/>
                <w:kern w:val="0"/>
                <w:lang w:eastAsia="en-AU"/>
                <w14:ligatures w14:val="none"/>
              </w:rPr>
            </w:pPr>
            <w:r w:rsidRPr="00310A5D">
              <w:rPr>
                <w:rFonts w:ascii="Aptos Narrow" w:eastAsia="Times New Roman" w:hAnsi="Aptos Narrow" w:cs="Times New Roman"/>
                <w:i/>
                <w:iCs/>
                <w:color w:val="000000"/>
                <w:kern w:val="0"/>
                <w:lang w:eastAsia="en-AU"/>
                <w14:ligatures w14:val="none"/>
              </w:rPr>
              <w:t>Other gases</w:t>
            </w:r>
          </w:p>
        </w:tc>
        <w:tc>
          <w:tcPr>
            <w:tcW w:w="1515" w:type="dxa"/>
            <w:vAlign w:val="center"/>
          </w:tcPr>
          <w:p w14:paraId="7A3233F5" w14:textId="77777777" w:rsidR="00F43ACE" w:rsidRPr="0012227A" w:rsidRDefault="00F43ACE" w:rsidP="0012227A">
            <w:pPr>
              <w:spacing w:after="0" w:line="240" w:lineRule="auto"/>
              <w:jc w:val="center"/>
              <w:rPr>
                <w:rFonts w:ascii="Aptos Narrow" w:eastAsia="Times New Roman" w:hAnsi="Aptos Narrow" w:cs="Times New Roman"/>
                <w:color w:val="156082" w:themeColor="accent1"/>
                <w:kern w:val="0"/>
                <w:lang w:eastAsia="en-AU"/>
                <w14:ligatures w14:val="none"/>
              </w:rPr>
            </w:pPr>
          </w:p>
        </w:tc>
        <w:tc>
          <w:tcPr>
            <w:tcW w:w="1360" w:type="dxa"/>
            <w:vAlign w:val="center"/>
          </w:tcPr>
          <w:p w14:paraId="73004386" w14:textId="77777777" w:rsidR="00F43ACE" w:rsidRPr="0012227A" w:rsidRDefault="00F43ACE" w:rsidP="0012227A">
            <w:pPr>
              <w:spacing w:after="0" w:line="240" w:lineRule="auto"/>
              <w:jc w:val="center"/>
              <w:rPr>
                <w:rFonts w:ascii="Aptos Narrow" w:eastAsia="Times New Roman" w:hAnsi="Aptos Narrow" w:cs="Times New Roman"/>
                <w:color w:val="156082" w:themeColor="accent1"/>
                <w:kern w:val="0"/>
                <w:lang w:eastAsia="en-AU"/>
                <w14:ligatures w14:val="none"/>
              </w:rPr>
            </w:pPr>
          </w:p>
        </w:tc>
        <w:tc>
          <w:tcPr>
            <w:tcW w:w="1211" w:type="dxa"/>
            <w:vAlign w:val="center"/>
          </w:tcPr>
          <w:p w14:paraId="6C2B5FE4" w14:textId="77777777" w:rsidR="00F43ACE" w:rsidRPr="0012227A" w:rsidRDefault="00F43ACE" w:rsidP="0012227A">
            <w:pPr>
              <w:spacing w:after="0" w:line="240" w:lineRule="auto"/>
              <w:jc w:val="center"/>
              <w:rPr>
                <w:rFonts w:ascii="Aptos Narrow" w:eastAsia="Times New Roman" w:hAnsi="Aptos Narrow" w:cs="Times New Roman"/>
                <w:color w:val="156082" w:themeColor="accent1"/>
                <w:kern w:val="0"/>
                <w:lang w:eastAsia="en-AU"/>
                <w14:ligatures w14:val="none"/>
              </w:rPr>
            </w:pPr>
          </w:p>
        </w:tc>
        <w:tc>
          <w:tcPr>
            <w:tcW w:w="1503" w:type="dxa"/>
            <w:vAlign w:val="center"/>
          </w:tcPr>
          <w:p w14:paraId="570AA38A" w14:textId="77777777" w:rsidR="00F43ACE" w:rsidRPr="0012227A" w:rsidRDefault="00F43ACE" w:rsidP="0012227A">
            <w:pPr>
              <w:spacing w:after="0" w:line="240" w:lineRule="auto"/>
              <w:jc w:val="center"/>
              <w:rPr>
                <w:rFonts w:ascii="Aptos Narrow" w:eastAsia="Times New Roman" w:hAnsi="Aptos Narrow" w:cs="Times New Roman"/>
                <w:color w:val="156082" w:themeColor="accent1"/>
                <w:kern w:val="0"/>
                <w:lang w:eastAsia="en-AU"/>
                <w14:ligatures w14:val="none"/>
              </w:rPr>
            </w:pPr>
          </w:p>
        </w:tc>
        <w:tc>
          <w:tcPr>
            <w:tcW w:w="1852" w:type="dxa"/>
            <w:vAlign w:val="center"/>
          </w:tcPr>
          <w:p w14:paraId="4E30CCC2" w14:textId="77777777" w:rsidR="00F43ACE" w:rsidRPr="0012227A" w:rsidRDefault="00F43ACE" w:rsidP="0012227A">
            <w:pPr>
              <w:spacing w:after="0" w:line="240" w:lineRule="auto"/>
              <w:jc w:val="center"/>
              <w:rPr>
                <w:rFonts w:ascii="Aptos Narrow" w:eastAsia="Times New Roman" w:hAnsi="Aptos Narrow" w:cs="Times New Roman"/>
                <w:color w:val="156082" w:themeColor="accent1"/>
                <w:kern w:val="0"/>
                <w:lang w:eastAsia="en-AU"/>
                <w14:ligatures w14:val="none"/>
              </w:rPr>
            </w:pPr>
          </w:p>
        </w:tc>
        <w:tc>
          <w:tcPr>
            <w:tcW w:w="2138" w:type="dxa"/>
            <w:vAlign w:val="center"/>
          </w:tcPr>
          <w:p w14:paraId="412C1055" w14:textId="77777777" w:rsidR="00F43ACE" w:rsidRPr="0012227A" w:rsidRDefault="00F43ACE" w:rsidP="0012227A">
            <w:pPr>
              <w:spacing w:after="0" w:line="240" w:lineRule="auto"/>
              <w:jc w:val="center"/>
              <w:rPr>
                <w:rFonts w:ascii="Aptos Narrow" w:eastAsia="Times New Roman" w:hAnsi="Aptos Narrow" w:cs="Times New Roman"/>
                <w:color w:val="156082" w:themeColor="accent1"/>
                <w:kern w:val="0"/>
                <w:lang w:eastAsia="en-AU"/>
                <w14:ligatures w14:val="none"/>
              </w:rPr>
            </w:pPr>
          </w:p>
        </w:tc>
      </w:tr>
      <w:tr w:rsidR="001E62B2" w:rsidRPr="00E96401" w14:paraId="7B82AD33" w14:textId="77777777" w:rsidTr="00F51277">
        <w:trPr>
          <w:trHeight w:val="290"/>
          <w:tblHeader/>
        </w:trPr>
        <w:tc>
          <w:tcPr>
            <w:tcW w:w="1980" w:type="dxa"/>
            <w:vAlign w:val="center"/>
            <w:hideMark/>
          </w:tcPr>
          <w:p w14:paraId="20CE6367" w14:textId="77777777" w:rsidR="001E62B2" w:rsidRPr="00E96401" w:rsidRDefault="001E62B2">
            <w:pPr>
              <w:spacing w:after="0" w:line="240" w:lineRule="auto"/>
              <w:rPr>
                <w:rFonts w:ascii="Aptos Narrow" w:eastAsia="Times New Roman" w:hAnsi="Aptos Narrow" w:cs="Times New Roman"/>
                <w:b/>
                <w:bCs/>
                <w:color w:val="000000"/>
                <w:kern w:val="0"/>
                <w:lang w:eastAsia="en-AU"/>
                <w14:ligatures w14:val="none"/>
              </w:rPr>
            </w:pPr>
            <w:r w:rsidRPr="00E96401">
              <w:rPr>
                <w:rFonts w:ascii="Aptos Narrow" w:eastAsia="Times New Roman" w:hAnsi="Aptos Narrow" w:cs="Times New Roman"/>
                <w:b/>
                <w:bCs/>
                <w:color w:val="000000"/>
                <w:kern w:val="0"/>
                <w:lang w:eastAsia="en-AU"/>
                <w14:ligatures w14:val="none"/>
              </w:rPr>
              <w:t>TOTAL</w:t>
            </w:r>
          </w:p>
        </w:tc>
        <w:tc>
          <w:tcPr>
            <w:tcW w:w="1515" w:type="dxa"/>
            <w:shd w:val="clear" w:color="auto" w:fill="E8E8E8" w:themeFill="background2"/>
            <w:vAlign w:val="center"/>
          </w:tcPr>
          <w:p w14:paraId="28C8207D" w14:textId="3C5E1753" w:rsidR="001E62B2" w:rsidRPr="0012227A" w:rsidRDefault="001E62B2" w:rsidP="0012227A">
            <w:pPr>
              <w:spacing w:after="0" w:line="240" w:lineRule="auto"/>
              <w:jc w:val="center"/>
              <w:rPr>
                <w:rFonts w:ascii="Aptos Narrow" w:eastAsia="Times New Roman" w:hAnsi="Aptos Narrow" w:cs="Times New Roman"/>
                <w:b/>
                <w:color w:val="156082" w:themeColor="accent1"/>
                <w:kern w:val="0"/>
                <w:lang w:eastAsia="en-AU"/>
                <w14:ligatures w14:val="none"/>
              </w:rPr>
            </w:pPr>
          </w:p>
        </w:tc>
        <w:tc>
          <w:tcPr>
            <w:tcW w:w="1360" w:type="dxa"/>
            <w:shd w:val="clear" w:color="auto" w:fill="E8E8E8" w:themeFill="background2"/>
            <w:vAlign w:val="center"/>
          </w:tcPr>
          <w:p w14:paraId="20932C7C" w14:textId="6A683FA2" w:rsidR="001E62B2" w:rsidRPr="0012227A" w:rsidRDefault="001E62B2" w:rsidP="0012227A">
            <w:pPr>
              <w:spacing w:after="0" w:line="240" w:lineRule="auto"/>
              <w:jc w:val="center"/>
              <w:rPr>
                <w:rFonts w:ascii="Aptos Narrow" w:eastAsia="Times New Roman" w:hAnsi="Aptos Narrow" w:cs="Times New Roman"/>
                <w:b/>
                <w:color w:val="156082" w:themeColor="accent1"/>
                <w:kern w:val="0"/>
                <w:lang w:eastAsia="en-AU"/>
                <w14:ligatures w14:val="none"/>
              </w:rPr>
            </w:pPr>
          </w:p>
        </w:tc>
        <w:tc>
          <w:tcPr>
            <w:tcW w:w="1211" w:type="dxa"/>
            <w:shd w:val="clear" w:color="auto" w:fill="E8E8E8" w:themeFill="background2"/>
            <w:vAlign w:val="center"/>
          </w:tcPr>
          <w:p w14:paraId="491E590E" w14:textId="178BD49D" w:rsidR="001E62B2" w:rsidRPr="0012227A" w:rsidRDefault="001E62B2" w:rsidP="0012227A">
            <w:pPr>
              <w:spacing w:after="0" w:line="240" w:lineRule="auto"/>
              <w:jc w:val="center"/>
              <w:rPr>
                <w:rFonts w:ascii="Aptos Narrow" w:eastAsia="Times New Roman" w:hAnsi="Aptos Narrow" w:cs="Times New Roman"/>
                <w:b/>
                <w:color w:val="156082" w:themeColor="accent1"/>
                <w:kern w:val="0"/>
                <w:lang w:eastAsia="en-AU"/>
                <w14:ligatures w14:val="none"/>
              </w:rPr>
            </w:pPr>
          </w:p>
        </w:tc>
        <w:tc>
          <w:tcPr>
            <w:tcW w:w="1503" w:type="dxa"/>
            <w:shd w:val="clear" w:color="auto" w:fill="E8E8E8" w:themeFill="background2"/>
            <w:vAlign w:val="center"/>
          </w:tcPr>
          <w:p w14:paraId="2C4B36EB" w14:textId="11E1A792" w:rsidR="001E62B2" w:rsidRPr="0012227A" w:rsidRDefault="001E62B2" w:rsidP="0012227A">
            <w:pPr>
              <w:spacing w:after="0" w:line="240" w:lineRule="auto"/>
              <w:jc w:val="center"/>
              <w:rPr>
                <w:rFonts w:ascii="Aptos Narrow" w:eastAsia="Times New Roman" w:hAnsi="Aptos Narrow" w:cs="Times New Roman"/>
                <w:b/>
                <w:color w:val="156082" w:themeColor="accent1"/>
                <w:kern w:val="0"/>
                <w:lang w:eastAsia="en-AU"/>
                <w14:ligatures w14:val="none"/>
              </w:rPr>
            </w:pPr>
          </w:p>
        </w:tc>
        <w:tc>
          <w:tcPr>
            <w:tcW w:w="1852" w:type="dxa"/>
            <w:shd w:val="clear" w:color="auto" w:fill="E8E8E8" w:themeFill="background2"/>
            <w:vAlign w:val="center"/>
          </w:tcPr>
          <w:p w14:paraId="5C869E20" w14:textId="4B7991F8" w:rsidR="001E62B2" w:rsidRPr="0012227A" w:rsidRDefault="001E62B2" w:rsidP="0012227A">
            <w:pPr>
              <w:spacing w:after="0" w:line="240" w:lineRule="auto"/>
              <w:jc w:val="center"/>
              <w:rPr>
                <w:rFonts w:ascii="Aptos Narrow" w:eastAsia="Times New Roman" w:hAnsi="Aptos Narrow" w:cs="Times New Roman"/>
                <w:b/>
                <w:color w:val="156082" w:themeColor="accent1"/>
                <w:kern w:val="0"/>
                <w:lang w:eastAsia="en-AU"/>
                <w14:ligatures w14:val="none"/>
              </w:rPr>
            </w:pPr>
          </w:p>
        </w:tc>
        <w:tc>
          <w:tcPr>
            <w:tcW w:w="2138" w:type="dxa"/>
            <w:vAlign w:val="center"/>
          </w:tcPr>
          <w:p w14:paraId="336D19C7" w14:textId="6EEEF1E9" w:rsidR="001E62B2" w:rsidRPr="0012227A" w:rsidRDefault="003D1592" w:rsidP="0012227A">
            <w:pPr>
              <w:spacing w:after="0" w:line="240" w:lineRule="auto"/>
              <w:jc w:val="center"/>
              <w:rPr>
                <w:rFonts w:ascii="Aptos Narrow" w:eastAsia="Times New Roman" w:hAnsi="Aptos Narrow" w:cs="Times New Roman"/>
                <w:b/>
                <w:color w:val="156082" w:themeColor="accent1"/>
                <w:kern w:val="0"/>
                <w:lang w:eastAsia="en-AU"/>
                <w14:ligatures w14:val="none"/>
              </w:rPr>
            </w:pPr>
            <w:r>
              <w:rPr>
                <w:rFonts w:ascii="Aptos Narrow" w:eastAsia="Times New Roman" w:hAnsi="Aptos Narrow" w:cs="Times New Roman"/>
                <w:b/>
                <w:bCs/>
                <w:color w:val="156082" w:themeColor="accent1"/>
                <w:kern w:val="0"/>
                <w:lang w:eastAsia="en-AU"/>
                <w14:ligatures w14:val="none"/>
              </w:rPr>
              <w:t>2603</w:t>
            </w:r>
          </w:p>
        </w:tc>
      </w:tr>
    </w:tbl>
    <w:p w14:paraId="65D9662B" w14:textId="53216BE4" w:rsidR="00E143F8" w:rsidRDefault="00E143F8" w:rsidP="007C16A8">
      <w:pPr>
        <w:spacing w:after="120"/>
        <w:ind w:right="2336"/>
        <w:jc w:val="both"/>
        <w:rPr>
          <w:sz w:val="18"/>
          <w:szCs w:val="18"/>
        </w:rPr>
      </w:pPr>
      <w:bookmarkStart w:id="111" w:name="_Toc206156783"/>
      <w:r w:rsidRPr="00CB6065">
        <w:rPr>
          <w:sz w:val="18"/>
          <w:szCs w:val="18"/>
        </w:rPr>
        <w:t xml:space="preserve">(a) Land management activities can </w:t>
      </w:r>
      <w:r>
        <w:rPr>
          <w:sz w:val="18"/>
          <w:szCs w:val="18"/>
        </w:rPr>
        <w:t xml:space="preserve">lead to both </w:t>
      </w:r>
      <w:r w:rsidRPr="00CB6065">
        <w:rPr>
          <w:sz w:val="18"/>
          <w:szCs w:val="18"/>
        </w:rPr>
        <w:t>emissions and removals of biogenic CO</w:t>
      </w:r>
      <w:r w:rsidRPr="00CB6065">
        <w:rPr>
          <w:sz w:val="18"/>
          <w:szCs w:val="18"/>
          <w:vertAlign w:val="subscript"/>
        </w:rPr>
        <w:t>2</w:t>
      </w:r>
      <w:r>
        <w:rPr>
          <w:sz w:val="18"/>
          <w:szCs w:val="18"/>
        </w:rPr>
        <w:t xml:space="preserve">. These are combined to present net totals. Net removals should be reported as a negative value. Net in this context does </w:t>
      </w:r>
      <w:r w:rsidR="003A6839">
        <w:rPr>
          <w:sz w:val="18"/>
          <w:szCs w:val="18"/>
        </w:rPr>
        <w:t xml:space="preserve">not </w:t>
      </w:r>
      <w:r>
        <w:rPr>
          <w:sz w:val="18"/>
          <w:szCs w:val="18"/>
        </w:rPr>
        <w:t>refer to adjustments for purchased or sold carbon credits.</w:t>
      </w:r>
    </w:p>
    <w:p w14:paraId="6A890129" w14:textId="77777777" w:rsidR="00400D3E" w:rsidRDefault="00400D3E" w:rsidP="007C16A8">
      <w:pPr>
        <w:spacing w:after="0"/>
      </w:pPr>
    </w:p>
    <w:p w14:paraId="2D6E6945" w14:textId="35E72316" w:rsidR="00FB1DB4" w:rsidRPr="00267566" w:rsidRDefault="00FB1DB4" w:rsidP="00FB1DB4">
      <w:pPr>
        <w:pStyle w:val="Heading3"/>
        <w:numPr>
          <w:ilvl w:val="0"/>
          <w:numId w:val="0"/>
        </w:numPr>
        <w:ind w:left="720" w:hanging="720"/>
      </w:pPr>
      <w:r w:rsidRPr="00267566">
        <w:t xml:space="preserve">Market-based Scope 2 </w:t>
      </w:r>
      <w:r w:rsidR="00400D3E">
        <w:t>estimate</w:t>
      </w:r>
      <w:r w:rsidRPr="00267566">
        <w:t xml:space="preserve"> </w:t>
      </w:r>
      <w:r>
        <w:t xml:space="preserve">(if relevant) </w:t>
      </w:r>
    </w:p>
    <w:tbl>
      <w:tblPr>
        <w:tblW w:w="13462" w:type="dxa"/>
        <w:tblLook w:val="04A0" w:firstRow="1" w:lastRow="0" w:firstColumn="1" w:lastColumn="0" w:noHBand="0" w:noVBand="1"/>
      </w:tblPr>
      <w:tblGrid>
        <w:gridCol w:w="5363"/>
        <w:gridCol w:w="1407"/>
        <w:gridCol w:w="1694"/>
        <w:gridCol w:w="4998"/>
      </w:tblGrid>
      <w:tr w:rsidR="00FB1DB4" w:rsidRPr="006849E2" w14:paraId="6557294A" w14:textId="77777777" w:rsidTr="001A7D3E">
        <w:trPr>
          <w:trHeight w:val="580"/>
          <w:tblHeader/>
        </w:trPr>
        <w:tc>
          <w:tcPr>
            <w:tcW w:w="5363"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7FC937B5" w14:textId="77777777" w:rsidR="00FB1DB4" w:rsidRPr="006849E2" w:rsidRDefault="00FB1DB4" w:rsidP="001A7D3E">
            <w:pPr>
              <w:spacing w:after="0" w:line="240" w:lineRule="auto"/>
              <w:jc w:val="center"/>
              <w:rPr>
                <w:rFonts w:ascii="Aptos Narrow" w:eastAsia="Times New Roman" w:hAnsi="Aptos Narrow" w:cs="Times New Roman"/>
                <w:b/>
                <w:bCs/>
                <w:color w:val="000000"/>
                <w:kern w:val="0"/>
                <w:lang w:eastAsia="en-AU"/>
                <w14:ligatures w14:val="none"/>
              </w:rPr>
            </w:pPr>
            <w:r w:rsidRPr="006849E2">
              <w:rPr>
                <w:rFonts w:ascii="Aptos Narrow" w:eastAsia="Times New Roman" w:hAnsi="Aptos Narrow" w:cs="Times New Roman"/>
                <w:b/>
                <w:bCs/>
                <w:color w:val="000000"/>
                <w:kern w:val="0"/>
                <w:lang w:eastAsia="en-AU"/>
                <w14:ligatures w14:val="none"/>
              </w:rPr>
              <w:t>Type</w:t>
            </w:r>
          </w:p>
        </w:tc>
        <w:tc>
          <w:tcPr>
            <w:tcW w:w="1407" w:type="dxa"/>
            <w:tcBorders>
              <w:top w:val="single" w:sz="4" w:space="0" w:color="auto"/>
              <w:left w:val="nil"/>
              <w:bottom w:val="single" w:sz="4" w:space="0" w:color="auto"/>
              <w:right w:val="single" w:sz="4" w:space="0" w:color="auto"/>
            </w:tcBorders>
            <w:shd w:val="clear" w:color="000000" w:fill="E8E8E8"/>
            <w:vAlign w:val="center"/>
            <w:hideMark/>
          </w:tcPr>
          <w:p w14:paraId="656B0B12" w14:textId="77777777" w:rsidR="00FB1DB4" w:rsidRPr="006849E2" w:rsidRDefault="00FB1DB4" w:rsidP="001A7D3E">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Unit</w:t>
            </w:r>
          </w:p>
        </w:tc>
        <w:tc>
          <w:tcPr>
            <w:tcW w:w="1694" w:type="dxa"/>
            <w:tcBorders>
              <w:top w:val="single" w:sz="4" w:space="0" w:color="auto"/>
              <w:left w:val="nil"/>
              <w:bottom w:val="single" w:sz="4" w:space="0" w:color="auto"/>
              <w:right w:val="single" w:sz="4" w:space="0" w:color="auto"/>
            </w:tcBorders>
            <w:shd w:val="clear" w:color="000000" w:fill="E8E8E8"/>
            <w:vAlign w:val="center"/>
            <w:hideMark/>
          </w:tcPr>
          <w:p w14:paraId="5694962B" w14:textId="77777777" w:rsidR="00FB1DB4" w:rsidRPr="006849E2" w:rsidRDefault="00FB1DB4" w:rsidP="001A7D3E">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Amount</w:t>
            </w:r>
          </w:p>
        </w:tc>
        <w:tc>
          <w:tcPr>
            <w:tcW w:w="4998" w:type="dxa"/>
            <w:tcBorders>
              <w:top w:val="single" w:sz="4" w:space="0" w:color="auto"/>
              <w:left w:val="nil"/>
              <w:bottom w:val="single" w:sz="4" w:space="0" w:color="auto"/>
              <w:right w:val="single" w:sz="4" w:space="0" w:color="auto"/>
            </w:tcBorders>
            <w:shd w:val="clear" w:color="000000" w:fill="E8E8E8"/>
            <w:vAlign w:val="center"/>
            <w:hideMark/>
          </w:tcPr>
          <w:p w14:paraId="1D51C74A" w14:textId="77777777" w:rsidR="00FB1DB4" w:rsidRPr="006849E2" w:rsidRDefault="00FB1DB4" w:rsidP="001A7D3E">
            <w:pPr>
              <w:spacing w:after="0" w:line="240" w:lineRule="auto"/>
              <w:jc w:val="center"/>
              <w:rPr>
                <w:rFonts w:ascii="Aptos Narrow" w:eastAsia="Times New Roman" w:hAnsi="Aptos Narrow" w:cs="Times New Roman"/>
                <w:b/>
                <w:bCs/>
                <w:color w:val="000000"/>
                <w:kern w:val="0"/>
                <w:lang w:eastAsia="en-AU"/>
                <w14:ligatures w14:val="none"/>
              </w:rPr>
            </w:pPr>
            <w:r w:rsidRPr="006849E2">
              <w:rPr>
                <w:rFonts w:ascii="Aptos Narrow" w:eastAsia="Times New Roman" w:hAnsi="Aptos Narrow" w:cs="Times New Roman"/>
                <w:b/>
                <w:bCs/>
                <w:color w:val="000000"/>
                <w:kern w:val="0"/>
                <w:lang w:eastAsia="en-AU"/>
                <w14:ligatures w14:val="none"/>
              </w:rPr>
              <w:t xml:space="preserve">Source / </w:t>
            </w:r>
            <w:r>
              <w:rPr>
                <w:rFonts w:ascii="Aptos Narrow" w:eastAsia="Times New Roman" w:hAnsi="Aptos Narrow" w:cs="Times New Roman"/>
                <w:b/>
                <w:bCs/>
                <w:color w:val="000000"/>
                <w:kern w:val="0"/>
                <w:lang w:eastAsia="en-AU"/>
                <w14:ligatures w14:val="none"/>
              </w:rPr>
              <w:t>e</w:t>
            </w:r>
            <w:r w:rsidRPr="006849E2">
              <w:rPr>
                <w:rFonts w:ascii="Aptos Narrow" w:eastAsia="Times New Roman" w:hAnsi="Aptos Narrow" w:cs="Times New Roman"/>
                <w:b/>
                <w:bCs/>
                <w:color w:val="000000"/>
                <w:kern w:val="0"/>
                <w:lang w:eastAsia="en-AU"/>
                <w14:ligatures w14:val="none"/>
              </w:rPr>
              <w:t>vidence</w:t>
            </w:r>
          </w:p>
        </w:tc>
      </w:tr>
      <w:tr w:rsidR="00FB1DB4" w:rsidRPr="006849E2" w14:paraId="3D73E74B" w14:textId="77777777" w:rsidTr="001A7D3E">
        <w:trPr>
          <w:trHeight w:val="20"/>
        </w:trPr>
        <w:tc>
          <w:tcPr>
            <w:tcW w:w="5363"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5BD7D9B1" w14:textId="77777777" w:rsidR="00FB1DB4" w:rsidRPr="006849E2" w:rsidRDefault="00FB1DB4" w:rsidP="001A7D3E">
            <w:pPr>
              <w:spacing w:after="0" w:line="240" w:lineRule="auto"/>
              <w:rPr>
                <w:rFonts w:ascii="Aptos Narrow" w:eastAsia="Times New Roman" w:hAnsi="Aptos Narrow" w:cs="Times New Roman"/>
                <w:b/>
                <w:bCs/>
                <w:kern w:val="0"/>
                <w:lang w:eastAsia="en-AU"/>
                <w14:ligatures w14:val="none"/>
              </w:rPr>
            </w:pPr>
            <w:r w:rsidRPr="006849E2">
              <w:rPr>
                <w:rFonts w:ascii="Aptos Narrow" w:eastAsia="Times New Roman" w:hAnsi="Aptos Narrow" w:cs="Times New Roman"/>
                <w:b/>
                <w:bCs/>
                <w:kern w:val="0"/>
                <w:lang w:eastAsia="en-AU"/>
                <w14:ligatures w14:val="none"/>
              </w:rPr>
              <w:t xml:space="preserve">Scope 2 </w:t>
            </w:r>
            <w:r>
              <w:rPr>
                <w:rFonts w:ascii="Aptos Narrow" w:eastAsia="Times New Roman" w:hAnsi="Aptos Narrow" w:cs="Times New Roman"/>
                <w:b/>
                <w:bCs/>
                <w:kern w:val="0"/>
                <w:lang w:eastAsia="en-AU"/>
                <w14:ligatures w14:val="none"/>
              </w:rPr>
              <w:t>(Market-based)</w:t>
            </w:r>
          </w:p>
        </w:tc>
        <w:tc>
          <w:tcPr>
            <w:tcW w:w="1407" w:type="dxa"/>
            <w:tcBorders>
              <w:top w:val="single" w:sz="4" w:space="0" w:color="auto"/>
              <w:left w:val="nil"/>
              <w:bottom w:val="single" w:sz="4" w:space="0" w:color="auto"/>
              <w:right w:val="single" w:sz="4" w:space="0" w:color="auto"/>
            </w:tcBorders>
            <w:shd w:val="clear" w:color="000000" w:fill="auto"/>
            <w:hideMark/>
          </w:tcPr>
          <w:p w14:paraId="02C74507" w14:textId="77777777" w:rsidR="00FB1DB4" w:rsidRPr="006849E2" w:rsidRDefault="00FB1DB4" w:rsidP="001A7D3E">
            <w:pPr>
              <w:spacing w:after="0" w:line="240" w:lineRule="auto"/>
              <w:jc w:val="center"/>
              <w:rPr>
                <w:rFonts w:ascii="Aptos Narrow" w:eastAsia="Times New Roman" w:hAnsi="Aptos Narrow" w:cs="Times New Roman"/>
                <w:kern w:val="0"/>
                <w:lang w:eastAsia="en-AU"/>
                <w14:ligatures w14:val="none"/>
              </w:rPr>
            </w:pPr>
            <w:r>
              <w:rPr>
                <w:rFonts w:ascii="Aptos Narrow" w:eastAsia="Times New Roman" w:hAnsi="Aptos Narrow" w:cs="Times New Roman"/>
                <w:kern w:val="0"/>
                <w:lang w:eastAsia="en-AU"/>
                <w14:ligatures w14:val="none"/>
              </w:rPr>
              <w:t>t CO</w:t>
            </w:r>
            <w:r w:rsidRPr="00D3200D">
              <w:rPr>
                <w:rFonts w:ascii="Aptos Narrow" w:eastAsia="Times New Roman" w:hAnsi="Aptos Narrow" w:cs="Times New Roman"/>
                <w:kern w:val="0"/>
                <w:vertAlign w:val="subscript"/>
                <w:lang w:eastAsia="en-AU"/>
                <w14:ligatures w14:val="none"/>
              </w:rPr>
              <w:t>2</w:t>
            </w:r>
            <w:r>
              <w:rPr>
                <w:rFonts w:ascii="Aptos Narrow" w:eastAsia="Times New Roman" w:hAnsi="Aptos Narrow" w:cs="Times New Roman"/>
                <w:kern w:val="0"/>
                <w:lang w:eastAsia="en-AU"/>
                <w14:ligatures w14:val="none"/>
              </w:rPr>
              <w:t>-e</w:t>
            </w:r>
            <w:r w:rsidRPr="006849E2">
              <w:rPr>
                <w:rFonts w:ascii="Aptos Narrow" w:eastAsia="Times New Roman" w:hAnsi="Aptos Narrow" w:cs="Times New Roman"/>
                <w:kern w:val="0"/>
                <w:lang w:eastAsia="en-AU"/>
                <w14:ligatures w14:val="none"/>
              </w:rPr>
              <w:t>-</w:t>
            </w:r>
          </w:p>
        </w:tc>
        <w:tc>
          <w:tcPr>
            <w:tcW w:w="1694" w:type="dxa"/>
            <w:tcBorders>
              <w:top w:val="single" w:sz="4" w:space="0" w:color="auto"/>
              <w:left w:val="nil"/>
              <w:bottom w:val="single" w:sz="4" w:space="0" w:color="auto"/>
              <w:right w:val="single" w:sz="4" w:space="0" w:color="auto"/>
            </w:tcBorders>
            <w:shd w:val="clear" w:color="000000" w:fill="auto"/>
            <w:vAlign w:val="center"/>
            <w:hideMark/>
          </w:tcPr>
          <w:p w14:paraId="31AFDC56" w14:textId="77777777" w:rsidR="00FB1DB4" w:rsidRPr="006849E2" w:rsidRDefault="00FB1DB4" w:rsidP="001A7D3E">
            <w:pPr>
              <w:spacing w:after="0" w:line="240" w:lineRule="auto"/>
              <w:rPr>
                <w:rFonts w:ascii="Aptos Narrow" w:eastAsia="Times New Roman" w:hAnsi="Aptos Narrow" w:cs="Times New Roman"/>
                <w:kern w:val="0"/>
                <w:lang w:eastAsia="en-AU"/>
                <w14:ligatures w14:val="none"/>
              </w:rPr>
            </w:pPr>
          </w:p>
        </w:tc>
        <w:tc>
          <w:tcPr>
            <w:tcW w:w="4998" w:type="dxa"/>
            <w:tcBorders>
              <w:top w:val="single" w:sz="4" w:space="0" w:color="auto"/>
              <w:left w:val="nil"/>
              <w:bottom w:val="single" w:sz="4" w:space="0" w:color="auto"/>
              <w:right w:val="single" w:sz="4" w:space="0" w:color="auto"/>
            </w:tcBorders>
            <w:shd w:val="clear" w:color="000000" w:fill="auto"/>
            <w:vAlign w:val="center"/>
            <w:hideMark/>
          </w:tcPr>
          <w:p w14:paraId="42A48AF6" w14:textId="77777777" w:rsidR="00FB1DB4" w:rsidRPr="006849E2" w:rsidRDefault="00FB1DB4" w:rsidP="001A7D3E">
            <w:pPr>
              <w:spacing w:after="0" w:line="240" w:lineRule="auto"/>
              <w:rPr>
                <w:rFonts w:ascii="Aptos Narrow" w:eastAsia="Times New Roman" w:hAnsi="Aptos Narrow" w:cs="Times New Roman"/>
                <w:kern w:val="0"/>
                <w:lang w:eastAsia="en-AU"/>
                <w14:ligatures w14:val="none"/>
              </w:rPr>
            </w:pPr>
            <w:r w:rsidRPr="006849E2">
              <w:rPr>
                <w:rFonts w:ascii="Aptos Narrow" w:eastAsia="Times New Roman" w:hAnsi="Aptos Narrow" w:cs="Times New Roman"/>
                <w:kern w:val="0"/>
                <w:lang w:eastAsia="en-AU"/>
                <w14:ligatures w14:val="none"/>
              </w:rPr>
              <w:t> </w:t>
            </w:r>
          </w:p>
        </w:tc>
      </w:tr>
      <w:tr w:rsidR="00FB1DB4" w:rsidRPr="006849E2" w14:paraId="173E198F" w14:textId="77777777" w:rsidTr="001A7D3E">
        <w:trPr>
          <w:trHeight w:val="20"/>
        </w:trPr>
        <w:tc>
          <w:tcPr>
            <w:tcW w:w="5363" w:type="dxa"/>
            <w:tcBorders>
              <w:top w:val="nil"/>
              <w:left w:val="single" w:sz="4" w:space="0" w:color="auto"/>
              <w:bottom w:val="single" w:sz="4" w:space="0" w:color="auto"/>
              <w:right w:val="single" w:sz="4" w:space="0" w:color="auto"/>
            </w:tcBorders>
          </w:tcPr>
          <w:p w14:paraId="227CFF9D" w14:textId="77777777" w:rsidR="00FB1DB4" w:rsidRPr="00305B49" w:rsidRDefault="00FB1DB4" w:rsidP="001A7D3E">
            <w:pPr>
              <w:spacing w:after="0" w:line="240" w:lineRule="auto"/>
              <w:rPr>
                <w:rFonts w:ascii="Aptos Narrow" w:eastAsia="Times New Roman" w:hAnsi="Aptos Narrow" w:cs="Times New Roman"/>
                <w:color w:val="000000"/>
                <w:kern w:val="0"/>
                <w:lang w:eastAsia="en-AU"/>
                <w14:ligatures w14:val="none"/>
              </w:rPr>
            </w:pPr>
            <w:r w:rsidRPr="00305B49">
              <w:rPr>
                <w:rFonts w:ascii="Aptos Narrow" w:eastAsia="Times New Roman" w:hAnsi="Aptos Narrow" w:cs="Times New Roman"/>
                <w:color w:val="000000"/>
                <w:kern w:val="0"/>
                <w:lang w:eastAsia="en-AU"/>
                <w14:ligatures w14:val="none"/>
              </w:rPr>
              <w:t>Amount of electricity purchased from the grid</w:t>
            </w:r>
          </w:p>
        </w:tc>
        <w:tc>
          <w:tcPr>
            <w:tcW w:w="1407" w:type="dxa"/>
            <w:tcBorders>
              <w:top w:val="nil"/>
              <w:left w:val="nil"/>
              <w:bottom w:val="single" w:sz="4" w:space="0" w:color="auto"/>
              <w:right w:val="single" w:sz="4" w:space="0" w:color="auto"/>
            </w:tcBorders>
          </w:tcPr>
          <w:p w14:paraId="3066FBEF" w14:textId="77777777" w:rsidR="00FB1DB4" w:rsidRPr="000E106F" w:rsidRDefault="00FB1DB4" w:rsidP="001A7D3E">
            <w:pPr>
              <w:spacing w:after="0" w:line="240" w:lineRule="auto"/>
              <w:jc w:val="center"/>
              <w:rPr>
                <w:rFonts w:ascii="Aptos Narrow" w:eastAsia="Times New Roman" w:hAnsi="Aptos Narrow" w:cs="Times New Roman"/>
                <w:kern w:val="0"/>
                <w:lang w:eastAsia="en-AU"/>
                <w14:ligatures w14:val="none"/>
              </w:rPr>
            </w:pPr>
            <w:r w:rsidRPr="000E106F">
              <w:rPr>
                <w:rFonts w:ascii="Aptos Narrow" w:eastAsia="Times New Roman" w:hAnsi="Aptos Narrow" w:cs="Times New Roman"/>
                <w:kern w:val="0"/>
                <w:lang w:eastAsia="en-AU"/>
                <w14:ligatures w14:val="none"/>
              </w:rPr>
              <w:t>kWh</w:t>
            </w:r>
          </w:p>
        </w:tc>
        <w:tc>
          <w:tcPr>
            <w:tcW w:w="1694" w:type="dxa"/>
            <w:tcBorders>
              <w:top w:val="nil"/>
              <w:left w:val="nil"/>
              <w:bottom w:val="single" w:sz="4" w:space="0" w:color="auto"/>
              <w:right w:val="single" w:sz="4" w:space="0" w:color="auto"/>
            </w:tcBorders>
          </w:tcPr>
          <w:p w14:paraId="79DBC7C1" w14:textId="77777777" w:rsidR="00FB1DB4" w:rsidRPr="006849E2" w:rsidRDefault="00FB1DB4" w:rsidP="001A7D3E">
            <w:pPr>
              <w:spacing w:after="0" w:line="240" w:lineRule="auto"/>
              <w:jc w:val="right"/>
              <w:rPr>
                <w:rFonts w:ascii="Aptos Narrow" w:eastAsia="Times New Roman" w:hAnsi="Aptos Narrow" w:cs="Times New Roman"/>
                <w:kern w:val="0"/>
                <w:lang w:eastAsia="en-AU"/>
                <w14:ligatures w14:val="none"/>
              </w:rPr>
            </w:pPr>
          </w:p>
        </w:tc>
        <w:tc>
          <w:tcPr>
            <w:tcW w:w="4998" w:type="dxa"/>
            <w:tcBorders>
              <w:top w:val="nil"/>
              <w:left w:val="nil"/>
              <w:bottom w:val="single" w:sz="4" w:space="0" w:color="auto"/>
              <w:right w:val="single" w:sz="4" w:space="0" w:color="auto"/>
            </w:tcBorders>
          </w:tcPr>
          <w:p w14:paraId="7F8B1F56" w14:textId="77777777" w:rsidR="00FB1DB4" w:rsidRPr="006849E2" w:rsidRDefault="00FB1DB4" w:rsidP="001A7D3E">
            <w:pPr>
              <w:spacing w:after="0" w:line="240" w:lineRule="auto"/>
              <w:rPr>
                <w:rFonts w:ascii="Aptos Narrow" w:eastAsia="Times New Roman" w:hAnsi="Aptos Narrow" w:cs="Times New Roman"/>
                <w:kern w:val="0"/>
                <w:lang w:eastAsia="en-AU"/>
                <w14:ligatures w14:val="none"/>
              </w:rPr>
            </w:pPr>
            <w:r>
              <w:rPr>
                <w:rFonts w:ascii="Aptos Narrow" w:eastAsia="Times New Roman" w:hAnsi="Aptos Narrow" w:cs="Times New Roman"/>
                <w:kern w:val="0"/>
                <w:lang w:eastAsia="en-AU"/>
                <w14:ligatures w14:val="none"/>
              </w:rPr>
              <w:t>R</w:t>
            </w:r>
            <w:r w:rsidRPr="006849E2">
              <w:rPr>
                <w:rFonts w:ascii="Aptos Narrow" w:eastAsia="Times New Roman" w:hAnsi="Aptos Narrow" w:cs="Times New Roman"/>
                <w:kern w:val="0"/>
                <w:lang w:eastAsia="en-AU"/>
                <w14:ligatures w14:val="none"/>
              </w:rPr>
              <w:t>etailer invoice</w:t>
            </w:r>
          </w:p>
        </w:tc>
      </w:tr>
      <w:tr w:rsidR="00FB1DB4" w:rsidRPr="006849E2" w14:paraId="7B892800" w14:textId="77777777" w:rsidTr="001A7D3E">
        <w:trPr>
          <w:trHeight w:val="20"/>
        </w:trPr>
        <w:tc>
          <w:tcPr>
            <w:tcW w:w="5363" w:type="dxa"/>
            <w:tcBorders>
              <w:top w:val="nil"/>
              <w:left w:val="single" w:sz="4" w:space="0" w:color="auto"/>
              <w:bottom w:val="single" w:sz="4" w:space="0" w:color="auto"/>
              <w:right w:val="single" w:sz="4" w:space="0" w:color="auto"/>
            </w:tcBorders>
            <w:hideMark/>
          </w:tcPr>
          <w:p w14:paraId="44674B68" w14:textId="77777777" w:rsidR="00FB1DB4" w:rsidRPr="00305B49" w:rsidRDefault="00FB1DB4" w:rsidP="001A7D3E">
            <w:pPr>
              <w:spacing w:after="0" w:line="240" w:lineRule="auto"/>
              <w:rPr>
                <w:rFonts w:ascii="Aptos Narrow" w:eastAsia="Times New Roman" w:hAnsi="Aptos Narrow" w:cs="Times New Roman"/>
                <w:color w:val="000000"/>
                <w:kern w:val="0"/>
                <w:lang w:eastAsia="en-AU"/>
                <w14:ligatures w14:val="none"/>
              </w:rPr>
            </w:pPr>
            <w:r w:rsidRPr="00305B49">
              <w:rPr>
                <w:rFonts w:ascii="Aptos Narrow" w:eastAsia="Times New Roman" w:hAnsi="Aptos Narrow" w:cs="Times New Roman"/>
                <w:color w:val="000000"/>
                <w:kern w:val="0"/>
                <w:lang w:eastAsia="en-AU"/>
                <w14:ligatures w14:val="none"/>
              </w:rPr>
              <w:t>Eligible Renewable Energy Certificates (RECs) voluntarily surrendered (includes Green Power and large-scale generation certificates)</w:t>
            </w:r>
          </w:p>
        </w:tc>
        <w:tc>
          <w:tcPr>
            <w:tcW w:w="1407" w:type="dxa"/>
            <w:tcBorders>
              <w:top w:val="nil"/>
              <w:left w:val="nil"/>
              <w:bottom w:val="single" w:sz="4" w:space="0" w:color="auto"/>
              <w:right w:val="single" w:sz="4" w:space="0" w:color="auto"/>
            </w:tcBorders>
          </w:tcPr>
          <w:p w14:paraId="49C4A10F" w14:textId="77777777" w:rsidR="00FB1DB4" w:rsidRPr="000E106F" w:rsidRDefault="00FB1DB4" w:rsidP="001A7D3E">
            <w:pPr>
              <w:spacing w:after="0" w:line="240" w:lineRule="auto"/>
              <w:jc w:val="center"/>
              <w:rPr>
                <w:rFonts w:ascii="Aptos Narrow" w:eastAsia="Times New Roman" w:hAnsi="Aptos Narrow" w:cs="Times New Roman"/>
                <w:i/>
                <w:iCs/>
                <w:kern w:val="0"/>
                <w:lang w:eastAsia="en-AU"/>
                <w14:ligatures w14:val="none"/>
              </w:rPr>
            </w:pPr>
            <w:r w:rsidRPr="000E106F">
              <w:rPr>
                <w:rFonts w:ascii="Aptos Narrow" w:eastAsia="Times New Roman" w:hAnsi="Aptos Narrow" w:cs="Times New Roman"/>
                <w:color w:val="000000"/>
                <w:kern w:val="0"/>
                <w:lang w:eastAsia="en-AU"/>
                <w14:ligatures w14:val="none"/>
              </w:rPr>
              <w:t>MWh</w:t>
            </w:r>
          </w:p>
        </w:tc>
        <w:tc>
          <w:tcPr>
            <w:tcW w:w="1694" w:type="dxa"/>
            <w:tcBorders>
              <w:top w:val="nil"/>
              <w:left w:val="nil"/>
              <w:bottom w:val="single" w:sz="4" w:space="0" w:color="auto"/>
              <w:right w:val="single" w:sz="4" w:space="0" w:color="auto"/>
            </w:tcBorders>
          </w:tcPr>
          <w:p w14:paraId="176392D8" w14:textId="77777777" w:rsidR="00FB1DB4" w:rsidRPr="006849E2" w:rsidRDefault="00FB1DB4" w:rsidP="001A7D3E">
            <w:pPr>
              <w:spacing w:after="0" w:line="240" w:lineRule="auto"/>
              <w:rPr>
                <w:rFonts w:ascii="Aptos Narrow" w:eastAsia="Times New Roman" w:hAnsi="Aptos Narrow" w:cs="Times New Roman"/>
                <w:kern w:val="0"/>
                <w:lang w:eastAsia="en-AU"/>
                <w14:ligatures w14:val="none"/>
              </w:rPr>
            </w:pPr>
          </w:p>
        </w:tc>
        <w:tc>
          <w:tcPr>
            <w:tcW w:w="4998" w:type="dxa"/>
            <w:tcBorders>
              <w:top w:val="nil"/>
              <w:left w:val="nil"/>
              <w:bottom w:val="single" w:sz="4" w:space="0" w:color="auto"/>
              <w:right w:val="single" w:sz="4" w:space="0" w:color="auto"/>
            </w:tcBorders>
            <w:hideMark/>
          </w:tcPr>
          <w:p w14:paraId="62052C80" w14:textId="77777777" w:rsidR="00FB1DB4" w:rsidRPr="006849E2" w:rsidRDefault="00FB1DB4" w:rsidP="001A7D3E">
            <w:pPr>
              <w:spacing w:after="0" w:line="240" w:lineRule="auto"/>
              <w:rPr>
                <w:rFonts w:ascii="Aptos Narrow" w:eastAsia="Times New Roman" w:hAnsi="Aptos Narrow" w:cs="Times New Roman"/>
                <w:kern w:val="0"/>
                <w:lang w:eastAsia="en-AU"/>
                <w14:ligatures w14:val="none"/>
              </w:rPr>
            </w:pPr>
            <w:r w:rsidRPr="006849E2">
              <w:rPr>
                <w:rFonts w:ascii="Aptos Narrow" w:eastAsia="Times New Roman" w:hAnsi="Aptos Narrow" w:cs="Times New Roman"/>
                <w:kern w:val="0"/>
                <w:lang w:eastAsia="en-AU"/>
                <w14:ligatures w14:val="none"/>
              </w:rPr>
              <w:t>C</w:t>
            </w:r>
            <w:r>
              <w:rPr>
                <w:rFonts w:ascii="Aptos Narrow" w:eastAsia="Times New Roman" w:hAnsi="Aptos Narrow" w:cs="Times New Roman"/>
                <w:kern w:val="0"/>
                <w:lang w:eastAsia="en-AU"/>
                <w14:ligatures w14:val="none"/>
              </w:rPr>
              <w:t>lean Energy Regulator (CER)</w:t>
            </w:r>
            <w:r w:rsidRPr="006849E2">
              <w:rPr>
                <w:rFonts w:ascii="Aptos Narrow" w:eastAsia="Times New Roman" w:hAnsi="Aptos Narrow" w:cs="Times New Roman"/>
                <w:kern w:val="0"/>
                <w:lang w:eastAsia="en-AU"/>
                <w14:ligatures w14:val="none"/>
              </w:rPr>
              <w:t xml:space="preserve"> </w:t>
            </w:r>
            <w:r>
              <w:rPr>
                <w:rFonts w:ascii="Aptos Narrow" w:eastAsia="Times New Roman" w:hAnsi="Aptos Narrow" w:cs="Times New Roman"/>
                <w:kern w:val="0"/>
                <w:lang w:eastAsia="en-AU"/>
                <w14:ligatures w14:val="none"/>
              </w:rPr>
              <w:t>REC</w:t>
            </w:r>
            <w:r w:rsidRPr="006849E2">
              <w:rPr>
                <w:rFonts w:ascii="Aptos Narrow" w:eastAsia="Times New Roman" w:hAnsi="Aptos Narrow" w:cs="Times New Roman"/>
                <w:kern w:val="0"/>
                <w:lang w:eastAsia="en-AU"/>
                <w14:ligatures w14:val="none"/>
              </w:rPr>
              <w:t xml:space="preserve"> regist</w:t>
            </w:r>
            <w:r>
              <w:rPr>
                <w:rFonts w:ascii="Aptos Narrow" w:eastAsia="Times New Roman" w:hAnsi="Aptos Narrow" w:cs="Times New Roman"/>
                <w:kern w:val="0"/>
                <w:lang w:eastAsia="en-AU"/>
                <w14:ligatures w14:val="none"/>
              </w:rPr>
              <w:t>ry</w:t>
            </w:r>
            <w:r w:rsidRPr="006849E2">
              <w:rPr>
                <w:rFonts w:ascii="Aptos Narrow" w:eastAsia="Times New Roman" w:hAnsi="Aptos Narrow" w:cs="Times New Roman"/>
                <w:kern w:val="0"/>
                <w:lang w:eastAsia="en-AU"/>
                <w14:ligatures w14:val="none"/>
              </w:rPr>
              <w:t xml:space="preserve"> / retailer invoice</w:t>
            </w:r>
          </w:p>
        </w:tc>
      </w:tr>
      <w:tr w:rsidR="00FB1DB4" w:rsidRPr="006849E2" w14:paraId="0949A52A" w14:textId="77777777" w:rsidTr="001A7D3E">
        <w:trPr>
          <w:trHeight w:val="20"/>
        </w:trPr>
        <w:tc>
          <w:tcPr>
            <w:tcW w:w="5363" w:type="dxa"/>
            <w:tcBorders>
              <w:top w:val="nil"/>
              <w:left w:val="single" w:sz="4" w:space="0" w:color="auto"/>
              <w:bottom w:val="single" w:sz="4" w:space="0" w:color="auto"/>
              <w:right w:val="single" w:sz="4" w:space="0" w:color="auto"/>
            </w:tcBorders>
            <w:hideMark/>
          </w:tcPr>
          <w:p w14:paraId="57D091B8" w14:textId="77777777" w:rsidR="00FB1DB4" w:rsidRPr="00305B49" w:rsidRDefault="00FB1DB4" w:rsidP="001A7D3E">
            <w:pPr>
              <w:spacing w:after="0" w:line="240" w:lineRule="auto"/>
              <w:rPr>
                <w:rFonts w:ascii="Aptos Narrow" w:eastAsia="Times New Roman" w:hAnsi="Aptos Narrow" w:cs="Times New Roman"/>
                <w:color w:val="000000"/>
                <w:kern w:val="0"/>
                <w:lang w:eastAsia="en-AU"/>
                <w14:ligatures w14:val="none"/>
              </w:rPr>
            </w:pPr>
            <w:r w:rsidRPr="00305B49">
              <w:rPr>
                <w:rFonts w:ascii="Aptos Narrow" w:eastAsia="Times New Roman" w:hAnsi="Aptos Narrow" w:cs="Times New Roman"/>
                <w:color w:val="000000"/>
                <w:kern w:val="0"/>
                <w:lang w:eastAsia="en-AU"/>
                <w14:ligatures w14:val="none"/>
              </w:rPr>
              <w:t>Eligible RECs issued for electricity produced and consumed on site (included LGCs)</w:t>
            </w:r>
          </w:p>
        </w:tc>
        <w:tc>
          <w:tcPr>
            <w:tcW w:w="1407" w:type="dxa"/>
            <w:tcBorders>
              <w:top w:val="nil"/>
              <w:left w:val="nil"/>
              <w:bottom w:val="single" w:sz="4" w:space="0" w:color="auto"/>
              <w:right w:val="single" w:sz="4" w:space="0" w:color="auto"/>
            </w:tcBorders>
          </w:tcPr>
          <w:p w14:paraId="77731449" w14:textId="77777777" w:rsidR="00FB1DB4" w:rsidRPr="00E347CD" w:rsidRDefault="00FB1DB4" w:rsidP="001A7D3E">
            <w:pPr>
              <w:spacing w:after="0" w:line="240" w:lineRule="auto"/>
              <w:jc w:val="center"/>
              <w:rPr>
                <w:rFonts w:ascii="Aptos Narrow" w:eastAsia="Times New Roman" w:hAnsi="Aptos Narrow" w:cs="Times New Roman"/>
                <w:i/>
                <w:iCs/>
                <w:kern w:val="0"/>
                <w:lang w:eastAsia="en-AU"/>
                <w14:ligatures w14:val="none"/>
              </w:rPr>
            </w:pPr>
            <w:r w:rsidRPr="000E106F">
              <w:rPr>
                <w:rFonts w:ascii="Aptos Narrow" w:eastAsia="Times New Roman" w:hAnsi="Aptos Narrow" w:cs="Times New Roman"/>
                <w:color w:val="000000"/>
                <w:kern w:val="0"/>
                <w:lang w:eastAsia="en-AU"/>
                <w14:ligatures w14:val="none"/>
              </w:rPr>
              <w:t>MWh</w:t>
            </w:r>
          </w:p>
        </w:tc>
        <w:tc>
          <w:tcPr>
            <w:tcW w:w="1694" w:type="dxa"/>
            <w:tcBorders>
              <w:top w:val="nil"/>
              <w:left w:val="nil"/>
              <w:bottom w:val="single" w:sz="4" w:space="0" w:color="auto"/>
              <w:right w:val="single" w:sz="4" w:space="0" w:color="auto"/>
            </w:tcBorders>
          </w:tcPr>
          <w:p w14:paraId="14DE298F" w14:textId="77777777" w:rsidR="00FB1DB4" w:rsidRPr="006849E2" w:rsidRDefault="00FB1DB4" w:rsidP="001A7D3E">
            <w:pPr>
              <w:spacing w:after="0" w:line="240" w:lineRule="auto"/>
              <w:rPr>
                <w:rFonts w:ascii="Aptos Narrow" w:eastAsia="Times New Roman" w:hAnsi="Aptos Narrow" w:cs="Times New Roman"/>
                <w:kern w:val="0"/>
                <w:lang w:eastAsia="en-AU"/>
                <w14:ligatures w14:val="none"/>
              </w:rPr>
            </w:pPr>
          </w:p>
        </w:tc>
        <w:tc>
          <w:tcPr>
            <w:tcW w:w="4998" w:type="dxa"/>
            <w:tcBorders>
              <w:top w:val="nil"/>
              <w:left w:val="nil"/>
              <w:bottom w:val="single" w:sz="4" w:space="0" w:color="auto"/>
              <w:right w:val="single" w:sz="4" w:space="0" w:color="auto"/>
            </w:tcBorders>
            <w:hideMark/>
          </w:tcPr>
          <w:p w14:paraId="29ED224D" w14:textId="77777777" w:rsidR="00FB1DB4" w:rsidRPr="006849E2" w:rsidRDefault="00FB1DB4" w:rsidP="001A7D3E">
            <w:pPr>
              <w:spacing w:after="0" w:line="240" w:lineRule="auto"/>
              <w:rPr>
                <w:rFonts w:ascii="Aptos Narrow" w:eastAsia="Times New Roman" w:hAnsi="Aptos Narrow" w:cs="Times New Roman"/>
                <w:kern w:val="0"/>
                <w:lang w:eastAsia="en-AU"/>
                <w14:ligatures w14:val="none"/>
              </w:rPr>
            </w:pPr>
            <w:r w:rsidRPr="006849E2">
              <w:rPr>
                <w:rFonts w:ascii="Aptos Narrow" w:eastAsia="Times New Roman" w:hAnsi="Aptos Narrow" w:cs="Times New Roman"/>
                <w:kern w:val="0"/>
                <w:lang w:eastAsia="en-AU"/>
                <w14:ligatures w14:val="none"/>
              </w:rPr>
              <w:t xml:space="preserve">CER </w:t>
            </w:r>
            <w:r>
              <w:rPr>
                <w:rFonts w:ascii="Aptos Narrow" w:eastAsia="Times New Roman" w:hAnsi="Aptos Narrow" w:cs="Times New Roman"/>
                <w:kern w:val="0"/>
                <w:lang w:eastAsia="en-AU"/>
                <w14:ligatures w14:val="none"/>
              </w:rPr>
              <w:t>REC</w:t>
            </w:r>
            <w:r w:rsidRPr="006849E2">
              <w:rPr>
                <w:rFonts w:ascii="Aptos Narrow" w:eastAsia="Times New Roman" w:hAnsi="Aptos Narrow" w:cs="Times New Roman"/>
                <w:kern w:val="0"/>
                <w:lang w:eastAsia="en-AU"/>
                <w14:ligatures w14:val="none"/>
              </w:rPr>
              <w:t xml:space="preserve"> regist</w:t>
            </w:r>
            <w:r>
              <w:rPr>
                <w:rFonts w:ascii="Aptos Narrow" w:eastAsia="Times New Roman" w:hAnsi="Aptos Narrow" w:cs="Times New Roman"/>
                <w:kern w:val="0"/>
                <w:lang w:eastAsia="en-AU"/>
                <w14:ligatures w14:val="none"/>
              </w:rPr>
              <w:t>ry</w:t>
            </w:r>
          </w:p>
        </w:tc>
      </w:tr>
      <w:tr w:rsidR="00FB1DB4" w:rsidRPr="006849E2" w14:paraId="2DA49ED1" w14:textId="77777777" w:rsidTr="001A7D3E">
        <w:trPr>
          <w:trHeight w:val="20"/>
        </w:trPr>
        <w:tc>
          <w:tcPr>
            <w:tcW w:w="5363" w:type="dxa"/>
            <w:tcBorders>
              <w:top w:val="nil"/>
              <w:left w:val="single" w:sz="4" w:space="0" w:color="auto"/>
              <w:bottom w:val="single" w:sz="4" w:space="0" w:color="auto"/>
              <w:right w:val="single" w:sz="4" w:space="0" w:color="auto"/>
            </w:tcBorders>
          </w:tcPr>
          <w:p w14:paraId="6951F0C8" w14:textId="77777777" w:rsidR="00FB1DB4" w:rsidRPr="00BC64A8" w:rsidRDefault="00FB1DB4" w:rsidP="001A7D3E">
            <w:pPr>
              <w:spacing w:after="0" w:line="240" w:lineRule="auto"/>
              <w:rPr>
                <w:rFonts w:ascii="Aptos Narrow" w:eastAsia="Times New Roman" w:hAnsi="Aptos Narrow" w:cs="Times New Roman"/>
                <w:color w:val="000000"/>
                <w:kern w:val="0"/>
                <w:lang w:eastAsia="en-AU"/>
                <w14:ligatures w14:val="none"/>
              </w:rPr>
            </w:pPr>
            <w:r w:rsidRPr="00BC64A8">
              <w:rPr>
                <w:rFonts w:ascii="Aptos Narrow" w:eastAsia="Times New Roman" w:hAnsi="Aptos Narrow" w:cs="Times New Roman"/>
                <w:color w:val="000000"/>
                <w:kern w:val="0"/>
                <w:lang w:eastAsia="en-AU"/>
                <w14:ligatures w14:val="none"/>
              </w:rPr>
              <w:t xml:space="preserve">Renewable </w:t>
            </w:r>
            <w:r>
              <w:rPr>
                <w:rFonts w:ascii="Aptos Narrow" w:eastAsia="Times New Roman" w:hAnsi="Aptos Narrow" w:cs="Times New Roman"/>
                <w:color w:val="000000"/>
                <w:kern w:val="0"/>
                <w:lang w:eastAsia="en-AU"/>
                <w14:ligatures w14:val="none"/>
              </w:rPr>
              <w:t>p</w:t>
            </w:r>
            <w:r w:rsidRPr="00BC64A8">
              <w:rPr>
                <w:rFonts w:ascii="Aptos Narrow" w:eastAsia="Times New Roman" w:hAnsi="Aptos Narrow" w:cs="Times New Roman"/>
                <w:color w:val="000000"/>
                <w:kern w:val="0"/>
                <w:lang w:eastAsia="en-AU"/>
                <w14:ligatures w14:val="none"/>
              </w:rPr>
              <w:t xml:space="preserve">ower </w:t>
            </w:r>
            <w:r>
              <w:rPr>
                <w:rFonts w:ascii="Aptos Narrow" w:eastAsia="Times New Roman" w:hAnsi="Aptos Narrow" w:cs="Times New Roman"/>
                <w:color w:val="000000"/>
                <w:kern w:val="0"/>
                <w:lang w:eastAsia="en-AU"/>
                <w14:ligatures w14:val="none"/>
              </w:rPr>
              <w:t>p</w:t>
            </w:r>
            <w:r w:rsidRPr="00BC64A8">
              <w:rPr>
                <w:rFonts w:ascii="Aptos Narrow" w:eastAsia="Times New Roman" w:hAnsi="Aptos Narrow" w:cs="Times New Roman"/>
                <w:color w:val="000000"/>
                <w:kern w:val="0"/>
                <w:lang w:eastAsia="en-AU"/>
                <w14:ligatures w14:val="none"/>
              </w:rPr>
              <w:t>ercentage under the Large-scale</w:t>
            </w:r>
          </w:p>
          <w:p w14:paraId="078F0F29" w14:textId="77777777" w:rsidR="00FB1DB4" w:rsidRPr="00305B49" w:rsidRDefault="00FB1DB4" w:rsidP="001A7D3E">
            <w:pPr>
              <w:spacing w:after="0" w:line="240" w:lineRule="auto"/>
              <w:rPr>
                <w:rFonts w:ascii="Aptos Narrow" w:eastAsia="Times New Roman" w:hAnsi="Aptos Narrow" w:cs="Times New Roman"/>
                <w:color w:val="000000"/>
                <w:kern w:val="0"/>
                <w:lang w:eastAsia="en-AU"/>
                <w14:ligatures w14:val="none"/>
              </w:rPr>
            </w:pPr>
            <w:r w:rsidRPr="00BC64A8">
              <w:rPr>
                <w:rFonts w:ascii="Aptos Narrow" w:eastAsia="Times New Roman" w:hAnsi="Aptos Narrow" w:cs="Times New Roman"/>
                <w:color w:val="000000"/>
                <w:kern w:val="0"/>
                <w:lang w:eastAsia="en-AU"/>
                <w14:ligatures w14:val="none"/>
              </w:rPr>
              <w:t>Renewable Energy Target</w:t>
            </w:r>
          </w:p>
        </w:tc>
        <w:tc>
          <w:tcPr>
            <w:tcW w:w="1407" w:type="dxa"/>
            <w:tcBorders>
              <w:top w:val="nil"/>
              <w:left w:val="nil"/>
              <w:bottom w:val="single" w:sz="4" w:space="0" w:color="auto"/>
              <w:right w:val="single" w:sz="4" w:space="0" w:color="auto"/>
            </w:tcBorders>
          </w:tcPr>
          <w:p w14:paraId="16455DF5" w14:textId="77777777" w:rsidR="00FB1DB4" w:rsidRPr="000E106F" w:rsidRDefault="00FB1DB4" w:rsidP="001A7D3E">
            <w:pPr>
              <w:spacing w:after="0" w:line="240" w:lineRule="auto"/>
              <w:jc w:val="center"/>
              <w:rPr>
                <w:rFonts w:ascii="Aptos Narrow" w:eastAsia="Times New Roman" w:hAnsi="Aptos Narrow"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w:t>
            </w:r>
          </w:p>
        </w:tc>
        <w:tc>
          <w:tcPr>
            <w:tcW w:w="1694" w:type="dxa"/>
            <w:tcBorders>
              <w:top w:val="nil"/>
              <w:left w:val="nil"/>
              <w:bottom w:val="single" w:sz="4" w:space="0" w:color="auto"/>
              <w:right w:val="single" w:sz="4" w:space="0" w:color="auto"/>
            </w:tcBorders>
          </w:tcPr>
          <w:p w14:paraId="7E322D1B" w14:textId="77777777" w:rsidR="00FB1DB4" w:rsidRPr="006849E2" w:rsidRDefault="00FB1DB4" w:rsidP="001A7D3E">
            <w:pPr>
              <w:spacing w:after="0" w:line="240" w:lineRule="auto"/>
              <w:rPr>
                <w:rFonts w:ascii="Aptos Narrow" w:eastAsia="Times New Roman" w:hAnsi="Aptos Narrow" w:cs="Times New Roman"/>
                <w:kern w:val="0"/>
                <w:lang w:eastAsia="en-AU"/>
                <w14:ligatures w14:val="none"/>
              </w:rPr>
            </w:pPr>
          </w:p>
        </w:tc>
        <w:tc>
          <w:tcPr>
            <w:tcW w:w="4998" w:type="dxa"/>
            <w:tcBorders>
              <w:top w:val="nil"/>
              <w:left w:val="nil"/>
              <w:bottom w:val="single" w:sz="4" w:space="0" w:color="auto"/>
              <w:right w:val="single" w:sz="4" w:space="0" w:color="auto"/>
            </w:tcBorders>
          </w:tcPr>
          <w:p w14:paraId="65F97259" w14:textId="77777777" w:rsidR="00FB1DB4" w:rsidRPr="006849E2" w:rsidRDefault="00FB1DB4" w:rsidP="001A7D3E">
            <w:pPr>
              <w:spacing w:after="0" w:line="240" w:lineRule="auto"/>
              <w:rPr>
                <w:rFonts w:ascii="Aptos Narrow" w:eastAsia="Times New Roman" w:hAnsi="Aptos Narrow" w:cs="Times New Roman"/>
                <w:kern w:val="0"/>
                <w:lang w:eastAsia="en-AU"/>
                <w14:ligatures w14:val="none"/>
              </w:rPr>
            </w:pPr>
            <w:r>
              <w:rPr>
                <w:rFonts w:ascii="Aptos Narrow" w:eastAsia="Times New Roman" w:hAnsi="Aptos Narrow" w:cs="Times New Roman"/>
                <w:kern w:val="0"/>
                <w:lang w:eastAsia="en-AU"/>
                <w14:ligatures w14:val="none"/>
              </w:rPr>
              <w:t>CER</w:t>
            </w:r>
          </w:p>
        </w:tc>
      </w:tr>
      <w:tr w:rsidR="00FB1DB4" w:rsidRPr="006849E2" w14:paraId="7EA333EF" w14:textId="77777777" w:rsidTr="001A7D3E">
        <w:trPr>
          <w:trHeight w:val="20"/>
        </w:trPr>
        <w:tc>
          <w:tcPr>
            <w:tcW w:w="5363" w:type="dxa"/>
            <w:tcBorders>
              <w:top w:val="nil"/>
              <w:left w:val="single" w:sz="4" w:space="0" w:color="auto"/>
              <w:bottom w:val="single" w:sz="4" w:space="0" w:color="auto"/>
              <w:right w:val="single" w:sz="4" w:space="0" w:color="auto"/>
            </w:tcBorders>
            <w:hideMark/>
          </w:tcPr>
          <w:p w14:paraId="1F6D93A4" w14:textId="77777777" w:rsidR="00FB1DB4" w:rsidRPr="00354442" w:rsidRDefault="00FB1DB4" w:rsidP="001A7D3E">
            <w:pPr>
              <w:spacing w:after="0" w:line="240" w:lineRule="auto"/>
              <w:rPr>
                <w:rFonts w:ascii="Aptos Narrow" w:eastAsia="Times New Roman" w:hAnsi="Aptos Narrow" w:cs="Times New Roman"/>
                <w:color w:val="000000"/>
                <w:kern w:val="0"/>
                <w:lang w:eastAsia="en-AU"/>
                <w14:ligatures w14:val="none"/>
              </w:rPr>
            </w:pPr>
            <w:r w:rsidRPr="00354442">
              <w:rPr>
                <w:rFonts w:ascii="Aptos Narrow" w:eastAsia="Times New Roman" w:hAnsi="Aptos Narrow" w:cs="Times New Roman"/>
                <w:color w:val="000000"/>
                <w:kern w:val="0"/>
                <w:lang w:eastAsia="en-AU"/>
                <w14:ligatures w14:val="none"/>
              </w:rPr>
              <w:t xml:space="preserve">Residual </w:t>
            </w:r>
            <w:r>
              <w:rPr>
                <w:rFonts w:ascii="Aptos Narrow" w:eastAsia="Times New Roman" w:hAnsi="Aptos Narrow" w:cs="Times New Roman"/>
                <w:color w:val="000000"/>
                <w:kern w:val="0"/>
                <w:lang w:eastAsia="en-AU"/>
                <w14:ligatures w14:val="none"/>
              </w:rPr>
              <w:t>m</w:t>
            </w:r>
            <w:r w:rsidRPr="00354442">
              <w:rPr>
                <w:rFonts w:ascii="Aptos Narrow" w:eastAsia="Times New Roman" w:hAnsi="Aptos Narrow" w:cs="Times New Roman"/>
                <w:kern w:val="0"/>
                <w:lang w:eastAsia="en-AU"/>
                <w14:ligatures w14:val="none"/>
              </w:rPr>
              <w:t xml:space="preserve">ix </w:t>
            </w:r>
            <w:r>
              <w:rPr>
                <w:rFonts w:ascii="Aptos Narrow" w:eastAsia="Times New Roman" w:hAnsi="Aptos Narrow" w:cs="Times New Roman"/>
                <w:kern w:val="0"/>
                <w:lang w:eastAsia="en-AU"/>
                <w14:ligatures w14:val="none"/>
              </w:rPr>
              <w:t>f</w:t>
            </w:r>
            <w:r w:rsidRPr="00354442">
              <w:rPr>
                <w:rFonts w:ascii="Aptos Narrow" w:eastAsia="Times New Roman" w:hAnsi="Aptos Narrow" w:cs="Times New Roman"/>
                <w:kern w:val="0"/>
                <w:lang w:eastAsia="en-AU"/>
                <w14:ligatures w14:val="none"/>
              </w:rPr>
              <w:t xml:space="preserve">actor for </w:t>
            </w:r>
            <w:r>
              <w:rPr>
                <w:rFonts w:ascii="Aptos Narrow" w:eastAsia="Times New Roman" w:hAnsi="Aptos Narrow" w:cs="Times New Roman"/>
                <w:kern w:val="0"/>
                <w:lang w:eastAsia="en-AU"/>
                <w14:ligatures w14:val="none"/>
              </w:rPr>
              <w:t>s</w:t>
            </w:r>
            <w:r w:rsidRPr="00354442">
              <w:rPr>
                <w:rFonts w:ascii="Aptos Narrow" w:eastAsia="Times New Roman" w:hAnsi="Aptos Narrow" w:cs="Times New Roman"/>
                <w:kern w:val="0"/>
                <w:lang w:eastAsia="en-AU"/>
                <w14:ligatures w14:val="none"/>
              </w:rPr>
              <w:t>tate</w:t>
            </w:r>
          </w:p>
        </w:tc>
        <w:tc>
          <w:tcPr>
            <w:tcW w:w="1407" w:type="dxa"/>
            <w:tcBorders>
              <w:top w:val="nil"/>
              <w:left w:val="nil"/>
              <w:bottom w:val="single" w:sz="4" w:space="0" w:color="auto"/>
              <w:right w:val="single" w:sz="4" w:space="0" w:color="auto"/>
            </w:tcBorders>
          </w:tcPr>
          <w:p w14:paraId="49C5BAA4" w14:textId="77777777" w:rsidR="00FB1DB4" w:rsidRPr="00625718" w:rsidRDefault="00FB1DB4" w:rsidP="001A7D3E">
            <w:pPr>
              <w:spacing w:after="0" w:line="240" w:lineRule="auto"/>
              <w:jc w:val="center"/>
              <w:rPr>
                <w:rFonts w:ascii="Aptos Narrow" w:eastAsia="Times New Roman" w:hAnsi="Aptos Narrow" w:cs="Times New Roman"/>
                <w:i/>
                <w:kern w:val="0"/>
                <w:lang w:eastAsia="en-AU"/>
                <w14:ligatures w14:val="none"/>
              </w:rPr>
            </w:pPr>
            <w:r w:rsidRPr="00625718">
              <w:rPr>
                <w:rFonts w:ascii="Aptos Narrow" w:eastAsia="Times New Roman" w:hAnsi="Aptos Narrow" w:cs="Times New Roman"/>
                <w:color w:val="000000"/>
                <w:kern w:val="0"/>
                <w:lang w:eastAsia="en-AU"/>
                <w14:ligatures w14:val="none"/>
              </w:rPr>
              <w:t>kg CO₂-e/MWh</w:t>
            </w:r>
          </w:p>
        </w:tc>
        <w:tc>
          <w:tcPr>
            <w:tcW w:w="1694" w:type="dxa"/>
            <w:tcBorders>
              <w:top w:val="nil"/>
              <w:left w:val="nil"/>
              <w:bottom w:val="single" w:sz="4" w:space="0" w:color="auto"/>
              <w:right w:val="single" w:sz="4" w:space="0" w:color="auto"/>
            </w:tcBorders>
            <w:hideMark/>
          </w:tcPr>
          <w:p w14:paraId="41960B08" w14:textId="77777777" w:rsidR="00FB1DB4" w:rsidRPr="006849E2" w:rsidRDefault="00FB1DB4" w:rsidP="001A7D3E">
            <w:pPr>
              <w:spacing w:after="0" w:line="240" w:lineRule="auto"/>
              <w:rPr>
                <w:rFonts w:ascii="Aptos Narrow" w:eastAsia="Times New Roman" w:hAnsi="Aptos Narrow" w:cs="Times New Roman"/>
                <w:kern w:val="0"/>
                <w:lang w:eastAsia="en-AU"/>
                <w14:ligatures w14:val="none"/>
              </w:rPr>
            </w:pPr>
          </w:p>
        </w:tc>
        <w:tc>
          <w:tcPr>
            <w:tcW w:w="4998" w:type="dxa"/>
            <w:tcBorders>
              <w:top w:val="nil"/>
              <w:left w:val="nil"/>
              <w:bottom w:val="single" w:sz="4" w:space="0" w:color="auto"/>
              <w:right w:val="single" w:sz="4" w:space="0" w:color="auto"/>
            </w:tcBorders>
          </w:tcPr>
          <w:p w14:paraId="34320980" w14:textId="77777777" w:rsidR="00FB1DB4" w:rsidRPr="006849E2" w:rsidRDefault="00FB1DB4" w:rsidP="001A7D3E">
            <w:pPr>
              <w:spacing w:after="0" w:line="240" w:lineRule="auto"/>
              <w:rPr>
                <w:rFonts w:ascii="Aptos Narrow" w:eastAsia="Times New Roman" w:hAnsi="Aptos Narrow" w:cs="Times New Roman"/>
                <w:kern w:val="0"/>
                <w:lang w:eastAsia="en-AU"/>
                <w14:ligatures w14:val="none"/>
              </w:rPr>
            </w:pPr>
            <w:r>
              <w:rPr>
                <w:rFonts w:ascii="Aptos Narrow" w:eastAsia="Times New Roman" w:hAnsi="Aptos Narrow" w:cs="Times New Roman"/>
                <w:kern w:val="0"/>
                <w:lang w:eastAsia="en-AU"/>
                <w14:ligatures w14:val="none"/>
              </w:rPr>
              <w:t>NGA factors</w:t>
            </w:r>
          </w:p>
        </w:tc>
      </w:tr>
      <w:tr w:rsidR="00FB1DB4" w:rsidRPr="006849E2" w14:paraId="535A2977" w14:textId="77777777" w:rsidTr="001A7D3E">
        <w:trPr>
          <w:trHeight w:val="20"/>
        </w:trPr>
        <w:tc>
          <w:tcPr>
            <w:tcW w:w="5363" w:type="dxa"/>
            <w:tcBorders>
              <w:top w:val="single" w:sz="4" w:space="0" w:color="auto"/>
              <w:left w:val="single" w:sz="4" w:space="0" w:color="auto"/>
              <w:bottom w:val="single" w:sz="4" w:space="0" w:color="auto"/>
              <w:right w:val="single" w:sz="4" w:space="0" w:color="auto"/>
            </w:tcBorders>
            <w:shd w:val="clear" w:color="auto" w:fill="E8E8E8" w:themeFill="background2"/>
          </w:tcPr>
          <w:p w14:paraId="560C601E" w14:textId="77777777" w:rsidR="00FB1DB4" w:rsidRPr="00354442" w:rsidRDefault="00FB1DB4" w:rsidP="001A7D3E">
            <w:pPr>
              <w:spacing w:after="0" w:line="240" w:lineRule="auto"/>
              <w:rPr>
                <w:rFonts w:ascii="Aptos Narrow" w:eastAsia="Times New Roman" w:hAnsi="Aptos Narrow" w:cs="Times New Roman"/>
                <w:color w:val="000000"/>
                <w:kern w:val="0"/>
                <w:lang w:eastAsia="en-AU"/>
                <w14:ligatures w14:val="none"/>
              </w:rPr>
            </w:pPr>
          </w:p>
        </w:tc>
        <w:tc>
          <w:tcPr>
            <w:tcW w:w="1407" w:type="dxa"/>
            <w:tcBorders>
              <w:top w:val="single" w:sz="4" w:space="0" w:color="auto"/>
              <w:left w:val="nil"/>
              <w:bottom w:val="single" w:sz="4" w:space="0" w:color="auto"/>
              <w:right w:val="single" w:sz="4" w:space="0" w:color="auto"/>
            </w:tcBorders>
            <w:shd w:val="clear" w:color="auto" w:fill="E8E8E8" w:themeFill="background2"/>
          </w:tcPr>
          <w:p w14:paraId="33D04853" w14:textId="77777777" w:rsidR="00FB1DB4" w:rsidRPr="00625718" w:rsidRDefault="00FB1DB4" w:rsidP="001A7D3E">
            <w:pPr>
              <w:spacing w:after="0" w:line="240" w:lineRule="auto"/>
              <w:jc w:val="center"/>
              <w:rPr>
                <w:rFonts w:ascii="Aptos Narrow" w:eastAsia="Times New Roman" w:hAnsi="Aptos Narrow" w:cs="Times New Roman"/>
                <w:color w:val="000000"/>
                <w:kern w:val="0"/>
                <w:lang w:eastAsia="en-AU"/>
                <w14:ligatures w14:val="none"/>
              </w:rPr>
            </w:pPr>
          </w:p>
        </w:tc>
        <w:tc>
          <w:tcPr>
            <w:tcW w:w="1694" w:type="dxa"/>
            <w:tcBorders>
              <w:top w:val="single" w:sz="4" w:space="0" w:color="auto"/>
              <w:left w:val="nil"/>
              <w:bottom w:val="single" w:sz="4" w:space="0" w:color="auto"/>
              <w:right w:val="single" w:sz="4" w:space="0" w:color="auto"/>
            </w:tcBorders>
            <w:shd w:val="clear" w:color="auto" w:fill="E8E8E8" w:themeFill="background2"/>
          </w:tcPr>
          <w:p w14:paraId="5873616E" w14:textId="77777777" w:rsidR="00FB1DB4" w:rsidRPr="006849E2" w:rsidRDefault="00FB1DB4" w:rsidP="001A7D3E">
            <w:pPr>
              <w:spacing w:after="0" w:line="240" w:lineRule="auto"/>
              <w:rPr>
                <w:rFonts w:ascii="Aptos Narrow" w:eastAsia="Times New Roman" w:hAnsi="Aptos Narrow" w:cs="Times New Roman"/>
                <w:kern w:val="0"/>
                <w:lang w:eastAsia="en-AU"/>
                <w14:ligatures w14:val="none"/>
              </w:rPr>
            </w:pPr>
          </w:p>
        </w:tc>
        <w:tc>
          <w:tcPr>
            <w:tcW w:w="4998" w:type="dxa"/>
            <w:tcBorders>
              <w:top w:val="single" w:sz="4" w:space="0" w:color="auto"/>
              <w:left w:val="nil"/>
              <w:bottom w:val="single" w:sz="4" w:space="0" w:color="auto"/>
              <w:right w:val="single" w:sz="4" w:space="0" w:color="auto"/>
            </w:tcBorders>
            <w:shd w:val="clear" w:color="auto" w:fill="E8E8E8" w:themeFill="background2"/>
          </w:tcPr>
          <w:p w14:paraId="5D6DAB86" w14:textId="77777777" w:rsidR="00FB1DB4" w:rsidRDefault="00FB1DB4" w:rsidP="001A7D3E">
            <w:pPr>
              <w:spacing w:after="0" w:line="240" w:lineRule="auto"/>
              <w:rPr>
                <w:rFonts w:ascii="Aptos Narrow" w:eastAsia="Times New Roman" w:hAnsi="Aptos Narrow" w:cs="Times New Roman"/>
                <w:kern w:val="0"/>
                <w:lang w:eastAsia="en-AU"/>
                <w14:ligatures w14:val="none"/>
              </w:rPr>
            </w:pPr>
          </w:p>
        </w:tc>
      </w:tr>
      <w:tr w:rsidR="00FB1DB4" w:rsidRPr="006849E2" w14:paraId="1C0DA13D" w14:textId="77777777" w:rsidTr="001A7D3E">
        <w:trPr>
          <w:trHeight w:val="290"/>
        </w:trPr>
        <w:tc>
          <w:tcPr>
            <w:tcW w:w="5363" w:type="dxa"/>
            <w:tcBorders>
              <w:top w:val="single" w:sz="4" w:space="0" w:color="auto"/>
              <w:left w:val="single" w:sz="4" w:space="0" w:color="auto"/>
              <w:bottom w:val="single" w:sz="4" w:space="0" w:color="auto"/>
              <w:right w:val="single" w:sz="4" w:space="0" w:color="auto"/>
            </w:tcBorders>
            <w:shd w:val="clear" w:color="000000" w:fill="auto"/>
            <w:vAlign w:val="center"/>
          </w:tcPr>
          <w:p w14:paraId="44F5A8C0" w14:textId="77777777" w:rsidR="00FB1DB4" w:rsidRPr="006849E2" w:rsidRDefault="00FB1DB4" w:rsidP="001A7D3E">
            <w:pPr>
              <w:spacing w:after="0" w:line="240" w:lineRule="auto"/>
              <w:rPr>
                <w:rFonts w:ascii="Aptos Narrow" w:eastAsia="Times New Roman" w:hAnsi="Aptos Narrow" w:cs="Times New Roman"/>
                <w:b/>
                <w:bCs/>
                <w:kern w:val="0"/>
                <w:lang w:eastAsia="en-AU"/>
                <w14:ligatures w14:val="none"/>
              </w:rPr>
            </w:pPr>
            <w:r>
              <w:rPr>
                <w:rFonts w:ascii="Aptos Narrow" w:eastAsia="Times New Roman" w:hAnsi="Aptos Narrow" w:cs="Times New Roman"/>
                <w:b/>
                <w:bCs/>
                <w:kern w:val="0"/>
                <w:lang w:eastAsia="en-AU"/>
                <w14:ligatures w14:val="none"/>
              </w:rPr>
              <w:t>Supplementary information</w:t>
            </w:r>
          </w:p>
        </w:tc>
        <w:tc>
          <w:tcPr>
            <w:tcW w:w="1407" w:type="dxa"/>
            <w:tcBorders>
              <w:top w:val="single" w:sz="4" w:space="0" w:color="auto"/>
              <w:left w:val="nil"/>
              <w:bottom w:val="single" w:sz="4" w:space="0" w:color="auto"/>
              <w:right w:val="single" w:sz="4" w:space="0" w:color="auto"/>
            </w:tcBorders>
            <w:shd w:val="clear" w:color="000000" w:fill="auto"/>
            <w:vAlign w:val="center"/>
          </w:tcPr>
          <w:p w14:paraId="1F57A485" w14:textId="77777777" w:rsidR="00FB1DB4" w:rsidRDefault="00FB1DB4" w:rsidP="001A7D3E">
            <w:pPr>
              <w:spacing w:after="0" w:line="240" w:lineRule="auto"/>
              <w:rPr>
                <w:rFonts w:ascii="Aptos Narrow" w:eastAsia="Times New Roman" w:hAnsi="Aptos Narrow" w:cs="Times New Roman"/>
                <w:kern w:val="0"/>
                <w:lang w:eastAsia="en-AU"/>
                <w14:ligatures w14:val="none"/>
              </w:rPr>
            </w:pPr>
          </w:p>
        </w:tc>
        <w:tc>
          <w:tcPr>
            <w:tcW w:w="1694" w:type="dxa"/>
            <w:tcBorders>
              <w:top w:val="single" w:sz="4" w:space="0" w:color="auto"/>
              <w:left w:val="nil"/>
              <w:bottom w:val="single" w:sz="4" w:space="0" w:color="auto"/>
              <w:right w:val="single" w:sz="4" w:space="0" w:color="auto"/>
            </w:tcBorders>
            <w:shd w:val="clear" w:color="000000" w:fill="auto"/>
            <w:vAlign w:val="center"/>
          </w:tcPr>
          <w:p w14:paraId="004F42D5" w14:textId="77777777" w:rsidR="00FB1DB4" w:rsidRPr="006849E2" w:rsidRDefault="00FB1DB4" w:rsidP="001A7D3E">
            <w:pPr>
              <w:spacing w:after="0" w:line="240" w:lineRule="auto"/>
              <w:rPr>
                <w:rFonts w:ascii="Aptos Narrow" w:eastAsia="Times New Roman" w:hAnsi="Aptos Narrow" w:cs="Times New Roman"/>
                <w:kern w:val="0"/>
                <w:lang w:eastAsia="en-AU"/>
                <w14:ligatures w14:val="none"/>
              </w:rPr>
            </w:pPr>
          </w:p>
        </w:tc>
        <w:tc>
          <w:tcPr>
            <w:tcW w:w="4998" w:type="dxa"/>
            <w:tcBorders>
              <w:top w:val="single" w:sz="4" w:space="0" w:color="auto"/>
              <w:left w:val="nil"/>
              <w:bottom w:val="single" w:sz="4" w:space="0" w:color="auto"/>
              <w:right w:val="single" w:sz="4" w:space="0" w:color="auto"/>
            </w:tcBorders>
            <w:shd w:val="clear" w:color="000000" w:fill="auto"/>
            <w:vAlign w:val="center"/>
          </w:tcPr>
          <w:p w14:paraId="7BC3A7E9" w14:textId="77777777" w:rsidR="00FB1DB4" w:rsidRPr="006849E2" w:rsidRDefault="00FB1DB4" w:rsidP="001A7D3E">
            <w:pPr>
              <w:spacing w:after="0" w:line="240" w:lineRule="auto"/>
              <w:rPr>
                <w:rFonts w:ascii="Aptos Narrow" w:eastAsia="Times New Roman" w:hAnsi="Aptos Narrow" w:cs="Times New Roman"/>
                <w:kern w:val="0"/>
                <w:lang w:eastAsia="en-AU"/>
                <w14:ligatures w14:val="none"/>
              </w:rPr>
            </w:pPr>
          </w:p>
        </w:tc>
      </w:tr>
      <w:tr w:rsidR="00FB1DB4" w:rsidRPr="006849E2" w14:paraId="3E7322E5" w14:textId="77777777" w:rsidTr="001A7D3E">
        <w:trPr>
          <w:trHeight w:val="290"/>
        </w:trPr>
        <w:tc>
          <w:tcPr>
            <w:tcW w:w="5363" w:type="dxa"/>
            <w:tcBorders>
              <w:top w:val="single" w:sz="4" w:space="0" w:color="auto"/>
              <w:left w:val="single" w:sz="4" w:space="0" w:color="auto"/>
              <w:bottom w:val="single" w:sz="4" w:space="0" w:color="auto"/>
              <w:right w:val="single" w:sz="4" w:space="0" w:color="auto"/>
            </w:tcBorders>
            <w:shd w:val="clear" w:color="000000" w:fill="auto"/>
            <w:vAlign w:val="center"/>
          </w:tcPr>
          <w:p w14:paraId="51EF724F" w14:textId="77777777" w:rsidR="00FB1DB4" w:rsidRDefault="00FB1DB4" w:rsidP="001A7D3E">
            <w:pPr>
              <w:spacing w:after="0" w:line="240" w:lineRule="auto"/>
              <w:rPr>
                <w:rFonts w:ascii="Aptos Narrow" w:eastAsia="Times New Roman" w:hAnsi="Aptos Narrow" w:cs="Times New Roman"/>
                <w:b/>
                <w:bCs/>
                <w:kern w:val="0"/>
                <w:lang w:eastAsia="en-AU"/>
                <w14:ligatures w14:val="none"/>
              </w:rPr>
            </w:pPr>
            <w:r w:rsidRPr="00305B49">
              <w:rPr>
                <w:rFonts w:ascii="Aptos Narrow" w:eastAsia="Times New Roman" w:hAnsi="Aptos Narrow" w:cs="Times New Roman"/>
                <w:color w:val="000000"/>
                <w:kern w:val="0"/>
                <w:lang w:eastAsia="en-AU"/>
                <w14:ligatures w14:val="none"/>
              </w:rPr>
              <w:lastRenderedPageBreak/>
              <w:t xml:space="preserve">Eligible RECs issued for electricity produced </w:t>
            </w:r>
            <w:r>
              <w:rPr>
                <w:rFonts w:ascii="Aptos Narrow" w:eastAsia="Times New Roman" w:hAnsi="Aptos Narrow" w:cs="Times New Roman"/>
                <w:color w:val="000000"/>
                <w:kern w:val="0"/>
                <w:lang w:eastAsia="en-AU"/>
                <w14:ligatures w14:val="none"/>
              </w:rPr>
              <w:t>exported</w:t>
            </w:r>
          </w:p>
        </w:tc>
        <w:tc>
          <w:tcPr>
            <w:tcW w:w="1407" w:type="dxa"/>
            <w:tcBorders>
              <w:top w:val="single" w:sz="4" w:space="0" w:color="auto"/>
              <w:left w:val="nil"/>
              <w:bottom w:val="single" w:sz="4" w:space="0" w:color="auto"/>
              <w:right w:val="single" w:sz="4" w:space="0" w:color="auto"/>
            </w:tcBorders>
            <w:shd w:val="clear" w:color="000000" w:fill="auto"/>
            <w:vAlign w:val="center"/>
          </w:tcPr>
          <w:p w14:paraId="6A010FAC" w14:textId="77777777" w:rsidR="00FB1DB4" w:rsidRDefault="00FB1DB4" w:rsidP="001A7D3E">
            <w:pPr>
              <w:spacing w:after="0" w:line="240" w:lineRule="auto"/>
              <w:jc w:val="center"/>
              <w:rPr>
                <w:rFonts w:ascii="Aptos Narrow" w:eastAsia="Times New Roman" w:hAnsi="Aptos Narrow" w:cs="Times New Roman"/>
                <w:kern w:val="0"/>
                <w:lang w:eastAsia="en-AU"/>
                <w14:ligatures w14:val="none"/>
              </w:rPr>
            </w:pPr>
            <w:r w:rsidRPr="000E106F">
              <w:rPr>
                <w:rFonts w:ascii="Aptos Narrow" w:eastAsia="Times New Roman" w:hAnsi="Aptos Narrow" w:cs="Times New Roman"/>
                <w:color w:val="000000"/>
                <w:kern w:val="0"/>
                <w:lang w:eastAsia="en-AU"/>
                <w14:ligatures w14:val="none"/>
              </w:rPr>
              <w:t>MWh</w:t>
            </w:r>
          </w:p>
        </w:tc>
        <w:tc>
          <w:tcPr>
            <w:tcW w:w="1694" w:type="dxa"/>
            <w:tcBorders>
              <w:top w:val="single" w:sz="4" w:space="0" w:color="auto"/>
              <w:left w:val="nil"/>
              <w:bottom w:val="single" w:sz="4" w:space="0" w:color="auto"/>
              <w:right w:val="single" w:sz="4" w:space="0" w:color="auto"/>
            </w:tcBorders>
            <w:shd w:val="clear" w:color="000000" w:fill="auto"/>
            <w:vAlign w:val="center"/>
          </w:tcPr>
          <w:p w14:paraId="45C3248F" w14:textId="77777777" w:rsidR="00FB1DB4" w:rsidRPr="006849E2" w:rsidRDefault="00FB1DB4" w:rsidP="001A7D3E">
            <w:pPr>
              <w:spacing w:after="0" w:line="240" w:lineRule="auto"/>
              <w:rPr>
                <w:rFonts w:ascii="Aptos Narrow" w:eastAsia="Times New Roman" w:hAnsi="Aptos Narrow" w:cs="Times New Roman"/>
                <w:kern w:val="0"/>
                <w:lang w:eastAsia="en-AU"/>
                <w14:ligatures w14:val="none"/>
              </w:rPr>
            </w:pPr>
          </w:p>
        </w:tc>
        <w:tc>
          <w:tcPr>
            <w:tcW w:w="4998" w:type="dxa"/>
            <w:tcBorders>
              <w:top w:val="single" w:sz="4" w:space="0" w:color="auto"/>
              <w:left w:val="nil"/>
              <w:bottom w:val="single" w:sz="4" w:space="0" w:color="auto"/>
              <w:right w:val="single" w:sz="4" w:space="0" w:color="auto"/>
            </w:tcBorders>
            <w:shd w:val="clear" w:color="000000" w:fill="auto"/>
            <w:vAlign w:val="center"/>
          </w:tcPr>
          <w:p w14:paraId="6A5E4B14" w14:textId="77777777" w:rsidR="00FB1DB4" w:rsidRPr="006849E2" w:rsidRDefault="00FB1DB4" w:rsidP="001A7D3E">
            <w:pPr>
              <w:spacing w:after="0" w:line="240" w:lineRule="auto"/>
              <w:rPr>
                <w:rFonts w:ascii="Aptos Narrow" w:eastAsia="Times New Roman" w:hAnsi="Aptos Narrow" w:cs="Times New Roman"/>
                <w:kern w:val="0"/>
                <w:lang w:eastAsia="en-AU"/>
                <w14:ligatures w14:val="none"/>
              </w:rPr>
            </w:pPr>
            <w:r w:rsidRPr="006849E2">
              <w:rPr>
                <w:rFonts w:ascii="Aptos Narrow" w:eastAsia="Times New Roman" w:hAnsi="Aptos Narrow" w:cs="Times New Roman"/>
                <w:kern w:val="0"/>
                <w:lang w:eastAsia="en-AU"/>
                <w14:ligatures w14:val="none"/>
              </w:rPr>
              <w:t xml:space="preserve">CER </w:t>
            </w:r>
            <w:r>
              <w:rPr>
                <w:rFonts w:ascii="Aptos Narrow" w:eastAsia="Times New Roman" w:hAnsi="Aptos Narrow" w:cs="Times New Roman"/>
                <w:kern w:val="0"/>
                <w:lang w:eastAsia="en-AU"/>
                <w14:ligatures w14:val="none"/>
              </w:rPr>
              <w:t>REC</w:t>
            </w:r>
            <w:r w:rsidRPr="006849E2">
              <w:rPr>
                <w:rFonts w:ascii="Aptos Narrow" w:eastAsia="Times New Roman" w:hAnsi="Aptos Narrow" w:cs="Times New Roman"/>
                <w:kern w:val="0"/>
                <w:lang w:eastAsia="en-AU"/>
                <w14:ligatures w14:val="none"/>
              </w:rPr>
              <w:t xml:space="preserve"> regist</w:t>
            </w:r>
            <w:r>
              <w:rPr>
                <w:rFonts w:ascii="Aptos Narrow" w:eastAsia="Times New Roman" w:hAnsi="Aptos Narrow" w:cs="Times New Roman"/>
                <w:kern w:val="0"/>
                <w:lang w:eastAsia="en-AU"/>
                <w14:ligatures w14:val="none"/>
              </w:rPr>
              <w:t>ry</w:t>
            </w:r>
          </w:p>
        </w:tc>
      </w:tr>
    </w:tbl>
    <w:p w14:paraId="19A37488" w14:textId="08A87F46" w:rsidR="00C12055" w:rsidRPr="00125730" w:rsidRDefault="00C12055" w:rsidP="00C12055">
      <w:pPr>
        <w:pStyle w:val="Heading3"/>
        <w:numPr>
          <w:ilvl w:val="0"/>
          <w:numId w:val="0"/>
        </w:numPr>
        <w:ind w:left="720" w:hanging="720"/>
      </w:pPr>
      <w:r>
        <w:t>Emissions sources</w:t>
      </w:r>
      <w:r w:rsidR="00DF187D">
        <w:t xml:space="preserve"> and sink categories</w:t>
      </w:r>
      <w:r>
        <w:t xml:space="preserve"> excluded in this inventory </w:t>
      </w: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3612"/>
        <w:gridCol w:w="1250"/>
        <w:gridCol w:w="4642"/>
        <w:gridCol w:w="3180"/>
      </w:tblGrid>
      <w:tr w:rsidR="00C12055" w:rsidRPr="00C10CFF" w14:paraId="3861572D" w14:textId="77777777" w:rsidTr="00956FCA">
        <w:trPr>
          <w:trHeight w:val="870"/>
        </w:trPr>
        <w:tc>
          <w:tcPr>
            <w:tcW w:w="1264" w:type="dxa"/>
            <w:shd w:val="clear" w:color="auto" w:fill="E8E8E8" w:themeFill="background2"/>
            <w:vAlign w:val="center"/>
            <w:hideMark/>
          </w:tcPr>
          <w:p w14:paraId="3941C67B" w14:textId="77777777" w:rsidR="00C12055" w:rsidRPr="00C10CFF" w:rsidRDefault="00C12055" w:rsidP="00067060">
            <w:pPr>
              <w:spacing w:after="0" w:line="240" w:lineRule="auto"/>
              <w:jc w:val="center"/>
              <w:rPr>
                <w:rFonts w:ascii="Aptos Narrow" w:eastAsia="Times New Roman" w:hAnsi="Aptos Narrow" w:cs="Times New Roman"/>
                <w:b/>
                <w:bCs/>
                <w:color w:val="000000"/>
                <w:kern w:val="0"/>
                <w:lang w:eastAsia="en-AU"/>
                <w14:ligatures w14:val="none"/>
              </w:rPr>
            </w:pPr>
            <w:r w:rsidRPr="00C10CFF">
              <w:rPr>
                <w:rFonts w:ascii="Aptos Narrow" w:eastAsia="Times New Roman" w:hAnsi="Aptos Narrow" w:cs="Times New Roman"/>
                <w:b/>
                <w:bCs/>
                <w:color w:val="000000"/>
                <w:kern w:val="0"/>
                <w:lang w:eastAsia="en-AU"/>
                <w14:ligatures w14:val="none"/>
              </w:rPr>
              <w:t>Scope</w:t>
            </w:r>
          </w:p>
        </w:tc>
        <w:tc>
          <w:tcPr>
            <w:tcW w:w="3612" w:type="dxa"/>
            <w:shd w:val="clear" w:color="auto" w:fill="E8E8E8" w:themeFill="background2"/>
            <w:vAlign w:val="center"/>
            <w:hideMark/>
          </w:tcPr>
          <w:p w14:paraId="6F644499" w14:textId="3C019B98" w:rsidR="00067060" w:rsidRDefault="00C12055" w:rsidP="00067060">
            <w:pPr>
              <w:spacing w:after="0" w:line="240" w:lineRule="auto"/>
              <w:jc w:val="center"/>
              <w:rPr>
                <w:rFonts w:ascii="Aptos Narrow" w:eastAsia="Times New Roman" w:hAnsi="Aptos Narrow" w:cs="Times New Roman"/>
                <w:b/>
                <w:bCs/>
                <w:color w:val="000000"/>
                <w:kern w:val="0"/>
                <w:lang w:eastAsia="en-AU"/>
                <w14:ligatures w14:val="none"/>
              </w:rPr>
            </w:pPr>
            <w:r w:rsidRPr="00C10CFF">
              <w:rPr>
                <w:rFonts w:ascii="Aptos Narrow" w:eastAsia="Times New Roman" w:hAnsi="Aptos Narrow" w:cs="Times New Roman"/>
                <w:b/>
                <w:bCs/>
                <w:color w:val="000000"/>
                <w:kern w:val="0"/>
                <w:lang w:eastAsia="en-AU"/>
                <w14:ligatures w14:val="none"/>
              </w:rPr>
              <w:t xml:space="preserve">Source / </w:t>
            </w:r>
            <w:r w:rsidR="001514FC">
              <w:rPr>
                <w:rFonts w:ascii="Aptos Narrow" w:eastAsia="Times New Roman" w:hAnsi="Aptos Narrow" w:cs="Times New Roman"/>
                <w:b/>
                <w:bCs/>
                <w:color w:val="000000"/>
                <w:kern w:val="0"/>
                <w:lang w:eastAsia="en-AU"/>
                <w14:ligatures w14:val="none"/>
              </w:rPr>
              <w:t xml:space="preserve">sink </w:t>
            </w:r>
            <w:r w:rsidR="00067060">
              <w:rPr>
                <w:rFonts w:ascii="Aptos Narrow" w:eastAsia="Times New Roman" w:hAnsi="Aptos Narrow" w:cs="Times New Roman"/>
                <w:b/>
                <w:bCs/>
                <w:color w:val="000000"/>
                <w:kern w:val="0"/>
                <w:lang w:eastAsia="en-AU"/>
                <w14:ligatures w14:val="none"/>
              </w:rPr>
              <w:t>category</w:t>
            </w:r>
          </w:p>
          <w:p w14:paraId="2B68333A" w14:textId="511A0CA7" w:rsidR="00C12055" w:rsidRPr="00C10CFF" w:rsidRDefault="00C12055" w:rsidP="00067060">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not estimated</w:t>
            </w:r>
          </w:p>
        </w:tc>
        <w:tc>
          <w:tcPr>
            <w:tcW w:w="1250" w:type="dxa"/>
            <w:shd w:val="clear" w:color="auto" w:fill="E8E8E8" w:themeFill="background2"/>
            <w:vAlign w:val="center"/>
            <w:hideMark/>
          </w:tcPr>
          <w:p w14:paraId="57820A0A" w14:textId="77777777" w:rsidR="00C12055" w:rsidRPr="00C10CFF" w:rsidRDefault="00C12055" w:rsidP="00067060">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Gas type/s</w:t>
            </w:r>
          </w:p>
        </w:tc>
        <w:tc>
          <w:tcPr>
            <w:tcW w:w="4642" w:type="dxa"/>
            <w:shd w:val="clear" w:color="auto" w:fill="E8E8E8" w:themeFill="background2"/>
            <w:vAlign w:val="center"/>
          </w:tcPr>
          <w:p w14:paraId="32C816E6" w14:textId="24BADCE1" w:rsidR="00C12055" w:rsidRPr="00C10CFF" w:rsidRDefault="00C12055" w:rsidP="00067060">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Reason for exclusion</w:t>
            </w:r>
          </w:p>
        </w:tc>
        <w:tc>
          <w:tcPr>
            <w:tcW w:w="3180" w:type="dxa"/>
            <w:shd w:val="clear" w:color="auto" w:fill="E8E8E8" w:themeFill="background2"/>
            <w:vAlign w:val="center"/>
          </w:tcPr>
          <w:p w14:paraId="7E73B7DB" w14:textId="77777777" w:rsidR="00C12055" w:rsidRDefault="00C12055" w:rsidP="00067060">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Estimated quantitative impact on inventory (if possible)</w:t>
            </w:r>
          </w:p>
        </w:tc>
      </w:tr>
      <w:tr w:rsidR="00C12055" w:rsidRPr="00C10CFF" w14:paraId="54C80B05" w14:textId="77777777" w:rsidTr="00956FCA">
        <w:trPr>
          <w:trHeight w:val="870"/>
        </w:trPr>
        <w:tc>
          <w:tcPr>
            <w:tcW w:w="1264" w:type="dxa"/>
            <w:vAlign w:val="center"/>
          </w:tcPr>
          <w:p w14:paraId="095A34B0" w14:textId="77777777" w:rsidR="00C12055" w:rsidRPr="003B201D" w:rsidRDefault="00C12055" w:rsidP="001A7D3E">
            <w:pPr>
              <w:spacing w:after="0" w:line="240" w:lineRule="auto"/>
              <w:rPr>
                <w:rFonts w:ascii="Aptos Narrow" w:eastAsia="Times New Roman" w:hAnsi="Aptos Narrow" w:cs="Times New Roman"/>
                <w:b/>
                <w:bCs/>
                <w:kern w:val="0"/>
                <w:lang w:eastAsia="en-AU"/>
                <w14:ligatures w14:val="none"/>
              </w:rPr>
            </w:pPr>
            <w:r w:rsidRPr="003B201D">
              <w:rPr>
                <w:rFonts w:ascii="Aptos Narrow" w:eastAsia="Times New Roman" w:hAnsi="Aptos Narrow" w:cs="Times New Roman"/>
                <w:b/>
                <w:bCs/>
                <w:kern w:val="0"/>
                <w:lang w:eastAsia="en-AU"/>
                <w14:ligatures w14:val="none"/>
              </w:rPr>
              <w:t xml:space="preserve">Scope 3 </w:t>
            </w:r>
          </w:p>
        </w:tc>
        <w:tc>
          <w:tcPr>
            <w:tcW w:w="3612" w:type="dxa"/>
            <w:vAlign w:val="center"/>
          </w:tcPr>
          <w:p w14:paraId="64A40785" w14:textId="231AD32B" w:rsidR="00C12055" w:rsidRPr="000C62F9" w:rsidRDefault="00C12055" w:rsidP="001A7D3E">
            <w:pPr>
              <w:spacing w:after="0" w:line="240" w:lineRule="auto"/>
              <w:rPr>
                <w:rFonts w:ascii="Aptos Narrow" w:eastAsia="Times New Roman" w:hAnsi="Aptos Narrow" w:cs="Times New Roman"/>
                <w:i/>
                <w:color w:val="153D63" w:themeColor="text2" w:themeTint="E6"/>
                <w:kern w:val="0"/>
                <w:lang w:eastAsia="en-AU"/>
                <w14:ligatures w14:val="none"/>
              </w:rPr>
            </w:pPr>
            <w:r w:rsidRPr="006A4EA9">
              <w:rPr>
                <w:rFonts w:ascii="Aptos Narrow" w:eastAsia="Times New Roman" w:hAnsi="Aptos Narrow" w:cs="Times New Roman"/>
                <w:i/>
                <w:color w:val="153D63" w:themeColor="text2" w:themeTint="E6"/>
                <w:kern w:val="0"/>
                <w:lang w:eastAsia="en-AU"/>
                <w14:ligatures w14:val="none"/>
              </w:rPr>
              <w:t xml:space="preserve">Purchased goods mineral salt licks </w:t>
            </w:r>
          </w:p>
        </w:tc>
        <w:tc>
          <w:tcPr>
            <w:tcW w:w="1250" w:type="dxa"/>
            <w:vAlign w:val="center"/>
          </w:tcPr>
          <w:p w14:paraId="03C17361" w14:textId="72B825CD" w:rsidR="00C12055" w:rsidRPr="006A4EA9" w:rsidRDefault="00A12A2C" w:rsidP="001A7D3E">
            <w:pPr>
              <w:spacing w:after="0" w:line="240" w:lineRule="auto"/>
              <w:jc w:val="center"/>
              <w:rPr>
                <w:rFonts w:ascii="Aptos Narrow" w:eastAsia="Times New Roman" w:hAnsi="Aptos Narrow" w:cs="Times New Roman"/>
                <w:b/>
                <w:i/>
                <w:color w:val="153D63" w:themeColor="text2" w:themeTint="E6"/>
                <w:kern w:val="0"/>
                <w:lang w:eastAsia="en-AU"/>
                <w14:ligatures w14:val="none"/>
              </w:rPr>
            </w:pPr>
            <w:r>
              <w:rPr>
                <w:rFonts w:ascii="Aptos Narrow" w:eastAsia="Times New Roman" w:hAnsi="Aptos Narrow" w:cs="Times New Roman"/>
                <w:i/>
                <w:color w:val="153D63" w:themeColor="text2" w:themeTint="E6"/>
                <w:kern w:val="0"/>
                <w:lang w:eastAsia="en-AU"/>
                <w14:ligatures w14:val="none"/>
              </w:rPr>
              <w:t>CO</w:t>
            </w:r>
            <w:r w:rsidRPr="00A12A2C">
              <w:rPr>
                <w:rFonts w:ascii="Aptos Narrow" w:eastAsia="Times New Roman" w:hAnsi="Aptos Narrow" w:cs="Times New Roman"/>
                <w:i/>
                <w:color w:val="153D63" w:themeColor="text2" w:themeTint="E6"/>
                <w:kern w:val="0"/>
                <w:vertAlign w:val="subscript"/>
                <w:lang w:eastAsia="en-AU"/>
                <w14:ligatures w14:val="none"/>
              </w:rPr>
              <w:t>2</w:t>
            </w:r>
            <w:r>
              <w:rPr>
                <w:rFonts w:ascii="Aptos Narrow" w:eastAsia="Times New Roman" w:hAnsi="Aptos Narrow" w:cs="Times New Roman"/>
                <w:i/>
                <w:color w:val="153D63" w:themeColor="text2" w:themeTint="E6"/>
                <w:kern w:val="0"/>
                <w:lang w:eastAsia="en-AU"/>
                <w14:ligatures w14:val="none"/>
              </w:rPr>
              <w:t>-e</w:t>
            </w:r>
            <w:r w:rsidR="00C12055" w:rsidRPr="006A4EA9">
              <w:rPr>
                <w:rFonts w:ascii="Aptos Narrow" w:eastAsia="Times New Roman" w:hAnsi="Aptos Narrow" w:cs="Times New Roman"/>
                <w:i/>
                <w:color w:val="153D63" w:themeColor="text2" w:themeTint="E6"/>
                <w:kern w:val="0"/>
                <w:lang w:eastAsia="en-AU"/>
                <w14:ligatures w14:val="none"/>
              </w:rPr>
              <w:t xml:space="preserve"> </w:t>
            </w:r>
          </w:p>
        </w:tc>
        <w:tc>
          <w:tcPr>
            <w:tcW w:w="4642" w:type="dxa"/>
            <w:vAlign w:val="center"/>
          </w:tcPr>
          <w:p w14:paraId="2F73FF98" w14:textId="77777777" w:rsidR="00C12055" w:rsidRPr="006A4EA9" w:rsidRDefault="00C12055" w:rsidP="001A7D3E">
            <w:pPr>
              <w:spacing w:after="0" w:line="240" w:lineRule="auto"/>
              <w:rPr>
                <w:rFonts w:ascii="Aptos Narrow" w:eastAsia="Times New Roman" w:hAnsi="Aptos Narrow" w:cs="Times New Roman"/>
                <w:i/>
                <w:color w:val="153D63" w:themeColor="text2" w:themeTint="E6"/>
                <w:kern w:val="0"/>
                <w:lang w:eastAsia="en-AU"/>
                <w14:ligatures w14:val="none"/>
              </w:rPr>
            </w:pPr>
            <w:r w:rsidRPr="006A4EA9">
              <w:rPr>
                <w:rFonts w:ascii="Aptos Narrow" w:eastAsia="Times New Roman" w:hAnsi="Aptos Narrow" w:cs="Times New Roman"/>
                <w:i/>
                <w:color w:val="153D63" w:themeColor="text2" w:themeTint="E6"/>
                <w:kern w:val="0"/>
                <w:lang w:eastAsia="en-AU"/>
                <w14:ligatures w14:val="none"/>
              </w:rPr>
              <w:t xml:space="preserve">Impractical to measure; inadequate data / EFs to calculate  </w:t>
            </w:r>
          </w:p>
        </w:tc>
        <w:tc>
          <w:tcPr>
            <w:tcW w:w="3180" w:type="dxa"/>
          </w:tcPr>
          <w:p w14:paraId="10213C45" w14:textId="77777777" w:rsidR="00C12055" w:rsidRPr="003B201D" w:rsidRDefault="00C12055" w:rsidP="001A7D3E">
            <w:pPr>
              <w:spacing w:after="0" w:line="240" w:lineRule="auto"/>
              <w:rPr>
                <w:rFonts w:ascii="Aptos Narrow" w:eastAsia="Times New Roman" w:hAnsi="Aptos Narrow" w:cs="Times New Roman"/>
                <w:kern w:val="0"/>
                <w:lang w:eastAsia="en-AU"/>
                <w14:ligatures w14:val="none"/>
              </w:rPr>
            </w:pPr>
          </w:p>
          <w:p w14:paraId="6611D292" w14:textId="77777777" w:rsidR="00C12055" w:rsidRPr="003B201D" w:rsidRDefault="00C12055" w:rsidP="001A7D3E">
            <w:pPr>
              <w:spacing w:after="0" w:line="240" w:lineRule="auto"/>
              <w:rPr>
                <w:rFonts w:ascii="Aptos Narrow" w:eastAsia="Times New Roman" w:hAnsi="Aptos Narrow" w:cs="Times New Roman"/>
                <w:kern w:val="0"/>
                <w:lang w:eastAsia="en-AU"/>
                <w14:ligatures w14:val="none"/>
              </w:rPr>
            </w:pPr>
            <w:r w:rsidRPr="003B201D">
              <w:rPr>
                <w:rFonts w:ascii="Aptos Narrow" w:eastAsia="Times New Roman" w:hAnsi="Aptos Narrow" w:cs="Times New Roman"/>
                <w:kern w:val="0"/>
                <w:lang w:eastAsia="en-AU"/>
                <w14:ligatures w14:val="none"/>
              </w:rPr>
              <w:t xml:space="preserve">Unquantified </w:t>
            </w:r>
          </w:p>
        </w:tc>
      </w:tr>
      <w:tr w:rsidR="00C12055" w:rsidRPr="00C10CFF" w14:paraId="77332318" w14:textId="77777777" w:rsidTr="00956FCA">
        <w:trPr>
          <w:trHeight w:val="870"/>
        </w:trPr>
        <w:tc>
          <w:tcPr>
            <w:tcW w:w="1264" w:type="dxa"/>
            <w:vAlign w:val="center"/>
          </w:tcPr>
          <w:p w14:paraId="269DD6BB" w14:textId="58CC9A42" w:rsidR="00C12055" w:rsidRPr="003B201D" w:rsidRDefault="00C12055" w:rsidP="001A7D3E">
            <w:pPr>
              <w:spacing w:after="0" w:line="240" w:lineRule="auto"/>
              <w:rPr>
                <w:rFonts w:ascii="Aptos Narrow" w:eastAsia="Times New Roman" w:hAnsi="Aptos Narrow" w:cs="Times New Roman"/>
                <w:b/>
                <w:bCs/>
                <w:kern w:val="0"/>
                <w:lang w:eastAsia="en-AU"/>
                <w14:ligatures w14:val="none"/>
              </w:rPr>
            </w:pPr>
          </w:p>
        </w:tc>
        <w:tc>
          <w:tcPr>
            <w:tcW w:w="3612" w:type="dxa"/>
            <w:vAlign w:val="center"/>
          </w:tcPr>
          <w:p w14:paraId="10437D08" w14:textId="77777777" w:rsidR="00C12055" w:rsidRPr="006A4EA9" w:rsidRDefault="00C12055" w:rsidP="001A7D3E">
            <w:pPr>
              <w:spacing w:after="0" w:line="240" w:lineRule="auto"/>
              <w:rPr>
                <w:rFonts w:ascii="Aptos Narrow" w:eastAsia="Times New Roman" w:hAnsi="Aptos Narrow" w:cs="Times New Roman"/>
                <w:i/>
                <w:color w:val="153D63" w:themeColor="text2" w:themeTint="E6"/>
                <w:kern w:val="0"/>
                <w:lang w:eastAsia="en-AU"/>
                <w14:ligatures w14:val="none"/>
              </w:rPr>
            </w:pPr>
          </w:p>
        </w:tc>
        <w:tc>
          <w:tcPr>
            <w:tcW w:w="1250" w:type="dxa"/>
            <w:vAlign w:val="center"/>
          </w:tcPr>
          <w:p w14:paraId="08205F1F" w14:textId="77777777" w:rsidR="00C12055" w:rsidRPr="006A4EA9" w:rsidRDefault="00C12055" w:rsidP="001A7D3E">
            <w:pPr>
              <w:spacing w:after="0" w:line="240" w:lineRule="auto"/>
              <w:jc w:val="center"/>
              <w:rPr>
                <w:rFonts w:ascii="Aptos Narrow" w:eastAsia="Times New Roman" w:hAnsi="Aptos Narrow" w:cs="Times New Roman"/>
                <w:i/>
                <w:color w:val="153D63" w:themeColor="text2" w:themeTint="E6"/>
                <w:kern w:val="0"/>
                <w:lang w:eastAsia="en-AU"/>
                <w14:ligatures w14:val="none"/>
              </w:rPr>
            </w:pPr>
          </w:p>
        </w:tc>
        <w:tc>
          <w:tcPr>
            <w:tcW w:w="4642" w:type="dxa"/>
            <w:vAlign w:val="center"/>
          </w:tcPr>
          <w:p w14:paraId="5CEDD91D" w14:textId="61C65E16" w:rsidR="00C12055" w:rsidRPr="006A4EA9" w:rsidRDefault="00956FCA" w:rsidP="001A7D3E">
            <w:pPr>
              <w:spacing w:after="0" w:line="240" w:lineRule="auto"/>
              <w:rPr>
                <w:rFonts w:ascii="Aptos Narrow" w:eastAsia="Times New Roman" w:hAnsi="Aptos Narrow" w:cs="Times New Roman"/>
                <w:i/>
                <w:color w:val="153D63" w:themeColor="text2" w:themeTint="E6"/>
                <w:kern w:val="0"/>
                <w:lang w:eastAsia="en-AU"/>
                <w14:ligatures w14:val="none"/>
              </w:rPr>
            </w:pPr>
            <w:r>
              <w:rPr>
                <w:rFonts w:ascii="Aptos Narrow" w:eastAsia="Times New Roman" w:hAnsi="Aptos Narrow" w:cs="Times New Roman"/>
                <w:kern w:val="0"/>
                <w:lang w:eastAsia="en-AU"/>
                <w14:ligatures w14:val="none"/>
              </w:rPr>
              <w:t xml:space="preserve">[e.g. </w:t>
            </w:r>
            <w:r w:rsidRPr="00AE2FD8">
              <w:rPr>
                <w:lang w:eastAsia="en-AU"/>
              </w:rPr>
              <w:t>impractical to measure</w:t>
            </w:r>
            <w:r>
              <w:rPr>
                <w:lang w:eastAsia="en-AU"/>
              </w:rPr>
              <w:t>,</w:t>
            </w:r>
            <w:r w:rsidRPr="00AE2FD8">
              <w:rPr>
                <w:lang w:eastAsia="en-AU"/>
              </w:rPr>
              <w:t xml:space="preserve"> no measurement methodology, lack of data, </w:t>
            </w:r>
            <w:r>
              <w:rPr>
                <w:lang w:eastAsia="en-AU"/>
              </w:rPr>
              <w:t xml:space="preserve">not </w:t>
            </w:r>
            <w:r w:rsidRPr="00AE2FD8">
              <w:rPr>
                <w:lang w:eastAsia="en-AU"/>
              </w:rPr>
              <w:t>material and unlikely to influence stakeholder decisions</w:t>
            </w:r>
            <w:r>
              <w:rPr>
                <w:lang w:eastAsia="en-AU"/>
              </w:rPr>
              <w:t>]</w:t>
            </w:r>
          </w:p>
        </w:tc>
        <w:tc>
          <w:tcPr>
            <w:tcW w:w="3180" w:type="dxa"/>
          </w:tcPr>
          <w:p w14:paraId="2BAF17DC" w14:textId="453A1F0F" w:rsidR="00C12055" w:rsidRPr="003B201D" w:rsidRDefault="00C12055" w:rsidP="001A7D3E">
            <w:pPr>
              <w:spacing w:after="0" w:line="240" w:lineRule="auto"/>
              <w:rPr>
                <w:rFonts w:ascii="Aptos Narrow" w:eastAsia="Times New Roman" w:hAnsi="Aptos Narrow" w:cs="Times New Roman"/>
                <w:kern w:val="0"/>
                <w:lang w:eastAsia="en-AU"/>
                <w14:ligatures w14:val="none"/>
              </w:rPr>
            </w:pPr>
          </w:p>
        </w:tc>
      </w:tr>
    </w:tbl>
    <w:p w14:paraId="5F3B696C" w14:textId="55BA0E2A" w:rsidR="001E62B2" w:rsidRPr="000120AF" w:rsidRDefault="001E62B2" w:rsidP="00C61E3D">
      <w:pPr>
        <w:pStyle w:val="Heading3"/>
        <w:numPr>
          <w:ilvl w:val="0"/>
          <w:numId w:val="0"/>
        </w:numPr>
        <w:spacing w:before="240"/>
        <w:ind w:left="720" w:hanging="720"/>
      </w:pPr>
      <w:r>
        <w:t xml:space="preserve">Land Use, Land Use Change and Forestry </w:t>
      </w:r>
      <w:bookmarkEnd w:id="111"/>
      <w:r>
        <w:t>(</w:t>
      </w:r>
      <w:r w:rsidR="00195C56">
        <w:t>b</w:t>
      </w:r>
      <w:r>
        <w:t xml:space="preserve">iogenic carbon) </w:t>
      </w: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09"/>
        <w:gridCol w:w="1827"/>
        <w:gridCol w:w="1543"/>
        <w:gridCol w:w="3956"/>
        <w:gridCol w:w="2112"/>
        <w:gridCol w:w="3101"/>
      </w:tblGrid>
      <w:tr w:rsidR="001E62B2" w:rsidRPr="000120AF" w14:paraId="60862495" w14:textId="77777777">
        <w:trPr>
          <w:trHeight w:val="39"/>
        </w:trPr>
        <w:tc>
          <w:tcPr>
            <w:tcW w:w="1409" w:type="dxa"/>
            <w:shd w:val="clear" w:color="auto" w:fill="E8E8E8" w:themeFill="background2"/>
            <w:vAlign w:val="center"/>
            <w:hideMark/>
          </w:tcPr>
          <w:p w14:paraId="054843A8" w14:textId="6C54E272" w:rsidR="001E62B2" w:rsidRPr="000120AF" w:rsidRDefault="001E62B2">
            <w:r w:rsidRPr="000120AF">
              <w:rPr>
                <w:b/>
                <w:bCs/>
              </w:rPr>
              <w:t>Lot and D</w:t>
            </w:r>
            <w:r w:rsidR="008D06A5">
              <w:rPr>
                <w:b/>
                <w:bCs/>
              </w:rPr>
              <w:t xml:space="preserve">eposited </w:t>
            </w:r>
            <w:r w:rsidRPr="000120AF">
              <w:rPr>
                <w:b/>
                <w:bCs/>
              </w:rPr>
              <w:t>P</w:t>
            </w:r>
            <w:r w:rsidR="008D06A5">
              <w:rPr>
                <w:b/>
                <w:bCs/>
              </w:rPr>
              <w:t>lan</w:t>
            </w:r>
            <w:r w:rsidRPr="000120AF">
              <w:rPr>
                <w:b/>
                <w:bCs/>
              </w:rPr>
              <w:t xml:space="preserve"> </w:t>
            </w:r>
            <w:r w:rsidR="008D06A5">
              <w:rPr>
                <w:b/>
                <w:bCs/>
              </w:rPr>
              <w:t>number</w:t>
            </w:r>
          </w:p>
        </w:tc>
        <w:tc>
          <w:tcPr>
            <w:tcW w:w="1827" w:type="dxa"/>
            <w:shd w:val="clear" w:color="auto" w:fill="E8E8E8" w:themeFill="background2"/>
            <w:vAlign w:val="center"/>
            <w:hideMark/>
          </w:tcPr>
          <w:p w14:paraId="40583B54" w14:textId="0A2557A3" w:rsidR="001E62B2" w:rsidRPr="000120AF" w:rsidRDefault="001E62B2" w:rsidP="00123553">
            <w:pPr>
              <w:jc w:val="center"/>
            </w:pPr>
            <w:r w:rsidRPr="000120AF">
              <w:rPr>
                <w:b/>
                <w:bCs/>
              </w:rPr>
              <w:t>Area (ha)</w:t>
            </w:r>
          </w:p>
        </w:tc>
        <w:tc>
          <w:tcPr>
            <w:tcW w:w="1543" w:type="dxa"/>
            <w:shd w:val="clear" w:color="auto" w:fill="E8E8E8" w:themeFill="background2"/>
            <w:vAlign w:val="center"/>
            <w:hideMark/>
          </w:tcPr>
          <w:p w14:paraId="13E8E14E" w14:textId="62C16B19" w:rsidR="001E62B2" w:rsidRPr="000120AF" w:rsidRDefault="001E62B2" w:rsidP="00123553">
            <w:pPr>
              <w:jc w:val="center"/>
            </w:pPr>
            <w:r w:rsidRPr="000120AF">
              <w:rPr>
                <w:b/>
                <w:bCs/>
              </w:rPr>
              <w:t>Date of event</w:t>
            </w:r>
          </w:p>
        </w:tc>
        <w:tc>
          <w:tcPr>
            <w:tcW w:w="3956" w:type="dxa"/>
            <w:shd w:val="clear" w:color="auto" w:fill="E8E8E8" w:themeFill="background2"/>
            <w:vAlign w:val="center"/>
            <w:hideMark/>
          </w:tcPr>
          <w:p w14:paraId="6818345E" w14:textId="31367FDD" w:rsidR="001E62B2" w:rsidRPr="000120AF" w:rsidRDefault="001E62B2" w:rsidP="00123553">
            <w:pPr>
              <w:jc w:val="center"/>
            </w:pPr>
            <w:r>
              <w:rPr>
                <w:b/>
                <w:bCs/>
              </w:rPr>
              <w:t>Activity</w:t>
            </w:r>
            <w:r w:rsidRPr="000120AF">
              <w:rPr>
                <w:b/>
                <w:bCs/>
              </w:rPr>
              <w:t xml:space="preserve"> type</w:t>
            </w:r>
          </w:p>
        </w:tc>
        <w:tc>
          <w:tcPr>
            <w:tcW w:w="2112" w:type="dxa"/>
            <w:shd w:val="clear" w:color="auto" w:fill="E8E8E8" w:themeFill="background2"/>
            <w:vAlign w:val="center"/>
            <w:hideMark/>
          </w:tcPr>
          <w:p w14:paraId="039DDB7C" w14:textId="6E5DC994" w:rsidR="001E62B2" w:rsidRPr="000120AF" w:rsidRDefault="001E62B2" w:rsidP="00123553">
            <w:pPr>
              <w:jc w:val="center"/>
            </w:pPr>
            <w:r w:rsidRPr="000120AF">
              <w:rPr>
                <w:b/>
                <w:bCs/>
              </w:rPr>
              <w:t>Method</w:t>
            </w:r>
          </w:p>
        </w:tc>
        <w:tc>
          <w:tcPr>
            <w:tcW w:w="3101" w:type="dxa"/>
            <w:shd w:val="clear" w:color="auto" w:fill="E8E8E8" w:themeFill="background2"/>
            <w:vAlign w:val="center"/>
            <w:hideMark/>
          </w:tcPr>
          <w:p w14:paraId="59F9D5A6" w14:textId="0DECE288" w:rsidR="001E62B2" w:rsidRPr="000120AF" w:rsidRDefault="00D61EA5" w:rsidP="00123553">
            <w:pPr>
              <w:jc w:val="center"/>
            </w:pPr>
            <w:r>
              <w:rPr>
                <w:b/>
                <w:bCs/>
              </w:rPr>
              <w:t xml:space="preserve">Total </w:t>
            </w:r>
            <w:r w:rsidR="00165D86">
              <w:rPr>
                <w:b/>
                <w:bCs/>
              </w:rPr>
              <w:t>Emissions/Removals</w:t>
            </w:r>
            <w:r w:rsidR="00123553">
              <w:rPr>
                <w:b/>
                <w:bCs/>
              </w:rPr>
              <w:br/>
            </w:r>
            <w:r w:rsidR="001E62B2" w:rsidRPr="000120AF">
              <w:rPr>
                <w:b/>
                <w:bCs/>
              </w:rPr>
              <w:t>(t</w:t>
            </w:r>
            <w:r w:rsidR="00AE6001">
              <w:rPr>
                <w:b/>
                <w:bCs/>
              </w:rPr>
              <w:t xml:space="preserve"> </w:t>
            </w:r>
            <w:r w:rsidR="001E62B2" w:rsidRPr="000120AF">
              <w:rPr>
                <w:b/>
                <w:bCs/>
              </w:rPr>
              <w:t>CO₂-e)</w:t>
            </w:r>
          </w:p>
        </w:tc>
      </w:tr>
      <w:tr w:rsidR="001E62B2" w:rsidRPr="000120AF" w14:paraId="1887EEC1" w14:textId="77777777">
        <w:trPr>
          <w:trHeight w:val="300"/>
        </w:trPr>
        <w:tc>
          <w:tcPr>
            <w:tcW w:w="1409" w:type="dxa"/>
            <w:vAlign w:val="center"/>
            <w:hideMark/>
          </w:tcPr>
          <w:p w14:paraId="15365BD2" w14:textId="77777777" w:rsidR="001E62B2" w:rsidRPr="000120AF" w:rsidRDefault="001E62B2">
            <w:r w:rsidRPr="000120AF">
              <w:t> </w:t>
            </w:r>
          </w:p>
        </w:tc>
        <w:tc>
          <w:tcPr>
            <w:tcW w:w="1827" w:type="dxa"/>
            <w:vAlign w:val="center"/>
            <w:hideMark/>
          </w:tcPr>
          <w:p w14:paraId="616D4C25" w14:textId="77777777" w:rsidR="001E62B2" w:rsidRPr="000120AF" w:rsidRDefault="001E62B2">
            <w:r w:rsidRPr="000120AF">
              <w:t> </w:t>
            </w:r>
          </w:p>
        </w:tc>
        <w:tc>
          <w:tcPr>
            <w:tcW w:w="1543" w:type="dxa"/>
            <w:vAlign w:val="center"/>
            <w:hideMark/>
          </w:tcPr>
          <w:p w14:paraId="390F24DF" w14:textId="77777777" w:rsidR="001E62B2" w:rsidRPr="000120AF" w:rsidRDefault="001E62B2">
            <w:r w:rsidRPr="000120AF">
              <w:t> </w:t>
            </w:r>
          </w:p>
        </w:tc>
        <w:tc>
          <w:tcPr>
            <w:tcW w:w="3956" w:type="dxa"/>
            <w:vAlign w:val="center"/>
            <w:hideMark/>
          </w:tcPr>
          <w:p w14:paraId="15065B67" w14:textId="77777777" w:rsidR="001E62B2" w:rsidRPr="006A4EA9" w:rsidRDefault="001E62B2">
            <w:pPr>
              <w:rPr>
                <w:color w:val="153D63" w:themeColor="text2" w:themeTint="E6"/>
              </w:rPr>
            </w:pPr>
            <w:r w:rsidRPr="006A4EA9">
              <w:rPr>
                <w:i/>
                <w:color w:val="153D63" w:themeColor="text2" w:themeTint="E6"/>
              </w:rPr>
              <w:t>e.g. Vegetation clearance (VC)</w:t>
            </w:r>
            <w:r w:rsidRPr="006A4EA9">
              <w:rPr>
                <w:color w:val="153D63" w:themeColor="text2" w:themeTint="E6"/>
              </w:rPr>
              <w:t> </w:t>
            </w:r>
          </w:p>
        </w:tc>
        <w:tc>
          <w:tcPr>
            <w:tcW w:w="2112" w:type="dxa"/>
            <w:vAlign w:val="center"/>
            <w:hideMark/>
          </w:tcPr>
          <w:p w14:paraId="2FED3079" w14:textId="77777777" w:rsidR="001E62B2" w:rsidRPr="000120AF" w:rsidRDefault="001E62B2">
            <w:r w:rsidRPr="000120AF">
              <w:t> </w:t>
            </w:r>
          </w:p>
        </w:tc>
        <w:tc>
          <w:tcPr>
            <w:tcW w:w="3101" w:type="dxa"/>
            <w:vAlign w:val="center"/>
            <w:hideMark/>
          </w:tcPr>
          <w:p w14:paraId="39695252" w14:textId="77777777" w:rsidR="001E62B2" w:rsidRPr="000120AF" w:rsidRDefault="001E62B2">
            <w:r w:rsidRPr="000120AF">
              <w:t> </w:t>
            </w:r>
          </w:p>
        </w:tc>
      </w:tr>
      <w:tr w:rsidR="001E62B2" w14:paraId="4ED67C75" w14:textId="77777777">
        <w:trPr>
          <w:trHeight w:val="300"/>
        </w:trPr>
        <w:tc>
          <w:tcPr>
            <w:tcW w:w="1409" w:type="dxa"/>
            <w:vAlign w:val="center"/>
            <w:hideMark/>
          </w:tcPr>
          <w:p w14:paraId="31DF2939" w14:textId="77777777" w:rsidR="001E62B2" w:rsidRDefault="001E62B2"/>
        </w:tc>
        <w:tc>
          <w:tcPr>
            <w:tcW w:w="1827" w:type="dxa"/>
            <w:vAlign w:val="center"/>
            <w:hideMark/>
          </w:tcPr>
          <w:p w14:paraId="593D31A5" w14:textId="77777777" w:rsidR="001E62B2" w:rsidRDefault="001E62B2"/>
        </w:tc>
        <w:tc>
          <w:tcPr>
            <w:tcW w:w="1543" w:type="dxa"/>
            <w:vAlign w:val="center"/>
            <w:hideMark/>
          </w:tcPr>
          <w:p w14:paraId="1BA65ACA" w14:textId="77777777" w:rsidR="001E62B2" w:rsidRDefault="001E62B2"/>
        </w:tc>
        <w:tc>
          <w:tcPr>
            <w:tcW w:w="3956" w:type="dxa"/>
            <w:vAlign w:val="center"/>
            <w:hideMark/>
          </w:tcPr>
          <w:p w14:paraId="57F5B4AC" w14:textId="77777777" w:rsidR="001E62B2" w:rsidRPr="006A4EA9" w:rsidRDefault="001E62B2">
            <w:pPr>
              <w:rPr>
                <w:i/>
                <w:color w:val="153D63" w:themeColor="text2" w:themeTint="E6"/>
              </w:rPr>
            </w:pPr>
            <w:r w:rsidRPr="006A4EA9">
              <w:rPr>
                <w:i/>
                <w:color w:val="153D63" w:themeColor="text2" w:themeTint="E6"/>
              </w:rPr>
              <w:t>e.g. Increasing tree biomass by reducing severity of late dry season burns</w:t>
            </w:r>
          </w:p>
        </w:tc>
        <w:tc>
          <w:tcPr>
            <w:tcW w:w="2112" w:type="dxa"/>
            <w:vAlign w:val="center"/>
            <w:hideMark/>
          </w:tcPr>
          <w:p w14:paraId="08211AA8" w14:textId="77777777" w:rsidR="001E62B2" w:rsidRDefault="001E62B2"/>
        </w:tc>
        <w:tc>
          <w:tcPr>
            <w:tcW w:w="3101" w:type="dxa"/>
            <w:vAlign w:val="center"/>
            <w:hideMark/>
          </w:tcPr>
          <w:p w14:paraId="79084F48" w14:textId="77777777" w:rsidR="001E62B2" w:rsidRDefault="001E62B2"/>
        </w:tc>
      </w:tr>
    </w:tbl>
    <w:p w14:paraId="6ACED5E6" w14:textId="77777777" w:rsidR="00451890" w:rsidRDefault="00451890" w:rsidP="00C61E3D">
      <w:pPr>
        <w:pStyle w:val="Heading3"/>
        <w:numPr>
          <w:ilvl w:val="0"/>
          <w:numId w:val="0"/>
        </w:numPr>
        <w:spacing w:before="240"/>
      </w:pPr>
    </w:p>
    <w:p w14:paraId="7D968BD0" w14:textId="77777777" w:rsidR="00451890" w:rsidRDefault="00451890">
      <w:pPr>
        <w:rPr>
          <w:rFonts w:eastAsiaTheme="majorEastAsia" w:cstheme="majorBidi"/>
          <w:color w:val="0F4761" w:themeColor="accent1" w:themeShade="BF"/>
          <w:sz w:val="28"/>
          <w:szCs w:val="28"/>
        </w:rPr>
      </w:pPr>
      <w:r>
        <w:br w:type="page"/>
      </w:r>
    </w:p>
    <w:p w14:paraId="52A35357" w14:textId="2FA21327" w:rsidR="00382D4D" w:rsidRPr="002F4CC6" w:rsidRDefault="00382D4D" w:rsidP="00C61E3D">
      <w:pPr>
        <w:pStyle w:val="Heading3"/>
        <w:numPr>
          <w:ilvl w:val="0"/>
          <w:numId w:val="0"/>
        </w:numPr>
        <w:spacing w:before="240"/>
      </w:pPr>
      <w:r>
        <w:lastRenderedPageBreak/>
        <w:t xml:space="preserve">Carbon credits (if relevant) </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693"/>
        <w:gridCol w:w="1985"/>
        <w:gridCol w:w="1559"/>
        <w:gridCol w:w="1701"/>
        <w:gridCol w:w="1843"/>
        <w:gridCol w:w="1843"/>
      </w:tblGrid>
      <w:tr w:rsidR="00382D4D" w:rsidRPr="00B103FF" w14:paraId="4F70FBF2" w14:textId="77777777" w:rsidTr="001A7D3E">
        <w:trPr>
          <w:trHeight w:val="989"/>
        </w:trPr>
        <w:tc>
          <w:tcPr>
            <w:tcW w:w="2405" w:type="dxa"/>
            <w:shd w:val="clear" w:color="auto" w:fill="E8E8E8" w:themeFill="background2"/>
            <w:vAlign w:val="center"/>
          </w:tcPr>
          <w:p w14:paraId="5EC12531" w14:textId="77777777" w:rsidR="00382D4D" w:rsidRPr="00E5287C" w:rsidRDefault="00382D4D" w:rsidP="001A7D3E">
            <w:pPr>
              <w:spacing w:after="0" w:line="240" w:lineRule="auto"/>
              <w:jc w:val="center"/>
              <w:rPr>
                <w:rFonts w:ascii="Aptos Narrow" w:eastAsia="Times New Roman" w:hAnsi="Aptos Narrow" w:cs="Times New Roman"/>
                <w:b/>
                <w:bCs/>
                <w:kern w:val="0"/>
                <w:lang w:eastAsia="en-AU"/>
                <w14:ligatures w14:val="none"/>
              </w:rPr>
            </w:pPr>
            <w:r w:rsidRPr="00E5287C">
              <w:rPr>
                <w:rFonts w:ascii="Aptos Narrow" w:eastAsia="Times New Roman" w:hAnsi="Aptos Narrow" w:cs="Times New Roman"/>
                <w:b/>
                <w:bCs/>
                <w:kern w:val="0"/>
                <w:lang w:eastAsia="en-AU"/>
                <w14:ligatures w14:val="none"/>
              </w:rPr>
              <w:t>Credit status</w:t>
            </w:r>
          </w:p>
        </w:tc>
        <w:tc>
          <w:tcPr>
            <w:tcW w:w="2693" w:type="dxa"/>
            <w:shd w:val="clear" w:color="auto" w:fill="E8E8E8" w:themeFill="background2"/>
            <w:vAlign w:val="center"/>
          </w:tcPr>
          <w:p w14:paraId="32BCBAEB" w14:textId="77777777" w:rsidR="00382D4D" w:rsidRPr="00E5287C" w:rsidRDefault="00382D4D" w:rsidP="001A7D3E">
            <w:pPr>
              <w:spacing w:after="0" w:line="240" w:lineRule="auto"/>
              <w:jc w:val="center"/>
              <w:rPr>
                <w:rFonts w:ascii="Aptos Narrow" w:eastAsia="Times New Roman" w:hAnsi="Aptos Narrow" w:cs="Times New Roman"/>
                <w:b/>
                <w:bCs/>
                <w:kern w:val="0"/>
                <w:lang w:eastAsia="en-AU"/>
                <w14:ligatures w14:val="none"/>
              </w:rPr>
            </w:pPr>
            <w:r w:rsidRPr="00E5287C">
              <w:rPr>
                <w:rFonts w:ascii="Aptos Narrow" w:eastAsia="Times New Roman" w:hAnsi="Aptos Narrow" w:cs="Times New Roman"/>
                <w:b/>
                <w:bCs/>
                <w:kern w:val="0"/>
                <w:lang w:eastAsia="en-AU"/>
                <w14:ligatures w14:val="none"/>
              </w:rPr>
              <w:t>Type</w:t>
            </w:r>
          </w:p>
        </w:tc>
        <w:tc>
          <w:tcPr>
            <w:tcW w:w="1985" w:type="dxa"/>
            <w:shd w:val="clear" w:color="auto" w:fill="E8E8E8" w:themeFill="background2"/>
            <w:vAlign w:val="center"/>
          </w:tcPr>
          <w:p w14:paraId="0D5B955A" w14:textId="77777777" w:rsidR="00382D4D" w:rsidRPr="00E5287C" w:rsidRDefault="00382D4D" w:rsidP="001A7D3E">
            <w:pPr>
              <w:spacing w:after="0" w:line="240" w:lineRule="auto"/>
              <w:jc w:val="center"/>
              <w:rPr>
                <w:rFonts w:ascii="Aptos Narrow" w:eastAsia="Times New Roman" w:hAnsi="Aptos Narrow" w:cs="Times New Roman"/>
                <w:b/>
                <w:bCs/>
                <w:kern w:val="0"/>
                <w:lang w:eastAsia="en-AU"/>
                <w14:ligatures w14:val="none"/>
              </w:rPr>
            </w:pPr>
            <w:r>
              <w:rPr>
                <w:rFonts w:ascii="Aptos Narrow" w:eastAsia="Times New Roman" w:hAnsi="Aptos Narrow" w:cs="Times New Roman"/>
                <w:b/>
                <w:bCs/>
                <w:kern w:val="0"/>
                <w:lang w:eastAsia="en-AU"/>
                <w14:ligatures w14:val="none"/>
              </w:rPr>
              <w:t>Lot / DP identifiers (where relevant)</w:t>
            </w:r>
          </w:p>
        </w:tc>
        <w:tc>
          <w:tcPr>
            <w:tcW w:w="1559" w:type="dxa"/>
            <w:shd w:val="clear" w:color="auto" w:fill="E8E8E8" w:themeFill="background2"/>
            <w:vAlign w:val="center"/>
          </w:tcPr>
          <w:p w14:paraId="0D7D5838" w14:textId="77777777" w:rsidR="00382D4D" w:rsidRDefault="00382D4D" w:rsidP="001A7D3E">
            <w:pPr>
              <w:spacing w:after="0" w:line="240" w:lineRule="auto"/>
              <w:jc w:val="center"/>
              <w:rPr>
                <w:rFonts w:ascii="Aptos Narrow" w:eastAsia="Times New Roman" w:hAnsi="Aptos Narrow" w:cs="Times New Roman"/>
                <w:b/>
                <w:bCs/>
                <w:kern w:val="0"/>
                <w:lang w:eastAsia="en-AU"/>
                <w14:ligatures w14:val="none"/>
              </w:rPr>
            </w:pPr>
            <w:r w:rsidRPr="00E5287C">
              <w:rPr>
                <w:rFonts w:ascii="Aptos Narrow" w:eastAsia="Times New Roman" w:hAnsi="Aptos Narrow" w:cs="Times New Roman"/>
                <w:b/>
                <w:bCs/>
                <w:kern w:val="0"/>
                <w:lang w:eastAsia="en-AU"/>
                <w14:ligatures w14:val="none"/>
              </w:rPr>
              <w:t>Credit</w:t>
            </w:r>
            <w:r>
              <w:rPr>
                <w:rFonts w:ascii="Aptos Narrow" w:eastAsia="Times New Roman" w:hAnsi="Aptos Narrow" w:cs="Times New Roman"/>
                <w:b/>
                <w:bCs/>
                <w:kern w:val="0"/>
                <w:lang w:eastAsia="en-AU"/>
                <w14:ligatures w14:val="none"/>
              </w:rPr>
              <w:t>s</w:t>
            </w:r>
          </w:p>
          <w:p w14:paraId="1CAE0A81" w14:textId="77777777" w:rsidR="00382D4D" w:rsidRPr="00E5287C" w:rsidRDefault="00382D4D" w:rsidP="001A7D3E">
            <w:pPr>
              <w:spacing w:after="0" w:line="240" w:lineRule="auto"/>
              <w:jc w:val="center"/>
              <w:rPr>
                <w:rFonts w:ascii="Aptos Narrow" w:eastAsia="Times New Roman" w:hAnsi="Aptos Narrow" w:cs="Times New Roman"/>
                <w:b/>
                <w:bCs/>
                <w:kern w:val="0"/>
                <w:lang w:eastAsia="en-AU"/>
                <w14:ligatures w14:val="none"/>
              </w:rPr>
            </w:pPr>
            <w:r w:rsidRPr="009B306A">
              <w:rPr>
                <w:rFonts w:ascii="Aptos Narrow" w:eastAsia="Times New Roman" w:hAnsi="Aptos Narrow" w:cs="Times New Roman"/>
                <w:b/>
                <w:bCs/>
                <w:kern w:val="0"/>
                <w:lang w:eastAsia="en-AU"/>
                <w14:ligatures w14:val="none"/>
              </w:rPr>
              <w:t>(t CO₂-e)</w:t>
            </w:r>
          </w:p>
        </w:tc>
        <w:tc>
          <w:tcPr>
            <w:tcW w:w="1701" w:type="dxa"/>
            <w:shd w:val="clear" w:color="auto" w:fill="E8E8E8" w:themeFill="background2"/>
            <w:vAlign w:val="center"/>
          </w:tcPr>
          <w:p w14:paraId="5BD5A624" w14:textId="77777777" w:rsidR="00382D4D" w:rsidRPr="001E16AF" w:rsidRDefault="00382D4D" w:rsidP="001A7D3E">
            <w:pPr>
              <w:spacing w:after="0"/>
              <w:jc w:val="center"/>
              <w:rPr>
                <w:rFonts w:ascii="Aptos Narrow" w:eastAsia="Times New Roman" w:hAnsi="Aptos Narrow" w:cs="Times New Roman"/>
                <w:b/>
                <w:bCs/>
                <w:i/>
                <w:iCs/>
                <w:color w:val="000000" w:themeColor="text1"/>
                <w:kern w:val="0"/>
                <w:lang w:eastAsia="en-AU"/>
                <w14:ligatures w14:val="none"/>
              </w:rPr>
            </w:pPr>
            <w:r w:rsidRPr="001E16AF">
              <w:rPr>
                <w:rFonts w:ascii="Aptos Narrow" w:eastAsia="Aptos Narrow" w:hAnsi="Aptos Narrow" w:cs="Aptos Narrow"/>
                <w:b/>
                <w:bCs/>
                <w:color w:val="000000" w:themeColor="text1"/>
              </w:rPr>
              <w:t xml:space="preserve">Crediting </w:t>
            </w:r>
            <w:r>
              <w:rPr>
                <w:rFonts w:ascii="Aptos Narrow" w:eastAsia="Aptos Narrow" w:hAnsi="Aptos Narrow" w:cs="Aptos Narrow"/>
                <w:b/>
                <w:bCs/>
                <w:color w:val="000000" w:themeColor="text1"/>
              </w:rPr>
              <w:t>s</w:t>
            </w:r>
            <w:r w:rsidRPr="001E16AF">
              <w:rPr>
                <w:rFonts w:ascii="Aptos Narrow" w:eastAsia="Aptos Narrow" w:hAnsi="Aptos Narrow" w:cs="Aptos Narrow"/>
                <w:b/>
                <w:bCs/>
                <w:color w:val="000000" w:themeColor="text1"/>
              </w:rPr>
              <w:t>cheme</w:t>
            </w:r>
          </w:p>
        </w:tc>
        <w:tc>
          <w:tcPr>
            <w:tcW w:w="1843" w:type="dxa"/>
            <w:shd w:val="clear" w:color="auto" w:fill="E8E8E8" w:themeFill="background2"/>
            <w:vAlign w:val="center"/>
          </w:tcPr>
          <w:p w14:paraId="2E53A485" w14:textId="77777777" w:rsidR="00382D4D" w:rsidRPr="001E16AF" w:rsidRDefault="00382D4D" w:rsidP="001A7D3E">
            <w:pPr>
              <w:spacing w:after="0" w:line="240" w:lineRule="auto"/>
              <w:jc w:val="center"/>
              <w:rPr>
                <w:rFonts w:ascii="Aptos Narrow" w:eastAsia="Times New Roman" w:hAnsi="Aptos Narrow" w:cs="Times New Roman"/>
                <w:b/>
                <w:bCs/>
                <w:i/>
                <w:iCs/>
                <w:color w:val="000000" w:themeColor="text1"/>
                <w:kern w:val="0"/>
                <w:lang w:eastAsia="en-AU"/>
                <w14:ligatures w14:val="none"/>
              </w:rPr>
            </w:pPr>
            <w:r w:rsidRPr="001E16AF">
              <w:rPr>
                <w:rFonts w:ascii="Aptos Narrow" w:eastAsia="Aptos Narrow" w:hAnsi="Aptos Narrow" w:cs="Aptos Narrow"/>
                <w:b/>
                <w:bCs/>
                <w:color w:val="000000" w:themeColor="text1"/>
              </w:rPr>
              <w:t xml:space="preserve">Credit </w:t>
            </w:r>
            <w:r>
              <w:rPr>
                <w:rFonts w:ascii="Aptos Narrow" w:eastAsia="Aptos Narrow" w:hAnsi="Aptos Narrow" w:cs="Aptos Narrow"/>
                <w:b/>
                <w:bCs/>
                <w:color w:val="000000" w:themeColor="text1"/>
              </w:rPr>
              <w:t>r</w:t>
            </w:r>
            <w:r w:rsidRPr="001E16AF">
              <w:rPr>
                <w:rFonts w:ascii="Aptos Narrow" w:eastAsia="Aptos Narrow" w:hAnsi="Aptos Narrow" w:cs="Aptos Narrow"/>
                <w:b/>
                <w:bCs/>
                <w:color w:val="000000" w:themeColor="text1"/>
              </w:rPr>
              <w:t>egistry &amp; ID</w:t>
            </w:r>
          </w:p>
        </w:tc>
        <w:tc>
          <w:tcPr>
            <w:tcW w:w="1843" w:type="dxa"/>
            <w:shd w:val="clear" w:color="auto" w:fill="E8E8E8" w:themeFill="background2"/>
            <w:vAlign w:val="center"/>
          </w:tcPr>
          <w:p w14:paraId="59DB5C4E" w14:textId="77777777" w:rsidR="00382D4D" w:rsidRPr="001E16AF" w:rsidRDefault="00382D4D" w:rsidP="001A7D3E">
            <w:pPr>
              <w:spacing w:after="0" w:line="240" w:lineRule="auto"/>
              <w:jc w:val="center"/>
              <w:rPr>
                <w:rFonts w:ascii="Aptos Narrow" w:eastAsia="Times New Roman" w:hAnsi="Aptos Narrow" w:cs="Times New Roman"/>
                <w:b/>
                <w:bCs/>
                <w:i/>
                <w:iCs/>
                <w:color w:val="000000" w:themeColor="text1"/>
                <w:kern w:val="0"/>
                <w:lang w:eastAsia="en-AU"/>
                <w14:ligatures w14:val="none"/>
              </w:rPr>
            </w:pPr>
            <w:r>
              <w:rPr>
                <w:rFonts w:ascii="Aptos Narrow" w:eastAsia="Aptos Narrow" w:hAnsi="Aptos Narrow" w:cs="Aptos Narrow"/>
                <w:b/>
                <w:bCs/>
                <w:color w:val="000000" w:themeColor="text1"/>
              </w:rPr>
              <w:t xml:space="preserve">Credit </w:t>
            </w:r>
            <w:r w:rsidRPr="001E16AF">
              <w:rPr>
                <w:rFonts w:ascii="Aptos Narrow" w:eastAsia="Aptos Narrow" w:hAnsi="Aptos Narrow" w:cs="Aptos Narrow"/>
                <w:b/>
                <w:bCs/>
                <w:color w:val="000000" w:themeColor="text1"/>
              </w:rPr>
              <w:t xml:space="preserve">Retirement </w:t>
            </w:r>
            <w:r>
              <w:rPr>
                <w:rFonts w:ascii="Aptos Narrow" w:eastAsia="Aptos Narrow" w:hAnsi="Aptos Narrow" w:cs="Aptos Narrow"/>
                <w:b/>
                <w:bCs/>
                <w:color w:val="000000" w:themeColor="text1"/>
              </w:rPr>
              <w:t>d</w:t>
            </w:r>
            <w:r w:rsidRPr="001E16AF">
              <w:rPr>
                <w:rFonts w:ascii="Aptos Narrow" w:eastAsia="Aptos Narrow" w:hAnsi="Aptos Narrow" w:cs="Aptos Narrow"/>
                <w:b/>
                <w:bCs/>
                <w:color w:val="000000" w:themeColor="text1"/>
              </w:rPr>
              <w:t>ate</w:t>
            </w:r>
          </w:p>
        </w:tc>
      </w:tr>
      <w:tr w:rsidR="00382D4D" w:rsidRPr="00B103FF" w14:paraId="12197986" w14:textId="77777777" w:rsidTr="001A7D3E">
        <w:trPr>
          <w:trHeight w:val="580"/>
        </w:trPr>
        <w:tc>
          <w:tcPr>
            <w:tcW w:w="2405" w:type="dxa"/>
            <w:vAlign w:val="center"/>
          </w:tcPr>
          <w:p w14:paraId="3C7E4410" w14:textId="77777777" w:rsidR="00382D4D" w:rsidRDefault="00382D4D" w:rsidP="005B0412">
            <w:pPr>
              <w:spacing w:after="0" w:line="240" w:lineRule="auto"/>
              <w:rPr>
                <w:rFonts w:ascii="Aptos Narrow" w:eastAsia="Times New Roman" w:hAnsi="Aptos Narrow" w:cs="Times New Roman"/>
                <w:kern w:val="0"/>
                <w:lang w:eastAsia="en-AU"/>
                <w14:ligatures w14:val="none"/>
              </w:rPr>
            </w:pPr>
            <w:r>
              <w:rPr>
                <w:rFonts w:ascii="Aptos Narrow" w:eastAsia="Times New Roman" w:hAnsi="Aptos Narrow" w:cs="Times New Roman"/>
                <w:kern w:val="0"/>
                <w:lang w:eastAsia="en-AU"/>
                <w14:ligatures w14:val="none"/>
              </w:rPr>
              <w:t>Generated and retired</w:t>
            </w:r>
          </w:p>
        </w:tc>
        <w:tc>
          <w:tcPr>
            <w:tcW w:w="2693" w:type="dxa"/>
            <w:vAlign w:val="center"/>
          </w:tcPr>
          <w:p w14:paraId="5305E8C9" w14:textId="77777777" w:rsidR="00382D4D" w:rsidRDefault="00382D4D" w:rsidP="001A7D3E">
            <w:pPr>
              <w:spacing w:after="0" w:line="240" w:lineRule="auto"/>
              <w:rPr>
                <w:rFonts w:ascii="Aptos Narrow" w:eastAsia="Times New Roman" w:hAnsi="Aptos Narrow" w:cs="Times New Roman"/>
                <w:kern w:val="0"/>
                <w:lang w:eastAsia="en-AU"/>
                <w14:ligatures w14:val="none"/>
              </w:rPr>
            </w:pPr>
            <w:r>
              <w:rPr>
                <w:rFonts w:ascii="Aptos Narrow" w:eastAsia="Times New Roman" w:hAnsi="Aptos Narrow" w:cs="Times New Roman"/>
                <w:kern w:val="0"/>
                <w:lang w:eastAsia="en-AU"/>
                <w14:ligatures w14:val="none"/>
              </w:rPr>
              <w:t xml:space="preserve">On site project – plantation </w:t>
            </w:r>
          </w:p>
        </w:tc>
        <w:tc>
          <w:tcPr>
            <w:tcW w:w="1985" w:type="dxa"/>
          </w:tcPr>
          <w:p w14:paraId="24C05218" w14:textId="77777777" w:rsidR="00382D4D" w:rsidRDefault="00382D4D" w:rsidP="001A7D3E">
            <w:pPr>
              <w:spacing w:after="0" w:line="240" w:lineRule="auto"/>
              <w:rPr>
                <w:rFonts w:ascii="Aptos Narrow" w:eastAsia="Times New Roman" w:hAnsi="Aptos Narrow" w:cs="Times New Roman"/>
                <w:kern w:val="0"/>
                <w:lang w:eastAsia="en-AU"/>
                <w14:ligatures w14:val="none"/>
              </w:rPr>
            </w:pPr>
          </w:p>
        </w:tc>
        <w:tc>
          <w:tcPr>
            <w:tcW w:w="1559" w:type="dxa"/>
            <w:vAlign w:val="center"/>
          </w:tcPr>
          <w:p w14:paraId="011A2BDA" w14:textId="77777777" w:rsidR="00382D4D" w:rsidRPr="003B201D" w:rsidRDefault="00382D4D" w:rsidP="001A7D3E">
            <w:pPr>
              <w:spacing w:after="0" w:line="240" w:lineRule="auto"/>
              <w:rPr>
                <w:rFonts w:ascii="Aptos Narrow" w:eastAsia="Times New Roman" w:hAnsi="Aptos Narrow" w:cs="Times New Roman"/>
                <w:kern w:val="0"/>
                <w:lang w:eastAsia="en-AU"/>
                <w14:ligatures w14:val="none"/>
              </w:rPr>
            </w:pPr>
          </w:p>
        </w:tc>
        <w:tc>
          <w:tcPr>
            <w:tcW w:w="1701" w:type="dxa"/>
          </w:tcPr>
          <w:p w14:paraId="64110875" w14:textId="2E923576" w:rsidR="00382D4D" w:rsidRPr="00E5287C" w:rsidRDefault="005B0412" w:rsidP="001A7D3E">
            <w:pPr>
              <w:spacing w:after="0" w:line="240" w:lineRule="auto"/>
              <w:rPr>
                <w:rFonts w:ascii="Aptos Narrow" w:eastAsia="Aptos Narrow" w:hAnsi="Aptos Narrow" w:cs="Aptos Narrow"/>
                <w:i/>
                <w:iCs/>
                <w:color w:val="156082" w:themeColor="accent1"/>
              </w:rPr>
            </w:pPr>
            <w:r w:rsidRPr="00E5287C">
              <w:rPr>
                <w:rFonts w:ascii="Aptos Narrow" w:eastAsia="Aptos Narrow" w:hAnsi="Aptos Narrow" w:cs="Aptos Narrow"/>
                <w:i/>
                <w:iCs/>
                <w:color w:val="156082" w:themeColor="accent1"/>
              </w:rPr>
              <w:t>[e.g. ACCU]</w:t>
            </w:r>
          </w:p>
        </w:tc>
        <w:tc>
          <w:tcPr>
            <w:tcW w:w="1843" w:type="dxa"/>
            <w:vAlign w:val="center"/>
          </w:tcPr>
          <w:p w14:paraId="7C7E6E88" w14:textId="77777777" w:rsidR="00382D4D" w:rsidRPr="00E5287C" w:rsidRDefault="00382D4D" w:rsidP="001A7D3E">
            <w:pPr>
              <w:spacing w:after="0" w:line="240" w:lineRule="auto"/>
              <w:rPr>
                <w:rFonts w:ascii="Aptos Narrow" w:eastAsia="Aptos Narrow" w:hAnsi="Aptos Narrow" w:cs="Aptos Narrow"/>
                <w:i/>
                <w:iCs/>
                <w:color w:val="156082" w:themeColor="accent1"/>
              </w:rPr>
            </w:pPr>
          </w:p>
        </w:tc>
        <w:tc>
          <w:tcPr>
            <w:tcW w:w="1843" w:type="dxa"/>
            <w:vAlign w:val="center"/>
          </w:tcPr>
          <w:p w14:paraId="196350A5" w14:textId="77777777" w:rsidR="00382D4D" w:rsidRPr="00E5287C" w:rsidRDefault="00382D4D" w:rsidP="001A7D3E">
            <w:pPr>
              <w:spacing w:after="0" w:line="240" w:lineRule="auto"/>
              <w:rPr>
                <w:rFonts w:ascii="Aptos Narrow" w:eastAsia="Aptos Narrow" w:hAnsi="Aptos Narrow" w:cs="Aptos Narrow"/>
                <w:i/>
                <w:iCs/>
                <w:color w:val="156082" w:themeColor="accent1"/>
              </w:rPr>
            </w:pPr>
          </w:p>
        </w:tc>
      </w:tr>
      <w:tr w:rsidR="00382D4D" w:rsidRPr="00B103FF" w14:paraId="36A541E1" w14:textId="77777777" w:rsidTr="001A7D3E">
        <w:trPr>
          <w:trHeight w:val="580"/>
        </w:trPr>
        <w:tc>
          <w:tcPr>
            <w:tcW w:w="2405" w:type="dxa"/>
            <w:vAlign w:val="center"/>
          </w:tcPr>
          <w:p w14:paraId="7657CA44" w14:textId="77777777" w:rsidR="00382D4D" w:rsidRPr="003B201D" w:rsidRDefault="00382D4D" w:rsidP="005B0412">
            <w:pPr>
              <w:spacing w:after="0" w:line="240" w:lineRule="auto"/>
              <w:rPr>
                <w:rFonts w:ascii="Aptos Narrow" w:eastAsia="Times New Roman" w:hAnsi="Aptos Narrow" w:cs="Times New Roman"/>
                <w:kern w:val="0"/>
                <w:lang w:eastAsia="en-AU"/>
                <w14:ligatures w14:val="none"/>
              </w:rPr>
            </w:pPr>
            <w:r>
              <w:rPr>
                <w:rFonts w:ascii="Aptos Narrow" w:eastAsia="Times New Roman" w:hAnsi="Aptos Narrow" w:cs="Times New Roman"/>
                <w:kern w:val="0"/>
                <w:lang w:eastAsia="en-AU"/>
                <w14:ligatures w14:val="none"/>
              </w:rPr>
              <w:t xml:space="preserve">Generated and sold </w:t>
            </w:r>
          </w:p>
        </w:tc>
        <w:tc>
          <w:tcPr>
            <w:tcW w:w="2693" w:type="dxa"/>
            <w:vAlign w:val="center"/>
          </w:tcPr>
          <w:p w14:paraId="20F78293" w14:textId="77777777" w:rsidR="00382D4D" w:rsidRPr="003B201D" w:rsidRDefault="00382D4D" w:rsidP="001A7D3E">
            <w:pPr>
              <w:spacing w:after="0" w:line="240" w:lineRule="auto"/>
              <w:rPr>
                <w:rFonts w:ascii="Aptos Narrow" w:eastAsia="Times New Roman" w:hAnsi="Aptos Narrow" w:cs="Times New Roman"/>
                <w:kern w:val="0"/>
                <w:lang w:eastAsia="en-AU"/>
                <w14:ligatures w14:val="none"/>
              </w:rPr>
            </w:pPr>
            <w:r>
              <w:rPr>
                <w:rFonts w:ascii="Aptos Narrow" w:eastAsia="Times New Roman" w:hAnsi="Aptos Narrow" w:cs="Times New Roman"/>
                <w:kern w:val="0"/>
                <w:lang w:eastAsia="en-AU"/>
                <w14:ligatures w14:val="none"/>
              </w:rPr>
              <w:t xml:space="preserve">On site project – plantation </w:t>
            </w:r>
          </w:p>
        </w:tc>
        <w:tc>
          <w:tcPr>
            <w:tcW w:w="1985" w:type="dxa"/>
          </w:tcPr>
          <w:p w14:paraId="5258FC38" w14:textId="77777777" w:rsidR="00382D4D" w:rsidRDefault="00382D4D" w:rsidP="001A7D3E">
            <w:pPr>
              <w:spacing w:after="0" w:line="240" w:lineRule="auto"/>
              <w:rPr>
                <w:rFonts w:ascii="Aptos Narrow" w:eastAsia="Times New Roman" w:hAnsi="Aptos Narrow" w:cs="Times New Roman"/>
                <w:kern w:val="0"/>
                <w:lang w:eastAsia="en-AU"/>
                <w14:ligatures w14:val="none"/>
              </w:rPr>
            </w:pPr>
          </w:p>
        </w:tc>
        <w:tc>
          <w:tcPr>
            <w:tcW w:w="1559" w:type="dxa"/>
            <w:vAlign w:val="center"/>
          </w:tcPr>
          <w:p w14:paraId="3AD0E0BD" w14:textId="77777777" w:rsidR="00382D4D" w:rsidRPr="003B201D" w:rsidRDefault="00382D4D" w:rsidP="001A7D3E">
            <w:pPr>
              <w:spacing w:after="0" w:line="240" w:lineRule="auto"/>
              <w:rPr>
                <w:rFonts w:ascii="Aptos Narrow" w:eastAsia="Times New Roman" w:hAnsi="Aptos Narrow" w:cs="Times New Roman"/>
                <w:kern w:val="0"/>
                <w:lang w:eastAsia="en-AU"/>
                <w14:ligatures w14:val="none"/>
              </w:rPr>
            </w:pPr>
          </w:p>
        </w:tc>
        <w:tc>
          <w:tcPr>
            <w:tcW w:w="1701" w:type="dxa"/>
          </w:tcPr>
          <w:p w14:paraId="7A4A77D1" w14:textId="2CDCD2DD" w:rsidR="00382D4D" w:rsidRPr="00B103FF" w:rsidRDefault="00382D4D" w:rsidP="001A7D3E">
            <w:pPr>
              <w:spacing w:after="0" w:line="240" w:lineRule="auto"/>
              <w:rPr>
                <w:rFonts w:ascii="Aptos Narrow" w:eastAsia="Times New Roman" w:hAnsi="Aptos Narrow" w:cs="Times New Roman"/>
                <w:i/>
                <w:iCs/>
                <w:color w:val="156082" w:themeColor="accent1"/>
                <w:kern w:val="0"/>
                <w:lang w:eastAsia="en-AU"/>
                <w14:ligatures w14:val="none"/>
              </w:rPr>
            </w:pPr>
          </w:p>
        </w:tc>
        <w:tc>
          <w:tcPr>
            <w:tcW w:w="1843" w:type="dxa"/>
            <w:vAlign w:val="center"/>
          </w:tcPr>
          <w:p w14:paraId="15E37FDE" w14:textId="3BC20727" w:rsidR="00382D4D" w:rsidRPr="00B103FF" w:rsidRDefault="00382D4D" w:rsidP="001A7D3E">
            <w:pPr>
              <w:spacing w:after="0" w:line="240" w:lineRule="auto"/>
              <w:rPr>
                <w:rFonts w:ascii="Aptos Narrow" w:eastAsia="Times New Roman" w:hAnsi="Aptos Narrow" w:cs="Times New Roman"/>
                <w:i/>
                <w:iCs/>
                <w:color w:val="156082" w:themeColor="accent1"/>
                <w:kern w:val="0"/>
                <w:lang w:eastAsia="en-AU"/>
                <w14:ligatures w14:val="none"/>
              </w:rPr>
            </w:pPr>
          </w:p>
        </w:tc>
        <w:tc>
          <w:tcPr>
            <w:tcW w:w="1843" w:type="dxa"/>
            <w:vAlign w:val="center"/>
          </w:tcPr>
          <w:p w14:paraId="53AD33B3" w14:textId="4D6F23ED" w:rsidR="00382D4D" w:rsidRPr="00B103FF" w:rsidRDefault="00382D4D" w:rsidP="001A7D3E">
            <w:pPr>
              <w:spacing w:after="0" w:line="240" w:lineRule="auto"/>
              <w:rPr>
                <w:rFonts w:ascii="Aptos Narrow" w:eastAsia="Times New Roman" w:hAnsi="Aptos Narrow" w:cs="Times New Roman"/>
                <w:i/>
                <w:iCs/>
                <w:color w:val="156082" w:themeColor="accent1"/>
                <w:kern w:val="0"/>
                <w:lang w:eastAsia="en-AU"/>
                <w14:ligatures w14:val="none"/>
              </w:rPr>
            </w:pPr>
          </w:p>
        </w:tc>
      </w:tr>
      <w:tr w:rsidR="00382D4D" w:rsidRPr="00206D6F" w14:paraId="65BD8F4F" w14:textId="77777777" w:rsidTr="001A7D3E">
        <w:trPr>
          <w:trHeight w:val="580"/>
        </w:trPr>
        <w:tc>
          <w:tcPr>
            <w:tcW w:w="2405" w:type="dxa"/>
            <w:vAlign w:val="center"/>
          </w:tcPr>
          <w:p w14:paraId="7CDD2522" w14:textId="3BD5002C" w:rsidR="00382D4D" w:rsidRPr="002F4CC6" w:rsidRDefault="00382D4D" w:rsidP="005B0412">
            <w:pPr>
              <w:spacing w:after="0" w:line="240" w:lineRule="auto"/>
              <w:rPr>
                <w:rFonts w:ascii="Aptos Narrow" w:eastAsia="Times New Roman" w:hAnsi="Aptos Narrow" w:cs="Times New Roman"/>
                <w:kern w:val="0"/>
                <w:lang w:eastAsia="en-AU"/>
                <w14:ligatures w14:val="none"/>
              </w:rPr>
            </w:pPr>
            <w:r>
              <w:rPr>
                <w:rFonts w:ascii="Aptos Narrow" w:eastAsia="Times New Roman" w:hAnsi="Aptos Narrow" w:cs="Times New Roman"/>
                <w:kern w:val="0"/>
                <w:lang w:eastAsia="en-AU"/>
                <w14:ligatures w14:val="none"/>
              </w:rPr>
              <w:t xml:space="preserve">Purchased </w:t>
            </w:r>
          </w:p>
        </w:tc>
        <w:tc>
          <w:tcPr>
            <w:tcW w:w="2693" w:type="dxa"/>
            <w:vAlign w:val="center"/>
          </w:tcPr>
          <w:p w14:paraId="4AE685BB" w14:textId="77777777" w:rsidR="00382D4D" w:rsidRPr="002F4CC6" w:rsidRDefault="00382D4D" w:rsidP="001A7D3E">
            <w:pPr>
              <w:spacing w:after="0" w:line="240" w:lineRule="auto"/>
              <w:rPr>
                <w:rFonts w:ascii="Aptos Narrow" w:eastAsia="Times New Roman" w:hAnsi="Aptos Narrow" w:cs="Times New Roman"/>
                <w:kern w:val="0"/>
                <w:lang w:eastAsia="en-AU"/>
                <w14:ligatures w14:val="none"/>
              </w:rPr>
            </w:pPr>
            <w:r>
              <w:rPr>
                <w:rFonts w:ascii="Aptos Narrow" w:eastAsia="Times New Roman" w:hAnsi="Aptos Narrow" w:cs="Times New Roman"/>
                <w:kern w:val="0"/>
                <w:lang w:eastAsia="en-AU"/>
                <w14:ligatures w14:val="none"/>
              </w:rPr>
              <w:t>Unknown</w:t>
            </w:r>
          </w:p>
        </w:tc>
        <w:tc>
          <w:tcPr>
            <w:tcW w:w="1985" w:type="dxa"/>
          </w:tcPr>
          <w:p w14:paraId="08A544DB" w14:textId="77777777" w:rsidR="00382D4D" w:rsidRDefault="00382D4D" w:rsidP="001A7D3E">
            <w:pPr>
              <w:spacing w:after="0" w:line="240" w:lineRule="auto"/>
              <w:rPr>
                <w:rFonts w:ascii="Aptos Narrow" w:eastAsia="Times New Roman" w:hAnsi="Aptos Narrow" w:cs="Times New Roman"/>
                <w:kern w:val="0"/>
                <w:lang w:eastAsia="en-AU"/>
                <w14:ligatures w14:val="none"/>
              </w:rPr>
            </w:pPr>
          </w:p>
        </w:tc>
        <w:tc>
          <w:tcPr>
            <w:tcW w:w="1559" w:type="dxa"/>
            <w:vAlign w:val="center"/>
          </w:tcPr>
          <w:p w14:paraId="474F4AF1" w14:textId="77777777" w:rsidR="00382D4D" w:rsidRPr="002F4CC6" w:rsidRDefault="00382D4D" w:rsidP="001A7D3E">
            <w:pPr>
              <w:spacing w:after="0" w:line="240" w:lineRule="auto"/>
              <w:rPr>
                <w:rFonts w:ascii="Aptos Narrow" w:eastAsia="Times New Roman" w:hAnsi="Aptos Narrow" w:cs="Times New Roman"/>
                <w:kern w:val="0"/>
                <w:lang w:eastAsia="en-AU"/>
                <w14:ligatures w14:val="none"/>
              </w:rPr>
            </w:pPr>
          </w:p>
        </w:tc>
        <w:tc>
          <w:tcPr>
            <w:tcW w:w="1701" w:type="dxa"/>
          </w:tcPr>
          <w:p w14:paraId="47FAE108" w14:textId="77777777" w:rsidR="00382D4D" w:rsidRPr="00206D6F" w:rsidRDefault="00382D4D" w:rsidP="001A7D3E">
            <w:pPr>
              <w:spacing w:after="0" w:line="240" w:lineRule="auto"/>
              <w:rPr>
                <w:rFonts w:ascii="Aptos Narrow" w:eastAsia="Times New Roman" w:hAnsi="Aptos Narrow" w:cs="Times New Roman"/>
                <w:i/>
                <w:iCs/>
                <w:color w:val="FF0000"/>
                <w:kern w:val="0"/>
                <w:lang w:eastAsia="en-AU"/>
                <w14:ligatures w14:val="none"/>
              </w:rPr>
            </w:pPr>
          </w:p>
        </w:tc>
        <w:tc>
          <w:tcPr>
            <w:tcW w:w="1843" w:type="dxa"/>
          </w:tcPr>
          <w:p w14:paraId="7E97D5CE" w14:textId="77777777" w:rsidR="00382D4D" w:rsidRPr="00206D6F" w:rsidRDefault="00382D4D" w:rsidP="001A7D3E">
            <w:pPr>
              <w:spacing w:after="0" w:line="240" w:lineRule="auto"/>
              <w:rPr>
                <w:rFonts w:ascii="Aptos Narrow" w:eastAsia="Times New Roman" w:hAnsi="Aptos Narrow" w:cs="Times New Roman"/>
                <w:i/>
                <w:iCs/>
                <w:color w:val="FF0000"/>
                <w:kern w:val="0"/>
                <w:lang w:eastAsia="en-AU"/>
                <w14:ligatures w14:val="none"/>
              </w:rPr>
            </w:pPr>
          </w:p>
        </w:tc>
        <w:tc>
          <w:tcPr>
            <w:tcW w:w="1843" w:type="dxa"/>
          </w:tcPr>
          <w:p w14:paraId="21F2413D" w14:textId="77777777" w:rsidR="00382D4D" w:rsidRPr="00206D6F" w:rsidRDefault="00382D4D" w:rsidP="001A7D3E">
            <w:pPr>
              <w:spacing w:after="0" w:line="240" w:lineRule="auto"/>
              <w:rPr>
                <w:rFonts w:ascii="Aptos Narrow" w:eastAsia="Times New Roman" w:hAnsi="Aptos Narrow" w:cs="Times New Roman"/>
                <w:i/>
                <w:iCs/>
                <w:color w:val="FF0000"/>
                <w:kern w:val="0"/>
                <w:lang w:eastAsia="en-AU"/>
                <w14:ligatures w14:val="none"/>
              </w:rPr>
            </w:pPr>
          </w:p>
        </w:tc>
      </w:tr>
    </w:tbl>
    <w:p w14:paraId="356ED70F" w14:textId="7F50D5AF" w:rsidR="001E62B2" w:rsidRDefault="001E62B2" w:rsidP="001E62B2">
      <w:pPr>
        <w:pStyle w:val="Heading3"/>
        <w:numPr>
          <w:ilvl w:val="0"/>
          <w:numId w:val="0"/>
        </w:numPr>
        <w:ind w:left="720" w:hanging="720"/>
      </w:pPr>
      <w:bookmarkStart w:id="112" w:name="_Toc206156784"/>
      <w:bookmarkEnd w:id="110"/>
      <w:r>
        <w:t>Methods and data quality</w:t>
      </w:r>
    </w:p>
    <w:tbl>
      <w:tblPr>
        <w:tblW w:w="14064" w:type="dxa"/>
        <w:tblLayout w:type="fixed"/>
        <w:tblLook w:val="04A0" w:firstRow="1" w:lastRow="0" w:firstColumn="1" w:lastColumn="0" w:noHBand="0" w:noVBand="1"/>
      </w:tblPr>
      <w:tblGrid>
        <w:gridCol w:w="960"/>
        <w:gridCol w:w="1496"/>
        <w:gridCol w:w="1252"/>
        <w:gridCol w:w="2099"/>
        <w:gridCol w:w="3544"/>
        <w:gridCol w:w="1181"/>
        <w:gridCol w:w="1160"/>
        <w:gridCol w:w="1167"/>
        <w:gridCol w:w="1205"/>
      </w:tblGrid>
      <w:tr w:rsidR="001E62B2" w:rsidRPr="00FE0AF7" w14:paraId="045EC60A" w14:textId="77777777" w:rsidTr="00936C78">
        <w:trPr>
          <w:trHeight w:val="780"/>
          <w:tblHeader/>
        </w:trPr>
        <w:tc>
          <w:tcPr>
            <w:tcW w:w="960"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783D2DFE" w14:textId="77777777" w:rsidR="001E62B2" w:rsidRPr="00FE0AF7" w:rsidRDefault="001E62B2">
            <w:pPr>
              <w:spacing w:after="120"/>
              <w:jc w:val="center"/>
              <w:rPr>
                <w:rFonts w:ascii="Aptos Narrow" w:eastAsia="Times New Roman" w:hAnsi="Aptos Narrow" w:cs="Times New Roman"/>
                <w:b/>
                <w:bCs/>
                <w:color w:val="000000"/>
                <w:kern w:val="0"/>
                <w:lang w:eastAsia="en-AU"/>
                <w14:ligatures w14:val="none"/>
              </w:rPr>
            </w:pPr>
            <w:r w:rsidRPr="00FE0AF7">
              <w:rPr>
                <w:rFonts w:ascii="Aptos Narrow" w:eastAsia="Times New Roman" w:hAnsi="Aptos Narrow" w:cs="Times New Roman"/>
                <w:b/>
                <w:bCs/>
                <w:color w:val="000000"/>
                <w:kern w:val="0"/>
                <w:lang w:eastAsia="en-AU"/>
                <w14:ligatures w14:val="none"/>
              </w:rPr>
              <w:t xml:space="preserve">Scope </w:t>
            </w:r>
          </w:p>
        </w:tc>
        <w:tc>
          <w:tcPr>
            <w:tcW w:w="1496" w:type="dxa"/>
            <w:tcBorders>
              <w:top w:val="single" w:sz="4" w:space="0" w:color="auto"/>
              <w:left w:val="nil"/>
              <w:bottom w:val="single" w:sz="4" w:space="0" w:color="auto"/>
              <w:right w:val="single" w:sz="4" w:space="0" w:color="auto"/>
            </w:tcBorders>
            <w:shd w:val="clear" w:color="000000" w:fill="E8E8E8"/>
            <w:vAlign w:val="center"/>
            <w:hideMark/>
          </w:tcPr>
          <w:p w14:paraId="5E1A576B" w14:textId="77777777" w:rsidR="001E62B2" w:rsidRPr="00FE0AF7" w:rsidRDefault="001E62B2">
            <w:pPr>
              <w:spacing w:after="120"/>
              <w:jc w:val="center"/>
              <w:rPr>
                <w:rFonts w:ascii="Aptos" w:eastAsia="Times New Roman" w:hAnsi="Aptos" w:cs="Times New Roman"/>
                <w:b/>
                <w:bCs/>
                <w:color w:val="000000"/>
                <w:kern w:val="0"/>
                <w:sz w:val="20"/>
                <w:szCs w:val="20"/>
                <w:lang w:eastAsia="en-AU"/>
                <w14:ligatures w14:val="none"/>
              </w:rPr>
            </w:pPr>
            <w:r w:rsidRPr="00FE0AF7">
              <w:rPr>
                <w:rFonts w:ascii="Aptos" w:eastAsia="Times New Roman" w:hAnsi="Aptos" w:cs="Times New Roman"/>
                <w:b/>
                <w:bCs/>
                <w:color w:val="000000"/>
                <w:kern w:val="0"/>
                <w:sz w:val="20"/>
                <w:szCs w:val="20"/>
                <w:lang w:eastAsia="en-AU"/>
                <w14:ligatures w14:val="none"/>
              </w:rPr>
              <w:t xml:space="preserve">Source or sink </w:t>
            </w:r>
          </w:p>
        </w:tc>
        <w:tc>
          <w:tcPr>
            <w:tcW w:w="1252" w:type="dxa"/>
            <w:tcBorders>
              <w:top w:val="single" w:sz="4" w:space="0" w:color="auto"/>
              <w:left w:val="nil"/>
              <w:bottom w:val="single" w:sz="4" w:space="0" w:color="auto"/>
              <w:right w:val="single" w:sz="4" w:space="0" w:color="auto"/>
            </w:tcBorders>
            <w:shd w:val="clear" w:color="000000" w:fill="E8E8E8"/>
            <w:vAlign w:val="center"/>
            <w:hideMark/>
          </w:tcPr>
          <w:p w14:paraId="33987E50" w14:textId="77777777" w:rsidR="001E62B2" w:rsidRPr="00FE0AF7" w:rsidRDefault="001E62B2">
            <w:pPr>
              <w:spacing w:after="120"/>
              <w:jc w:val="center"/>
              <w:rPr>
                <w:rFonts w:ascii="Aptos" w:eastAsia="Times New Roman" w:hAnsi="Aptos" w:cs="Times New Roman"/>
                <w:b/>
                <w:bCs/>
                <w:color w:val="000000"/>
                <w:kern w:val="0"/>
                <w:sz w:val="20"/>
                <w:szCs w:val="20"/>
                <w:lang w:eastAsia="en-AU"/>
                <w14:ligatures w14:val="none"/>
              </w:rPr>
            </w:pPr>
            <w:r w:rsidRPr="00FE0AF7">
              <w:rPr>
                <w:rFonts w:ascii="Aptos" w:eastAsia="Times New Roman" w:hAnsi="Aptos" w:cs="Times New Roman"/>
                <w:b/>
                <w:bCs/>
                <w:color w:val="000000"/>
                <w:kern w:val="0"/>
                <w:sz w:val="20"/>
                <w:szCs w:val="20"/>
                <w:lang w:eastAsia="en-AU"/>
                <w14:ligatures w14:val="none"/>
              </w:rPr>
              <w:t>Estimation method</w:t>
            </w:r>
          </w:p>
        </w:tc>
        <w:tc>
          <w:tcPr>
            <w:tcW w:w="2099" w:type="dxa"/>
            <w:tcBorders>
              <w:top w:val="single" w:sz="4" w:space="0" w:color="auto"/>
              <w:left w:val="nil"/>
              <w:bottom w:val="single" w:sz="4" w:space="0" w:color="auto"/>
              <w:right w:val="single" w:sz="4" w:space="0" w:color="auto"/>
            </w:tcBorders>
            <w:shd w:val="clear" w:color="000000" w:fill="E8E8E8"/>
            <w:vAlign w:val="center"/>
            <w:hideMark/>
          </w:tcPr>
          <w:p w14:paraId="7C327FC0" w14:textId="77777777" w:rsidR="001E62B2" w:rsidRPr="00FE0AF7" w:rsidRDefault="001E62B2">
            <w:pPr>
              <w:spacing w:after="120"/>
              <w:jc w:val="center"/>
              <w:rPr>
                <w:rFonts w:ascii="Aptos" w:eastAsia="Times New Roman" w:hAnsi="Aptos" w:cs="Times New Roman"/>
                <w:b/>
                <w:bCs/>
                <w:color w:val="000000"/>
                <w:kern w:val="0"/>
                <w:sz w:val="20"/>
                <w:szCs w:val="20"/>
                <w:lang w:eastAsia="en-AU"/>
                <w14:ligatures w14:val="none"/>
              </w:rPr>
            </w:pPr>
            <w:r w:rsidRPr="00FE0AF7">
              <w:rPr>
                <w:rFonts w:ascii="Aptos" w:eastAsia="Times New Roman" w:hAnsi="Aptos" w:cs="Times New Roman"/>
                <w:b/>
                <w:bCs/>
                <w:color w:val="000000"/>
                <w:kern w:val="0"/>
                <w:sz w:val="20"/>
                <w:szCs w:val="20"/>
                <w:lang w:eastAsia="en-AU"/>
                <w14:ligatures w14:val="none"/>
              </w:rPr>
              <w:t>Activity data or input parameter</w:t>
            </w:r>
          </w:p>
        </w:tc>
        <w:tc>
          <w:tcPr>
            <w:tcW w:w="3544" w:type="dxa"/>
            <w:tcBorders>
              <w:top w:val="single" w:sz="4" w:space="0" w:color="auto"/>
              <w:left w:val="nil"/>
              <w:bottom w:val="single" w:sz="4" w:space="0" w:color="auto"/>
              <w:right w:val="single" w:sz="4" w:space="0" w:color="auto"/>
            </w:tcBorders>
            <w:shd w:val="clear" w:color="000000" w:fill="E8E8E8"/>
            <w:vAlign w:val="center"/>
            <w:hideMark/>
          </w:tcPr>
          <w:p w14:paraId="385BEDE6" w14:textId="77777777" w:rsidR="001E62B2" w:rsidRPr="00FE0AF7" w:rsidRDefault="001E62B2">
            <w:pPr>
              <w:spacing w:after="120"/>
              <w:jc w:val="center"/>
              <w:rPr>
                <w:rFonts w:ascii="Aptos" w:eastAsia="Times New Roman" w:hAnsi="Aptos" w:cs="Times New Roman"/>
                <w:b/>
                <w:bCs/>
                <w:color w:val="000000"/>
                <w:kern w:val="0"/>
                <w:sz w:val="20"/>
                <w:szCs w:val="20"/>
                <w:lang w:eastAsia="en-AU"/>
                <w14:ligatures w14:val="none"/>
              </w:rPr>
            </w:pPr>
            <w:r w:rsidRPr="00FE0AF7">
              <w:rPr>
                <w:rFonts w:ascii="Aptos" w:eastAsia="Times New Roman" w:hAnsi="Aptos" w:cs="Times New Roman"/>
                <w:b/>
                <w:bCs/>
                <w:color w:val="000000"/>
                <w:kern w:val="0"/>
                <w:sz w:val="20"/>
                <w:szCs w:val="20"/>
                <w:lang w:eastAsia="en-AU"/>
                <w14:ligatures w14:val="none"/>
              </w:rPr>
              <w:t xml:space="preserve">Data </w:t>
            </w:r>
            <w:r>
              <w:rPr>
                <w:rFonts w:ascii="Aptos" w:eastAsia="Times New Roman" w:hAnsi="Aptos" w:cs="Times New Roman"/>
                <w:b/>
                <w:bCs/>
                <w:color w:val="000000"/>
                <w:kern w:val="0"/>
                <w:sz w:val="20"/>
                <w:szCs w:val="20"/>
                <w:lang w:eastAsia="en-AU"/>
                <w14:ligatures w14:val="none"/>
              </w:rPr>
              <w:t>s</w:t>
            </w:r>
            <w:r w:rsidRPr="00FE0AF7">
              <w:rPr>
                <w:rFonts w:ascii="Aptos" w:eastAsia="Times New Roman" w:hAnsi="Aptos" w:cs="Times New Roman"/>
                <w:b/>
                <w:bCs/>
                <w:color w:val="000000"/>
                <w:kern w:val="0"/>
                <w:sz w:val="20"/>
                <w:szCs w:val="20"/>
                <w:lang w:eastAsia="en-AU"/>
                <w14:ligatures w14:val="none"/>
              </w:rPr>
              <w:t>ource</w:t>
            </w:r>
          </w:p>
        </w:tc>
        <w:tc>
          <w:tcPr>
            <w:tcW w:w="1181" w:type="dxa"/>
            <w:tcBorders>
              <w:top w:val="single" w:sz="4" w:space="0" w:color="auto"/>
              <w:left w:val="nil"/>
              <w:bottom w:val="single" w:sz="4" w:space="0" w:color="auto"/>
              <w:right w:val="single" w:sz="4" w:space="0" w:color="auto"/>
            </w:tcBorders>
            <w:shd w:val="clear" w:color="000000" w:fill="E8E8E8"/>
            <w:vAlign w:val="center"/>
            <w:hideMark/>
          </w:tcPr>
          <w:p w14:paraId="39C261DA" w14:textId="77777777" w:rsidR="001E62B2" w:rsidRPr="00753DE0" w:rsidRDefault="001E62B2">
            <w:pPr>
              <w:spacing w:after="120"/>
              <w:jc w:val="center"/>
              <w:rPr>
                <w:rFonts w:ascii="Aptos" w:eastAsia="Times New Roman" w:hAnsi="Aptos" w:cs="Times New Roman"/>
                <w:b/>
                <w:kern w:val="0"/>
                <w:sz w:val="20"/>
                <w:szCs w:val="20"/>
                <w:lang w:eastAsia="en-AU"/>
                <w14:ligatures w14:val="none"/>
              </w:rPr>
            </w:pPr>
            <w:r w:rsidRPr="00753DE0">
              <w:rPr>
                <w:rFonts w:ascii="Aptos" w:eastAsia="Times New Roman" w:hAnsi="Aptos" w:cs="Times New Roman"/>
                <w:b/>
                <w:kern w:val="0"/>
                <w:sz w:val="20"/>
                <w:szCs w:val="20"/>
                <w:lang w:eastAsia="en-AU"/>
                <w14:ligatures w14:val="none"/>
              </w:rPr>
              <w:t xml:space="preserve">Data quality rating </w:t>
            </w:r>
            <w:r w:rsidRPr="00753DE0">
              <w:rPr>
                <w:rFonts w:ascii="Aptos" w:eastAsia="Times New Roman" w:hAnsi="Aptos" w:cs="Times New Roman"/>
                <w:b/>
                <w:kern w:val="0"/>
                <w:sz w:val="20"/>
                <w:szCs w:val="20"/>
                <w:lang w:eastAsia="en-AU"/>
                <w14:ligatures w14:val="none"/>
              </w:rPr>
              <w:br/>
              <w:t xml:space="preserve">Temporal </w:t>
            </w:r>
          </w:p>
        </w:tc>
        <w:tc>
          <w:tcPr>
            <w:tcW w:w="1160" w:type="dxa"/>
            <w:tcBorders>
              <w:top w:val="single" w:sz="4" w:space="0" w:color="auto"/>
              <w:left w:val="nil"/>
              <w:bottom w:val="single" w:sz="4" w:space="0" w:color="auto"/>
              <w:right w:val="single" w:sz="4" w:space="0" w:color="auto"/>
            </w:tcBorders>
            <w:shd w:val="clear" w:color="000000" w:fill="E8E8E8"/>
            <w:vAlign w:val="center"/>
            <w:hideMark/>
          </w:tcPr>
          <w:p w14:paraId="7130C51B" w14:textId="77777777" w:rsidR="001E62B2" w:rsidRPr="00753DE0" w:rsidRDefault="001E62B2">
            <w:pPr>
              <w:spacing w:after="120"/>
              <w:jc w:val="center"/>
              <w:rPr>
                <w:rFonts w:ascii="Aptos" w:eastAsia="Times New Roman" w:hAnsi="Aptos" w:cs="Times New Roman"/>
                <w:b/>
                <w:kern w:val="0"/>
                <w:sz w:val="20"/>
                <w:szCs w:val="20"/>
                <w:lang w:eastAsia="en-AU"/>
                <w14:ligatures w14:val="none"/>
              </w:rPr>
            </w:pPr>
            <w:r w:rsidRPr="00753DE0">
              <w:rPr>
                <w:rFonts w:ascii="Aptos" w:eastAsia="Times New Roman" w:hAnsi="Aptos" w:cs="Times New Roman"/>
                <w:b/>
                <w:kern w:val="0"/>
                <w:sz w:val="20"/>
                <w:szCs w:val="20"/>
                <w:lang w:eastAsia="en-AU"/>
                <w14:ligatures w14:val="none"/>
              </w:rPr>
              <w:t xml:space="preserve">Data quality rating </w:t>
            </w:r>
            <w:r w:rsidRPr="00753DE0">
              <w:rPr>
                <w:rFonts w:ascii="Aptos" w:eastAsia="Times New Roman" w:hAnsi="Aptos" w:cs="Times New Roman"/>
                <w:b/>
                <w:kern w:val="0"/>
                <w:sz w:val="20"/>
                <w:szCs w:val="20"/>
                <w:lang w:eastAsia="en-AU"/>
                <w14:ligatures w14:val="none"/>
              </w:rPr>
              <w:br/>
              <w:t xml:space="preserve">Spatial </w:t>
            </w:r>
          </w:p>
        </w:tc>
        <w:tc>
          <w:tcPr>
            <w:tcW w:w="1167" w:type="dxa"/>
            <w:tcBorders>
              <w:top w:val="single" w:sz="4" w:space="0" w:color="auto"/>
              <w:left w:val="nil"/>
              <w:bottom w:val="single" w:sz="4" w:space="0" w:color="auto"/>
              <w:right w:val="single" w:sz="4" w:space="0" w:color="auto"/>
            </w:tcBorders>
            <w:shd w:val="clear" w:color="000000" w:fill="E8E8E8"/>
            <w:vAlign w:val="center"/>
            <w:hideMark/>
          </w:tcPr>
          <w:p w14:paraId="77067FA3" w14:textId="77777777" w:rsidR="001E62B2" w:rsidRPr="00753DE0" w:rsidRDefault="001E62B2">
            <w:pPr>
              <w:spacing w:after="120"/>
              <w:jc w:val="center"/>
              <w:rPr>
                <w:rFonts w:ascii="Aptos" w:eastAsia="Times New Roman" w:hAnsi="Aptos" w:cs="Times New Roman"/>
                <w:b/>
                <w:kern w:val="0"/>
                <w:sz w:val="20"/>
                <w:szCs w:val="20"/>
                <w:lang w:eastAsia="en-AU"/>
                <w14:ligatures w14:val="none"/>
              </w:rPr>
            </w:pPr>
            <w:r w:rsidRPr="00753DE0">
              <w:rPr>
                <w:rFonts w:ascii="Aptos" w:eastAsia="Times New Roman" w:hAnsi="Aptos" w:cs="Times New Roman"/>
                <w:b/>
                <w:kern w:val="0"/>
                <w:sz w:val="20"/>
                <w:szCs w:val="20"/>
                <w:lang w:eastAsia="en-AU"/>
                <w14:ligatures w14:val="none"/>
              </w:rPr>
              <w:t xml:space="preserve">Data quality rating </w:t>
            </w:r>
            <w:r w:rsidRPr="00753DE0">
              <w:rPr>
                <w:rFonts w:ascii="Aptos" w:eastAsia="Times New Roman" w:hAnsi="Aptos" w:cs="Times New Roman"/>
                <w:b/>
                <w:kern w:val="0"/>
                <w:sz w:val="20"/>
                <w:szCs w:val="20"/>
                <w:lang w:eastAsia="en-AU"/>
                <w14:ligatures w14:val="none"/>
              </w:rPr>
              <w:br/>
              <w:t>Sample size</w:t>
            </w:r>
          </w:p>
        </w:tc>
        <w:tc>
          <w:tcPr>
            <w:tcW w:w="1205" w:type="dxa"/>
            <w:tcBorders>
              <w:top w:val="single" w:sz="4" w:space="0" w:color="auto"/>
              <w:left w:val="nil"/>
              <w:bottom w:val="single" w:sz="4" w:space="0" w:color="auto"/>
              <w:right w:val="single" w:sz="4" w:space="0" w:color="auto"/>
            </w:tcBorders>
            <w:shd w:val="clear" w:color="000000" w:fill="E8E8E8"/>
            <w:vAlign w:val="center"/>
            <w:hideMark/>
          </w:tcPr>
          <w:p w14:paraId="4F5B8088" w14:textId="77777777" w:rsidR="001E62B2" w:rsidRPr="00753DE0" w:rsidRDefault="001E62B2">
            <w:pPr>
              <w:spacing w:after="120"/>
              <w:jc w:val="center"/>
              <w:rPr>
                <w:rFonts w:ascii="Aptos" w:eastAsia="Times New Roman" w:hAnsi="Aptos" w:cs="Times New Roman"/>
                <w:b/>
                <w:kern w:val="0"/>
                <w:sz w:val="20"/>
                <w:szCs w:val="20"/>
                <w:lang w:eastAsia="en-AU"/>
                <w14:ligatures w14:val="none"/>
              </w:rPr>
            </w:pPr>
            <w:r w:rsidRPr="00753DE0">
              <w:rPr>
                <w:rFonts w:ascii="Aptos" w:eastAsia="Times New Roman" w:hAnsi="Aptos" w:cs="Times New Roman"/>
                <w:b/>
                <w:kern w:val="0"/>
                <w:sz w:val="20"/>
                <w:szCs w:val="20"/>
                <w:lang w:eastAsia="en-AU"/>
                <w14:ligatures w14:val="none"/>
              </w:rPr>
              <w:t xml:space="preserve">Data quality rating </w:t>
            </w:r>
            <w:r w:rsidRPr="00753DE0">
              <w:rPr>
                <w:rFonts w:ascii="Aptos" w:eastAsia="Times New Roman" w:hAnsi="Aptos" w:cs="Times New Roman"/>
                <w:b/>
                <w:kern w:val="0"/>
                <w:sz w:val="20"/>
                <w:szCs w:val="20"/>
                <w:lang w:eastAsia="en-AU"/>
                <w14:ligatures w14:val="none"/>
              </w:rPr>
              <w:br/>
              <w:t>Scope 3 EF</w:t>
            </w:r>
          </w:p>
        </w:tc>
      </w:tr>
      <w:tr w:rsidR="001E62B2" w:rsidRPr="00FE0AF7" w14:paraId="6712F480" w14:textId="77777777" w:rsidTr="009D51D6">
        <w:trPr>
          <w:trHeight w:val="170"/>
        </w:trPr>
        <w:tc>
          <w:tcPr>
            <w:tcW w:w="960" w:type="dxa"/>
            <w:vMerge w:val="restart"/>
            <w:tcBorders>
              <w:top w:val="nil"/>
              <w:left w:val="single" w:sz="4" w:space="0" w:color="auto"/>
              <w:bottom w:val="single" w:sz="4" w:space="0" w:color="auto"/>
              <w:right w:val="single" w:sz="4" w:space="0" w:color="auto"/>
            </w:tcBorders>
            <w:noWrap/>
            <w:vAlign w:val="center"/>
            <w:hideMark/>
          </w:tcPr>
          <w:p w14:paraId="42E01EF0"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1</w:t>
            </w:r>
          </w:p>
        </w:tc>
        <w:tc>
          <w:tcPr>
            <w:tcW w:w="1496" w:type="dxa"/>
            <w:vMerge w:val="restart"/>
            <w:tcBorders>
              <w:top w:val="nil"/>
              <w:left w:val="single" w:sz="4" w:space="0" w:color="auto"/>
              <w:bottom w:val="single" w:sz="4" w:space="0" w:color="auto"/>
              <w:right w:val="single" w:sz="4" w:space="0" w:color="auto"/>
            </w:tcBorders>
            <w:vAlign w:val="center"/>
            <w:hideMark/>
          </w:tcPr>
          <w:p w14:paraId="2B0FA499" w14:textId="049EB529"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iCs/>
                <w:color w:val="156082" w:themeColor="accent1"/>
                <w:kern w:val="0"/>
                <w:sz w:val="20"/>
                <w:szCs w:val="20"/>
                <w:lang w:eastAsia="en-AU"/>
                <w14:ligatures w14:val="none"/>
              </w:rPr>
              <w:t>e.g. enteric</w:t>
            </w:r>
            <w:r w:rsidRPr="00753DE0">
              <w:rPr>
                <w:rFonts w:eastAsia="Times New Roman" w:cs="Times New Roman"/>
                <w:i/>
                <w:color w:val="156082" w:themeColor="accent1"/>
                <w:kern w:val="0"/>
                <w:sz w:val="20"/>
                <w:szCs w:val="20"/>
                <w:lang w:eastAsia="en-AU"/>
                <w14:ligatures w14:val="none"/>
              </w:rPr>
              <w:t xml:space="preserve"> fermentation – </w:t>
            </w:r>
            <w:r w:rsidR="00165E88">
              <w:rPr>
                <w:rFonts w:eastAsia="Times New Roman" w:cs="Times New Roman"/>
                <w:i/>
                <w:color w:val="156082" w:themeColor="accent1"/>
                <w:kern w:val="0"/>
                <w:sz w:val="20"/>
                <w:szCs w:val="20"/>
                <w:lang w:eastAsia="en-AU"/>
                <w14:ligatures w14:val="none"/>
              </w:rPr>
              <w:t>g</w:t>
            </w:r>
            <w:r w:rsidRPr="00753DE0">
              <w:rPr>
                <w:rFonts w:eastAsia="Times New Roman" w:cs="Times New Roman"/>
                <w:i/>
                <w:color w:val="156082" w:themeColor="accent1"/>
                <w:kern w:val="0"/>
                <w:sz w:val="20"/>
                <w:szCs w:val="20"/>
                <w:lang w:eastAsia="en-AU"/>
                <w14:ligatures w14:val="none"/>
              </w:rPr>
              <w:t>razing</w:t>
            </w:r>
            <w:r w:rsidR="00165E88">
              <w:rPr>
                <w:rFonts w:eastAsia="Times New Roman" w:cs="Times New Roman"/>
                <w:i/>
                <w:color w:val="156082" w:themeColor="accent1"/>
                <w:kern w:val="0"/>
                <w:sz w:val="20"/>
                <w:szCs w:val="20"/>
                <w:lang w:eastAsia="en-AU"/>
                <w14:ligatures w14:val="none"/>
              </w:rPr>
              <w:t xml:space="preserve"> sheep</w:t>
            </w:r>
          </w:p>
        </w:tc>
        <w:tc>
          <w:tcPr>
            <w:tcW w:w="1252" w:type="dxa"/>
            <w:vMerge w:val="restart"/>
            <w:tcBorders>
              <w:top w:val="nil"/>
              <w:left w:val="single" w:sz="4" w:space="0" w:color="auto"/>
              <w:bottom w:val="single" w:sz="4" w:space="0" w:color="auto"/>
              <w:right w:val="single" w:sz="4" w:space="0" w:color="auto"/>
            </w:tcBorders>
            <w:vAlign w:val="center"/>
            <w:hideMark/>
          </w:tcPr>
          <w:p w14:paraId="122A3908"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Method 2</w:t>
            </w:r>
          </w:p>
        </w:tc>
        <w:tc>
          <w:tcPr>
            <w:tcW w:w="2099" w:type="dxa"/>
            <w:tcBorders>
              <w:top w:val="nil"/>
              <w:left w:val="nil"/>
              <w:bottom w:val="single" w:sz="4" w:space="0" w:color="auto"/>
              <w:right w:val="single" w:sz="4" w:space="0" w:color="auto"/>
            </w:tcBorders>
            <w:vAlign w:val="center"/>
            <w:hideMark/>
          </w:tcPr>
          <w:p w14:paraId="78DAAB43"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Number of animals in each class</w:t>
            </w:r>
          </w:p>
        </w:tc>
        <w:tc>
          <w:tcPr>
            <w:tcW w:w="3544" w:type="dxa"/>
            <w:tcBorders>
              <w:top w:val="nil"/>
              <w:left w:val="nil"/>
              <w:bottom w:val="single" w:sz="4" w:space="0" w:color="auto"/>
              <w:right w:val="single" w:sz="4" w:space="0" w:color="auto"/>
            </w:tcBorders>
            <w:vAlign w:val="center"/>
            <w:hideMark/>
          </w:tcPr>
          <w:p w14:paraId="77E934DA"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Farm records – full herd muster from 18 months ago</w:t>
            </w:r>
          </w:p>
        </w:tc>
        <w:tc>
          <w:tcPr>
            <w:tcW w:w="1181" w:type="dxa"/>
            <w:tcBorders>
              <w:top w:val="nil"/>
              <w:left w:val="nil"/>
              <w:bottom w:val="single" w:sz="4" w:space="0" w:color="auto"/>
              <w:right w:val="single" w:sz="4" w:space="0" w:color="auto"/>
            </w:tcBorders>
            <w:vAlign w:val="center"/>
            <w:hideMark/>
          </w:tcPr>
          <w:p w14:paraId="489D97CA"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3</w:t>
            </w:r>
          </w:p>
        </w:tc>
        <w:tc>
          <w:tcPr>
            <w:tcW w:w="1160" w:type="dxa"/>
            <w:tcBorders>
              <w:top w:val="nil"/>
              <w:left w:val="nil"/>
              <w:bottom w:val="single" w:sz="4" w:space="0" w:color="auto"/>
              <w:right w:val="single" w:sz="4" w:space="0" w:color="auto"/>
            </w:tcBorders>
            <w:vAlign w:val="center"/>
            <w:hideMark/>
          </w:tcPr>
          <w:p w14:paraId="60D4FF51"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4</w:t>
            </w:r>
          </w:p>
        </w:tc>
        <w:tc>
          <w:tcPr>
            <w:tcW w:w="1167" w:type="dxa"/>
            <w:tcBorders>
              <w:top w:val="nil"/>
              <w:left w:val="nil"/>
              <w:bottom w:val="single" w:sz="4" w:space="0" w:color="auto"/>
              <w:right w:val="single" w:sz="4" w:space="0" w:color="auto"/>
            </w:tcBorders>
            <w:vAlign w:val="center"/>
            <w:hideMark/>
          </w:tcPr>
          <w:p w14:paraId="6653A595"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205" w:type="dxa"/>
            <w:tcBorders>
              <w:top w:val="nil"/>
              <w:left w:val="nil"/>
              <w:bottom w:val="single" w:sz="4" w:space="0" w:color="auto"/>
              <w:right w:val="single" w:sz="4" w:space="0" w:color="auto"/>
            </w:tcBorders>
            <w:vAlign w:val="center"/>
            <w:hideMark/>
          </w:tcPr>
          <w:p w14:paraId="32043932"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r>
      <w:tr w:rsidR="001E62B2" w:rsidRPr="00FE0AF7" w14:paraId="15CCE23E" w14:textId="77777777" w:rsidTr="00936C78">
        <w:trPr>
          <w:trHeight w:val="20"/>
        </w:trPr>
        <w:tc>
          <w:tcPr>
            <w:tcW w:w="960" w:type="dxa"/>
            <w:vMerge/>
            <w:tcBorders>
              <w:top w:val="nil"/>
              <w:left w:val="single" w:sz="4" w:space="0" w:color="auto"/>
              <w:bottom w:val="single" w:sz="4" w:space="0" w:color="auto"/>
              <w:right w:val="single" w:sz="4" w:space="0" w:color="auto"/>
            </w:tcBorders>
            <w:vAlign w:val="center"/>
            <w:hideMark/>
          </w:tcPr>
          <w:p w14:paraId="5D3ABB53" w14:textId="77777777" w:rsidR="001E62B2" w:rsidRPr="00753DE0" w:rsidRDefault="001E62B2">
            <w:pPr>
              <w:spacing w:after="120"/>
              <w:rPr>
                <w:rFonts w:eastAsia="Times New Roman" w:cs="Times New Roman"/>
                <w:i/>
                <w:color w:val="156082" w:themeColor="accent1"/>
                <w:kern w:val="0"/>
                <w:sz w:val="20"/>
                <w:szCs w:val="20"/>
                <w:lang w:eastAsia="en-AU"/>
                <w14:ligatures w14:val="none"/>
              </w:rPr>
            </w:pPr>
          </w:p>
        </w:tc>
        <w:tc>
          <w:tcPr>
            <w:tcW w:w="1496" w:type="dxa"/>
            <w:vMerge/>
            <w:tcBorders>
              <w:top w:val="nil"/>
              <w:left w:val="single" w:sz="4" w:space="0" w:color="auto"/>
              <w:bottom w:val="single" w:sz="4" w:space="0" w:color="auto"/>
              <w:right w:val="single" w:sz="4" w:space="0" w:color="auto"/>
            </w:tcBorders>
            <w:vAlign w:val="center"/>
            <w:hideMark/>
          </w:tcPr>
          <w:p w14:paraId="31313D6A" w14:textId="77777777" w:rsidR="001E62B2" w:rsidRPr="00753DE0" w:rsidRDefault="001E62B2">
            <w:pPr>
              <w:spacing w:after="120"/>
              <w:rPr>
                <w:rFonts w:eastAsia="Times New Roman" w:cs="Times New Roman"/>
                <w:i/>
                <w:color w:val="156082" w:themeColor="accent1"/>
                <w:kern w:val="0"/>
                <w:sz w:val="20"/>
                <w:szCs w:val="20"/>
                <w:lang w:eastAsia="en-AU"/>
                <w14:ligatures w14:val="none"/>
              </w:rPr>
            </w:pPr>
          </w:p>
        </w:tc>
        <w:tc>
          <w:tcPr>
            <w:tcW w:w="1252" w:type="dxa"/>
            <w:vMerge/>
            <w:tcBorders>
              <w:top w:val="nil"/>
              <w:left w:val="single" w:sz="4" w:space="0" w:color="auto"/>
              <w:bottom w:val="single" w:sz="4" w:space="0" w:color="auto"/>
              <w:right w:val="single" w:sz="4" w:space="0" w:color="auto"/>
            </w:tcBorders>
            <w:vAlign w:val="center"/>
            <w:hideMark/>
          </w:tcPr>
          <w:p w14:paraId="490DD251" w14:textId="77777777" w:rsidR="001E62B2" w:rsidRPr="00753DE0" w:rsidRDefault="001E62B2">
            <w:pPr>
              <w:spacing w:after="120"/>
              <w:rPr>
                <w:rFonts w:eastAsia="Times New Roman" w:cs="Times New Roman"/>
                <w:i/>
                <w:color w:val="156082" w:themeColor="accent1"/>
                <w:kern w:val="0"/>
                <w:sz w:val="20"/>
                <w:szCs w:val="20"/>
                <w:lang w:eastAsia="en-AU"/>
                <w14:ligatures w14:val="none"/>
              </w:rPr>
            </w:pPr>
          </w:p>
        </w:tc>
        <w:tc>
          <w:tcPr>
            <w:tcW w:w="2099" w:type="dxa"/>
            <w:tcBorders>
              <w:top w:val="nil"/>
              <w:left w:val="nil"/>
              <w:bottom w:val="single" w:sz="4" w:space="0" w:color="auto"/>
              <w:right w:val="single" w:sz="4" w:space="0" w:color="auto"/>
            </w:tcBorders>
            <w:vAlign w:val="center"/>
            <w:hideMark/>
          </w:tcPr>
          <w:p w14:paraId="324A39DB" w14:textId="44DD100B" w:rsidR="001E62B2" w:rsidRPr="00753DE0" w:rsidRDefault="00432C12">
            <w:pPr>
              <w:spacing w:after="120"/>
              <w:jc w:val="center"/>
              <w:rPr>
                <w:rFonts w:eastAsia="Times New Roman" w:cs="Times New Roman"/>
                <w:i/>
                <w:color w:val="156082" w:themeColor="accent1"/>
                <w:kern w:val="0"/>
                <w:sz w:val="20"/>
                <w:szCs w:val="20"/>
                <w:lang w:eastAsia="en-AU"/>
                <w14:ligatures w14:val="none"/>
              </w:rPr>
            </w:pPr>
            <w:r>
              <w:rPr>
                <w:rFonts w:eastAsia="Times New Roman" w:cs="Times New Roman"/>
                <w:i/>
                <w:color w:val="156082" w:themeColor="accent1"/>
                <w:kern w:val="0"/>
                <w:sz w:val="20"/>
                <w:szCs w:val="20"/>
                <w:lang w:eastAsia="en-AU"/>
                <w14:ligatures w14:val="none"/>
              </w:rPr>
              <w:t>D</w:t>
            </w:r>
            <w:r w:rsidR="00D84C13">
              <w:rPr>
                <w:rFonts w:eastAsia="Times New Roman" w:cs="Times New Roman"/>
                <w:i/>
                <w:color w:val="156082" w:themeColor="accent1"/>
                <w:kern w:val="0"/>
                <w:sz w:val="20"/>
                <w:szCs w:val="20"/>
                <w:lang w:eastAsia="en-AU"/>
                <w14:ligatures w14:val="none"/>
              </w:rPr>
              <w:t>MD and DMA</w:t>
            </w:r>
          </w:p>
        </w:tc>
        <w:tc>
          <w:tcPr>
            <w:tcW w:w="3544" w:type="dxa"/>
            <w:tcBorders>
              <w:top w:val="nil"/>
              <w:left w:val="nil"/>
              <w:bottom w:val="single" w:sz="4" w:space="0" w:color="auto"/>
              <w:right w:val="single" w:sz="4" w:space="0" w:color="auto"/>
            </w:tcBorders>
            <w:vAlign w:val="center"/>
            <w:hideMark/>
          </w:tcPr>
          <w:p w14:paraId="649A4486" w14:textId="663C034C" w:rsidR="001E62B2" w:rsidRPr="00753DE0" w:rsidRDefault="00432C1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 xml:space="preserve">Default </w:t>
            </w:r>
            <w:r w:rsidR="00D84C13">
              <w:rPr>
                <w:rFonts w:eastAsia="Times New Roman" w:cs="Times New Roman"/>
                <w:i/>
                <w:color w:val="156082" w:themeColor="accent1"/>
                <w:kern w:val="0"/>
                <w:sz w:val="20"/>
                <w:szCs w:val="20"/>
                <w:lang w:eastAsia="en-AU"/>
                <w14:ligatures w14:val="none"/>
              </w:rPr>
              <w:t>state</w:t>
            </w:r>
            <w:r w:rsidRPr="00753DE0">
              <w:rPr>
                <w:rFonts w:eastAsia="Times New Roman" w:cs="Times New Roman"/>
                <w:i/>
                <w:color w:val="156082" w:themeColor="accent1"/>
                <w:kern w:val="0"/>
                <w:sz w:val="20"/>
                <w:szCs w:val="20"/>
                <w:lang w:eastAsia="en-AU"/>
                <w14:ligatures w14:val="none"/>
              </w:rPr>
              <w:t xml:space="preserve"> value</w:t>
            </w:r>
          </w:p>
        </w:tc>
        <w:tc>
          <w:tcPr>
            <w:tcW w:w="1181" w:type="dxa"/>
            <w:tcBorders>
              <w:top w:val="nil"/>
              <w:left w:val="nil"/>
              <w:bottom w:val="single" w:sz="4" w:space="0" w:color="auto"/>
              <w:right w:val="single" w:sz="4" w:space="0" w:color="auto"/>
            </w:tcBorders>
            <w:vAlign w:val="center"/>
            <w:hideMark/>
          </w:tcPr>
          <w:p w14:paraId="0D43AAD7" w14:textId="2F44080B" w:rsidR="001E62B2" w:rsidRPr="00753DE0" w:rsidRDefault="00C807ED">
            <w:pPr>
              <w:spacing w:after="120"/>
              <w:jc w:val="center"/>
              <w:rPr>
                <w:rFonts w:eastAsia="Times New Roman" w:cs="Times New Roman"/>
                <w:i/>
                <w:color w:val="156082" w:themeColor="accent1"/>
                <w:kern w:val="0"/>
                <w:sz w:val="20"/>
                <w:szCs w:val="20"/>
                <w:lang w:eastAsia="en-AU"/>
                <w14:ligatures w14:val="none"/>
              </w:rPr>
            </w:pPr>
            <w:r>
              <w:rPr>
                <w:rFonts w:eastAsia="Times New Roman" w:cs="Times New Roman"/>
                <w:i/>
                <w:color w:val="156082" w:themeColor="accent1"/>
                <w:kern w:val="0"/>
                <w:sz w:val="20"/>
                <w:szCs w:val="20"/>
                <w:lang w:eastAsia="en-AU"/>
                <w14:ligatures w14:val="none"/>
              </w:rPr>
              <w:t>1</w:t>
            </w:r>
          </w:p>
        </w:tc>
        <w:tc>
          <w:tcPr>
            <w:tcW w:w="1160" w:type="dxa"/>
            <w:tcBorders>
              <w:top w:val="nil"/>
              <w:left w:val="nil"/>
              <w:bottom w:val="single" w:sz="4" w:space="0" w:color="auto"/>
              <w:right w:val="single" w:sz="4" w:space="0" w:color="auto"/>
            </w:tcBorders>
            <w:vAlign w:val="center"/>
            <w:hideMark/>
          </w:tcPr>
          <w:p w14:paraId="77FDABA1" w14:textId="6FFC8D93" w:rsidR="001E62B2" w:rsidRPr="00753DE0" w:rsidRDefault="00147939">
            <w:pPr>
              <w:spacing w:after="120"/>
              <w:jc w:val="center"/>
              <w:rPr>
                <w:rFonts w:eastAsia="Times New Roman" w:cs="Times New Roman"/>
                <w:i/>
                <w:color w:val="156082" w:themeColor="accent1"/>
                <w:kern w:val="0"/>
                <w:sz w:val="20"/>
                <w:szCs w:val="20"/>
                <w:lang w:eastAsia="en-AU"/>
                <w14:ligatures w14:val="none"/>
              </w:rPr>
            </w:pPr>
            <w:r>
              <w:rPr>
                <w:rFonts w:eastAsia="Times New Roman" w:cs="Times New Roman"/>
                <w:i/>
                <w:color w:val="156082" w:themeColor="accent1"/>
                <w:kern w:val="0"/>
                <w:sz w:val="20"/>
                <w:szCs w:val="20"/>
                <w:lang w:eastAsia="en-AU"/>
                <w14:ligatures w14:val="none"/>
              </w:rPr>
              <w:t>2</w:t>
            </w:r>
          </w:p>
        </w:tc>
        <w:tc>
          <w:tcPr>
            <w:tcW w:w="1167" w:type="dxa"/>
            <w:tcBorders>
              <w:top w:val="nil"/>
              <w:left w:val="nil"/>
              <w:bottom w:val="single" w:sz="4" w:space="0" w:color="auto"/>
              <w:right w:val="single" w:sz="4" w:space="0" w:color="auto"/>
            </w:tcBorders>
            <w:vAlign w:val="center"/>
            <w:hideMark/>
          </w:tcPr>
          <w:p w14:paraId="59AE4229" w14:textId="3B2F0FF4" w:rsidR="001E62B2" w:rsidRPr="00753DE0" w:rsidRDefault="00147939">
            <w:pPr>
              <w:spacing w:after="120"/>
              <w:jc w:val="center"/>
              <w:rPr>
                <w:rFonts w:eastAsia="Times New Roman" w:cs="Times New Roman"/>
                <w:i/>
                <w:color w:val="156082" w:themeColor="accent1"/>
                <w:kern w:val="0"/>
                <w:sz w:val="20"/>
                <w:szCs w:val="20"/>
                <w:lang w:eastAsia="en-AU"/>
                <w14:ligatures w14:val="none"/>
              </w:rPr>
            </w:pPr>
            <w:r>
              <w:rPr>
                <w:rFonts w:eastAsia="Times New Roman" w:cs="Times New Roman"/>
                <w:i/>
                <w:color w:val="156082" w:themeColor="accent1"/>
                <w:kern w:val="0"/>
                <w:sz w:val="20"/>
                <w:szCs w:val="20"/>
                <w:lang w:eastAsia="en-AU"/>
                <w14:ligatures w14:val="none"/>
              </w:rPr>
              <w:t>1</w:t>
            </w:r>
          </w:p>
        </w:tc>
        <w:tc>
          <w:tcPr>
            <w:tcW w:w="1205" w:type="dxa"/>
            <w:tcBorders>
              <w:top w:val="nil"/>
              <w:left w:val="nil"/>
              <w:bottom w:val="single" w:sz="4" w:space="0" w:color="auto"/>
              <w:right w:val="single" w:sz="4" w:space="0" w:color="auto"/>
            </w:tcBorders>
            <w:vAlign w:val="center"/>
            <w:hideMark/>
          </w:tcPr>
          <w:p w14:paraId="0D2D16B5" w14:textId="212FA073"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r>
      <w:tr w:rsidR="001E62B2" w:rsidRPr="00FE0AF7" w14:paraId="6820BDA4" w14:textId="77777777" w:rsidTr="00936C78">
        <w:trPr>
          <w:trHeight w:val="20"/>
        </w:trPr>
        <w:tc>
          <w:tcPr>
            <w:tcW w:w="960" w:type="dxa"/>
            <w:vMerge/>
            <w:tcBorders>
              <w:top w:val="nil"/>
              <w:left w:val="single" w:sz="4" w:space="0" w:color="auto"/>
              <w:bottom w:val="single" w:sz="4" w:space="0" w:color="auto"/>
              <w:right w:val="single" w:sz="4" w:space="0" w:color="auto"/>
            </w:tcBorders>
            <w:vAlign w:val="center"/>
            <w:hideMark/>
          </w:tcPr>
          <w:p w14:paraId="701018BF" w14:textId="77777777" w:rsidR="001E62B2" w:rsidRPr="00753DE0" w:rsidRDefault="001E62B2">
            <w:pPr>
              <w:spacing w:after="120"/>
              <w:rPr>
                <w:rFonts w:eastAsia="Times New Roman" w:cs="Times New Roman"/>
                <w:i/>
                <w:color w:val="156082" w:themeColor="accent1"/>
                <w:kern w:val="0"/>
                <w:sz w:val="20"/>
                <w:szCs w:val="20"/>
                <w:lang w:eastAsia="en-AU"/>
                <w14:ligatures w14:val="none"/>
              </w:rPr>
            </w:pPr>
          </w:p>
        </w:tc>
        <w:tc>
          <w:tcPr>
            <w:tcW w:w="1496" w:type="dxa"/>
            <w:vMerge/>
            <w:tcBorders>
              <w:top w:val="nil"/>
              <w:left w:val="single" w:sz="4" w:space="0" w:color="auto"/>
              <w:bottom w:val="single" w:sz="4" w:space="0" w:color="auto"/>
              <w:right w:val="single" w:sz="4" w:space="0" w:color="auto"/>
            </w:tcBorders>
            <w:vAlign w:val="center"/>
            <w:hideMark/>
          </w:tcPr>
          <w:p w14:paraId="34924861" w14:textId="77777777" w:rsidR="001E62B2" w:rsidRPr="00753DE0" w:rsidRDefault="001E62B2">
            <w:pPr>
              <w:spacing w:after="120"/>
              <w:rPr>
                <w:rFonts w:eastAsia="Times New Roman" w:cs="Times New Roman"/>
                <w:i/>
                <w:color w:val="156082" w:themeColor="accent1"/>
                <w:kern w:val="0"/>
                <w:sz w:val="20"/>
                <w:szCs w:val="20"/>
                <w:lang w:eastAsia="en-AU"/>
                <w14:ligatures w14:val="none"/>
              </w:rPr>
            </w:pPr>
          </w:p>
        </w:tc>
        <w:tc>
          <w:tcPr>
            <w:tcW w:w="1252" w:type="dxa"/>
            <w:vMerge/>
            <w:tcBorders>
              <w:top w:val="nil"/>
              <w:left w:val="single" w:sz="4" w:space="0" w:color="auto"/>
              <w:bottom w:val="single" w:sz="4" w:space="0" w:color="auto"/>
              <w:right w:val="single" w:sz="4" w:space="0" w:color="auto"/>
            </w:tcBorders>
            <w:vAlign w:val="center"/>
            <w:hideMark/>
          </w:tcPr>
          <w:p w14:paraId="6AEF87C7" w14:textId="77777777" w:rsidR="001E62B2" w:rsidRPr="00753DE0" w:rsidRDefault="001E62B2">
            <w:pPr>
              <w:spacing w:after="120"/>
              <w:rPr>
                <w:rFonts w:eastAsia="Times New Roman" w:cs="Times New Roman"/>
                <w:i/>
                <w:color w:val="156082" w:themeColor="accent1"/>
                <w:kern w:val="0"/>
                <w:sz w:val="20"/>
                <w:szCs w:val="20"/>
                <w:lang w:eastAsia="en-AU"/>
                <w14:ligatures w14:val="none"/>
              </w:rPr>
            </w:pPr>
          </w:p>
        </w:tc>
        <w:tc>
          <w:tcPr>
            <w:tcW w:w="2099" w:type="dxa"/>
            <w:tcBorders>
              <w:top w:val="nil"/>
              <w:left w:val="nil"/>
              <w:bottom w:val="single" w:sz="4" w:space="0" w:color="auto"/>
              <w:right w:val="single" w:sz="4" w:space="0" w:color="auto"/>
            </w:tcBorders>
            <w:vAlign w:val="center"/>
            <w:hideMark/>
          </w:tcPr>
          <w:p w14:paraId="0238D5A2"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Liveweight gain</w:t>
            </w:r>
          </w:p>
        </w:tc>
        <w:tc>
          <w:tcPr>
            <w:tcW w:w="3544" w:type="dxa"/>
            <w:tcBorders>
              <w:top w:val="nil"/>
              <w:left w:val="nil"/>
              <w:bottom w:val="single" w:sz="4" w:space="0" w:color="auto"/>
              <w:right w:val="single" w:sz="4" w:space="0" w:color="auto"/>
            </w:tcBorders>
            <w:vAlign w:val="center"/>
            <w:hideMark/>
          </w:tcPr>
          <w:p w14:paraId="59685089" w14:textId="50FA523C"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proofErr w:type="spellStart"/>
            <w:r w:rsidRPr="00753DE0">
              <w:rPr>
                <w:rFonts w:eastAsia="Times New Roman" w:cs="Times New Roman"/>
                <w:i/>
                <w:color w:val="156082" w:themeColor="accent1"/>
                <w:kern w:val="0"/>
                <w:sz w:val="20"/>
                <w:szCs w:val="20"/>
                <w:lang w:eastAsia="en-AU"/>
                <w14:ligatures w14:val="none"/>
              </w:rPr>
              <w:t>Optiweigh</w:t>
            </w:r>
            <w:proofErr w:type="spellEnd"/>
            <w:r w:rsidRPr="00753DE0">
              <w:rPr>
                <w:rFonts w:eastAsia="Times New Roman" w:cs="Times New Roman"/>
                <w:i/>
                <w:color w:val="156082" w:themeColor="accent1"/>
                <w:kern w:val="0"/>
                <w:sz w:val="20"/>
                <w:szCs w:val="20"/>
                <w:lang w:eastAsia="en-AU"/>
                <w14:ligatures w14:val="none"/>
              </w:rPr>
              <w:t xml:space="preserve"> data from one paddock (&lt;20% of herd) monitored over 12 months of reporting period</w:t>
            </w:r>
          </w:p>
        </w:tc>
        <w:tc>
          <w:tcPr>
            <w:tcW w:w="1181" w:type="dxa"/>
            <w:tcBorders>
              <w:top w:val="nil"/>
              <w:left w:val="nil"/>
              <w:bottom w:val="single" w:sz="4" w:space="0" w:color="auto"/>
              <w:right w:val="single" w:sz="4" w:space="0" w:color="auto"/>
            </w:tcBorders>
            <w:vAlign w:val="center"/>
            <w:hideMark/>
          </w:tcPr>
          <w:p w14:paraId="11E689D1"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160" w:type="dxa"/>
            <w:tcBorders>
              <w:top w:val="nil"/>
              <w:left w:val="nil"/>
              <w:bottom w:val="single" w:sz="4" w:space="0" w:color="auto"/>
              <w:right w:val="single" w:sz="4" w:space="0" w:color="auto"/>
            </w:tcBorders>
            <w:vAlign w:val="center"/>
            <w:hideMark/>
          </w:tcPr>
          <w:p w14:paraId="5441CC93"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4</w:t>
            </w:r>
          </w:p>
        </w:tc>
        <w:tc>
          <w:tcPr>
            <w:tcW w:w="1167" w:type="dxa"/>
            <w:tcBorders>
              <w:top w:val="nil"/>
              <w:left w:val="nil"/>
              <w:bottom w:val="single" w:sz="4" w:space="0" w:color="auto"/>
              <w:right w:val="single" w:sz="4" w:space="0" w:color="auto"/>
            </w:tcBorders>
            <w:vAlign w:val="center"/>
            <w:hideMark/>
          </w:tcPr>
          <w:p w14:paraId="7B51FF56"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2</w:t>
            </w:r>
          </w:p>
        </w:tc>
        <w:tc>
          <w:tcPr>
            <w:tcW w:w="1205" w:type="dxa"/>
            <w:tcBorders>
              <w:top w:val="nil"/>
              <w:left w:val="nil"/>
              <w:bottom w:val="single" w:sz="4" w:space="0" w:color="auto"/>
              <w:right w:val="single" w:sz="4" w:space="0" w:color="auto"/>
            </w:tcBorders>
            <w:vAlign w:val="center"/>
            <w:hideMark/>
          </w:tcPr>
          <w:p w14:paraId="13BD8194"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r>
      <w:tr w:rsidR="001E62B2" w:rsidRPr="00FE0AF7" w14:paraId="33DB645E" w14:textId="77777777" w:rsidTr="00706499">
        <w:trPr>
          <w:trHeight w:val="8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4B18233B"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1</w:t>
            </w:r>
          </w:p>
        </w:tc>
        <w:tc>
          <w:tcPr>
            <w:tcW w:w="1496" w:type="dxa"/>
            <w:tcBorders>
              <w:top w:val="nil"/>
              <w:left w:val="nil"/>
              <w:bottom w:val="single" w:sz="4" w:space="0" w:color="auto"/>
              <w:right w:val="single" w:sz="4" w:space="0" w:color="auto"/>
            </w:tcBorders>
            <w:vAlign w:val="center"/>
            <w:hideMark/>
          </w:tcPr>
          <w:p w14:paraId="780C626D"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 xml:space="preserve">Fertiliser use (non-irrigated pasture) </w:t>
            </w:r>
          </w:p>
        </w:tc>
        <w:tc>
          <w:tcPr>
            <w:tcW w:w="1252" w:type="dxa"/>
            <w:tcBorders>
              <w:top w:val="nil"/>
              <w:left w:val="nil"/>
              <w:bottom w:val="single" w:sz="4" w:space="0" w:color="auto"/>
              <w:right w:val="single" w:sz="4" w:space="0" w:color="auto"/>
            </w:tcBorders>
            <w:vAlign w:val="center"/>
            <w:hideMark/>
          </w:tcPr>
          <w:p w14:paraId="0E28E131"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Method 1</w:t>
            </w:r>
          </w:p>
        </w:tc>
        <w:tc>
          <w:tcPr>
            <w:tcW w:w="2099" w:type="dxa"/>
            <w:tcBorders>
              <w:top w:val="nil"/>
              <w:left w:val="nil"/>
              <w:bottom w:val="single" w:sz="4" w:space="0" w:color="auto"/>
              <w:right w:val="single" w:sz="4" w:space="0" w:color="auto"/>
            </w:tcBorders>
            <w:vAlign w:val="center"/>
            <w:hideMark/>
          </w:tcPr>
          <w:p w14:paraId="5153D65D"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Amount of fertiliser applied</w:t>
            </w:r>
          </w:p>
        </w:tc>
        <w:tc>
          <w:tcPr>
            <w:tcW w:w="3544" w:type="dxa"/>
            <w:tcBorders>
              <w:top w:val="nil"/>
              <w:left w:val="nil"/>
              <w:bottom w:val="single" w:sz="4" w:space="0" w:color="auto"/>
              <w:right w:val="single" w:sz="4" w:space="0" w:color="auto"/>
            </w:tcBorders>
            <w:vAlign w:val="center"/>
            <w:hideMark/>
          </w:tcPr>
          <w:p w14:paraId="18538527"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 xml:space="preserve">Farm data records (management software) on application rates (not estimates) for all paddocks </w:t>
            </w:r>
          </w:p>
        </w:tc>
        <w:tc>
          <w:tcPr>
            <w:tcW w:w="1181" w:type="dxa"/>
            <w:tcBorders>
              <w:top w:val="nil"/>
              <w:left w:val="nil"/>
              <w:bottom w:val="single" w:sz="4" w:space="0" w:color="auto"/>
              <w:right w:val="single" w:sz="4" w:space="0" w:color="auto"/>
            </w:tcBorders>
            <w:vAlign w:val="center"/>
            <w:hideMark/>
          </w:tcPr>
          <w:p w14:paraId="5727FB10"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160" w:type="dxa"/>
            <w:tcBorders>
              <w:top w:val="nil"/>
              <w:left w:val="nil"/>
              <w:bottom w:val="single" w:sz="4" w:space="0" w:color="auto"/>
              <w:right w:val="single" w:sz="4" w:space="0" w:color="auto"/>
            </w:tcBorders>
            <w:vAlign w:val="center"/>
            <w:hideMark/>
          </w:tcPr>
          <w:p w14:paraId="33D7831C"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4</w:t>
            </w:r>
          </w:p>
        </w:tc>
        <w:tc>
          <w:tcPr>
            <w:tcW w:w="1167" w:type="dxa"/>
            <w:tcBorders>
              <w:top w:val="nil"/>
              <w:left w:val="nil"/>
              <w:bottom w:val="single" w:sz="4" w:space="0" w:color="auto"/>
              <w:right w:val="single" w:sz="4" w:space="0" w:color="auto"/>
            </w:tcBorders>
            <w:vAlign w:val="center"/>
            <w:hideMark/>
          </w:tcPr>
          <w:p w14:paraId="6DCD8B08"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205" w:type="dxa"/>
            <w:tcBorders>
              <w:top w:val="nil"/>
              <w:left w:val="nil"/>
              <w:bottom w:val="single" w:sz="4" w:space="0" w:color="auto"/>
              <w:right w:val="single" w:sz="4" w:space="0" w:color="auto"/>
            </w:tcBorders>
            <w:vAlign w:val="center"/>
            <w:hideMark/>
          </w:tcPr>
          <w:p w14:paraId="015BA526"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r>
      <w:tr w:rsidR="001E62B2" w:rsidRPr="00FE0AF7" w14:paraId="49013CFB" w14:textId="77777777" w:rsidTr="00936C78">
        <w:trPr>
          <w:trHeight w:val="794"/>
        </w:trPr>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14:paraId="02A64185"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lastRenderedPageBreak/>
              <w:t>1</w:t>
            </w:r>
          </w:p>
        </w:tc>
        <w:tc>
          <w:tcPr>
            <w:tcW w:w="1496" w:type="dxa"/>
            <w:vMerge w:val="restart"/>
            <w:tcBorders>
              <w:top w:val="nil"/>
              <w:left w:val="single" w:sz="4" w:space="0" w:color="auto"/>
              <w:bottom w:val="single" w:sz="4" w:space="0" w:color="auto"/>
              <w:right w:val="single" w:sz="4" w:space="0" w:color="auto"/>
            </w:tcBorders>
            <w:vAlign w:val="center"/>
            <w:hideMark/>
          </w:tcPr>
          <w:p w14:paraId="3F2C425A"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 xml:space="preserve">Crop residue management </w:t>
            </w:r>
          </w:p>
        </w:tc>
        <w:tc>
          <w:tcPr>
            <w:tcW w:w="1252" w:type="dxa"/>
            <w:vMerge w:val="restart"/>
            <w:tcBorders>
              <w:top w:val="nil"/>
              <w:left w:val="single" w:sz="4" w:space="0" w:color="auto"/>
              <w:bottom w:val="single" w:sz="4" w:space="0" w:color="auto"/>
              <w:right w:val="single" w:sz="4" w:space="0" w:color="auto"/>
            </w:tcBorders>
            <w:vAlign w:val="center"/>
            <w:hideMark/>
          </w:tcPr>
          <w:p w14:paraId="1FFA4D48"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Method 1</w:t>
            </w:r>
          </w:p>
        </w:tc>
        <w:tc>
          <w:tcPr>
            <w:tcW w:w="2099" w:type="dxa"/>
            <w:tcBorders>
              <w:top w:val="nil"/>
              <w:left w:val="nil"/>
              <w:bottom w:val="single" w:sz="4" w:space="0" w:color="auto"/>
              <w:right w:val="single" w:sz="4" w:space="0" w:color="auto"/>
            </w:tcBorders>
            <w:vAlign w:val="center"/>
            <w:hideMark/>
          </w:tcPr>
          <w:p w14:paraId="60737608"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Annual production of crop (tonnes)</w:t>
            </w:r>
          </w:p>
        </w:tc>
        <w:tc>
          <w:tcPr>
            <w:tcW w:w="3544" w:type="dxa"/>
            <w:tcBorders>
              <w:top w:val="nil"/>
              <w:left w:val="nil"/>
              <w:bottom w:val="single" w:sz="4" w:space="0" w:color="auto"/>
              <w:right w:val="single" w:sz="4" w:space="0" w:color="auto"/>
            </w:tcBorders>
            <w:vAlign w:val="center"/>
            <w:hideMark/>
          </w:tcPr>
          <w:p w14:paraId="4883F78F"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Yield map on a field basis from calibrated yield monitor on header for reporting year</w:t>
            </w:r>
          </w:p>
        </w:tc>
        <w:tc>
          <w:tcPr>
            <w:tcW w:w="1181" w:type="dxa"/>
            <w:tcBorders>
              <w:top w:val="nil"/>
              <w:left w:val="nil"/>
              <w:bottom w:val="single" w:sz="4" w:space="0" w:color="auto"/>
              <w:right w:val="single" w:sz="4" w:space="0" w:color="auto"/>
            </w:tcBorders>
            <w:vAlign w:val="center"/>
            <w:hideMark/>
          </w:tcPr>
          <w:p w14:paraId="09BCFCF3"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160" w:type="dxa"/>
            <w:tcBorders>
              <w:top w:val="nil"/>
              <w:left w:val="nil"/>
              <w:bottom w:val="single" w:sz="4" w:space="0" w:color="auto"/>
              <w:right w:val="single" w:sz="4" w:space="0" w:color="auto"/>
            </w:tcBorders>
            <w:vAlign w:val="center"/>
            <w:hideMark/>
          </w:tcPr>
          <w:p w14:paraId="32409B25"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4</w:t>
            </w:r>
          </w:p>
        </w:tc>
        <w:tc>
          <w:tcPr>
            <w:tcW w:w="1167" w:type="dxa"/>
            <w:tcBorders>
              <w:top w:val="nil"/>
              <w:left w:val="nil"/>
              <w:bottom w:val="single" w:sz="4" w:space="0" w:color="auto"/>
              <w:right w:val="single" w:sz="4" w:space="0" w:color="auto"/>
            </w:tcBorders>
            <w:vAlign w:val="center"/>
            <w:hideMark/>
          </w:tcPr>
          <w:p w14:paraId="738C9C00"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205" w:type="dxa"/>
            <w:tcBorders>
              <w:top w:val="nil"/>
              <w:left w:val="nil"/>
              <w:bottom w:val="single" w:sz="4" w:space="0" w:color="auto"/>
              <w:right w:val="single" w:sz="4" w:space="0" w:color="auto"/>
            </w:tcBorders>
            <w:vAlign w:val="center"/>
            <w:hideMark/>
          </w:tcPr>
          <w:p w14:paraId="7449A9BA"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r>
      <w:tr w:rsidR="001E62B2" w:rsidRPr="00FE0AF7" w14:paraId="1414D60B" w14:textId="77777777" w:rsidTr="00936C78">
        <w:trPr>
          <w:trHeight w:val="17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4F8D3F20" w14:textId="77777777" w:rsidR="001E62B2" w:rsidRPr="00753DE0" w:rsidRDefault="001E62B2">
            <w:pPr>
              <w:spacing w:after="120"/>
              <w:rPr>
                <w:rFonts w:eastAsia="Times New Roman" w:cs="Times New Roman"/>
                <w:i/>
                <w:color w:val="156082" w:themeColor="accent1"/>
                <w:kern w:val="0"/>
                <w:sz w:val="20"/>
                <w:szCs w:val="20"/>
                <w:lang w:eastAsia="en-AU"/>
                <w14:ligatures w14:val="none"/>
              </w:rPr>
            </w:pPr>
          </w:p>
        </w:tc>
        <w:tc>
          <w:tcPr>
            <w:tcW w:w="1496" w:type="dxa"/>
            <w:vMerge/>
            <w:tcBorders>
              <w:top w:val="nil"/>
              <w:left w:val="single" w:sz="4" w:space="0" w:color="auto"/>
              <w:bottom w:val="single" w:sz="4" w:space="0" w:color="auto"/>
              <w:right w:val="single" w:sz="4" w:space="0" w:color="auto"/>
            </w:tcBorders>
            <w:vAlign w:val="center"/>
            <w:hideMark/>
          </w:tcPr>
          <w:p w14:paraId="78BB9593" w14:textId="77777777" w:rsidR="001E62B2" w:rsidRPr="00753DE0" w:rsidRDefault="001E62B2">
            <w:pPr>
              <w:spacing w:after="120"/>
              <w:rPr>
                <w:rFonts w:eastAsia="Times New Roman" w:cs="Times New Roman"/>
                <w:i/>
                <w:color w:val="156082" w:themeColor="accent1"/>
                <w:kern w:val="0"/>
                <w:sz w:val="20"/>
                <w:szCs w:val="20"/>
                <w:lang w:eastAsia="en-AU"/>
                <w14:ligatures w14:val="none"/>
              </w:rPr>
            </w:pPr>
          </w:p>
        </w:tc>
        <w:tc>
          <w:tcPr>
            <w:tcW w:w="1252" w:type="dxa"/>
            <w:vMerge/>
            <w:tcBorders>
              <w:top w:val="nil"/>
              <w:left w:val="single" w:sz="4" w:space="0" w:color="auto"/>
              <w:bottom w:val="single" w:sz="4" w:space="0" w:color="auto"/>
              <w:right w:val="single" w:sz="4" w:space="0" w:color="auto"/>
            </w:tcBorders>
            <w:vAlign w:val="center"/>
            <w:hideMark/>
          </w:tcPr>
          <w:p w14:paraId="4F661845" w14:textId="77777777" w:rsidR="001E62B2" w:rsidRPr="00753DE0" w:rsidRDefault="001E62B2">
            <w:pPr>
              <w:spacing w:after="120"/>
              <w:rPr>
                <w:rFonts w:eastAsia="Times New Roman" w:cs="Times New Roman"/>
                <w:i/>
                <w:color w:val="156082" w:themeColor="accent1"/>
                <w:kern w:val="0"/>
                <w:sz w:val="20"/>
                <w:szCs w:val="20"/>
                <w:lang w:eastAsia="en-AU"/>
                <w14:ligatures w14:val="none"/>
              </w:rPr>
            </w:pPr>
          </w:p>
        </w:tc>
        <w:tc>
          <w:tcPr>
            <w:tcW w:w="2099" w:type="dxa"/>
            <w:tcBorders>
              <w:top w:val="nil"/>
              <w:left w:val="nil"/>
              <w:bottom w:val="single" w:sz="4" w:space="0" w:color="auto"/>
              <w:right w:val="single" w:sz="4" w:space="0" w:color="auto"/>
            </w:tcBorders>
            <w:vAlign w:val="center"/>
            <w:hideMark/>
          </w:tcPr>
          <w:p w14:paraId="1ABDF040"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Crop attributes</w:t>
            </w:r>
          </w:p>
        </w:tc>
        <w:tc>
          <w:tcPr>
            <w:tcW w:w="3544" w:type="dxa"/>
            <w:tcBorders>
              <w:top w:val="nil"/>
              <w:left w:val="nil"/>
              <w:bottom w:val="single" w:sz="4" w:space="0" w:color="auto"/>
              <w:right w:val="single" w:sz="4" w:space="0" w:color="auto"/>
            </w:tcBorders>
            <w:vAlign w:val="center"/>
            <w:hideMark/>
          </w:tcPr>
          <w:p w14:paraId="03B69148"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Default national value from Method 1</w:t>
            </w:r>
          </w:p>
        </w:tc>
        <w:tc>
          <w:tcPr>
            <w:tcW w:w="1181" w:type="dxa"/>
            <w:tcBorders>
              <w:top w:val="nil"/>
              <w:left w:val="nil"/>
              <w:bottom w:val="single" w:sz="4" w:space="0" w:color="auto"/>
              <w:right w:val="single" w:sz="4" w:space="0" w:color="auto"/>
            </w:tcBorders>
            <w:vAlign w:val="center"/>
            <w:hideMark/>
          </w:tcPr>
          <w:p w14:paraId="0DF03C52"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1</w:t>
            </w:r>
          </w:p>
        </w:tc>
        <w:tc>
          <w:tcPr>
            <w:tcW w:w="1160" w:type="dxa"/>
            <w:tcBorders>
              <w:top w:val="nil"/>
              <w:left w:val="nil"/>
              <w:bottom w:val="single" w:sz="4" w:space="0" w:color="auto"/>
              <w:right w:val="single" w:sz="4" w:space="0" w:color="auto"/>
            </w:tcBorders>
            <w:vAlign w:val="center"/>
            <w:hideMark/>
          </w:tcPr>
          <w:p w14:paraId="5446BC00"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1</w:t>
            </w:r>
          </w:p>
        </w:tc>
        <w:tc>
          <w:tcPr>
            <w:tcW w:w="1167" w:type="dxa"/>
            <w:tcBorders>
              <w:top w:val="nil"/>
              <w:left w:val="nil"/>
              <w:bottom w:val="single" w:sz="4" w:space="0" w:color="auto"/>
              <w:right w:val="single" w:sz="4" w:space="0" w:color="auto"/>
            </w:tcBorders>
            <w:vAlign w:val="center"/>
            <w:hideMark/>
          </w:tcPr>
          <w:p w14:paraId="38A73E44"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1</w:t>
            </w:r>
          </w:p>
        </w:tc>
        <w:tc>
          <w:tcPr>
            <w:tcW w:w="1205" w:type="dxa"/>
            <w:tcBorders>
              <w:top w:val="nil"/>
              <w:left w:val="nil"/>
              <w:bottom w:val="single" w:sz="4" w:space="0" w:color="auto"/>
              <w:right w:val="single" w:sz="4" w:space="0" w:color="auto"/>
            </w:tcBorders>
            <w:vAlign w:val="center"/>
            <w:hideMark/>
          </w:tcPr>
          <w:p w14:paraId="030C909F"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r>
      <w:tr w:rsidR="001E62B2" w:rsidRPr="00FE0AF7" w14:paraId="16D5A544" w14:textId="77777777" w:rsidTr="00936C78">
        <w:trPr>
          <w:trHeight w:val="20"/>
        </w:trPr>
        <w:tc>
          <w:tcPr>
            <w:tcW w:w="960" w:type="dxa"/>
            <w:tcBorders>
              <w:top w:val="nil"/>
              <w:left w:val="single" w:sz="4" w:space="0" w:color="auto"/>
              <w:bottom w:val="single" w:sz="4" w:space="0" w:color="auto"/>
              <w:right w:val="single" w:sz="4" w:space="0" w:color="auto"/>
            </w:tcBorders>
            <w:noWrap/>
            <w:vAlign w:val="center"/>
            <w:hideMark/>
          </w:tcPr>
          <w:p w14:paraId="7E6412E6"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2</w:t>
            </w:r>
          </w:p>
        </w:tc>
        <w:tc>
          <w:tcPr>
            <w:tcW w:w="1496" w:type="dxa"/>
            <w:tcBorders>
              <w:top w:val="nil"/>
              <w:left w:val="nil"/>
              <w:bottom w:val="single" w:sz="4" w:space="0" w:color="auto"/>
              <w:right w:val="single" w:sz="4" w:space="0" w:color="auto"/>
            </w:tcBorders>
            <w:vAlign w:val="center"/>
            <w:hideMark/>
          </w:tcPr>
          <w:p w14:paraId="60360D85"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Purchased energy</w:t>
            </w:r>
          </w:p>
        </w:tc>
        <w:tc>
          <w:tcPr>
            <w:tcW w:w="1252" w:type="dxa"/>
            <w:tcBorders>
              <w:top w:val="nil"/>
              <w:left w:val="nil"/>
              <w:bottom w:val="single" w:sz="4" w:space="0" w:color="auto"/>
              <w:right w:val="single" w:sz="4" w:space="0" w:color="auto"/>
            </w:tcBorders>
            <w:vAlign w:val="center"/>
            <w:hideMark/>
          </w:tcPr>
          <w:p w14:paraId="14B18CD9"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Location Method</w:t>
            </w:r>
          </w:p>
        </w:tc>
        <w:tc>
          <w:tcPr>
            <w:tcW w:w="2099" w:type="dxa"/>
            <w:tcBorders>
              <w:top w:val="nil"/>
              <w:left w:val="nil"/>
              <w:bottom w:val="single" w:sz="4" w:space="0" w:color="auto"/>
              <w:right w:val="single" w:sz="4" w:space="0" w:color="auto"/>
            </w:tcBorders>
            <w:vAlign w:val="center"/>
            <w:hideMark/>
          </w:tcPr>
          <w:p w14:paraId="7A751906"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 xml:space="preserve">kW electricity consumption </w:t>
            </w:r>
          </w:p>
        </w:tc>
        <w:tc>
          <w:tcPr>
            <w:tcW w:w="3544" w:type="dxa"/>
            <w:tcBorders>
              <w:top w:val="nil"/>
              <w:left w:val="nil"/>
              <w:bottom w:val="single" w:sz="4" w:space="0" w:color="auto"/>
              <w:right w:val="single" w:sz="4" w:space="0" w:color="auto"/>
            </w:tcBorders>
            <w:vAlign w:val="center"/>
            <w:hideMark/>
          </w:tcPr>
          <w:p w14:paraId="794E0438"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 xml:space="preserve">Quarterly consumption and supply invoices for all metered points </w:t>
            </w:r>
          </w:p>
        </w:tc>
        <w:tc>
          <w:tcPr>
            <w:tcW w:w="1181" w:type="dxa"/>
            <w:tcBorders>
              <w:top w:val="nil"/>
              <w:left w:val="nil"/>
              <w:bottom w:val="single" w:sz="4" w:space="0" w:color="auto"/>
              <w:right w:val="single" w:sz="4" w:space="0" w:color="auto"/>
            </w:tcBorders>
            <w:vAlign w:val="center"/>
            <w:hideMark/>
          </w:tcPr>
          <w:p w14:paraId="4104E117"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160" w:type="dxa"/>
            <w:tcBorders>
              <w:top w:val="nil"/>
              <w:left w:val="nil"/>
              <w:bottom w:val="single" w:sz="4" w:space="0" w:color="auto"/>
              <w:right w:val="single" w:sz="4" w:space="0" w:color="auto"/>
            </w:tcBorders>
            <w:vAlign w:val="center"/>
            <w:hideMark/>
          </w:tcPr>
          <w:p w14:paraId="733BF5DC"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c>
          <w:tcPr>
            <w:tcW w:w="1167" w:type="dxa"/>
            <w:tcBorders>
              <w:top w:val="nil"/>
              <w:left w:val="nil"/>
              <w:bottom w:val="single" w:sz="4" w:space="0" w:color="auto"/>
              <w:right w:val="single" w:sz="4" w:space="0" w:color="auto"/>
            </w:tcBorders>
            <w:vAlign w:val="center"/>
            <w:hideMark/>
          </w:tcPr>
          <w:p w14:paraId="5E53F633"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205" w:type="dxa"/>
            <w:tcBorders>
              <w:top w:val="nil"/>
              <w:left w:val="nil"/>
              <w:bottom w:val="single" w:sz="4" w:space="0" w:color="auto"/>
              <w:right w:val="single" w:sz="4" w:space="0" w:color="auto"/>
            </w:tcBorders>
            <w:vAlign w:val="center"/>
            <w:hideMark/>
          </w:tcPr>
          <w:p w14:paraId="5618F757"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r>
      <w:tr w:rsidR="001E62B2" w:rsidRPr="00FE0AF7" w14:paraId="00982128" w14:textId="77777777" w:rsidTr="00936C78">
        <w:trPr>
          <w:trHeight w:val="20"/>
        </w:trPr>
        <w:tc>
          <w:tcPr>
            <w:tcW w:w="960" w:type="dxa"/>
            <w:vMerge w:val="restart"/>
            <w:tcBorders>
              <w:top w:val="nil"/>
              <w:left w:val="single" w:sz="4" w:space="0" w:color="auto"/>
              <w:bottom w:val="single" w:sz="4" w:space="0" w:color="000000"/>
              <w:right w:val="single" w:sz="4" w:space="0" w:color="auto"/>
            </w:tcBorders>
            <w:noWrap/>
            <w:vAlign w:val="center"/>
            <w:hideMark/>
          </w:tcPr>
          <w:p w14:paraId="1D31E152"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3</w:t>
            </w:r>
          </w:p>
        </w:tc>
        <w:tc>
          <w:tcPr>
            <w:tcW w:w="1496" w:type="dxa"/>
            <w:vMerge w:val="restart"/>
            <w:tcBorders>
              <w:top w:val="nil"/>
              <w:left w:val="single" w:sz="4" w:space="0" w:color="auto"/>
              <w:bottom w:val="single" w:sz="4" w:space="0" w:color="000000"/>
              <w:right w:val="single" w:sz="4" w:space="0" w:color="auto"/>
            </w:tcBorders>
            <w:vAlign w:val="center"/>
            <w:hideMark/>
          </w:tcPr>
          <w:p w14:paraId="1D9DC26F"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Purchased fertiliser</w:t>
            </w:r>
          </w:p>
        </w:tc>
        <w:tc>
          <w:tcPr>
            <w:tcW w:w="1252" w:type="dxa"/>
            <w:vMerge w:val="restart"/>
            <w:tcBorders>
              <w:top w:val="nil"/>
              <w:left w:val="single" w:sz="4" w:space="0" w:color="auto"/>
              <w:bottom w:val="single" w:sz="4" w:space="0" w:color="000000"/>
              <w:right w:val="single" w:sz="4" w:space="0" w:color="auto"/>
            </w:tcBorders>
            <w:vAlign w:val="center"/>
            <w:hideMark/>
          </w:tcPr>
          <w:p w14:paraId="4838E647" w14:textId="33BC356F"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Method 2</w:t>
            </w:r>
          </w:p>
        </w:tc>
        <w:tc>
          <w:tcPr>
            <w:tcW w:w="2099" w:type="dxa"/>
            <w:tcBorders>
              <w:top w:val="nil"/>
              <w:left w:val="nil"/>
              <w:bottom w:val="single" w:sz="4" w:space="0" w:color="auto"/>
              <w:right w:val="single" w:sz="4" w:space="0" w:color="auto"/>
            </w:tcBorders>
            <w:vAlign w:val="center"/>
            <w:hideMark/>
          </w:tcPr>
          <w:p w14:paraId="49E71659"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kg of fertiliser used</w:t>
            </w:r>
          </w:p>
        </w:tc>
        <w:tc>
          <w:tcPr>
            <w:tcW w:w="3544" w:type="dxa"/>
            <w:tcBorders>
              <w:top w:val="nil"/>
              <w:left w:val="nil"/>
              <w:bottom w:val="single" w:sz="4" w:space="0" w:color="auto"/>
              <w:right w:val="single" w:sz="4" w:space="0" w:color="auto"/>
            </w:tcBorders>
            <w:vAlign w:val="center"/>
            <w:hideMark/>
          </w:tcPr>
          <w:p w14:paraId="41512508"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Purchase invoices for reporting year.</w:t>
            </w:r>
          </w:p>
        </w:tc>
        <w:tc>
          <w:tcPr>
            <w:tcW w:w="1181" w:type="dxa"/>
            <w:tcBorders>
              <w:top w:val="nil"/>
              <w:left w:val="nil"/>
              <w:bottom w:val="single" w:sz="4" w:space="0" w:color="auto"/>
              <w:right w:val="single" w:sz="4" w:space="0" w:color="auto"/>
            </w:tcBorders>
            <w:vAlign w:val="center"/>
            <w:hideMark/>
          </w:tcPr>
          <w:p w14:paraId="61066F6F"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160" w:type="dxa"/>
            <w:tcBorders>
              <w:top w:val="nil"/>
              <w:left w:val="nil"/>
              <w:bottom w:val="single" w:sz="4" w:space="0" w:color="auto"/>
              <w:right w:val="single" w:sz="4" w:space="0" w:color="auto"/>
            </w:tcBorders>
            <w:vAlign w:val="center"/>
            <w:hideMark/>
          </w:tcPr>
          <w:p w14:paraId="4EEDD2C2"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167" w:type="dxa"/>
            <w:tcBorders>
              <w:top w:val="nil"/>
              <w:left w:val="nil"/>
              <w:bottom w:val="single" w:sz="4" w:space="0" w:color="auto"/>
              <w:right w:val="single" w:sz="4" w:space="0" w:color="auto"/>
            </w:tcBorders>
            <w:vAlign w:val="center"/>
            <w:hideMark/>
          </w:tcPr>
          <w:p w14:paraId="14BB49BA"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5</w:t>
            </w:r>
          </w:p>
        </w:tc>
        <w:tc>
          <w:tcPr>
            <w:tcW w:w="1205" w:type="dxa"/>
            <w:tcBorders>
              <w:top w:val="nil"/>
              <w:left w:val="nil"/>
              <w:bottom w:val="single" w:sz="4" w:space="0" w:color="auto"/>
              <w:right w:val="single" w:sz="4" w:space="0" w:color="auto"/>
            </w:tcBorders>
            <w:vAlign w:val="center"/>
            <w:hideMark/>
          </w:tcPr>
          <w:p w14:paraId="7008119A"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r>
      <w:tr w:rsidR="001E62B2" w:rsidRPr="00FE0AF7" w14:paraId="7335F908" w14:textId="77777777" w:rsidTr="00936C78">
        <w:trPr>
          <w:trHeight w:val="20"/>
        </w:trPr>
        <w:tc>
          <w:tcPr>
            <w:tcW w:w="960" w:type="dxa"/>
            <w:vMerge/>
            <w:tcBorders>
              <w:top w:val="nil"/>
              <w:left w:val="single" w:sz="4" w:space="0" w:color="auto"/>
              <w:bottom w:val="single" w:sz="4" w:space="0" w:color="000000"/>
              <w:right w:val="single" w:sz="4" w:space="0" w:color="auto"/>
            </w:tcBorders>
            <w:vAlign w:val="center"/>
            <w:hideMark/>
          </w:tcPr>
          <w:p w14:paraId="673CB7B2" w14:textId="77777777" w:rsidR="001E62B2" w:rsidRPr="00753DE0" w:rsidRDefault="001E62B2">
            <w:pPr>
              <w:spacing w:after="120"/>
              <w:rPr>
                <w:rFonts w:eastAsia="Times New Roman" w:cs="Times New Roman"/>
                <w:i/>
                <w:color w:val="156082" w:themeColor="accent1"/>
                <w:kern w:val="0"/>
                <w:sz w:val="20"/>
                <w:szCs w:val="20"/>
                <w:lang w:eastAsia="en-AU"/>
                <w14:ligatures w14:val="none"/>
              </w:rPr>
            </w:pPr>
          </w:p>
        </w:tc>
        <w:tc>
          <w:tcPr>
            <w:tcW w:w="1496" w:type="dxa"/>
            <w:vMerge/>
            <w:tcBorders>
              <w:top w:val="nil"/>
              <w:left w:val="single" w:sz="4" w:space="0" w:color="auto"/>
              <w:bottom w:val="single" w:sz="4" w:space="0" w:color="000000"/>
              <w:right w:val="single" w:sz="4" w:space="0" w:color="auto"/>
            </w:tcBorders>
            <w:vAlign w:val="center"/>
            <w:hideMark/>
          </w:tcPr>
          <w:p w14:paraId="1F602266" w14:textId="77777777" w:rsidR="001E62B2" w:rsidRPr="00753DE0" w:rsidRDefault="001E62B2">
            <w:pPr>
              <w:spacing w:after="120"/>
              <w:rPr>
                <w:rFonts w:eastAsia="Times New Roman" w:cs="Times New Roman"/>
                <w:i/>
                <w:color w:val="156082" w:themeColor="accent1"/>
                <w:kern w:val="0"/>
                <w:sz w:val="20"/>
                <w:szCs w:val="20"/>
                <w:lang w:eastAsia="en-AU"/>
                <w14:ligatures w14:val="none"/>
              </w:rPr>
            </w:pPr>
          </w:p>
        </w:tc>
        <w:tc>
          <w:tcPr>
            <w:tcW w:w="1252" w:type="dxa"/>
            <w:vMerge/>
            <w:tcBorders>
              <w:top w:val="nil"/>
              <w:left w:val="single" w:sz="4" w:space="0" w:color="auto"/>
              <w:bottom w:val="single" w:sz="4" w:space="0" w:color="000000"/>
              <w:right w:val="single" w:sz="4" w:space="0" w:color="auto"/>
            </w:tcBorders>
            <w:vAlign w:val="center"/>
            <w:hideMark/>
          </w:tcPr>
          <w:p w14:paraId="4614763A" w14:textId="77777777" w:rsidR="001E62B2" w:rsidRPr="00753DE0" w:rsidRDefault="001E62B2">
            <w:pPr>
              <w:spacing w:after="120"/>
              <w:rPr>
                <w:rFonts w:eastAsia="Times New Roman" w:cs="Times New Roman"/>
                <w:i/>
                <w:color w:val="156082" w:themeColor="accent1"/>
                <w:kern w:val="0"/>
                <w:sz w:val="20"/>
                <w:szCs w:val="20"/>
                <w:lang w:eastAsia="en-AU"/>
                <w14:ligatures w14:val="none"/>
              </w:rPr>
            </w:pPr>
          </w:p>
        </w:tc>
        <w:tc>
          <w:tcPr>
            <w:tcW w:w="2099" w:type="dxa"/>
            <w:tcBorders>
              <w:top w:val="nil"/>
              <w:left w:val="nil"/>
              <w:bottom w:val="single" w:sz="4" w:space="0" w:color="auto"/>
              <w:right w:val="single" w:sz="4" w:space="0" w:color="auto"/>
            </w:tcBorders>
            <w:vAlign w:val="center"/>
            <w:hideMark/>
          </w:tcPr>
          <w:p w14:paraId="1A085A60"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Emissions factor</w:t>
            </w:r>
          </w:p>
        </w:tc>
        <w:tc>
          <w:tcPr>
            <w:tcW w:w="3544" w:type="dxa"/>
            <w:tcBorders>
              <w:top w:val="nil"/>
              <w:left w:val="nil"/>
              <w:bottom w:val="single" w:sz="4" w:space="0" w:color="auto"/>
              <w:right w:val="single" w:sz="4" w:space="0" w:color="auto"/>
            </w:tcBorders>
            <w:vAlign w:val="center"/>
            <w:hideMark/>
          </w:tcPr>
          <w:p w14:paraId="4D7FDD68"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Supplier-reported EFs.</w:t>
            </w:r>
          </w:p>
        </w:tc>
        <w:tc>
          <w:tcPr>
            <w:tcW w:w="1181" w:type="dxa"/>
            <w:tcBorders>
              <w:top w:val="nil"/>
              <w:left w:val="nil"/>
              <w:bottom w:val="single" w:sz="4" w:space="0" w:color="auto"/>
              <w:right w:val="single" w:sz="4" w:space="0" w:color="auto"/>
            </w:tcBorders>
            <w:vAlign w:val="center"/>
            <w:hideMark/>
          </w:tcPr>
          <w:p w14:paraId="3D5DB207"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c>
          <w:tcPr>
            <w:tcW w:w="1160" w:type="dxa"/>
            <w:tcBorders>
              <w:top w:val="nil"/>
              <w:left w:val="nil"/>
              <w:bottom w:val="single" w:sz="4" w:space="0" w:color="auto"/>
              <w:right w:val="single" w:sz="4" w:space="0" w:color="auto"/>
            </w:tcBorders>
            <w:vAlign w:val="center"/>
            <w:hideMark/>
          </w:tcPr>
          <w:p w14:paraId="4E8388D0"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c>
          <w:tcPr>
            <w:tcW w:w="1167" w:type="dxa"/>
            <w:tcBorders>
              <w:top w:val="nil"/>
              <w:left w:val="nil"/>
              <w:bottom w:val="single" w:sz="4" w:space="0" w:color="auto"/>
              <w:right w:val="single" w:sz="4" w:space="0" w:color="auto"/>
            </w:tcBorders>
            <w:vAlign w:val="center"/>
            <w:hideMark/>
          </w:tcPr>
          <w:p w14:paraId="27247E56"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c>
          <w:tcPr>
            <w:tcW w:w="1205" w:type="dxa"/>
            <w:tcBorders>
              <w:top w:val="nil"/>
              <w:left w:val="nil"/>
              <w:bottom w:val="single" w:sz="4" w:space="0" w:color="auto"/>
              <w:right w:val="single" w:sz="4" w:space="0" w:color="auto"/>
            </w:tcBorders>
            <w:vAlign w:val="center"/>
            <w:hideMark/>
          </w:tcPr>
          <w:p w14:paraId="3E0F7CDD" w14:textId="5197585C" w:rsidR="001E62B2" w:rsidRPr="00753DE0" w:rsidRDefault="003525C0">
            <w:pPr>
              <w:spacing w:after="120"/>
              <w:jc w:val="center"/>
              <w:rPr>
                <w:rFonts w:eastAsia="Times New Roman" w:cs="Times New Roman"/>
                <w:i/>
                <w:color w:val="156082" w:themeColor="accent1"/>
                <w:kern w:val="0"/>
                <w:sz w:val="20"/>
                <w:szCs w:val="20"/>
                <w:lang w:eastAsia="en-AU"/>
                <w14:ligatures w14:val="none"/>
              </w:rPr>
            </w:pPr>
            <w:r>
              <w:rPr>
                <w:rFonts w:eastAsia="Times New Roman" w:cs="Times New Roman"/>
                <w:i/>
                <w:color w:val="156082" w:themeColor="accent1"/>
                <w:kern w:val="0"/>
                <w:sz w:val="20"/>
                <w:szCs w:val="20"/>
                <w:lang w:eastAsia="en-AU"/>
                <w14:ligatures w14:val="none"/>
              </w:rPr>
              <w:t>4</w:t>
            </w:r>
          </w:p>
        </w:tc>
      </w:tr>
      <w:tr w:rsidR="001E62B2" w:rsidRPr="00FE0AF7" w14:paraId="08CF5FA6" w14:textId="77777777" w:rsidTr="00936C78">
        <w:trPr>
          <w:trHeight w:val="20"/>
        </w:trPr>
        <w:tc>
          <w:tcPr>
            <w:tcW w:w="960" w:type="dxa"/>
            <w:vMerge w:val="restart"/>
            <w:tcBorders>
              <w:top w:val="nil"/>
              <w:left w:val="single" w:sz="4" w:space="0" w:color="auto"/>
              <w:bottom w:val="single" w:sz="4" w:space="0" w:color="auto"/>
              <w:right w:val="single" w:sz="4" w:space="0" w:color="auto"/>
            </w:tcBorders>
            <w:noWrap/>
            <w:vAlign w:val="center"/>
            <w:hideMark/>
          </w:tcPr>
          <w:p w14:paraId="789FA46F" w14:textId="323C40AA" w:rsidR="001E62B2" w:rsidRPr="00753DE0" w:rsidRDefault="00AC1FA7">
            <w:pPr>
              <w:spacing w:after="120"/>
              <w:jc w:val="center"/>
              <w:rPr>
                <w:rFonts w:eastAsia="Times New Roman" w:cs="Times New Roman"/>
                <w:i/>
                <w:color w:val="156082" w:themeColor="accent1"/>
                <w:kern w:val="0"/>
                <w:sz w:val="20"/>
                <w:szCs w:val="20"/>
                <w:lang w:eastAsia="en-AU"/>
                <w14:ligatures w14:val="none"/>
              </w:rPr>
            </w:pPr>
            <w:r>
              <w:rPr>
                <w:rFonts w:eastAsia="Times New Roman" w:cs="Times New Roman"/>
                <w:i/>
                <w:color w:val="156082" w:themeColor="accent1"/>
                <w:kern w:val="0"/>
                <w:sz w:val="20"/>
                <w:szCs w:val="20"/>
                <w:lang w:eastAsia="en-AU"/>
                <w14:ligatures w14:val="none"/>
              </w:rPr>
              <w:t>1</w:t>
            </w:r>
          </w:p>
        </w:tc>
        <w:tc>
          <w:tcPr>
            <w:tcW w:w="1496" w:type="dxa"/>
            <w:vMerge w:val="restart"/>
            <w:tcBorders>
              <w:top w:val="nil"/>
              <w:left w:val="single" w:sz="4" w:space="0" w:color="auto"/>
              <w:bottom w:val="single" w:sz="4" w:space="0" w:color="auto"/>
              <w:right w:val="single" w:sz="4" w:space="0" w:color="auto"/>
            </w:tcBorders>
            <w:vAlign w:val="center"/>
            <w:hideMark/>
          </w:tcPr>
          <w:p w14:paraId="1F743255" w14:textId="4C898968" w:rsidR="001E62B2" w:rsidRPr="00753DE0" w:rsidRDefault="003A067E">
            <w:pPr>
              <w:spacing w:after="120"/>
              <w:jc w:val="center"/>
              <w:rPr>
                <w:rFonts w:eastAsia="Times New Roman" w:cs="Times New Roman"/>
                <w:i/>
                <w:color w:val="156082" w:themeColor="accent1"/>
                <w:kern w:val="0"/>
                <w:sz w:val="20"/>
                <w:szCs w:val="20"/>
                <w:lang w:eastAsia="en-AU"/>
                <w14:ligatures w14:val="none"/>
              </w:rPr>
            </w:pPr>
            <w:r>
              <w:rPr>
                <w:rFonts w:eastAsia="Times New Roman" w:cs="Times New Roman"/>
                <w:i/>
                <w:color w:val="156082" w:themeColor="accent1"/>
                <w:kern w:val="0"/>
                <w:sz w:val="20"/>
                <w:szCs w:val="20"/>
                <w:lang w:eastAsia="en-AU"/>
                <w14:ligatures w14:val="none"/>
              </w:rPr>
              <w:t>Woody carbon stocks</w:t>
            </w:r>
            <w:r w:rsidR="001E62B2" w:rsidRPr="00753DE0">
              <w:rPr>
                <w:rFonts w:eastAsia="Times New Roman" w:cs="Times New Roman"/>
                <w:i/>
                <w:color w:val="156082" w:themeColor="accent1"/>
                <w:kern w:val="0"/>
                <w:sz w:val="20"/>
                <w:szCs w:val="20"/>
                <w:lang w:eastAsia="en-AU"/>
                <w14:ligatures w14:val="none"/>
              </w:rPr>
              <w:t xml:space="preserve"> </w:t>
            </w:r>
          </w:p>
        </w:tc>
        <w:tc>
          <w:tcPr>
            <w:tcW w:w="1252" w:type="dxa"/>
            <w:vMerge w:val="restart"/>
            <w:tcBorders>
              <w:top w:val="nil"/>
              <w:left w:val="single" w:sz="4" w:space="0" w:color="auto"/>
              <w:bottom w:val="single" w:sz="4" w:space="0" w:color="auto"/>
              <w:right w:val="single" w:sz="4" w:space="0" w:color="auto"/>
            </w:tcBorders>
            <w:vAlign w:val="center"/>
            <w:hideMark/>
          </w:tcPr>
          <w:p w14:paraId="47BBB208" w14:textId="536937D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 xml:space="preserve">Method </w:t>
            </w:r>
            <w:r w:rsidR="00CA40B2">
              <w:rPr>
                <w:rFonts w:eastAsia="Times New Roman" w:cs="Times New Roman"/>
                <w:i/>
                <w:color w:val="156082" w:themeColor="accent1"/>
                <w:kern w:val="0"/>
                <w:sz w:val="20"/>
                <w:szCs w:val="20"/>
                <w:lang w:eastAsia="en-AU"/>
                <w14:ligatures w14:val="none"/>
              </w:rPr>
              <w:t>2</w:t>
            </w:r>
          </w:p>
        </w:tc>
        <w:tc>
          <w:tcPr>
            <w:tcW w:w="2099" w:type="dxa"/>
            <w:tcBorders>
              <w:top w:val="nil"/>
              <w:left w:val="nil"/>
              <w:bottom w:val="single" w:sz="4" w:space="0" w:color="auto"/>
              <w:right w:val="single" w:sz="4" w:space="0" w:color="auto"/>
            </w:tcBorders>
            <w:vAlign w:val="center"/>
            <w:hideMark/>
          </w:tcPr>
          <w:p w14:paraId="06A9BDDE" w14:textId="62BD0A03" w:rsidR="001E62B2" w:rsidRPr="00753DE0" w:rsidRDefault="00784368">
            <w:pPr>
              <w:spacing w:after="120"/>
              <w:jc w:val="center"/>
              <w:rPr>
                <w:rFonts w:eastAsia="Times New Roman" w:cs="Times New Roman"/>
                <w:i/>
                <w:color w:val="156082" w:themeColor="accent1"/>
                <w:kern w:val="0"/>
                <w:sz w:val="20"/>
                <w:szCs w:val="20"/>
                <w:lang w:eastAsia="en-AU"/>
                <w14:ligatures w14:val="none"/>
              </w:rPr>
            </w:pPr>
            <w:r>
              <w:rPr>
                <w:rFonts w:eastAsia="Times New Roman" w:cs="Times New Roman"/>
                <w:i/>
                <w:color w:val="156082" w:themeColor="accent1"/>
                <w:kern w:val="0"/>
                <w:sz w:val="20"/>
                <w:szCs w:val="20"/>
                <w:lang w:eastAsia="en-AU"/>
                <w14:ligatures w14:val="none"/>
              </w:rPr>
              <w:t xml:space="preserve">Date of regeneration </w:t>
            </w:r>
          </w:p>
        </w:tc>
        <w:tc>
          <w:tcPr>
            <w:tcW w:w="3544" w:type="dxa"/>
            <w:tcBorders>
              <w:top w:val="nil"/>
              <w:left w:val="nil"/>
              <w:bottom w:val="nil"/>
              <w:right w:val="single" w:sz="4" w:space="0" w:color="auto"/>
            </w:tcBorders>
            <w:vAlign w:val="center"/>
            <w:hideMark/>
          </w:tcPr>
          <w:p w14:paraId="38E5A2C6" w14:textId="0935F36E" w:rsidR="001E62B2" w:rsidRPr="00753DE0" w:rsidRDefault="00CF70C5">
            <w:pPr>
              <w:spacing w:after="120"/>
              <w:jc w:val="center"/>
              <w:rPr>
                <w:rFonts w:eastAsia="Times New Roman" w:cs="Times New Roman"/>
                <w:i/>
                <w:color w:val="156082" w:themeColor="accent1"/>
                <w:kern w:val="0"/>
                <w:sz w:val="20"/>
                <w:szCs w:val="20"/>
                <w:lang w:eastAsia="en-AU"/>
                <w14:ligatures w14:val="none"/>
              </w:rPr>
            </w:pPr>
            <w:r>
              <w:rPr>
                <w:rFonts w:eastAsia="Times New Roman" w:cs="Times New Roman"/>
                <w:i/>
                <w:color w:val="156082" w:themeColor="accent1"/>
                <w:kern w:val="0"/>
                <w:sz w:val="20"/>
                <w:szCs w:val="20"/>
                <w:lang w:eastAsia="en-AU"/>
                <w14:ligatures w14:val="none"/>
              </w:rPr>
              <w:t>S</w:t>
            </w:r>
            <w:r w:rsidR="00A36B2E">
              <w:rPr>
                <w:rFonts w:eastAsia="Times New Roman" w:cs="Times New Roman"/>
                <w:i/>
                <w:color w:val="156082" w:themeColor="accent1"/>
                <w:kern w:val="0"/>
                <w:sz w:val="20"/>
                <w:szCs w:val="20"/>
                <w:lang w:eastAsia="en-AU"/>
                <w14:ligatures w14:val="none"/>
              </w:rPr>
              <w:t>ite photography</w:t>
            </w:r>
          </w:p>
        </w:tc>
        <w:tc>
          <w:tcPr>
            <w:tcW w:w="1181" w:type="dxa"/>
            <w:tcBorders>
              <w:top w:val="nil"/>
              <w:left w:val="nil"/>
              <w:bottom w:val="single" w:sz="4" w:space="0" w:color="auto"/>
              <w:right w:val="single" w:sz="4" w:space="0" w:color="auto"/>
            </w:tcBorders>
            <w:vAlign w:val="center"/>
            <w:hideMark/>
          </w:tcPr>
          <w:p w14:paraId="5CA25773" w14:textId="75C86A5F" w:rsidR="001E62B2" w:rsidRPr="00753DE0" w:rsidRDefault="00AE3959">
            <w:pPr>
              <w:spacing w:after="120"/>
              <w:jc w:val="center"/>
              <w:rPr>
                <w:rFonts w:eastAsia="Times New Roman" w:cs="Times New Roman"/>
                <w:i/>
                <w:color w:val="156082" w:themeColor="accent1"/>
                <w:kern w:val="0"/>
                <w:sz w:val="20"/>
                <w:szCs w:val="20"/>
                <w:lang w:eastAsia="en-AU"/>
                <w14:ligatures w14:val="none"/>
              </w:rPr>
            </w:pPr>
            <w:r>
              <w:rPr>
                <w:rFonts w:eastAsia="Times New Roman" w:cs="Times New Roman"/>
                <w:i/>
                <w:color w:val="156082" w:themeColor="accent1"/>
                <w:kern w:val="0"/>
                <w:sz w:val="20"/>
                <w:szCs w:val="20"/>
                <w:lang w:eastAsia="en-AU"/>
                <w14:ligatures w14:val="none"/>
              </w:rPr>
              <w:t>4</w:t>
            </w:r>
          </w:p>
        </w:tc>
        <w:tc>
          <w:tcPr>
            <w:tcW w:w="1160" w:type="dxa"/>
            <w:tcBorders>
              <w:top w:val="nil"/>
              <w:left w:val="nil"/>
              <w:bottom w:val="single" w:sz="4" w:space="0" w:color="auto"/>
              <w:right w:val="single" w:sz="4" w:space="0" w:color="auto"/>
            </w:tcBorders>
            <w:vAlign w:val="center"/>
            <w:hideMark/>
          </w:tcPr>
          <w:p w14:paraId="5B01C898" w14:textId="24A5AD2F" w:rsidR="001E62B2" w:rsidRPr="00753DE0" w:rsidRDefault="00AE3959">
            <w:pPr>
              <w:spacing w:after="120"/>
              <w:jc w:val="center"/>
              <w:rPr>
                <w:rFonts w:eastAsia="Times New Roman" w:cs="Times New Roman"/>
                <w:i/>
                <w:color w:val="156082" w:themeColor="accent1"/>
                <w:kern w:val="0"/>
                <w:sz w:val="20"/>
                <w:szCs w:val="20"/>
                <w:lang w:eastAsia="en-AU"/>
                <w14:ligatures w14:val="none"/>
              </w:rPr>
            </w:pPr>
            <w:r>
              <w:rPr>
                <w:rFonts w:eastAsia="Times New Roman" w:cs="Times New Roman"/>
                <w:i/>
                <w:color w:val="156082" w:themeColor="accent1"/>
                <w:kern w:val="0"/>
                <w:sz w:val="20"/>
                <w:szCs w:val="20"/>
                <w:lang w:eastAsia="en-AU"/>
                <w14:ligatures w14:val="none"/>
              </w:rPr>
              <w:t>4</w:t>
            </w:r>
          </w:p>
        </w:tc>
        <w:tc>
          <w:tcPr>
            <w:tcW w:w="1167" w:type="dxa"/>
            <w:tcBorders>
              <w:top w:val="nil"/>
              <w:left w:val="nil"/>
              <w:bottom w:val="single" w:sz="4" w:space="0" w:color="auto"/>
              <w:right w:val="single" w:sz="4" w:space="0" w:color="auto"/>
            </w:tcBorders>
            <w:vAlign w:val="center"/>
            <w:hideMark/>
          </w:tcPr>
          <w:p w14:paraId="6E7945AF" w14:textId="02F1A27E" w:rsidR="001E62B2" w:rsidRPr="00753DE0" w:rsidRDefault="00F84879">
            <w:pPr>
              <w:spacing w:after="120"/>
              <w:jc w:val="center"/>
              <w:rPr>
                <w:rFonts w:eastAsia="Times New Roman" w:cs="Times New Roman"/>
                <w:i/>
                <w:color w:val="156082" w:themeColor="accent1"/>
                <w:kern w:val="0"/>
                <w:sz w:val="20"/>
                <w:szCs w:val="20"/>
                <w:lang w:eastAsia="en-AU"/>
                <w14:ligatures w14:val="none"/>
              </w:rPr>
            </w:pPr>
            <w:r>
              <w:rPr>
                <w:rFonts w:eastAsia="Times New Roman" w:cs="Times New Roman"/>
                <w:i/>
                <w:color w:val="156082" w:themeColor="accent1"/>
                <w:kern w:val="0"/>
                <w:sz w:val="20"/>
                <w:szCs w:val="20"/>
                <w:lang w:eastAsia="en-AU"/>
                <w14:ligatures w14:val="none"/>
              </w:rPr>
              <w:t>1</w:t>
            </w:r>
          </w:p>
        </w:tc>
        <w:tc>
          <w:tcPr>
            <w:tcW w:w="1205" w:type="dxa"/>
            <w:tcBorders>
              <w:top w:val="nil"/>
              <w:left w:val="nil"/>
              <w:bottom w:val="single" w:sz="4" w:space="0" w:color="auto"/>
              <w:right w:val="single" w:sz="4" w:space="0" w:color="auto"/>
            </w:tcBorders>
            <w:vAlign w:val="center"/>
            <w:hideMark/>
          </w:tcPr>
          <w:p w14:paraId="3D733BF1" w14:textId="77777777" w:rsidR="001E62B2" w:rsidRPr="00753DE0" w:rsidRDefault="001E62B2">
            <w:pPr>
              <w:spacing w:after="120"/>
              <w:jc w:val="center"/>
              <w:rPr>
                <w:rFonts w:eastAsia="Times New Roman" w:cs="Times New Roman"/>
                <w:i/>
                <w:color w:val="156082" w:themeColor="accent1"/>
                <w:kern w:val="0"/>
                <w:sz w:val="20"/>
                <w:szCs w:val="20"/>
                <w:lang w:eastAsia="en-AU"/>
                <w14:ligatures w14:val="none"/>
              </w:rPr>
            </w:pPr>
            <w:r w:rsidRPr="00753DE0">
              <w:rPr>
                <w:rFonts w:eastAsia="Times New Roman" w:cs="Times New Roman"/>
                <w:i/>
                <w:color w:val="156082" w:themeColor="accent1"/>
                <w:kern w:val="0"/>
                <w:sz w:val="20"/>
                <w:szCs w:val="20"/>
                <w:lang w:eastAsia="en-AU"/>
                <w14:ligatures w14:val="none"/>
              </w:rPr>
              <w:t>n/a</w:t>
            </w:r>
          </w:p>
        </w:tc>
      </w:tr>
      <w:tr w:rsidR="001E62B2" w:rsidRPr="00FE0AF7" w14:paraId="15C7AE85" w14:textId="77777777" w:rsidTr="00936C78">
        <w:trPr>
          <w:trHeight w:val="20"/>
        </w:trPr>
        <w:tc>
          <w:tcPr>
            <w:tcW w:w="960" w:type="dxa"/>
            <w:vMerge/>
            <w:tcBorders>
              <w:top w:val="nil"/>
              <w:left w:val="single" w:sz="4" w:space="0" w:color="auto"/>
              <w:bottom w:val="single" w:sz="4" w:space="0" w:color="auto"/>
              <w:right w:val="single" w:sz="4" w:space="0" w:color="auto"/>
            </w:tcBorders>
            <w:vAlign w:val="center"/>
            <w:hideMark/>
          </w:tcPr>
          <w:p w14:paraId="169527A4" w14:textId="77777777" w:rsidR="001E62B2" w:rsidRPr="00753DE0" w:rsidRDefault="001E62B2">
            <w:pPr>
              <w:spacing w:after="120"/>
              <w:rPr>
                <w:rFonts w:eastAsia="Times New Roman" w:cs="Times New Roman"/>
                <w:i/>
                <w:color w:val="156082" w:themeColor="accent1"/>
                <w:kern w:val="0"/>
                <w:sz w:val="20"/>
                <w:szCs w:val="20"/>
                <w:lang w:eastAsia="en-AU"/>
                <w14:ligatures w14:val="none"/>
              </w:rPr>
            </w:pPr>
          </w:p>
        </w:tc>
        <w:tc>
          <w:tcPr>
            <w:tcW w:w="1496" w:type="dxa"/>
            <w:vMerge/>
            <w:tcBorders>
              <w:top w:val="nil"/>
              <w:left w:val="single" w:sz="4" w:space="0" w:color="auto"/>
              <w:bottom w:val="single" w:sz="4" w:space="0" w:color="auto"/>
              <w:right w:val="single" w:sz="4" w:space="0" w:color="auto"/>
            </w:tcBorders>
            <w:vAlign w:val="center"/>
            <w:hideMark/>
          </w:tcPr>
          <w:p w14:paraId="731E8B3A" w14:textId="77777777" w:rsidR="001E62B2" w:rsidRPr="00753DE0" w:rsidRDefault="001E62B2">
            <w:pPr>
              <w:spacing w:after="120"/>
              <w:rPr>
                <w:rFonts w:eastAsia="Times New Roman" w:cs="Times New Roman"/>
                <w:i/>
                <w:color w:val="156082" w:themeColor="accent1"/>
                <w:kern w:val="0"/>
                <w:sz w:val="20"/>
                <w:szCs w:val="20"/>
                <w:lang w:eastAsia="en-AU"/>
                <w14:ligatures w14:val="none"/>
              </w:rPr>
            </w:pPr>
          </w:p>
        </w:tc>
        <w:tc>
          <w:tcPr>
            <w:tcW w:w="1252" w:type="dxa"/>
            <w:vMerge/>
            <w:tcBorders>
              <w:top w:val="nil"/>
              <w:left w:val="single" w:sz="4" w:space="0" w:color="auto"/>
              <w:bottom w:val="single" w:sz="4" w:space="0" w:color="auto"/>
              <w:right w:val="single" w:sz="4" w:space="0" w:color="auto"/>
            </w:tcBorders>
            <w:vAlign w:val="center"/>
            <w:hideMark/>
          </w:tcPr>
          <w:p w14:paraId="75D0294D" w14:textId="77777777" w:rsidR="001E62B2" w:rsidRPr="00753DE0" w:rsidRDefault="001E62B2">
            <w:pPr>
              <w:spacing w:after="120"/>
              <w:rPr>
                <w:rFonts w:eastAsia="Times New Roman" w:cs="Times New Roman"/>
                <w:i/>
                <w:color w:val="156082" w:themeColor="accent1"/>
                <w:kern w:val="0"/>
                <w:sz w:val="20"/>
                <w:szCs w:val="20"/>
                <w:lang w:eastAsia="en-AU"/>
                <w14:ligatures w14:val="none"/>
              </w:rPr>
            </w:pPr>
          </w:p>
        </w:tc>
        <w:tc>
          <w:tcPr>
            <w:tcW w:w="2099" w:type="dxa"/>
            <w:tcBorders>
              <w:top w:val="nil"/>
              <w:left w:val="nil"/>
              <w:bottom w:val="single" w:sz="4" w:space="0" w:color="auto"/>
              <w:right w:val="single" w:sz="4" w:space="0" w:color="auto"/>
            </w:tcBorders>
            <w:vAlign w:val="center"/>
            <w:hideMark/>
          </w:tcPr>
          <w:p w14:paraId="4DCD6B47" w14:textId="0AF37B04" w:rsidR="001E62B2" w:rsidRPr="00753DE0" w:rsidRDefault="00CF70C5">
            <w:pPr>
              <w:spacing w:after="120"/>
              <w:jc w:val="center"/>
              <w:rPr>
                <w:rFonts w:eastAsia="Times New Roman" w:cs="Times New Roman"/>
                <w:i/>
                <w:color w:val="156082" w:themeColor="accent1"/>
                <w:kern w:val="0"/>
                <w:sz w:val="20"/>
                <w:szCs w:val="20"/>
                <w:lang w:eastAsia="en-AU"/>
                <w14:ligatures w14:val="none"/>
              </w:rPr>
            </w:pPr>
            <w:r>
              <w:rPr>
                <w:rFonts w:eastAsia="Times New Roman" w:cs="Times New Roman"/>
                <w:i/>
                <w:color w:val="156082" w:themeColor="accent1"/>
                <w:kern w:val="0"/>
                <w:sz w:val="20"/>
                <w:szCs w:val="20"/>
                <w:lang w:eastAsia="en-AU"/>
                <w14:ligatures w14:val="none"/>
              </w:rPr>
              <w:t>Area of regeneration</w:t>
            </w:r>
          </w:p>
        </w:tc>
        <w:tc>
          <w:tcPr>
            <w:tcW w:w="3544" w:type="dxa"/>
            <w:tcBorders>
              <w:top w:val="single" w:sz="4" w:space="0" w:color="auto"/>
              <w:left w:val="nil"/>
              <w:bottom w:val="single" w:sz="4" w:space="0" w:color="auto"/>
              <w:right w:val="single" w:sz="4" w:space="0" w:color="auto"/>
            </w:tcBorders>
            <w:vAlign w:val="center"/>
            <w:hideMark/>
          </w:tcPr>
          <w:p w14:paraId="5C9969D1" w14:textId="0A082DF5" w:rsidR="001E62B2" w:rsidRPr="00753DE0" w:rsidRDefault="00CF70C5">
            <w:pPr>
              <w:spacing w:after="120"/>
              <w:jc w:val="center"/>
              <w:rPr>
                <w:rFonts w:eastAsia="Times New Roman" w:cs="Times New Roman"/>
                <w:i/>
                <w:color w:val="156082" w:themeColor="accent1"/>
                <w:kern w:val="0"/>
                <w:sz w:val="20"/>
                <w:szCs w:val="20"/>
                <w:lang w:eastAsia="en-AU"/>
                <w14:ligatures w14:val="none"/>
              </w:rPr>
            </w:pPr>
            <w:r>
              <w:rPr>
                <w:rFonts w:eastAsia="Times New Roman" w:cs="Times New Roman"/>
                <w:i/>
                <w:color w:val="156082" w:themeColor="accent1"/>
                <w:kern w:val="0"/>
                <w:sz w:val="20"/>
                <w:szCs w:val="20"/>
                <w:lang w:eastAsia="en-AU"/>
                <w14:ligatures w14:val="none"/>
              </w:rPr>
              <w:t>Satellite imagery</w:t>
            </w:r>
          </w:p>
        </w:tc>
        <w:tc>
          <w:tcPr>
            <w:tcW w:w="1181" w:type="dxa"/>
            <w:tcBorders>
              <w:top w:val="nil"/>
              <w:left w:val="nil"/>
              <w:bottom w:val="single" w:sz="4" w:space="0" w:color="auto"/>
              <w:right w:val="single" w:sz="4" w:space="0" w:color="auto"/>
            </w:tcBorders>
            <w:vAlign w:val="center"/>
            <w:hideMark/>
          </w:tcPr>
          <w:p w14:paraId="047D6DC4" w14:textId="76D7B3F7" w:rsidR="001E62B2" w:rsidRPr="00896EA2" w:rsidRDefault="00262B0A">
            <w:pPr>
              <w:spacing w:after="120"/>
              <w:jc w:val="center"/>
              <w:rPr>
                <w:rFonts w:eastAsia="Times New Roman" w:cs="Times New Roman"/>
                <w:color w:val="000000"/>
                <w:kern w:val="0"/>
                <w:sz w:val="20"/>
                <w:szCs w:val="20"/>
                <w:lang w:eastAsia="en-AU"/>
                <w14:ligatures w14:val="none"/>
              </w:rPr>
            </w:pPr>
            <w:r>
              <w:rPr>
                <w:rFonts w:eastAsia="Times New Roman" w:cs="Times New Roman"/>
                <w:color w:val="000000"/>
                <w:kern w:val="0"/>
                <w:sz w:val="20"/>
                <w:szCs w:val="20"/>
                <w:lang w:eastAsia="en-AU"/>
                <w14:ligatures w14:val="none"/>
              </w:rPr>
              <w:t>5</w:t>
            </w:r>
          </w:p>
        </w:tc>
        <w:tc>
          <w:tcPr>
            <w:tcW w:w="1160" w:type="dxa"/>
            <w:tcBorders>
              <w:top w:val="nil"/>
              <w:left w:val="nil"/>
              <w:bottom w:val="single" w:sz="4" w:space="0" w:color="auto"/>
              <w:right w:val="single" w:sz="4" w:space="0" w:color="auto"/>
            </w:tcBorders>
            <w:vAlign w:val="center"/>
            <w:hideMark/>
          </w:tcPr>
          <w:p w14:paraId="5AE8AED3" w14:textId="4C201220" w:rsidR="001E62B2" w:rsidRPr="00896EA2" w:rsidRDefault="00262B0A">
            <w:pPr>
              <w:spacing w:after="120"/>
              <w:jc w:val="center"/>
              <w:rPr>
                <w:rFonts w:eastAsia="Times New Roman" w:cs="Times New Roman"/>
                <w:color w:val="000000"/>
                <w:kern w:val="0"/>
                <w:sz w:val="20"/>
                <w:szCs w:val="20"/>
                <w:lang w:eastAsia="en-AU"/>
                <w14:ligatures w14:val="none"/>
              </w:rPr>
            </w:pPr>
            <w:r>
              <w:rPr>
                <w:rFonts w:eastAsia="Times New Roman" w:cs="Times New Roman"/>
                <w:color w:val="000000"/>
                <w:kern w:val="0"/>
                <w:sz w:val="20"/>
                <w:szCs w:val="20"/>
                <w:lang w:eastAsia="en-AU"/>
                <w14:ligatures w14:val="none"/>
              </w:rPr>
              <w:t>5</w:t>
            </w:r>
          </w:p>
        </w:tc>
        <w:tc>
          <w:tcPr>
            <w:tcW w:w="1167" w:type="dxa"/>
            <w:tcBorders>
              <w:top w:val="nil"/>
              <w:left w:val="nil"/>
              <w:bottom w:val="single" w:sz="4" w:space="0" w:color="auto"/>
              <w:right w:val="single" w:sz="4" w:space="0" w:color="auto"/>
            </w:tcBorders>
            <w:vAlign w:val="center"/>
            <w:hideMark/>
          </w:tcPr>
          <w:p w14:paraId="2B87BE74" w14:textId="05643829" w:rsidR="001E62B2" w:rsidRPr="00896EA2" w:rsidRDefault="00262B0A">
            <w:pPr>
              <w:spacing w:after="120"/>
              <w:jc w:val="center"/>
              <w:rPr>
                <w:rFonts w:eastAsia="Times New Roman" w:cs="Times New Roman"/>
                <w:color w:val="000000"/>
                <w:kern w:val="0"/>
                <w:sz w:val="20"/>
                <w:szCs w:val="20"/>
                <w:lang w:eastAsia="en-AU"/>
                <w14:ligatures w14:val="none"/>
              </w:rPr>
            </w:pPr>
            <w:r>
              <w:rPr>
                <w:rFonts w:eastAsia="Times New Roman" w:cs="Times New Roman"/>
                <w:color w:val="000000"/>
                <w:kern w:val="0"/>
                <w:sz w:val="20"/>
                <w:szCs w:val="20"/>
                <w:lang w:eastAsia="en-AU"/>
                <w14:ligatures w14:val="none"/>
              </w:rPr>
              <w:t>5</w:t>
            </w:r>
          </w:p>
        </w:tc>
        <w:tc>
          <w:tcPr>
            <w:tcW w:w="1205" w:type="dxa"/>
            <w:tcBorders>
              <w:top w:val="nil"/>
              <w:left w:val="nil"/>
              <w:bottom w:val="single" w:sz="4" w:space="0" w:color="auto"/>
              <w:right w:val="single" w:sz="4" w:space="0" w:color="auto"/>
            </w:tcBorders>
            <w:noWrap/>
            <w:vAlign w:val="center"/>
            <w:hideMark/>
          </w:tcPr>
          <w:p w14:paraId="11A22DE7" w14:textId="70CB2AE6" w:rsidR="001E62B2" w:rsidRPr="00896EA2" w:rsidRDefault="00F84879">
            <w:pPr>
              <w:spacing w:after="120"/>
              <w:jc w:val="center"/>
              <w:rPr>
                <w:rFonts w:eastAsia="Times New Roman" w:cs="Times New Roman"/>
                <w:color w:val="000000"/>
                <w:kern w:val="0"/>
                <w:sz w:val="20"/>
                <w:szCs w:val="20"/>
                <w:lang w:eastAsia="en-AU"/>
                <w14:ligatures w14:val="none"/>
              </w:rPr>
            </w:pPr>
            <w:r>
              <w:rPr>
                <w:rFonts w:eastAsia="Times New Roman" w:cs="Times New Roman"/>
                <w:color w:val="000000"/>
                <w:kern w:val="0"/>
                <w:sz w:val="20"/>
                <w:szCs w:val="20"/>
                <w:lang w:eastAsia="en-AU"/>
                <w14:ligatures w14:val="none"/>
              </w:rPr>
              <w:t>n/a</w:t>
            </w:r>
          </w:p>
        </w:tc>
      </w:tr>
    </w:tbl>
    <w:p w14:paraId="20EBE2E3" w14:textId="77777777" w:rsidR="00E37221" w:rsidRDefault="00E37221">
      <w:pPr>
        <w:rPr>
          <w:rFonts w:asciiTheme="majorHAnsi" w:eastAsiaTheme="majorEastAsia" w:hAnsiTheme="majorHAnsi" w:cstheme="majorBidi"/>
          <w:color w:val="0F4761" w:themeColor="accent1" w:themeShade="BF"/>
          <w:sz w:val="40"/>
          <w:szCs w:val="40"/>
        </w:rPr>
      </w:pPr>
      <w:r>
        <w:br w:type="page"/>
      </w:r>
    </w:p>
    <w:p w14:paraId="0FD1262E" w14:textId="0AC0C901" w:rsidR="00BA4633" w:rsidRDefault="00176C0F" w:rsidP="00176C0F">
      <w:pPr>
        <w:pStyle w:val="Heading1"/>
        <w:numPr>
          <w:ilvl w:val="0"/>
          <w:numId w:val="0"/>
        </w:numPr>
      </w:pPr>
      <w:bookmarkStart w:id="113" w:name="_Toc225269987"/>
      <w:bookmarkEnd w:id="112"/>
      <w:r>
        <w:lastRenderedPageBreak/>
        <w:t>Appendix F – Product Emissions Intensity Reporting Template</w:t>
      </w:r>
      <w:bookmarkEnd w:id="113"/>
    </w:p>
    <w:tbl>
      <w:tblPr>
        <w:tblW w:w="13892" w:type="dxa"/>
        <w:tblInd w:w="-5" w:type="dxa"/>
        <w:tblLook w:val="04A0" w:firstRow="1" w:lastRow="0" w:firstColumn="1" w:lastColumn="0" w:noHBand="0" w:noVBand="1"/>
      </w:tblPr>
      <w:tblGrid>
        <w:gridCol w:w="3686"/>
        <w:gridCol w:w="10206"/>
      </w:tblGrid>
      <w:tr w:rsidR="00176C0F" w:rsidRPr="00BA4633" w14:paraId="4F59D32C" w14:textId="77777777" w:rsidTr="00B54640">
        <w:trPr>
          <w:trHeight w:val="290"/>
        </w:trPr>
        <w:tc>
          <w:tcPr>
            <w:tcW w:w="3686" w:type="dxa"/>
            <w:tcBorders>
              <w:top w:val="single" w:sz="4" w:space="0" w:color="auto"/>
              <w:left w:val="single" w:sz="4" w:space="0" w:color="auto"/>
              <w:bottom w:val="single" w:sz="4" w:space="0" w:color="auto"/>
              <w:right w:val="single" w:sz="4" w:space="0" w:color="auto"/>
            </w:tcBorders>
            <w:vAlign w:val="center"/>
            <w:hideMark/>
          </w:tcPr>
          <w:p w14:paraId="67BC8AC2" w14:textId="77777777" w:rsidR="00176C0F" w:rsidRPr="006F3961" w:rsidRDefault="00176C0F" w:rsidP="001A7D3E">
            <w:pPr>
              <w:spacing w:after="0" w:line="240" w:lineRule="auto"/>
              <w:rPr>
                <w:rFonts w:eastAsia="Times New Roman" w:cs="Times New Roman"/>
                <w:b/>
                <w:color w:val="000000"/>
                <w:kern w:val="0"/>
                <w:lang w:eastAsia="en-AU"/>
                <w14:ligatures w14:val="none"/>
              </w:rPr>
            </w:pPr>
            <w:r w:rsidRPr="006F3961">
              <w:rPr>
                <w:rFonts w:eastAsia="Times New Roman" w:cs="Times New Roman"/>
                <w:b/>
                <w:color w:val="000000"/>
                <w:kern w:val="0"/>
                <w:lang w:eastAsia="en-AU"/>
                <w14:ligatures w14:val="none"/>
              </w:rPr>
              <w:t>Entity name</w:t>
            </w:r>
          </w:p>
        </w:tc>
        <w:tc>
          <w:tcPr>
            <w:tcW w:w="10206" w:type="dxa"/>
            <w:tcBorders>
              <w:top w:val="single" w:sz="4" w:space="0" w:color="auto"/>
              <w:left w:val="nil"/>
              <w:bottom w:val="single" w:sz="4" w:space="0" w:color="auto"/>
              <w:right w:val="single" w:sz="4" w:space="0" w:color="auto"/>
            </w:tcBorders>
            <w:vAlign w:val="center"/>
            <w:hideMark/>
          </w:tcPr>
          <w:p w14:paraId="47241C2D" w14:textId="77777777" w:rsidR="00176C0F" w:rsidRPr="006F3961" w:rsidRDefault="00176C0F" w:rsidP="001A7D3E">
            <w:pPr>
              <w:spacing w:after="0" w:line="240" w:lineRule="auto"/>
              <w:rPr>
                <w:rFonts w:ascii="Aptos" w:eastAsia="Times New Roman" w:hAnsi="Aptos" w:cs="Times New Roman"/>
                <w:i/>
                <w:color w:val="156082"/>
                <w:kern w:val="0"/>
                <w:lang w:eastAsia="en-AU"/>
                <w14:ligatures w14:val="none"/>
              </w:rPr>
            </w:pPr>
            <w:r w:rsidRPr="006F3961">
              <w:rPr>
                <w:rFonts w:ascii="Aptos" w:eastAsia="Times New Roman" w:hAnsi="Aptos" w:cs="Times New Roman"/>
                <w:i/>
                <w:color w:val="156082"/>
                <w:kern w:val="0"/>
                <w:lang w:eastAsia="en-AU"/>
                <w14:ligatures w14:val="none"/>
              </w:rPr>
              <w:t>e.g</w:t>
            </w:r>
            <w:r>
              <w:rPr>
                <w:rFonts w:ascii="Aptos" w:eastAsia="Times New Roman" w:hAnsi="Aptos" w:cs="Times New Roman"/>
                <w:i/>
                <w:color w:val="156082"/>
                <w:kern w:val="0"/>
                <w:lang w:eastAsia="en-AU"/>
                <w14:ligatures w14:val="none"/>
              </w:rPr>
              <w:t>.</w:t>
            </w:r>
            <w:r w:rsidRPr="006F3961">
              <w:rPr>
                <w:rFonts w:ascii="Aptos" w:eastAsia="Times New Roman" w:hAnsi="Aptos" w:cs="Times New Roman"/>
                <w:i/>
                <w:color w:val="156082"/>
                <w:kern w:val="0"/>
                <w:lang w:eastAsia="en-AU"/>
                <w14:ligatures w14:val="none"/>
              </w:rPr>
              <w:t xml:space="preserve"> Broadmeadows Farm</w:t>
            </w:r>
          </w:p>
        </w:tc>
      </w:tr>
      <w:tr w:rsidR="00176C0F" w:rsidRPr="00BA4633" w14:paraId="0B623918" w14:textId="77777777" w:rsidTr="00B54640">
        <w:trPr>
          <w:trHeight w:val="580"/>
        </w:trPr>
        <w:tc>
          <w:tcPr>
            <w:tcW w:w="3686" w:type="dxa"/>
            <w:tcBorders>
              <w:top w:val="single" w:sz="4" w:space="0" w:color="auto"/>
              <w:left w:val="single" w:sz="4" w:space="0" w:color="auto"/>
              <w:bottom w:val="single" w:sz="4" w:space="0" w:color="auto"/>
              <w:right w:val="single" w:sz="4" w:space="0" w:color="auto"/>
            </w:tcBorders>
            <w:vAlign w:val="center"/>
            <w:hideMark/>
          </w:tcPr>
          <w:p w14:paraId="44071D3F" w14:textId="77777777" w:rsidR="00176C0F" w:rsidRPr="006F3961" w:rsidRDefault="00176C0F" w:rsidP="001A7D3E">
            <w:pPr>
              <w:spacing w:after="0" w:line="240" w:lineRule="auto"/>
              <w:rPr>
                <w:rFonts w:eastAsia="Times New Roman" w:cs="Times New Roman"/>
                <w:b/>
                <w:color w:val="000000"/>
                <w:kern w:val="0"/>
                <w:lang w:eastAsia="en-AU"/>
                <w14:ligatures w14:val="none"/>
              </w:rPr>
            </w:pPr>
            <w:r w:rsidRPr="006F3961">
              <w:rPr>
                <w:rFonts w:eastAsia="Times New Roman" w:cs="Times New Roman"/>
                <w:b/>
                <w:color w:val="000000"/>
                <w:kern w:val="0"/>
                <w:lang w:eastAsia="en-AU"/>
                <w14:ligatures w14:val="none"/>
              </w:rPr>
              <w:t>Production system type</w:t>
            </w:r>
          </w:p>
        </w:tc>
        <w:tc>
          <w:tcPr>
            <w:tcW w:w="10206" w:type="dxa"/>
            <w:tcBorders>
              <w:top w:val="single" w:sz="4" w:space="0" w:color="auto"/>
              <w:left w:val="nil"/>
              <w:bottom w:val="single" w:sz="4" w:space="0" w:color="auto"/>
              <w:right w:val="single" w:sz="4" w:space="0" w:color="auto"/>
            </w:tcBorders>
            <w:vAlign w:val="center"/>
            <w:hideMark/>
          </w:tcPr>
          <w:p w14:paraId="5FF9C0B1" w14:textId="77777777" w:rsidR="00176C0F" w:rsidRPr="006F3961" w:rsidRDefault="00176C0F" w:rsidP="001A7D3E">
            <w:pPr>
              <w:spacing w:after="0" w:line="240" w:lineRule="auto"/>
              <w:rPr>
                <w:rFonts w:ascii="Aptos" w:eastAsia="Times New Roman" w:hAnsi="Aptos" w:cs="Times New Roman"/>
                <w:i/>
                <w:color w:val="156082"/>
                <w:kern w:val="0"/>
                <w:lang w:eastAsia="en-AU"/>
                <w14:ligatures w14:val="none"/>
              </w:rPr>
            </w:pPr>
            <w:r w:rsidRPr="006F3961">
              <w:rPr>
                <w:rFonts w:ascii="Aptos" w:eastAsia="Times New Roman" w:hAnsi="Aptos" w:cs="Times New Roman"/>
                <w:i/>
                <w:color w:val="156082"/>
                <w:kern w:val="0"/>
                <w:lang w:eastAsia="en-AU"/>
                <w14:ligatures w14:val="none"/>
              </w:rPr>
              <w:t>e.g</w:t>
            </w:r>
            <w:r>
              <w:rPr>
                <w:rFonts w:ascii="Aptos" w:eastAsia="Times New Roman" w:hAnsi="Aptos" w:cs="Times New Roman"/>
                <w:i/>
                <w:color w:val="156082"/>
                <w:kern w:val="0"/>
                <w:lang w:eastAsia="en-AU"/>
                <w14:ligatures w14:val="none"/>
              </w:rPr>
              <w:t>.</w:t>
            </w:r>
            <w:r w:rsidRPr="006F3961">
              <w:rPr>
                <w:rFonts w:ascii="Aptos" w:eastAsia="Times New Roman" w:hAnsi="Aptos" w:cs="Times New Roman"/>
                <w:i/>
                <w:color w:val="156082"/>
                <w:kern w:val="0"/>
                <w:lang w:eastAsia="en-AU"/>
                <w14:ligatures w14:val="none"/>
              </w:rPr>
              <w:t xml:space="preserve"> Annual crop / Perennial </w:t>
            </w:r>
            <w:r>
              <w:rPr>
                <w:rFonts w:ascii="Aptos" w:eastAsia="Times New Roman" w:hAnsi="Aptos" w:cs="Times New Roman"/>
                <w:i/>
                <w:color w:val="156082"/>
                <w:kern w:val="0"/>
                <w:lang w:eastAsia="en-AU"/>
                <w14:ligatures w14:val="none"/>
              </w:rPr>
              <w:t xml:space="preserve">tree </w:t>
            </w:r>
            <w:r w:rsidRPr="006F3961">
              <w:rPr>
                <w:rFonts w:ascii="Aptos" w:eastAsia="Times New Roman" w:hAnsi="Aptos" w:cs="Times New Roman"/>
                <w:i/>
                <w:color w:val="156082"/>
                <w:kern w:val="0"/>
                <w:lang w:eastAsia="en-AU"/>
                <w14:ligatures w14:val="none"/>
              </w:rPr>
              <w:t xml:space="preserve">crop / Dairy / Poultry / </w:t>
            </w:r>
            <w:r>
              <w:rPr>
                <w:rFonts w:ascii="Aptos" w:eastAsia="Times New Roman" w:hAnsi="Aptos" w:cs="Times New Roman"/>
                <w:i/>
                <w:color w:val="156082"/>
                <w:kern w:val="0"/>
                <w:lang w:eastAsia="en-AU"/>
                <w14:ligatures w14:val="none"/>
              </w:rPr>
              <w:t xml:space="preserve">Aquaculture Prawns/ </w:t>
            </w:r>
            <w:r w:rsidRPr="006F3961">
              <w:rPr>
                <w:rFonts w:ascii="Aptos" w:eastAsia="Times New Roman" w:hAnsi="Aptos" w:cs="Times New Roman"/>
                <w:i/>
                <w:color w:val="156082"/>
                <w:kern w:val="0"/>
                <w:lang w:eastAsia="en-AU"/>
                <w14:ligatures w14:val="none"/>
              </w:rPr>
              <w:t>Mixed</w:t>
            </w:r>
            <w:r>
              <w:rPr>
                <w:rFonts w:ascii="Aptos" w:eastAsia="Times New Roman" w:hAnsi="Aptos" w:cs="Times New Roman"/>
                <w:i/>
                <w:color w:val="156082"/>
                <w:kern w:val="0"/>
                <w:lang w:eastAsia="en-AU"/>
                <w14:ligatures w14:val="none"/>
              </w:rPr>
              <w:t xml:space="preserve"> </w:t>
            </w:r>
          </w:p>
        </w:tc>
      </w:tr>
      <w:tr w:rsidR="00176C0F" w:rsidRPr="00BA4633" w14:paraId="30244FD3" w14:textId="77777777" w:rsidTr="00B54640">
        <w:trPr>
          <w:trHeight w:val="580"/>
        </w:trPr>
        <w:tc>
          <w:tcPr>
            <w:tcW w:w="3686" w:type="dxa"/>
            <w:tcBorders>
              <w:top w:val="single" w:sz="4" w:space="0" w:color="auto"/>
              <w:left w:val="single" w:sz="4" w:space="0" w:color="auto"/>
              <w:bottom w:val="single" w:sz="4" w:space="0" w:color="auto"/>
              <w:right w:val="single" w:sz="4" w:space="0" w:color="auto"/>
            </w:tcBorders>
            <w:vAlign w:val="center"/>
            <w:hideMark/>
          </w:tcPr>
          <w:p w14:paraId="52350BAF" w14:textId="25BB8037" w:rsidR="00176C0F" w:rsidRPr="006F3961" w:rsidRDefault="003012D0" w:rsidP="001A7D3E">
            <w:pPr>
              <w:spacing w:after="0" w:line="240" w:lineRule="auto"/>
              <w:rPr>
                <w:rFonts w:eastAsia="Times New Roman" w:cs="Times New Roman"/>
                <w:b/>
                <w:color w:val="000000"/>
                <w:kern w:val="0"/>
                <w:lang w:eastAsia="en-AU"/>
                <w14:ligatures w14:val="none"/>
              </w:rPr>
            </w:pPr>
            <w:r>
              <w:rPr>
                <w:rFonts w:eastAsia="Times New Roman" w:cs="Times New Roman"/>
                <w:b/>
                <w:color w:val="000000"/>
                <w:kern w:val="0"/>
                <w:lang w:eastAsia="en-AU"/>
                <w14:ligatures w14:val="none"/>
              </w:rPr>
              <w:t>Y</w:t>
            </w:r>
            <w:r w:rsidR="00176C0F" w:rsidRPr="006F3961">
              <w:rPr>
                <w:rFonts w:eastAsia="Times New Roman" w:cs="Times New Roman"/>
                <w:b/>
                <w:color w:val="000000"/>
                <w:kern w:val="0"/>
                <w:lang w:eastAsia="en-AU"/>
                <w14:ligatures w14:val="none"/>
              </w:rPr>
              <w:t>ear</w:t>
            </w:r>
            <w:r w:rsidR="00176C0F">
              <w:rPr>
                <w:rFonts w:eastAsia="Times New Roman" w:cs="Times New Roman"/>
                <w:b/>
                <w:color w:val="000000"/>
                <w:kern w:val="0"/>
                <w:lang w:eastAsia="en-AU"/>
                <w14:ligatures w14:val="none"/>
              </w:rPr>
              <w:t xml:space="preserve"> </w:t>
            </w:r>
          </w:p>
        </w:tc>
        <w:tc>
          <w:tcPr>
            <w:tcW w:w="10206" w:type="dxa"/>
            <w:tcBorders>
              <w:top w:val="single" w:sz="4" w:space="0" w:color="auto"/>
              <w:left w:val="nil"/>
              <w:bottom w:val="single" w:sz="4" w:space="0" w:color="auto"/>
              <w:right w:val="single" w:sz="4" w:space="0" w:color="auto"/>
            </w:tcBorders>
            <w:vAlign w:val="center"/>
            <w:hideMark/>
          </w:tcPr>
          <w:p w14:paraId="580E1ABB" w14:textId="77777777" w:rsidR="00176C0F" w:rsidRPr="006F3961" w:rsidRDefault="00176C0F" w:rsidP="001A7D3E">
            <w:pPr>
              <w:spacing w:after="0" w:line="240" w:lineRule="auto"/>
              <w:rPr>
                <w:rFonts w:ascii="Aptos" w:eastAsia="Times New Roman" w:hAnsi="Aptos" w:cs="Times New Roman"/>
                <w:i/>
                <w:color w:val="156082"/>
                <w:kern w:val="0"/>
                <w:lang w:eastAsia="en-AU"/>
                <w14:ligatures w14:val="none"/>
              </w:rPr>
            </w:pPr>
            <w:r w:rsidRPr="006F3961">
              <w:rPr>
                <w:rFonts w:ascii="Aptos" w:eastAsia="Times New Roman" w:hAnsi="Aptos" w:cs="Times New Roman"/>
                <w:i/>
                <w:color w:val="156082"/>
                <w:kern w:val="0"/>
                <w:lang w:eastAsia="en-AU"/>
                <w14:ligatures w14:val="none"/>
              </w:rPr>
              <w:t xml:space="preserve">e.g. 2025 </w:t>
            </w:r>
          </w:p>
        </w:tc>
      </w:tr>
      <w:tr w:rsidR="00176C0F" w:rsidRPr="00BA4633" w14:paraId="28E47083" w14:textId="77777777" w:rsidTr="00B54640">
        <w:trPr>
          <w:trHeight w:val="580"/>
        </w:trPr>
        <w:tc>
          <w:tcPr>
            <w:tcW w:w="3686" w:type="dxa"/>
            <w:tcBorders>
              <w:top w:val="single" w:sz="4" w:space="0" w:color="auto"/>
              <w:left w:val="single" w:sz="4" w:space="0" w:color="auto"/>
              <w:bottom w:val="single" w:sz="4" w:space="0" w:color="auto"/>
              <w:right w:val="single" w:sz="4" w:space="0" w:color="auto"/>
            </w:tcBorders>
            <w:vAlign w:val="center"/>
            <w:hideMark/>
          </w:tcPr>
          <w:p w14:paraId="7C172DF6" w14:textId="5A565C75" w:rsidR="00176C0F" w:rsidRPr="006F3961" w:rsidRDefault="00A55578" w:rsidP="001A7D3E">
            <w:pPr>
              <w:spacing w:after="0" w:line="240" w:lineRule="auto"/>
              <w:rPr>
                <w:rFonts w:eastAsia="Times New Roman" w:cs="Times New Roman"/>
                <w:b/>
                <w:color w:val="000000"/>
                <w:kern w:val="0"/>
                <w:lang w:eastAsia="en-AU"/>
                <w14:ligatures w14:val="none"/>
              </w:rPr>
            </w:pPr>
            <w:r>
              <w:rPr>
                <w:rFonts w:eastAsia="Times New Roman" w:cs="Times New Roman"/>
                <w:b/>
                <w:color w:val="000000"/>
                <w:kern w:val="0"/>
                <w:lang w:eastAsia="en-AU"/>
                <w14:ligatures w14:val="none"/>
              </w:rPr>
              <w:t>S</w:t>
            </w:r>
            <w:r w:rsidR="00176C0F" w:rsidRPr="006F3961">
              <w:rPr>
                <w:rFonts w:eastAsia="Times New Roman" w:cs="Times New Roman"/>
                <w:b/>
                <w:color w:val="000000"/>
                <w:kern w:val="0"/>
                <w:lang w:eastAsia="en-AU"/>
                <w14:ligatures w14:val="none"/>
              </w:rPr>
              <w:t>ystem boundar</w:t>
            </w:r>
            <w:r w:rsidR="00176C0F">
              <w:rPr>
                <w:rFonts w:eastAsia="Times New Roman" w:cs="Times New Roman"/>
                <w:b/>
                <w:color w:val="000000"/>
                <w:kern w:val="0"/>
                <w:lang w:eastAsia="en-AU"/>
                <w14:ligatures w14:val="none"/>
              </w:rPr>
              <w:t>y</w:t>
            </w:r>
            <w:r w:rsidR="00060789">
              <w:rPr>
                <w:rFonts w:eastAsia="Times New Roman" w:cs="Times New Roman"/>
                <w:b/>
                <w:color w:val="000000"/>
                <w:kern w:val="0"/>
                <w:lang w:eastAsia="en-AU"/>
                <w14:ligatures w14:val="none"/>
              </w:rPr>
              <w:t xml:space="preserve"> (</w:t>
            </w:r>
            <w:r w:rsidR="007A453D">
              <w:rPr>
                <w:rFonts w:eastAsia="Times New Roman" w:cs="Times New Roman"/>
                <w:b/>
                <w:color w:val="000000"/>
                <w:kern w:val="0"/>
                <w:lang w:eastAsia="en-AU"/>
                <w14:ligatures w14:val="none"/>
              </w:rPr>
              <w:t xml:space="preserve">defined </w:t>
            </w:r>
            <w:r>
              <w:rPr>
                <w:rFonts w:eastAsia="Times New Roman" w:cs="Times New Roman"/>
                <w:b/>
                <w:color w:val="000000"/>
                <w:kern w:val="0"/>
                <w:lang w:eastAsia="en-AU"/>
                <w14:ligatures w14:val="none"/>
              </w:rPr>
              <w:t>gate</w:t>
            </w:r>
            <w:r w:rsidR="00060789">
              <w:rPr>
                <w:rFonts w:eastAsia="Times New Roman" w:cs="Times New Roman"/>
                <w:b/>
                <w:color w:val="000000"/>
                <w:kern w:val="0"/>
                <w:lang w:eastAsia="en-AU"/>
                <w14:ligatures w14:val="none"/>
              </w:rPr>
              <w:t>)</w:t>
            </w:r>
          </w:p>
        </w:tc>
        <w:tc>
          <w:tcPr>
            <w:tcW w:w="10206" w:type="dxa"/>
            <w:tcBorders>
              <w:top w:val="single" w:sz="4" w:space="0" w:color="auto"/>
              <w:left w:val="nil"/>
              <w:bottom w:val="single" w:sz="4" w:space="0" w:color="auto"/>
              <w:right w:val="single" w:sz="4" w:space="0" w:color="auto"/>
            </w:tcBorders>
            <w:vAlign w:val="center"/>
            <w:hideMark/>
          </w:tcPr>
          <w:p w14:paraId="21274F8C" w14:textId="77777777" w:rsidR="00F609E3" w:rsidRPr="00C81923" w:rsidRDefault="00F609E3" w:rsidP="00F609E3">
            <w:pPr>
              <w:spacing w:after="0" w:line="240" w:lineRule="auto"/>
              <w:rPr>
                <w:rFonts w:ascii="Aptos" w:eastAsia="Times New Roman" w:hAnsi="Aptos" w:cs="Times New Roman"/>
                <w:i/>
                <w:kern w:val="0"/>
                <w:lang w:eastAsia="en-AU"/>
                <w14:ligatures w14:val="none"/>
              </w:rPr>
            </w:pPr>
            <w:r w:rsidRPr="00C81923">
              <w:rPr>
                <w:rFonts w:ascii="Aptos" w:eastAsia="Times New Roman" w:hAnsi="Aptos" w:cs="Times New Roman"/>
                <w:i/>
                <w:kern w:val="0"/>
                <w:lang w:eastAsia="en-AU"/>
                <w14:ligatures w14:val="none"/>
              </w:rPr>
              <w:t>[if gate varies between main products provide detail in Output classification table]</w:t>
            </w:r>
          </w:p>
          <w:p w14:paraId="7F375F44" w14:textId="7B569EB8" w:rsidR="00176C0F" w:rsidRDefault="00790825" w:rsidP="001A7D3E">
            <w:pPr>
              <w:spacing w:after="0" w:line="240" w:lineRule="auto"/>
              <w:rPr>
                <w:rFonts w:ascii="Aptos" w:eastAsia="Times New Roman" w:hAnsi="Aptos" w:cs="Times New Roman"/>
                <w:i/>
                <w:color w:val="156082"/>
                <w:kern w:val="0"/>
                <w:lang w:eastAsia="en-AU"/>
                <w14:ligatures w14:val="none"/>
              </w:rPr>
            </w:pPr>
            <w:r>
              <w:rPr>
                <w:rFonts w:ascii="Aptos" w:eastAsia="Times New Roman" w:hAnsi="Aptos" w:cs="Times New Roman"/>
                <w:i/>
                <w:color w:val="156082"/>
                <w:kern w:val="0"/>
                <w:lang w:eastAsia="en-AU"/>
                <w14:ligatures w14:val="none"/>
              </w:rPr>
              <w:t>C</w:t>
            </w:r>
            <w:r w:rsidR="00176C0F" w:rsidRPr="006F3961">
              <w:rPr>
                <w:rFonts w:ascii="Aptos" w:eastAsia="Times New Roman" w:hAnsi="Aptos" w:cs="Times New Roman"/>
                <w:i/>
                <w:color w:val="156082"/>
                <w:kern w:val="0"/>
                <w:lang w:eastAsia="en-AU"/>
                <w14:ligatures w14:val="none"/>
              </w:rPr>
              <w:t>radle-to-gat</w:t>
            </w:r>
            <w:r w:rsidR="00176C0F">
              <w:rPr>
                <w:rFonts w:ascii="Aptos" w:eastAsia="Times New Roman" w:hAnsi="Aptos" w:cs="Times New Roman"/>
                <w:i/>
                <w:color w:val="156082"/>
                <w:kern w:val="0"/>
                <w:lang w:eastAsia="en-AU"/>
                <w14:ligatures w14:val="none"/>
              </w:rPr>
              <w:t>e</w:t>
            </w:r>
            <w:r w:rsidR="00176C0F" w:rsidRPr="006F3961">
              <w:rPr>
                <w:rFonts w:ascii="Aptos" w:eastAsia="Times New Roman" w:hAnsi="Aptos" w:cs="Times New Roman"/>
                <w:i/>
                <w:color w:val="156082"/>
                <w:kern w:val="0"/>
                <w:lang w:eastAsia="en-AU"/>
                <w14:ligatures w14:val="none"/>
              </w:rPr>
              <w:t xml:space="preserve"> </w:t>
            </w:r>
            <w:r w:rsidR="00060789">
              <w:rPr>
                <w:rFonts w:ascii="Aptos" w:eastAsia="Times New Roman" w:hAnsi="Aptos" w:cs="Times New Roman"/>
                <w:i/>
                <w:color w:val="156082"/>
                <w:kern w:val="0"/>
                <w:lang w:eastAsia="en-AU"/>
                <w14:ligatures w14:val="none"/>
              </w:rPr>
              <w:t>(</w:t>
            </w:r>
            <w:r w:rsidR="00F939F7">
              <w:rPr>
                <w:rFonts w:ascii="Aptos" w:eastAsia="Times New Roman" w:hAnsi="Aptos" w:cs="Times New Roman"/>
                <w:i/>
                <w:color w:val="156082"/>
                <w:kern w:val="0"/>
                <w:lang w:eastAsia="en-AU"/>
                <w14:ligatures w14:val="none"/>
              </w:rPr>
              <w:t>farm gate</w:t>
            </w:r>
            <w:r w:rsidR="00060789">
              <w:rPr>
                <w:rFonts w:ascii="Aptos" w:eastAsia="Times New Roman" w:hAnsi="Aptos" w:cs="Times New Roman"/>
                <w:i/>
                <w:color w:val="156082"/>
                <w:kern w:val="0"/>
                <w:lang w:eastAsia="en-AU"/>
                <w14:ligatures w14:val="none"/>
              </w:rPr>
              <w:t>)</w:t>
            </w:r>
            <w:r w:rsidR="0057725A">
              <w:rPr>
                <w:rFonts w:ascii="Aptos" w:eastAsia="Times New Roman" w:hAnsi="Aptos" w:cs="Times New Roman"/>
                <w:i/>
                <w:color w:val="156082"/>
                <w:kern w:val="0"/>
                <w:lang w:eastAsia="en-AU"/>
                <w14:ligatures w14:val="none"/>
              </w:rPr>
              <w:t xml:space="preserve"> - </w:t>
            </w:r>
            <w:r w:rsidR="00176C0F">
              <w:rPr>
                <w:rFonts w:ascii="Aptos" w:eastAsia="Times New Roman" w:hAnsi="Aptos" w:cs="Times New Roman"/>
                <w:i/>
                <w:color w:val="156082"/>
                <w:kern w:val="0"/>
                <w:lang w:eastAsia="en-AU"/>
                <w14:ligatures w14:val="none"/>
              </w:rPr>
              <w:t xml:space="preserve">Includes all emission and removal processes from </w:t>
            </w:r>
            <w:r w:rsidR="000B12C5">
              <w:rPr>
                <w:rFonts w:ascii="Aptos" w:eastAsia="Times New Roman" w:hAnsi="Aptos" w:cs="Times New Roman"/>
                <w:i/>
                <w:color w:val="156082"/>
                <w:kern w:val="0"/>
                <w:lang w:eastAsia="en-AU"/>
                <w14:ligatures w14:val="none"/>
              </w:rPr>
              <w:t xml:space="preserve">primary </w:t>
            </w:r>
            <w:r w:rsidR="00176C0F">
              <w:rPr>
                <w:rFonts w:ascii="Aptos" w:eastAsia="Times New Roman" w:hAnsi="Aptos" w:cs="Times New Roman"/>
                <w:i/>
                <w:color w:val="156082"/>
                <w:kern w:val="0"/>
                <w:lang w:eastAsia="en-AU"/>
                <w14:ligatures w14:val="none"/>
              </w:rPr>
              <w:t xml:space="preserve">production system to </w:t>
            </w:r>
            <w:r w:rsidR="00BA0F47">
              <w:rPr>
                <w:rFonts w:ascii="Aptos" w:eastAsia="Times New Roman" w:hAnsi="Aptos" w:cs="Times New Roman"/>
                <w:i/>
                <w:color w:val="156082"/>
                <w:kern w:val="0"/>
                <w:lang w:eastAsia="en-AU"/>
                <w14:ligatures w14:val="none"/>
              </w:rPr>
              <w:t>the</w:t>
            </w:r>
            <w:r w:rsidR="00176C0F">
              <w:rPr>
                <w:rFonts w:ascii="Aptos" w:eastAsia="Times New Roman" w:hAnsi="Aptos" w:cs="Times New Roman"/>
                <w:i/>
                <w:color w:val="156082"/>
                <w:kern w:val="0"/>
                <w:lang w:eastAsia="en-AU"/>
                <w14:ligatures w14:val="none"/>
              </w:rPr>
              <w:t xml:space="preserve"> farm gate including storage of milk prior to collection  </w:t>
            </w:r>
          </w:p>
          <w:p w14:paraId="0980AFC9" w14:textId="77777777" w:rsidR="00176C0F" w:rsidRPr="006F3961" w:rsidRDefault="00176C0F" w:rsidP="001A7D3E">
            <w:pPr>
              <w:spacing w:after="0" w:line="240" w:lineRule="auto"/>
              <w:rPr>
                <w:rFonts w:ascii="Aptos" w:eastAsia="Times New Roman" w:hAnsi="Aptos" w:cs="Times New Roman"/>
                <w:i/>
                <w:color w:val="156082"/>
                <w:kern w:val="0"/>
                <w:lang w:eastAsia="en-AU"/>
                <w14:ligatures w14:val="none"/>
              </w:rPr>
            </w:pPr>
          </w:p>
        </w:tc>
      </w:tr>
      <w:tr w:rsidR="00176C0F" w:rsidRPr="00BA4633" w14:paraId="587D785A" w14:textId="77777777" w:rsidTr="00B54640">
        <w:trPr>
          <w:trHeight w:val="580"/>
        </w:trPr>
        <w:tc>
          <w:tcPr>
            <w:tcW w:w="3686" w:type="dxa"/>
            <w:tcBorders>
              <w:top w:val="single" w:sz="4" w:space="0" w:color="auto"/>
              <w:left w:val="single" w:sz="4" w:space="0" w:color="auto"/>
              <w:bottom w:val="single" w:sz="4" w:space="0" w:color="auto"/>
              <w:right w:val="single" w:sz="4" w:space="0" w:color="auto"/>
            </w:tcBorders>
            <w:vAlign w:val="center"/>
          </w:tcPr>
          <w:p w14:paraId="0D5CEFA1" w14:textId="77777777" w:rsidR="00176C0F" w:rsidRPr="004507D7" w:rsidRDefault="00176C0F" w:rsidP="001A7D3E">
            <w:pPr>
              <w:spacing w:after="0" w:line="240" w:lineRule="auto"/>
              <w:rPr>
                <w:rFonts w:eastAsia="Times New Roman" w:cs="Times New Roman"/>
                <w:b/>
                <w:bCs/>
                <w:color w:val="000000"/>
                <w:kern w:val="0"/>
                <w:lang w:eastAsia="en-AU"/>
                <w14:ligatures w14:val="none"/>
              </w:rPr>
            </w:pPr>
            <w:r>
              <w:rPr>
                <w:rFonts w:eastAsia="Times New Roman" w:cs="Times New Roman"/>
                <w:b/>
                <w:bCs/>
                <w:color w:val="000000"/>
                <w:kern w:val="0"/>
                <w:lang w:eastAsia="en-AU"/>
                <w14:ligatures w14:val="none"/>
              </w:rPr>
              <w:t xml:space="preserve">GWP Framework applied </w:t>
            </w:r>
          </w:p>
        </w:tc>
        <w:tc>
          <w:tcPr>
            <w:tcW w:w="10206" w:type="dxa"/>
            <w:tcBorders>
              <w:top w:val="single" w:sz="4" w:space="0" w:color="auto"/>
              <w:left w:val="nil"/>
              <w:bottom w:val="single" w:sz="4" w:space="0" w:color="auto"/>
              <w:right w:val="single" w:sz="4" w:space="0" w:color="auto"/>
            </w:tcBorders>
            <w:vAlign w:val="center"/>
          </w:tcPr>
          <w:p w14:paraId="41619AD3" w14:textId="77777777" w:rsidR="00176C0F" w:rsidRPr="004507D7" w:rsidRDefault="00176C0F" w:rsidP="001A7D3E">
            <w:pPr>
              <w:spacing w:after="0" w:line="240" w:lineRule="auto"/>
              <w:rPr>
                <w:rFonts w:ascii="Aptos" w:eastAsia="Times New Roman" w:hAnsi="Aptos" w:cs="Times New Roman"/>
                <w:i/>
                <w:iCs/>
                <w:color w:val="156082"/>
                <w:kern w:val="0"/>
                <w:lang w:eastAsia="en-AU"/>
                <w14:ligatures w14:val="none"/>
              </w:rPr>
            </w:pPr>
            <w:r>
              <w:rPr>
                <w:rFonts w:ascii="Aptos" w:eastAsia="Times New Roman" w:hAnsi="Aptos" w:cs="Times New Roman"/>
                <w:i/>
                <w:iCs/>
                <w:color w:val="156082"/>
                <w:kern w:val="0"/>
                <w:lang w:eastAsia="en-AU"/>
                <w14:ligatures w14:val="none"/>
              </w:rPr>
              <w:t xml:space="preserve">e.g. GWP100 - IPCC AR5 </w:t>
            </w:r>
          </w:p>
        </w:tc>
      </w:tr>
    </w:tbl>
    <w:p w14:paraId="142EAD6C" w14:textId="77777777" w:rsidR="005C0391" w:rsidRDefault="005C0391" w:rsidP="005C0391"/>
    <w:p w14:paraId="6CDDD384" w14:textId="14B8E4D0" w:rsidR="008234CF" w:rsidRDefault="008234CF" w:rsidP="008234CF">
      <w:pPr>
        <w:pStyle w:val="Heading3"/>
        <w:numPr>
          <w:ilvl w:val="0"/>
          <w:numId w:val="0"/>
        </w:numPr>
      </w:pPr>
      <w:r>
        <w:t xml:space="preserve">Output classification </w:t>
      </w:r>
    </w:p>
    <w:tbl>
      <w:tblPr>
        <w:tblW w:w="13892" w:type="dxa"/>
        <w:tblInd w:w="-5" w:type="dxa"/>
        <w:tblLook w:val="04A0" w:firstRow="1" w:lastRow="0" w:firstColumn="1" w:lastColumn="0" w:noHBand="0" w:noVBand="1"/>
      </w:tblPr>
      <w:tblGrid>
        <w:gridCol w:w="1843"/>
        <w:gridCol w:w="1560"/>
        <w:gridCol w:w="1604"/>
        <w:gridCol w:w="1220"/>
        <w:gridCol w:w="1536"/>
        <w:gridCol w:w="3010"/>
        <w:gridCol w:w="3119"/>
      </w:tblGrid>
      <w:tr w:rsidR="002D1818" w:rsidRPr="00FA1403" w14:paraId="3E21266E" w14:textId="77777777" w:rsidTr="00152FBA">
        <w:trPr>
          <w:trHeight w:val="1160"/>
          <w:tblHeader/>
        </w:trPr>
        <w:tc>
          <w:tcPr>
            <w:tcW w:w="1843" w:type="dxa"/>
            <w:tcBorders>
              <w:top w:val="single" w:sz="4" w:space="0" w:color="auto"/>
              <w:left w:val="single" w:sz="4" w:space="0" w:color="auto"/>
              <w:bottom w:val="single" w:sz="4" w:space="0" w:color="auto"/>
            </w:tcBorders>
            <w:shd w:val="clear" w:color="auto" w:fill="E8E8E8" w:themeFill="background2"/>
            <w:vAlign w:val="center"/>
          </w:tcPr>
          <w:p w14:paraId="4644A1A1" w14:textId="0944BABF" w:rsidR="00E94474" w:rsidRDefault="00E94474" w:rsidP="00AE1065">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Output</w:t>
            </w:r>
            <w:r w:rsidR="00AE1065" w:rsidRPr="00FA1403">
              <w:rPr>
                <w:rFonts w:ascii="Aptos Narrow" w:eastAsia="Times New Roman" w:hAnsi="Aptos Narrow" w:cs="Times New Roman"/>
                <w:b/>
                <w:bCs/>
                <w:color w:val="000000"/>
                <w:kern w:val="0"/>
                <w:lang w:eastAsia="en-AU"/>
                <w14:ligatures w14:val="none"/>
              </w:rPr>
              <w:t xml:space="preserve"> </w:t>
            </w:r>
          </w:p>
        </w:tc>
        <w:tc>
          <w:tcPr>
            <w:tcW w:w="1560"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15085F20" w14:textId="363C66E8" w:rsidR="00C07B71" w:rsidRPr="00FA1403" w:rsidRDefault="00C07B71">
            <w:pPr>
              <w:spacing w:after="0" w:line="240" w:lineRule="auto"/>
              <w:jc w:val="center"/>
              <w:rPr>
                <w:rFonts w:ascii="Aptos Narrow" w:eastAsia="Times New Roman" w:hAnsi="Aptos Narrow" w:cs="Times New Roman"/>
                <w:b/>
                <w:bCs/>
                <w:color w:val="000000"/>
                <w:kern w:val="0"/>
                <w:lang w:eastAsia="en-AU"/>
                <w14:ligatures w14:val="none"/>
              </w:rPr>
            </w:pPr>
            <w:r w:rsidRPr="00FA1403">
              <w:rPr>
                <w:rFonts w:ascii="Aptos Narrow" w:eastAsia="Times New Roman" w:hAnsi="Aptos Narrow" w:cs="Times New Roman"/>
                <w:b/>
                <w:bCs/>
                <w:color w:val="000000"/>
                <w:kern w:val="0"/>
                <w:lang w:eastAsia="en-AU"/>
                <w14:ligatures w14:val="none"/>
              </w:rPr>
              <w:t xml:space="preserve">Classification </w:t>
            </w:r>
          </w:p>
        </w:tc>
        <w:tc>
          <w:tcPr>
            <w:tcW w:w="1604" w:type="dxa"/>
            <w:tcBorders>
              <w:top w:val="single" w:sz="4" w:space="0" w:color="auto"/>
              <w:bottom w:val="single" w:sz="4" w:space="0" w:color="auto"/>
              <w:right w:val="single" w:sz="4" w:space="0" w:color="auto"/>
            </w:tcBorders>
            <w:shd w:val="clear" w:color="auto" w:fill="E8E8E8" w:themeFill="background2"/>
          </w:tcPr>
          <w:p w14:paraId="78CB45F2" w14:textId="1F682925" w:rsidR="00C07B71" w:rsidRDefault="0063028C">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System boundary s</w:t>
            </w:r>
            <w:r w:rsidR="00AE1065">
              <w:rPr>
                <w:rFonts w:ascii="Aptos Narrow" w:eastAsia="Times New Roman" w:hAnsi="Aptos Narrow" w:cs="Times New Roman"/>
                <w:b/>
                <w:bCs/>
                <w:color w:val="000000"/>
                <w:kern w:val="0"/>
                <w:lang w:eastAsia="en-AU"/>
                <w14:ligatures w14:val="none"/>
              </w:rPr>
              <w:t xml:space="preserve">tage </w:t>
            </w:r>
          </w:p>
        </w:tc>
        <w:tc>
          <w:tcPr>
            <w:tcW w:w="1220"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1B82B68D" w14:textId="54CDDE05" w:rsidR="00C07B71" w:rsidRPr="00FA1403" w:rsidRDefault="00C07B71">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Production Cycle</w:t>
            </w:r>
            <w:r w:rsidRPr="00FA1403">
              <w:rPr>
                <w:rFonts w:ascii="Aptos Narrow" w:eastAsia="Times New Roman" w:hAnsi="Aptos Narrow" w:cs="Times New Roman"/>
                <w:b/>
                <w:bCs/>
                <w:color w:val="000000"/>
                <w:kern w:val="0"/>
                <w:lang w:eastAsia="en-AU"/>
                <w14:ligatures w14:val="none"/>
              </w:rPr>
              <w:t xml:space="preserve"> </w:t>
            </w:r>
          </w:p>
        </w:tc>
        <w:tc>
          <w:tcPr>
            <w:tcW w:w="1536" w:type="dxa"/>
            <w:tcBorders>
              <w:top w:val="single" w:sz="4" w:space="0" w:color="auto"/>
              <w:bottom w:val="single" w:sz="4" w:space="0" w:color="auto"/>
              <w:right w:val="single" w:sz="4" w:space="0" w:color="auto"/>
            </w:tcBorders>
            <w:shd w:val="clear" w:color="auto" w:fill="E8E8E8" w:themeFill="background2"/>
          </w:tcPr>
          <w:p w14:paraId="0C18B9F6" w14:textId="3DD0F2D2" w:rsidR="00C07B71" w:rsidRDefault="00055850">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A</w:t>
            </w:r>
            <w:r w:rsidR="00C07B71" w:rsidRPr="00C07B71">
              <w:rPr>
                <w:rFonts w:ascii="Aptos Narrow" w:eastAsia="Times New Roman" w:hAnsi="Aptos Narrow" w:cs="Times New Roman"/>
                <w:b/>
                <w:bCs/>
                <w:color w:val="000000"/>
                <w:kern w:val="0"/>
                <w:lang w:eastAsia="en-AU"/>
                <w14:ligatures w14:val="none"/>
              </w:rPr>
              <w:t>verag</w:t>
            </w:r>
            <w:r>
              <w:rPr>
                <w:rFonts w:ascii="Aptos Narrow" w:eastAsia="Times New Roman" w:hAnsi="Aptos Narrow" w:cs="Times New Roman"/>
                <w:b/>
                <w:bCs/>
                <w:color w:val="000000"/>
                <w:kern w:val="0"/>
                <w:lang w:eastAsia="en-AU"/>
                <w14:ligatures w14:val="none"/>
              </w:rPr>
              <w:t>ing</w:t>
            </w:r>
            <w:r w:rsidR="00C07B71" w:rsidRPr="00C07B71">
              <w:rPr>
                <w:rFonts w:ascii="Aptos Narrow" w:eastAsia="Times New Roman" w:hAnsi="Aptos Narrow" w:cs="Times New Roman"/>
                <w:b/>
                <w:bCs/>
                <w:color w:val="000000"/>
                <w:kern w:val="0"/>
                <w:lang w:eastAsia="en-AU"/>
                <w14:ligatures w14:val="none"/>
              </w:rPr>
              <w:t xml:space="preserve"> period </w:t>
            </w:r>
            <w:r w:rsidR="002C23EC">
              <w:rPr>
                <w:rFonts w:ascii="Aptos Narrow" w:eastAsia="Times New Roman" w:hAnsi="Aptos Narrow" w:cs="Times New Roman"/>
                <w:b/>
                <w:bCs/>
                <w:color w:val="000000"/>
                <w:kern w:val="0"/>
                <w:lang w:eastAsia="en-AU"/>
                <w14:ligatures w14:val="none"/>
              </w:rPr>
              <w:t>for reporting</w:t>
            </w:r>
          </w:p>
          <w:p w14:paraId="6D4653F7" w14:textId="1D579DA9" w:rsidR="008D203B" w:rsidRPr="00FA1403" w:rsidRDefault="008D203B">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(if applied)</w:t>
            </w:r>
          </w:p>
        </w:tc>
        <w:tc>
          <w:tcPr>
            <w:tcW w:w="3010"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00A205E2" w14:textId="67945C1B" w:rsidR="00C07B71" w:rsidRPr="00FA1403" w:rsidRDefault="00511639">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B</w:t>
            </w:r>
            <w:r w:rsidR="00326112" w:rsidRPr="00C07B71">
              <w:rPr>
                <w:rFonts w:ascii="Aptos Narrow" w:eastAsia="Times New Roman" w:hAnsi="Aptos Narrow" w:cs="Times New Roman"/>
                <w:b/>
                <w:bCs/>
                <w:color w:val="000000"/>
                <w:kern w:val="0"/>
                <w:lang w:eastAsia="en-AU"/>
                <w14:ligatures w14:val="none"/>
              </w:rPr>
              <w:t xml:space="preserve">asis </w:t>
            </w:r>
            <w:r>
              <w:rPr>
                <w:rFonts w:ascii="Aptos Narrow" w:eastAsia="Times New Roman" w:hAnsi="Aptos Narrow" w:cs="Times New Roman"/>
                <w:b/>
                <w:bCs/>
                <w:color w:val="000000"/>
                <w:kern w:val="0"/>
                <w:lang w:eastAsia="en-AU"/>
                <w14:ligatures w14:val="none"/>
              </w:rPr>
              <w:t>for average period sel</w:t>
            </w:r>
            <w:r w:rsidR="00326112" w:rsidRPr="00C07B71">
              <w:rPr>
                <w:rFonts w:ascii="Aptos Narrow" w:eastAsia="Times New Roman" w:hAnsi="Aptos Narrow" w:cs="Times New Roman"/>
                <w:b/>
                <w:bCs/>
                <w:color w:val="000000"/>
                <w:kern w:val="0"/>
                <w:lang w:eastAsia="en-AU"/>
                <w14:ligatures w14:val="none"/>
              </w:rPr>
              <w:t>ection</w:t>
            </w:r>
            <w:r w:rsidR="00326112" w:rsidRPr="00FA1403">
              <w:rPr>
                <w:rFonts w:ascii="Aptos Narrow" w:eastAsia="Times New Roman" w:hAnsi="Aptos Narrow" w:cs="Times New Roman"/>
                <w:b/>
                <w:bCs/>
                <w:color w:val="000000"/>
                <w:kern w:val="0"/>
                <w:lang w:eastAsia="en-AU"/>
                <w14:ligatures w14:val="none"/>
              </w:rPr>
              <w:t xml:space="preserve"> </w:t>
            </w:r>
          </w:p>
        </w:tc>
        <w:tc>
          <w:tcPr>
            <w:tcW w:w="3119" w:type="dxa"/>
            <w:tcBorders>
              <w:top w:val="single" w:sz="4" w:space="0" w:color="auto"/>
              <w:bottom w:val="single" w:sz="4" w:space="0" w:color="auto"/>
              <w:right w:val="single" w:sz="4" w:space="0" w:color="auto"/>
            </w:tcBorders>
            <w:shd w:val="clear" w:color="auto" w:fill="E8E8E8" w:themeFill="background2"/>
            <w:vAlign w:val="center"/>
          </w:tcPr>
          <w:p w14:paraId="03B5725B" w14:textId="77777777" w:rsidR="00E34CA2" w:rsidRDefault="00E34CA2">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Notes</w:t>
            </w:r>
          </w:p>
          <w:p w14:paraId="62C86D97" w14:textId="351DC56C" w:rsidR="00C07B71" w:rsidRPr="007B317F" w:rsidRDefault="00E34CA2">
            <w:pPr>
              <w:spacing w:after="0" w:line="240" w:lineRule="auto"/>
              <w:jc w:val="center"/>
              <w:rPr>
                <w:rFonts w:ascii="Aptos Narrow" w:eastAsia="Times New Roman" w:hAnsi="Aptos Narrow" w:cs="Times New Roman"/>
                <w:color w:val="000000"/>
                <w:kern w:val="0"/>
                <w:sz w:val="20"/>
                <w:szCs w:val="20"/>
                <w:lang w:eastAsia="en-AU"/>
                <w14:ligatures w14:val="none"/>
              </w:rPr>
            </w:pPr>
            <w:r w:rsidRPr="007B317F">
              <w:rPr>
                <w:rFonts w:ascii="Aptos Narrow" w:eastAsia="Times New Roman" w:hAnsi="Aptos Narrow" w:cs="Times New Roman"/>
                <w:color w:val="000000"/>
                <w:kern w:val="0"/>
                <w:sz w:val="20"/>
                <w:szCs w:val="20"/>
                <w:lang w:eastAsia="en-AU"/>
                <w14:ligatures w14:val="none"/>
              </w:rPr>
              <w:t xml:space="preserve">(include </w:t>
            </w:r>
            <w:r w:rsidR="00AE1065">
              <w:rPr>
                <w:rFonts w:ascii="Aptos Narrow" w:eastAsia="Times New Roman" w:hAnsi="Aptos Narrow" w:cs="Times New Roman"/>
                <w:color w:val="000000"/>
                <w:kern w:val="0"/>
                <w:sz w:val="20"/>
                <w:szCs w:val="20"/>
                <w:lang w:eastAsia="en-AU"/>
                <w14:ligatures w14:val="none"/>
              </w:rPr>
              <w:t>gate</w:t>
            </w:r>
            <w:r w:rsidR="00E6200C" w:rsidRPr="007B317F">
              <w:rPr>
                <w:rFonts w:ascii="Aptos Narrow" w:eastAsia="Times New Roman" w:hAnsi="Aptos Narrow" w:cs="Times New Roman"/>
                <w:color w:val="000000"/>
                <w:kern w:val="0"/>
                <w:sz w:val="20"/>
                <w:szCs w:val="20"/>
                <w:lang w:eastAsia="en-AU"/>
                <w14:ligatures w14:val="none"/>
              </w:rPr>
              <w:t xml:space="preserve"> </w:t>
            </w:r>
            <w:r w:rsidR="007B317F">
              <w:rPr>
                <w:rFonts w:ascii="Aptos Narrow" w:eastAsia="Times New Roman" w:hAnsi="Aptos Narrow" w:cs="Times New Roman"/>
                <w:color w:val="000000"/>
                <w:kern w:val="0"/>
                <w:sz w:val="20"/>
                <w:szCs w:val="20"/>
                <w:lang w:eastAsia="en-AU"/>
                <w14:ligatures w14:val="none"/>
              </w:rPr>
              <w:t>definition</w:t>
            </w:r>
            <w:r w:rsidR="00B774D3">
              <w:rPr>
                <w:rFonts w:ascii="Aptos Narrow" w:eastAsia="Times New Roman" w:hAnsi="Aptos Narrow" w:cs="Times New Roman"/>
                <w:color w:val="000000"/>
                <w:kern w:val="0"/>
                <w:sz w:val="20"/>
                <w:szCs w:val="20"/>
                <w:lang w:eastAsia="en-AU"/>
                <w14:ligatures w14:val="none"/>
              </w:rPr>
              <w:t xml:space="preserve"> </w:t>
            </w:r>
            <w:r w:rsidR="0058277B">
              <w:rPr>
                <w:rFonts w:ascii="Aptos Narrow" w:eastAsia="Times New Roman" w:hAnsi="Aptos Narrow" w:cs="Times New Roman"/>
                <w:color w:val="000000"/>
                <w:kern w:val="0"/>
                <w:sz w:val="20"/>
                <w:szCs w:val="20"/>
                <w:lang w:eastAsia="en-AU"/>
                <w14:ligatures w14:val="none"/>
              </w:rPr>
              <w:t>if differs between</w:t>
            </w:r>
            <w:r w:rsidR="00E6200C" w:rsidRPr="007B317F">
              <w:rPr>
                <w:rFonts w:ascii="Aptos Narrow" w:eastAsia="Times New Roman" w:hAnsi="Aptos Narrow" w:cs="Times New Roman"/>
                <w:color w:val="000000"/>
                <w:kern w:val="0"/>
                <w:sz w:val="20"/>
                <w:szCs w:val="20"/>
                <w:lang w:eastAsia="en-AU"/>
                <w14:ligatures w14:val="none"/>
              </w:rPr>
              <w:t xml:space="preserve"> </w:t>
            </w:r>
            <w:r w:rsidR="00B774D3">
              <w:rPr>
                <w:rFonts w:ascii="Aptos Narrow" w:eastAsia="Times New Roman" w:hAnsi="Aptos Narrow" w:cs="Times New Roman"/>
                <w:color w:val="000000"/>
                <w:kern w:val="0"/>
                <w:sz w:val="20"/>
                <w:szCs w:val="20"/>
                <w:lang w:eastAsia="en-AU"/>
                <w14:ligatures w14:val="none"/>
              </w:rPr>
              <w:t xml:space="preserve">main </w:t>
            </w:r>
            <w:r w:rsidR="00E6200C" w:rsidRPr="007B317F">
              <w:rPr>
                <w:rFonts w:ascii="Aptos Narrow" w:eastAsia="Times New Roman" w:hAnsi="Aptos Narrow" w:cs="Times New Roman"/>
                <w:color w:val="000000"/>
                <w:kern w:val="0"/>
                <w:sz w:val="20"/>
                <w:szCs w:val="20"/>
                <w:lang w:eastAsia="en-AU"/>
                <w14:ligatures w14:val="none"/>
              </w:rPr>
              <w:t>products</w:t>
            </w:r>
            <w:r w:rsidR="00B774D3">
              <w:rPr>
                <w:rFonts w:ascii="Aptos Narrow" w:eastAsia="Times New Roman" w:hAnsi="Aptos Narrow" w:cs="Times New Roman"/>
                <w:color w:val="000000"/>
                <w:kern w:val="0"/>
                <w:sz w:val="20"/>
                <w:szCs w:val="20"/>
                <w:lang w:eastAsia="en-AU"/>
                <w14:ligatures w14:val="none"/>
              </w:rPr>
              <w:t>)</w:t>
            </w:r>
            <w:r w:rsidR="00E6200C" w:rsidRPr="007B317F">
              <w:rPr>
                <w:rFonts w:ascii="Aptos Narrow" w:eastAsia="Times New Roman" w:hAnsi="Aptos Narrow" w:cs="Times New Roman"/>
                <w:color w:val="000000"/>
                <w:kern w:val="0"/>
                <w:sz w:val="20"/>
                <w:szCs w:val="20"/>
                <w:lang w:eastAsia="en-AU"/>
                <w14:ligatures w14:val="none"/>
              </w:rPr>
              <w:t xml:space="preserve"> </w:t>
            </w:r>
          </w:p>
        </w:tc>
      </w:tr>
      <w:tr w:rsidR="002D1818" w:rsidRPr="00FA1403" w14:paraId="27EA37EE" w14:textId="77777777" w:rsidTr="00E56A4D">
        <w:trPr>
          <w:trHeight w:val="20"/>
        </w:trPr>
        <w:tc>
          <w:tcPr>
            <w:tcW w:w="1843" w:type="dxa"/>
            <w:tcBorders>
              <w:top w:val="single" w:sz="4" w:space="0" w:color="auto"/>
              <w:left w:val="single" w:sz="4" w:space="0" w:color="auto"/>
              <w:bottom w:val="single" w:sz="4" w:space="0" w:color="auto"/>
            </w:tcBorders>
            <w:vAlign w:val="center"/>
          </w:tcPr>
          <w:p w14:paraId="7B0F8558" w14:textId="4623C8F0" w:rsidR="00AE1065" w:rsidRDefault="00AE1065" w:rsidP="00AE1065">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Wheat</w:t>
            </w:r>
            <w:r w:rsidRPr="00894954">
              <w:rPr>
                <w:rFonts w:ascii="Aptos Narrow" w:eastAsia="Times New Roman" w:hAnsi="Aptos Narrow" w:cs="Times New Roman"/>
                <w:i/>
                <w:iCs/>
                <w:color w:val="156082" w:themeColor="accent1"/>
                <w:kern w:val="0"/>
                <w:lang w:eastAsia="en-AU"/>
                <w14:ligatures w14:val="none"/>
              </w:rPr>
              <w:t xml:space="preserve"> </w:t>
            </w:r>
          </w:p>
        </w:tc>
        <w:tc>
          <w:tcPr>
            <w:tcW w:w="1560" w:type="dxa"/>
            <w:tcBorders>
              <w:top w:val="nil"/>
              <w:left w:val="single" w:sz="4" w:space="0" w:color="auto"/>
              <w:bottom w:val="single" w:sz="4" w:space="0" w:color="auto"/>
              <w:right w:val="single" w:sz="4" w:space="0" w:color="auto"/>
            </w:tcBorders>
            <w:vAlign w:val="center"/>
            <w:hideMark/>
          </w:tcPr>
          <w:p w14:paraId="18CC1079" w14:textId="5FCDF3D1" w:rsidR="00C07B71" w:rsidRPr="00E94474" w:rsidRDefault="00C07B71" w:rsidP="006C1424">
            <w:pPr>
              <w:spacing w:after="0" w:line="240" w:lineRule="auto"/>
              <w:rPr>
                <w:rFonts w:ascii="Aptos Narrow" w:eastAsia="Times New Roman" w:hAnsi="Aptos Narrow" w:cs="Times New Roman"/>
                <w:i/>
                <w:color w:val="156082" w:themeColor="accent1"/>
                <w:kern w:val="0"/>
                <w:lang w:eastAsia="en-AU"/>
                <w14:ligatures w14:val="none"/>
              </w:rPr>
            </w:pPr>
            <w:r w:rsidRPr="00E94474">
              <w:rPr>
                <w:rFonts w:ascii="Aptos Narrow" w:eastAsia="Times New Roman" w:hAnsi="Aptos Narrow" w:cs="Times New Roman"/>
                <w:i/>
                <w:color w:val="156082" w:themeColor="accent1"/>
                <w:kern w:val="0"/>
                <w:lang w:eastAsia="en-AU"/>
                <w14:ligatures w14:val="none"/>
              </w:rPr>
              <w:t>Main product</w:t>
            </w:r>
          </w:p>
        </w:tc>
        <w:tc>
          <w:tcPr>
            <w:tcW w:w="1604" w:type="dxa"/>
            <w:tcBorders>
              <w:top w:val="single" w:sz="4" w:space="0" w:color="auto"/>
              <w:bottom w:val="single" w:sz="4" w:space="0" w:color="auto"/>
              <w:right w:val="single" w:sz="4" w:space="0" w:color="auto"/>
            </w:tcBorders>
            <w:vAlign w:val="center"/>
          </w:tcPr>
          <w:p w14:paraId="17335DA2" w14:textId="5795D8C3" w:rsidR="00C07B71" w:rsidRPr="00894954" w:rsidRDefault="00C07B71" w:rsidP="006C1424">
            <w:pPr>
              <w:spacing w:after="0" w:line="240" w:lineRule="auto"/>
              <w:rPr>
                <w:rFonts w:ascii="Aptos Narrow" w:eastAsia="Times New Roman" w:hAnsi="Aptos Narrow" w:cs="Times New Roman"/>
                <w:i/>
                <w:iCs/>
                <w:color w:val="156082" w:themeColor="accent1"/>
                <w:kern w:val="0"/>
                <w:lang w:eastAsia="en-AU"/>
                <w14:ligatures w14:val="none"/>
              </w:rPr>
            </w:pPr>
            <w:r w:rsidRPr="00894954">
              <w:rPr>
                <w:rFonts w:ascii="Aptos Narrow" w:eastAsia="Times New Roman" w:hAnsi="Aptos Narrow" w:cs="Times New Roman"/>
                <w:i/>
                <w:iCs/>
                <w:color w:val="156082" w:themeColor="accent1"/>
                <w:kern w:val="0"/>
                <w:lang w:eastAsia="en-AU"/>
                <w14:ligatures w14:val="none"/>
              </w:rPr>
              <w:t>Cradle-to-gate</w:t>
            </w:r>
          </w:p>
        </w:tc>
        <w:tc>
          <w:tcPr>
            <w:tcW w:w="1220" w:type="dxa"/>
            <w:tcBorders>
              <w:top w:val="nil"/>
              <w:left w:val="single" w:sz="4" w:space="0" w:color="auto"/>
              <w:bottom w:val="single" w:sz="4" w:space="0" w:color="auto"/>
              <w:right w:val="single" w:sz="4" w:space="0" w:color="auto"/>
            </w:tcBorders>
            <w:vAlign w:val="center"/>
            <w:hideMark/>
          </w:tcPr>
          <w:p w14:paraId="18874A0B" w14:textId="089EEA1B" w:rsidR="00C07B71" w:rsidRPr="00894954" w:rsidRDefault="00CB770A" w:rsidP="006C1424">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1</w:t>
            </w:r>
            <w:r w:rsidR="000D20DE" w:rsidRPr="00894954">
              <w:rPr>
                <w:rFonts w:ascii="Aptos Narrow" w:eastAsia="Times New Roman" w:hAnsi="Aptos Narrow" w:cs="Times New Roman"/>
                <w:i/>
                <w:iCs/>
                <w:color w:val="156082" w:themeColor="accent1"/>
                <w:kern w:val="0"/>
                <w:lang w:eastAsia="en-AU"/>
                <w14:ligatures w14:val="none"/>
              </w:rPr>
              <w:t xml:space="preserve"> yea</w:t>
            </w:r>
            <w:r>
              <w:rPr>
                <w:rFonts w:ascii="Aptos Narrow" w:eastAsia="Times New Roman" w:hAnsi="Aptos Narrow" w:cs="Times New Roman"/>
                <w:i/>
                <w:iCs/>
                <w:color w:val="156082" w:themeColor="accent1"/>
                <w:kern w:val="0"/>
                <w:lang w:eastAsia="en-AU"/>
                <w14:ligatures w14:val="none"/>
              </w:rPr>
              <w:t>r</w:t>
            </w:r>
          </w:p>
        </w:tc>
        <w:tc>
          <w:tcPr>
            <w:tcW w:w="1536" w:type="dxa"/>
            <w:tcBorders>
              <w:top w:val="single" w:sz="4" w:space="0" w:color="auto"/>
              <w:bottom w:val="single" w:sz="4" w:space="0" w:color="auto"/>
              <w:right w:val="single" w:sz="4" w:space="0" w:color="auto"/>
            </w:tcBorders>
            <w:vAlign w:val="center"/>
          </w:tcPr>
          <w:p w14:paraId="59CABF70" w14:textId="21E827AD" w:rsidR="000D20DE" w:rsidRPr="00894954" w:rsidRDefault="00164CEC" w:rsidP="006C1424">
            <w:pPr>
              <w:spacing w:after="0" w:line="240" w:lineRule="auto"/>
              <w:rPr>
                <w:rFonts w:ascii="Aptos Narrow" w:eastAsia="Times New Roman" w:hAnsi="Aptos Narrow" w:cs="Times New Roman"/>
                <w:i/>
                <w:iCs/>
                <w:color w:val="156082" w:themeColor="accent1"/>
                <w:kern w:val="0"/>
                <w:lang w:eastAsia="en-AU"/>
                <w14:ligatures w14:val="none"/>
              </w:rPr>
            </w:pPr>
            <w:r w:rsidRPr="00894954">
              <w:rPr>
                <w:rFonts w:ascii="Aptos Narrow" w:eastAsia="Times New Roman" w:hAnsi="Aptos Narrow" w:cs="Times New Roman"/>
                <w:i/>
                <w:iCs/>
                <w:color w:val="156082" w:themeColor="accent1"/>
                <w:kern w:val="0"/>
                <w:lang w:eastAsia="en-AU"/>
                <w14:ligatures w14:val="none"/>
              </w:rPr>
              <w:t>3 years</w:t>
            </w:r>
          </w:p>
        </w:tc>
        <w:tc>
          <w:tcPr>
            <w:tcW w:w="3010" w:type="dxa"/>
            <w:tcBorders>
              <w:top w:val="nil"/>
              <w:left w:val="single" w:sz="4" w:space="0" w:color="auto"/>
              <w:bottom w:val="single" w:sz="4" w:space="0" w:color="auto"/>
              <w:right w:val="single" w:sz="4" w:space="0" w:color="auto"/>
            </w:tcBorders>
            <w:vAlign w:val="center"/>
          </w:tcPr>
          <w:p w14:paraId="1930424B" w14:textId="3B17A05C" w:rsidR="00C07B71" w:rsidRPr="00894954" w:rsidRDefault="00152FBA" w:rsidP="006C1424">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C</w:t>
            </w:r>
            <w:r w:rsidR="00AE1065">
              <w:rPr>
                <w:rFonts w:ascii="Aptos Narrow" w:eastAsia="Times New Roman" w:hAnsi="Aptos Narrow" w:cs="Times New Roman"/>
                <w:i/>
                <w:iCs/>
                <w:color w:val="156082" w:themeColor="accent1"/>
                <w:kern w:val="0"/>
                <w:lang w:eastAsia="en-AU"/>
                <w14:ligatures w14:val="none"/>
              </w:rPr>
              <w:t>o</w:t>
            </w:r>
            <w:r w:rsidR="00AE1065" w:rsidRPr="00894954">
              <w:rPr>
                <w:rFonts w:ascii="Aptos Narrow" w:eastAsia="Times New Roman" w:hAnsi="Aptos Narrow" w:cs="Times New Roman"/>
                <w:i/>
                <w:iCs/>
                <w:color w:val="156082" w:themeColor="accent1"/>
                <w:kern w:val="0"/>
                <w:lang w:eastAsia="en-AU"/>
                <w14:ligatures w14:val="none"/>
              </w:rPr>
              <w:t>ver</w:t>
            </w:r>
            <w:r w:rsidR="00EC53BE">
              <w:rPr>
                <w:rFonts w:ascii="Aptos Narrow" w:eastAsia="Times New Roman" w:hAnsi="Aptos Narrow" w:cs="Times New Roman"/>
                <w:i/>
                <w:iCs/>
                <w:color w:val="156082" w:themeColor="accent1"/>
                <w:kern w:val="0"/>
                <w:lang w:eastAsia="en-AU"/>
                <w14:ligatures w14:val="none"/>
              </w:rPr>
              <w:t xml:space="preserve"> full</w:t>
            </w:r>
            <w:r w:rsidR="0025331E" w:rsidRPr="00894954">
              <w:rPr>
                <w:rFonts w:ascii="Aptos Narrow" w:eastAsia="Times New Roman" w:hAnsi="Aptos Narrow" w:cs="Times New Roman"/>
                <w:i/>
                <w:iCs/>
                <w:color w:val="156082" w:themeColor="accent1"/>
                <w:kern w:val="0"/>
                <w:lang w:eastAsia="en-AU"/>
                <w14:ligatures w14:val="none"/>
              </w:rPr>
              <w:t xml:space="preserve"> </w:t>
            </w:r>
            <w:r w:rsidR="00EC53BE">
              <w:rPr>
                <w:rFonts w:ascii="Aptos Narrow" w:eastAsia="Times New Roman" w:hAnsi="Aptos Narrow" w:cs="Times New Roman"/>
                <w:i/>
                <w:iCs/>
                <w:color w:val="156082" w:themeColor="accent1"/>
                <w:kern w:val="0"/>
                <w:lang w:eastAsia="en-AU"/>
                <w14:ligatures w14:val="none"/>
              </w:rPr>
              <w:t>crop rotation</w:t>
            </w:r>
            <w:r w:rsidR="0025331E" w:rsidRPr="00894954">
              <w:rPr>
                <w:rFonts w:ascii="Aptos Narrow" w:eastAsia="Times New Roman" w:hAnsi="Aptos Narrow" w:cs="Times New Roman"/>
                <w:i/>
                <w:iCs/>
                <w:color w:val="156082" w:themeColor="accent1"/>
                <w:kern w:val="0"/>
                <w:lang w:eastAsia="en-AU"/>
                <w14:ligatures w14:val="none"/>
              </w:rPr>
              <w:t xml:space="preserve"> cycle </w:t>
            </w:r>
          </w:p>
        </w:tc>
        <w:tc>
          <w:tcPr>
            <w:tcW w:w="3119" w:type="dxa"/>
            <w:tcBorders>
              <w:top w:val="single" w:sz="4" w:space="0" w:color="auto"/>
              <w:bottom w:val="single" w:sz="4" w:space="0" w:color="auto"/>
              <w:right w:val="single" w:sz="4" w:space="0" w:color="auto"/>
            </w:tcBorders>
            <w:vAlign w:val="center"/>
          </w:tcPr>
          <w:p w14:paraId="6B6BF6DC" w14:textId="7B0C98F9" w:rsidR="00C07B71" w:rsidRPr="00894954" w:rsidRDefault="00EC53BE" w:rsidP="006C1424">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Wheat grown in 3</w:t>
            </w:r>
            <w:r w:rsidR="00152FBA">
              <w:rPr>
                <w:rFonts w:ascii="Aptos Narrow" w:eastAsia="Times New Roman" w:hAnsi="Aptos Narrow" w:cs="Times New Roman"/>
                <w:i/>
                <w:iCs/>
                <w:color w:val="156082" w:themeColor="accent1"/>
                <w:kern w:val="0"/>
                <w:lang w:eastAsia="en-AU"/>
                <w14:ligatures w14:val="none"/>
              </w:rPr>
              <w:t>-</w:t>
            </w:r>
            <w:r>
              <w:rPr>
                <w:rFonts w:ascii="Aptos Narrow" w:eastAsia="Times New Roman" w:hAnsi="Aptos Narrow" w:cs="Times New Roman"/>
                <w:i/>
                <w:iCs/>
                <w:color w:val="156082" w:themeColor="accent1"/>
                <w:kern w:val="0"/>
                <w:lang w:eastAsia="en-AU"/>
                <w14:ligatures w14:val="none"/>
              </w:rPr>
              <w:t xml:space="preserve">year rotation with chickpeas </w:t>
            </w:r>
          </w:p>
        </w:tc>
      </w:tr>
      <w:tr w:rsidR="002D1818" w:rsidRPr="00FA1403" w14:paraId="010659A7" w14:textId="77777777" w:rsidTr="00E56A4D">
        <w:trPr>
          <w:trHeight w:val="20"/>
        </w:trPr>
        <w:tc>
          <w:tcPr>
            <w:tcW w:w="1843" w:type="dxa"/>
            <w:tcBorders>
              <w:top w:val="single" w:sz="4" w:space="0" w:color="auto"/>
              <w:left w:val="single" w:sz="4" w:space="0" w:color="auto"/>
              <w:bottom w:val="single" w:sz="4" w:space="0" w:color="auto"/>
            </w:tcBorders>
            <w:vAlign w:val="center"/>
          </w:tcPr>
          <w:p w14:paraId="31FB5402" w14:textId="65E06FE2" w:rsidR="00AE1065" w:rsidRDefault="00AE1065" w:rsidP="00AE1065">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Chickpeas</w:t>
            </w:r>
          </w:p>
        </w:tc>
        <w:tc>
          <w:tcPr>
            <w:tcW w:w="1560" w:type="dxa"/>
            <w:tcBorders>
              <w:top w:val="nil"/>
              <w:left w:val="single" w:sz="4" w:space="0" w:color="auto"/>
              <w:bottom w:val="single" w:sz="4" w:space="0" w:color="auto"/>
              <w:right w:val="single" w:sz="4" w:space="0" w:color="auto"/>
            </w:tcBorders>
            <w:vAlign w:val="center"/>
          </w:tcPr>
          <w:p w14:paraId="789355FF" w14:textId="48A30B75" w:rsidR="00245602" w:rsidRPr="00E94474" w:rsidRDefault="00245602" w:rsidP="006C1424">
            <w:pPr>
              <w:spacing w:after="0" w:line="240" w:lineRule="auto"/>
              <w:rPr>
                <w:rFonts w:ascii="Aptos Narrow" w:eastAsia="Times New Roman" w:hAnsi="Aptos Narrow" w:cs="Times New Roman"/>
                <w:i/>
                <w:color w:val="156082" w:themeColor="accent1"/>
                <w:kern w:val="0"/>
                <w:lang w:eastAsia="en-AU"/>
                <w14:ligatures w14:val="none"/>
              </w:rPr>
            </w:pPr>
            <w:r w:rsidRPr="00E94474">
              <w:rPr>
                <w:rFonts w:ascii="Aptos Narrow" w:eastAsia="Times New Roman" w:hAnsi="Aptos Narrow" w:cs="Times New Roman"/>
                <w:i/>
                <w:color w:val="156082" w:themeColor="accent1"/>
                <w:kern w:val="0"/>
                <w:lang w:eastAsia="en-AU"/>
                <w14:ligatures w14:val="none"/>
              </w:rPr>
              <w:t>Main product</w:t>
            </w:r>
          </w:p>
        </w:tc>
        <w:tc>
          <w:tcPr>
            <w:tcW w:w="1604" w:type="dxa"/>
            <w:tcBorders>
              <w:top w:val="single" w:sz="4" w:space="0" w:color="auto"/>
              <w:bottom w:val="single" w:sz="4" w:space="0" w:color="auto"/>
              <w:right w:val="single" w:sz="4" w:space="0" w:color="auto"/>
            </w:tcBorders>
            <w:vAlign w:val="center"/>
          </w:tcPr>
          <w:p w14:paraId="71D8D4AF" w14:textId="3E09C4C5" w:rsidR="00245602" w:rsidRPr="00894954" w:rsidRDefault="00D65197" w:rsidP="006C1424">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Cradle-to-gate</w:t>
            </w:r>
          </w:p>
        </w:tc>
        <w:tc>
          <w:tcPr>
            <w:tcW w:w="1220" w:type="dxa"/>
            <w:tcBorders>
              <w:top w:val="nil"/>
              <w:left w:val="single" w:sz="4" w:space="0" w:color="auto"/>
              <w:bottom w:val="single" w:sz="4" w:space="0" w:color="auto"/>
              <w:right w:val="single" w:sz="4" w:space="0" w:color="auto"/>
            </w:tcBorders>
            <w:vAlign w:val="center"/>
          </w:tcPr>
          <w:p w14:paraId="26641F22" w14:textId="735F4815" w:rsidR="00245602" w:rsidRDefault="003A7729" w:rsidP="006C1424">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1 year</w:t>
            </w:r>
          </w:p>
        </w:tc>
        <w:tc>
          <w:tcPr>
            <w:tcW w:w="1536" w:type="dxa"/>
            <w:tcBorders>
              <w:top w:val="single" w:sz="4" w:space="0" w:color="auto"/>
              <w:bottom w:val="single" w:sz="4" w:space="0" w:color="auto"/>
              <w:right w:val="single" w:sz="4" w:space="0" w:color="auto"/>
            </w:tcBorders>
            <w:vAlign w:val="center"/>
          </w:tcPr>
          <w:p w14:paraId="6A0B2202" w14:textId="0C1CBFE8" w:rsidR="00245602" w:rsidRDefault="00EC53BE" w:rsidP="006C1424">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3</w:t>
            </w:r>
            <w:r w:rsidR="00EB415F">
              <w:rPr>
                <w:rFonts w:ascii="Aptos Narrow" w:eastAsia="Times New Roman" w:hAnsi="Aptos Narrow" w:cs="Times New Roman"/>
                <w:i/>
                <w:iCs/>
                <w:color w:val="156082" w:themeColor="accent1"/>
                <w:kern w:val="0"/>
                <w:lang w:eastAsia="en-AU"/>
                <w14:ligatures w14:val="none"/>
              </w:rPr>
              <w:t xml:space="preserve"> years</w:t>
            </w:r>
          </w:p>
        </w:tc>
        <w:tc>
          <w:tcPr>
            <w:tcW w:w="3010" w:type="dxa"/>
            <w:tcBorders>
              <w:top w:val="nil"/>
              <w:left w:val="single" w:sz="4" w:space="0" w:color="auto"/>
              <w:bottom w:val="single" w:sz="4" w:space="0" w:color="auto"/>
              <w:right w:val="single" w:sz="4" w:space="0" w:color="auto"/>
            </w:tcBorders>
            <w:vAlign w:val="center"/>
          </w:tcPr>
          <w:p w14:paraId="48248B94" w14:textId="49C56B5A" w:rsidR="00245602" w:rsidRPr="00894954" w:rsidRDefault="00152FBA" w:rsidP="006C1424">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C</w:t>
            </w:r>
            <w:r w:rsidR="00AE1065">
              <w:rPr>
                <w:rFonts w:ascii="Aptos Narrow" w:eastAsia="Times New Roman" w:hAnsi="Aptos Narrow" w:cs="Times New Roman"/>
                <w:i/>
                <w:iCs/>
                <w:color w:val="156082" w:themeColor="accent1"/>
                <w:kern w:val="0"/>
                <w:lang w:eastAsia="en-AU"/>
                <w14:ligatures w14:val="none"/>
              </w:rPr>
              <w:t>o</w:t>
            </w:r>
            <w:r w:rsidR="00AE1065" w:rsidRPr="00894954">
              <w:rPr>
                <w:rFonts w:ascii="Aptos Narrow" w:eastAsia="Times New Roman" w:hAnsi="Aptos Narrow" w:cs="Times New Roman"/>
                <w:i/>
                <w:iCs/>
                <w:color w:val="156082" w:themeColor="accent1"/>
                <w:kern w:val="0"/>
                <w:lang w:eastAsia="en-AU"/>
                <w14:ligatures w14:val="none"/>
              </w:rPr>
              <w:t>ver</w:t>
            </w:r>
            <w:r w:rsidR="00EC53BE">
              <w:rPr>
                <w:rFonts w:ascii="Aptos Narrow" w:eastAsia="Times New Roman" w:hAnsi="Aptos Narrow" w:cs="Times New Roman"/>
                <w:i/>
                <w:iCs/>
                <w:color w:val="156082" w:themeColor="accent1"/>
                <w:kern w:val="0"/>
                <w:lang w:eastAsia="en-AU"/>
                <w14:ligatures w14:val="none"/>
              </w:rPr>
              <w:t xml:space="preserve"> full</w:t>
            </w:r>
            <w:r w:rsidR="00EC53BE" w:rsidRPr="00894954">
              <w:rPr>
                <w:rFonts w:ascii="Aptos Narrow" w:eastAsia="Times New Roman" w:hAnsi="Aptos Narrow" w:cs="Times New Roman"/>
                <w:i/>
                <w:iCs/>
                <w:color w:val="156082" w:themeColor="accent1"/>
                <w:kern w:val="0"/>
                <w:lang w:eastAsia="en-AU"/>
                <w14:ligatures w14:val="none"/>
              </w:rPr>
              <w:t xml:space="preserve"> </w:t>
            </w:r>
            <w:r w:rsidR="00EC53BE">
              <w:rPr>
                <w:rFonts w:ascii="Aptos Narrow" w:eastAsia="Times New Roman" w:hAnsi="Aptos Narrow" w:cs="Times New Roman"/>
                <w:i/>
                <w:iCs/>
                <w:color w:val="156082" w:themeColor="accent1"/>
                <w:kern w:val="0"/>
                <w:lang w:eastAsia="en-AU"/>
                <w14:ligatures w14:val="none"/>
              </w:rPr>
              <w:t>crop rotation</w:t>
            </w:r>
            <w:r w:rsidR="00EC53BE" w:rsidRPr="00894954">
              <w:rPr>
                <w:rFonts w:ascii="Aptos Narrow" w:eastAsia="Times New Roman" w:hAnsi="Aptos Narrow" w:cs="Times New Roman"/>
                <w:i/>
                <w:iCs/>
                <w:color w:val="156082" w:themeColor="accent1"/>
                <w:kern w:val="0"/>
                <w:lang w:eastAsia="en-AU"/>
                <w14:ligatures w14:val="none"/>
              </w:rPr>
              <w:t xml:space="preserve"> cycle</w:t>
            </w:r>
          </w:p>
        </w:tc>
        <w:tc>
          <w:tcPr>
            <w:tcW w:w="3119" w:type="dxa"/>
            <w:tcBorders>
              <w:top w:val="single" w:sz="4" w:space="0" w:color="auto"/>
              <w:bottom w:val="single" w:sz="4" w:space="0" w:color="auto"/>
              <w:right w:val="single" w:sz="4" w:space="0" w:color="auto"/>
            </w:tcBorders>
            <w:vAlign w:val="center"/>
          </w:tcPr>
          <w:p w14:paraId="3D0B9956" w14:textId="06F9B5DF" w:rsidR="00245602" w:rsidRDefault="00EC53BE" w:rsidP="006C1424">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As above</w:t>
            </w:r>
          </w:p>
        </w:tc>
      </w:tr>
      <w:tr w:rsidR="002D1818" w:rsidRPr="00FA1403" w14:paraId="39358BCA" w14:textId="77777777" w:rsidTr="00E56A4D">
        <w:trPr>
          <w:trHeight w:val="20"/>
        </w:trPr>
        <w:tc>
          <w:tcPr>
            <w:tcW w:w="1843" w:type="dxa"/>
            <w:tcBorders>
              <w:top w:val="single" w:sz="4" w:space="0" w:color="auto"/>
              <w:left w:val="single" w:sz="4" w:space="0" w:color="auto"/>
              <w:bottom w:val="single" w:sz="4" w:space="0" w:color="auto"/>
            </w:tcBorders>
            <w:vAlign w:val="center"/>
          </w:tcPr>
          <w:p w14:paraId="0DE36FDD" w14:textId="6E313160" w:rsidR="00AE1065" w:rsidRPr="00894954" w:rsidRDefault="00AE1065" w:rsidP="00AE1065">
            <w:pPr>
              <w:spacing w:after="0" w:line="240" w:lineRule="auto"/>
              <w:rPr>
                <w:rFonts w:ascii="Aptos Narrow" w:eastAsia="Times New Roman" w:hAnsi="Aptos Narrow" w:cs="Times New Roman"/>
                <w:i/>
                <w:iCs/>
                <w:color w:val="156082" w:themeColor="accent1"/>
                <w:kern w:val="0"/>
                <w:lang w:eastAsia="en-AU"/>
                <w14:ligatures w14:val="none"/>
              </w:rPr>
            </w:pPr>
            <w:r w:rsidRPr="00894954">
              <w:rPr>
                <w:rFonts w:ascii="Aptos Narrow" w:eastAsia="Times New Roman" w:hAnsi="Aptos Narrow" w:cs="Times New Roman"/>
                <w:i/>
                <w:iCs/>
                <w:color w:val="156082" w:themeColor="accent1"/>
                <w:kern w:val="0"/>
                <w:lang w:eastAsia="en-AU"/>
                <w14:ligatures w14:val="none"/>
              </w:rPr>
              <w:t>Sheep meat</w:t>
            </w:r>
          </w:p>
        </w:tc>
        <w:tc>
          <w:tcPr>
            <w:tcW w:w="1560" w:type="dxa"/>
            <w:tcBorders>
              <w:top w:val="nil"/>
              <w:left w:val="single" w:sz="4" w:space="0" w:color="auto"/>
              <w:bottom w:val="single" w:sz="4" w:space="0" w:color="auto"/>
              <w:right w:val="single" w:sz="4" w:space="0" w:color="auto"/>
            </w:tcBorders>
            <w:vAlign w:val="center"/>
          </w:tcPr>
          <w:p w14:paraId="16D28EC7" w14:textId="449B1E3A" w:rsidR="00C07B71" w:rsidRPr="00E94474" w:rsidRDefault="00C07B71" w:rsidP="006C1424">
            <w:pPr>
              <w:spacing w:after="0" w:line="240" w:lineRule="auto"/>
              <w:rPr>
                <w:rFonts w:ascii="Aptos Narrow" w:eastAsia="Times New Roman" w:hAnsi="Aptos Narrow" w:cs="Times New Roman"/>
                <w:i/>
                <w:color w:val="156082" w:themeColor="accent1"/>
                <w:kern w:val="0"/>
                <w:lang w:eastAsia="en-AU"/>
                <w14:ligatures w14:val="none"/>
              </w:rPr>
            </w:pPr>
            <w:r w:rsidRPr="00E94474">
              <w:rPr>
                <w:rFonts w:ascii="Aptos Narrow" w:eastAsia="Times New Roman" w:hAnsi="Aptos Narrow" w:cs="Times New Roman"/>
                <w:i/>
                <w:color w:val="156082" w:themeColor="accent1"/>
                <w:kern w:val="0"/>
                <w:lang w:eastAsia="en-AU"/>
                <w14:ligatures w14:val="none"/>
              </w:rPr>
              <w:t>Main product</w:t>
            </w:r>
          </w:p>
        </w:tc>
        <w:tc>
          <w:tcPr>
            <w:tcW w:w="1604" w:type="dxa"/>
            <w:tcBorders>
              <w:top w:val="single" w:sz="4" w:space="0" w:color="auto"/>
              <w:bottom w:val="single" w:sz="4" w:space="0" w:color="auto"/>
              <w:right w:val="single" w:sz="4" w:space="0" w:color="auto"/>
            </w:tcBorders>
            <w:vAlign w:val="center"/>
          </w:tcPr>
          <w:p w14:paraId="51A0748E" w14:textId="11027B1F" w:rsidR="00C07B71" w:rsidRPr="00894954" w:rsidRDefault="00AE057A" w:rsidP="006C1424">
            <w:pPr>
              <w:spacing w:after="0" w:line="240" w:lineRule="auto"/>
              <w:rPr>
                <w:rFonts w:ascii="Aptos Narrow" w:eastAsia="Times New Roman" w:hAnsi="Aptos Narrow" w:cs="Times New Roman"/>
                <w:i/>
                <w:iCs/>
                <w:color w:val="156082" w:themeColor="accent1"/>
                <w:kern w:val="0"/>
                <w:lang w:eastAsia="en-AU"/>
                <w14:ligatures w14:val="none"/>
              </w:rPr>
            </w:pPr>
            <w:r w:rsidRPr="00894954">
              <w:rPr>
                <w:rFonts w:ascii="Aptos Narrow" w:eastAsia="Times New Roman" w:hAnsi="Aptos Narrow" w:cs="Times New Roman"/>
                <w:i/>
                <w:iCs/>
                <w:color w:val="156082" w:themeColor="accent1"/>
                <w:kern w:val="0"/>
                <w:lang w:eastAsia="en-AU"/>
                <w14:ligatures w14:val="none"/>
              </w:rPr>
              <w:t>Cradle-to-gate</w:t>
            </w:r>
          </w:p>
        </w:tc>
        <w:tc>
          <w:tcPr>
            <w:tcW w:w="1220" w:type="dxa"/>
            <w:tcBorders>
              <w:top w:val="nil"/>
              <w:left w:val="single" w:sz="4" w:space="0" w:color="auto"/>
              <w:bottom w:val="single" w:sz="4" w:space="0" w:color="auto"/>
              <w:right w:val="single" w:sz="4" w:space="0" w:color="auto"/>
            </w:tcBorders>
            <w:vAlign w:val="center"/>
          </w:tcPr>
          <w:p w14:paraId="1C876374" w14:textId="59E0B85D" w:rsidR="00C07B71" w:rsidRPr="00894954" w:rsidRDefault="00267FF7" w:rsidP="006C1424">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1 year</w:t>
            </w:r>
          </w:p>
        </w:tc>
        <w:tc>
          <w:tcPr>
            <w:tcW w:w="1536" w:type="dxa"/>
            <w:tcBorders>
              <w:top w:val="single" w:sz="4" w:space="0" w:color="auto"/>
              <w:bottom w:val="single" w:sz="4" w:space="0" w:color="auto"/>
              <w:right w:val="single" w:sz="4" w:space="0" w:color="auto"/>
            </w:tcBorders>
            <w:vAlign w:val="center"/>
          </w:tcPr>
          <w:p w14:paraId="6C2C9428" w14:textId="7EC08CA0" w:rsidR="00C07B71" w:rsidRPr="00894954" w:rsidRDefault="00164CEC" w:rsidP="006C1424">
            <w:pPr>
              <w:spacing w:after="0" w:line="240" w:lineRule="auto"/>
              <w:rPr>
                <w:rFonts w:ascii="Aptos Narrow" w:eastAsia="Times New Roman" w:hAnsi="Aptos Narrow" w:cs="Times New Roman"/>
                <w:i/>
                <w:iCs/>
                <w:color w:val="156082" w:themeColor="accent1"/>
                <w:kern w:val="0"/>
                <w:lang w:eastAsia="en-AU"/>
                <w14:ligatures w14:val="none"/>
              </w:rPr>
            </w:pPr>
            <w:r w:rsidRPr="00894954">
              <w:rPr>
                <w:rFonts w:ascii="Aptos Narrow" w:eastAsia="Times New Roman" w:hAnsi="Aptos Narrow" w:cs="Times New Roman"/>
                <w:i/>
                <w:iCs/>
                <w:color w:val="156082" w:themeColor="accent1"/>
                <w:kern w:val="0"/>
                <w:lang w:eastAsia="en-AU"/>
                <w14:ligatures w14:val="none"/>
              </w:rPr>
              <w:t>5 years</w:t>
            </w:r>
          </w:p>
        </w:tc>
        <w:tc>
          <w:tcPr>
            <w:tcW w:w="3010" w:type="dxa"/>
            <w:tcBorders>
              <w:top w:val="nil"/>
              <w:left w:val="single" w:sz="4" w:space="0" w:color="auto"/>
              <w:bottom w:val="single" w:sz="4" w:space="0" w:color="auto"/>
              <w:right w:val="single" w:sz="4" w:space="0" w:color="auto"/>
            </w:tcBorders>
            <w:vAlign w:val="center"/>
          </w:tcPr>
          <w:p w14:paraId="10FF1024" w14:textId="22A2EC86" w:rsidR="00C07B71" w:rsidRPr="00894954" w:rsidRDefault="00073BF0" w:rsidP="006C1424">
            <w:pPr>
              <w:spacing w:after="0" w:line="240" w:lineRule="auto"/>
              <w:rPr>
                <w:rFonts w:ascii="Aptos Narrow" w:eastAsia="Times New Roman" w:hAnsi="Aptos Narrow" w:cs="Times New Roman"/>
                <w:i/>
                <w:iCs/>
                <w:color w:val="156082" w:themeColor="accent1"/>
                <w:kern w:val="0"/>
                <w:lang w:eastAsia="en-AU"/>
                <w14:ligatures w14:val="none"/>
              </w:rPr>
            </w:pPr>
            <w:r w:rsidRPr="00894954">
              <w:rPr>
                <w:rFonts w:ascii="Aptos Narrow" w:eastAsia="Times New Roman" w:hAnsi="Aptos Narrow" w:cs="Times New Roman"/>
                <w:i/>
                <w:iCs/>
                <w:color w:val="156082" w:themeColor="accent1"/>
                <w:kern w:val="0"/>
                <w:lang w:eastAsia="en-AU"/>
                <w14:ligatures w14:val="none"/>
              </w:rPr>
              <w:t xml:space="preserve">Manage </w:t>
            </w:r>
            <w:r w:rsidR="00164CEC" w:rsidRPr="00894954">
              <w:rPr>
                <w:rFonts w:ascii="Aptos Narrow" w:eastAsia="Times New Roman" w:hAnsi="Aptos Narrow" w:cs="Times New Roman"/>
                <w:i/>
                <w:iCs/>
                <w:color w:val="156082" w:themeColor="accent1"/>
                <w:kern w:val="0"/>
                <w:lang w:eastAsia="en-AU"/>
                <w14:ligatures w14:val="none"/>
              </w:rPr>
              <w:t xml:space="preserve">interannual </w:t>
            </w:r>
            <w:r w:rsidR="008175E4" w:rsidRPr="00894954">
              <w:rPr>
                <w:rFonts w:ascii="Aptos Narrow" w:eastAsia="Times New Roman" w:hAnsi="Aptos Narrow" w:cs="Times New Roman"/>
                <w:i/>
                <w:iCs/>
                <w:color w:val="156082" w:themeColor="accent1"/>
                <w:kern w:val="0"/>
                <w:lang w:eastAsia="en-AU"/>
                <w14:ligatures w14:val="none"/>
              </w:rPr>
              <w:t>variability</w:t>
            </w:r>
          </w:p>
        </w:tc>
        <w:tc>
          <w:tcPr>
            <w:tcW w:w="3119" w:type="dxa"/>
            <w:tcBorders>
              <w:top w:val="single" w:sz="4" w:space="0" w:color="auto"/>
              <w:bottom w:val="single" w:sz="4" w:space="0" w:color="auto"/>
              <w:right w:val="single" w:sz="4" w:space="0" w:color="auto"/>
            </w:tcBorders>
            <w:vAlign w:val="center"/>
          </w:tcPr>
          <w:p w14:paraId="241AF4FE" w14:textId="77777777" w:rsidR="00C07B71" w:rsidRPr="00894954" w:rsidRDefault="00C07B71" w:rsidP="006C1424">
            <w:pPr>
              <w:spacing w:after="0" w:line="240" w:lineRule="auto"/>
              <w:rPr>
                <w:rFonts w:ascii="Aptos Narrow" w:eastAsia="Times New Roman" w:hAnsi="Aptos Narrow" w:cs="Times New Roman"/>
                <w:i/>
                <w:iCs/>
                <w:color w:val="156082" w:themeColor="accent1"/>
                <w:kern w:val="0"/>
                <w:lang w:eastAsia="en-AU"/>
                <w14:ligatures w14:val="none"/>
              </w:rPr>
            </w:pPr>
          </w:p>
        </w:tc>
      </w:tr>
      <w:tr w:rsidR="002D1818" w:rsidRPr="00FA1403" w14:paraId="62EE3CE2" w14:textId="77777777" w:rsidTr="00E56A4D">
        <w:trPr>
          <w:trHeight w:val="20"/>
        </w:trPr>
        <w:tc>
          <w:tcPr>
            <w:tcW w:w="1843" w:type="dxa"/>
            <w:tcBorders>
              <w:top w:val="single" w:sz="4" w:space="0" w:color="auto"/>
              <w:left w:val="single" w:sz="4" w:space="0" w:color="auto"/>
              <w:bottom w:val="single" w:sz="4" w:space="0" w:color="auto"/>
            </w:tcBorders>
            <w:vAlign w:val="center"/>
          </w:tcPr>
          <w:p w14:paraId="064574C2" w14:textId="79FF4329" w:rsidR="00AE1065" w:rsidRPr="00894954" w:rsidRDefault="00AE1065" w:rsidP="00AE1065">
            <w:pPr>
              <w:spacing w:after="0" w:line="240" w:lineRule="auto"/>
              <w:rPr>
                <w:rFonts w:ascii="Aptos Narrow" w:eastAsia="Times New Roman" w:hAnsi="Aptos Narrow" w:cs="Times New Roman"/>
                <w:i/>
                <w:iCs/>
                <w:color w:val="156082" w:themeColor="accent1"/>
                <w:kern w:val="0"/>
                <w:lang w:eastAsia="en-AU"/>
                <w14:ligatures w14:val="none"/>
              </w:rPr>
            </w:pPr>
            <w:r w:rsidRPr="00894954">
              <w:rPr>
                <w:rFonts w:ascii="Aptos Narrow" w:eastAsia="Times New Roman" w:hAnsi="Aptos Narrow" w:cs="Times New Roman"/>
                <w:i/>
                <w:iCs/>
                <w:color w:val="156082" w:themeColor="accent1"/>
                <w:kern w:val="0"/>
                <w:lang w:eastAsia="en-AU"/>
                <w14:ligatures w14:val="none"/>
              </w:rPr>
              <w:t>Wool</w:t>
            </w:r>
          </w:p>
        </w:tc>
        <w:tc>
          <w:tcPr>
            <w:tcW w:w="1560" w:type="dxa"/>
            <w:tcBorders>
              <w:top w:val="nil"/>
              <w:left w:val="single" w:sz="4" w:space="0" w:color="auto"/>
              <w:bottom w:val="single" w:sz="4" w:space="0" w:color="auto"/>
              <w:right w:val="single" w:sz="4" w:space="0" w:color="auto"/>
            </w:tcBorders>
            <w:vAlign w:val="center"/>
            <w:hideMark/>
          </w:tcPr>
          <w:p w14:paraId="5F706F6A" w14:textId="2A2A032C" w:rsidR="00073BF0" w:rsidRPr="00E94474" w:rsidRDefault="00073BF0" w:rsidP="00073BF0">
            <w:pPr>
              <w:spacing w:after="0" w:line="240" w:lineRule="auto"/>
              <w:rPr>
                <w:rFonts w:ascii="Aptos Narrow" w:eastAsia="Times New Roman" w:hAnsi="Aptos Narrow" w:cs="Times New Roman"/>
                <w:i/>
                <w:color w:val="156082" w:themeColor="accent1"/>
                <w:kern w:val="0"/>
                <w:lang w:eastAsia="en-AU"/>
                <w14:ligatures w14:val="none"/>
              </w:rPr>
            </w:pPr>
            <w:r w:rsidRPr="00E94474">
              <w:rPr>
                <w:rFonts w:ascii="Aptos Narrow" w:eastAsia="Times New Roman" w:hAnsi="Aptos Narrow" w:cs="Times New Roman"/>
                <w:i/>
                <w:color w:val="156082" w:themeColor="accent1"/>
                <w:kern w:val="0"/>
                <w:lang w:eastAsia="en-AU"/>
                <w14:ligatures w14:val="none"/>
              </w:rPr>
              <w:t>By-product</w:t>
            </w:r>
          </w:p>
        </w:tc>
        <w:tc>
          <w:tcPr>
            <w:tcW w:w="1604" w:type="dxa"/>
            <w:tcBorders>
              <w:top w:val="single" w:sz="4" w:space="0" w:color="auto"/>
              <w:bottom w:val="single" w:sz="4" w:space="0" w:color="auto"/>
              <w:right w:val="single" w:sz="4" w:space="0" w:color="auto"/>
            </w:tcBorders>
            <w:vAlign w:val="center"/>
          </w:tcPr>
          <w:p w14:paraId="2335E9BC" w14:textId="273A1407" w:rsidR="00073BF0" w:rsidRPr="00894954" w:rsidRDefault="00AE057A" w:rsidP="00073BF0">
            <w:pPr>
              <w:spacing w:after="0" w:line="240" w:lineRule="auto"/>
              <w:rPr>
                <w:rFonts w:ascii="Aptos Narrow" w:eastAsia="Times New Roman" w:hAnsi="Aptos Narrow" w:cs="Times New Roman"/>
                <w:i/>
                <w:iCs/>
                <w:color w:val="156082" w:themeColor="accent1"/>
                <w:kern w:val="0"/>
                <w:lang w:eastAsia="en-AU"/>
                <w14:ligatures w14:val="none"/>
              </w:rPr>
            </w:pPr>
            <w:r w:rsidRPr="00894954">
              <w:rPr>
                <w:rFonts w:ascii="Aptos Narrow" w:eastAsia="Times New Roman" w:hAnsi="Aptos Narrow" w:cs="Times New Roman"/>
                <w:i/>
                <w:iCs/>
                <w:color w:val="156082" w:themeColor="accent1"/>
                <w:kern w:val="0"/>
                <w:lang w:eastAsia="en-AU"/>
                <w14:ligatures w14:val="none"/>
              </w:rPr>
              <w:t>Cradle-to-gate</w:t>
            </w:r>
          </w:p>
        </w:tc>
        <w:tc>
          <w:tcPr>
            <w:tcW w:w="1220" w:type="dxa"/>
            <w:tcBorders>
              <w:top w:val="nil"/>
              <w:left w:val="single" w:sz="4" w:space="0" w:color="auto"/>
              <w:bottom w:val="single" w:sz="4" w:space="0" w:color="auto"/>
              <w:right w:val="single" w:sz="4" w:space="0" w:color="auto"/>
            </w:tcBorders>
            <w:vAlign w:val="center"/>
            <w:hideMark/>
          </w:tcPr>
          <w:p w14:paraId="7C47A882" w14:textId="5C0B8A22" w:rsidR="00073BF0" w:rsidRPr="00894954" w:rsidRDefault="00267FF7" w:rsidP="00073BF0">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1 year</w:t>
            </w:r>
          </w:p>
        </w:tc>
        <w:tc>
          <w:tcPr>
            <w:tcW w:w="1536" w:type="dxa"/>
            <w:tcBorders>
              <w:top w:val="single" w:sz="4" w:space="0" w:color="auto"/>
              <w:bottom w:val="single" w:sz="4" w:space="0" w:color="auto"/>
              <w:right w:val="single" w:sz="4" w:space="0" w:color="auto"/>
            </w:tcBorders>
            <w:vAlign w:val="center"/>
          </w:tcPr>
          <w:p w14:paraId="12AB976A" w14:textId="7F8CE182" w:rsidR="00073BF0" w:rsidRPr="00894954" w:rsidRDefault="00073BF0" w:rsidP="00073BF0">
            <w:pPr>
              <w:spacing w:after="0" w:line="240" w:lineRule="auto"/>
              <w:rPr>
                <w:rFonts w:ascii="Aptos Narrow" w:eastAsia="Times New Roman" w:hAnsi="Aptos Narrow" w:cs="Times New Roman"/>
                <w:i/>
                <w:iCs/>
                <w:color w:val="156082" w:themeColor="accent1"/>
                <w:kern w:val="0"/>
                <w:lang w:eastAsia="en-AU"/>
                <w14:ligatures w14:val="none"/>
              </w:rPr>
            </w:pPr>
            <w:r w:rsidRPr="00894954">
              <w:rPr>
                <w:rFonts w:ascii="Aptos Narrow" w:eastAsia="Times New Roman" w:hAnsi="Aptos Narrow" w:cs="Times New Roman"/>
                <w:i/>
                <w:iCs/>
                <w:color w:val="156082" w:themeColor="accent1"/>
                <w:kern w:val="0"/>
                <w:lang w:eastAsia="en-AU"/>
                <w14:ligatures w14:val="none"/>
              </w:rPr>
              <w:t>5 years</w:t>
            </w:r>
          </w:p>
        </w:tc>
        <w:tc>
          <w:tcPr>
            <w:tcW w:w="3010" w:type="dxa"/>
            <w:tcBorders>
              <w:top w:val="nil"/>
              <w:left w:val="single" w:sz="4" w:space="0" w:color="auto"/>
              <w:bottom w:val="single" w:sz="4" w:space="0" w:color="auto"/>
              <w:right w:val="single" w:sz="4" w:space="0" w:color="auto"/>
            </w:tcBorders>
            <w:vAlign w:val="center"/>
          </w:tcPr>
          <w:p w14:paraId="64187531" w14:textId="5F588354" w:rsidR="00073BF0" w:rsidRPr="00894954" w:rsidRDefault="00073BF0" w:rsidP="00073BF0">
            <w:pPr>
              <w:spacing w:after="0" w:line="240" w:lineRule="auto"/>
              <w:rPr>
                <w:rFonts w:ascii="Aptos Narrow" w:eastAsia="Times New Roman" w:hAnsi="Aptos Narrow" w:cs="Times New Roman"/>
                <w:i/>
                <w:iCs/>
                <w:color w:val="156082" w:themeColor="accent1"/>
                <w:kern w:val="0"/>
                <w:lang w:eastAsia="en-AU"/>
                <w14:ligatures w14:val="none"/>
              </w:rPr>
            </w:pPr>
            <w:r w:rsidRPr="00894954">
              <w:rPr>
                <w:rFonts w:ascii="Aptos Narrow" w:eastAsia="Times New Roman" w:hAnsi="Aptos Narrow" w:cs="Times New Roman"/>
                <w:i/>
                <w:iCs/>
                <w:color w:val="156082" w:themeColor="accent1"/>
                <w:kern w:val="0"/>
                <w:lang w:eastAsia="en-AU"/>
                <w14:ligatures w14:val="none"/>
              </w:rPr>
              <w:t>Manage interannual variability</w:t>
            </w:r>
          </w:p>
        </w:tc>
        <w:tc>
          <w:tcPr>
            <w:tcW w:w="3119" w:type="dxa"/>
            <w:tcBorders>
              <w:top w:val="single" w:sz="4" w:space="0" w:color="auto"/>
              <w:bottom w:val="single" w:sz="4" w:space="0" w:color="auto"/>
              <w:right w:val="single" w:sz="4" w:space="0" w:color="auto"/>
            </w:tcBorders>
            <w:vAlign w:val="center"/>
          </w:tcPr>
          <w:p w14:paraId="1954BD48" w14:textId="77777777" w:rsidR="00073BF0" w:rsidRPr="00894954" w:rsidRDefault="00073BF0" w:rsidP="00073BF0">
            <w:pPr>
              <w:spacing w:after="0" w:line="240" w:lineRule="auto"/>
              <w:rPr>
                <w:rFonts w:ascii="Aptos Narrow" w:eastAsia="Times New Roman" w:hAnsi="Aptos Narrow" w:cs="Times New Roman"/>
                <w:i/>
                <w:iCs/>
                <w:color w:val="156082" w:themeColor="accent1"/>
                <w:kern w:val="0"/>
                <w:lang w:eastAsia="en-AU"/>
                <w14:ligatures w14:val="none"/>
              </w:rPr>
            </w:pPr>
          </w:p>
        </w:tc>
      </w:tr>
      <w:tr w:rsidR="003175CE" w:rsidRPr="00FA1403" w14:paraId="49B55BF0" w14:textId="77777777" w:rsidTr="00E56A4D">
        <w:trPr>
          <w:trHeight w:val="20"/>
        </w:trPr>
        <w:tc>
          <w:tcPr>
            <w:tcW w:w="1843" w:type="dxa"/>
            <w:tcBorders>
              <w:top w:val="single" w:sz="4" w:space="0" w:color="auto"/>
              <w:left w:val="single" w:sz="4" w:space="0" w:color="auto"/>
              <w:bottom w:val="single" w:sz="4" w:space="0" w:color="auto"/>
            </w:tcBorders>
            <w:vAlign w:val="center"/>
          </w:tcPr>
          <w:p w14:paraId="3445CDF1" w14:textId="69534314" w:rsidR="00AE1065" w:rsidRPr="00894954" w:rsidRDefault="00AE1065" w:rsidP="00AE1065">
            <w:pPr>
              <w:spacing w:after="0" w:line="240" w:lineRule="auto"/>
              <w:rPr>
                <w:rFonts w:ascii="Aptos Narrow" w:eastAsia="Times New Roman" w:hAnsi="Aptos Narrow" w:cs="Times New Roman"/>
                <w:i/>
                <w:iCs/>
                <w:color w:val="156082" w:themeColor="accent1"/>
                <w:kern w:val="0"/>
                <w:lang w:eastAsia="en-AU"/>
                <w14:ligatures w14:val="none"/>
              </w:rPr>
            </w:pPr>
            <w:r w:rsidRPr="00894954">
              <w:rPr>
                <w:rFonts w:ascii="Aptos Narrow" w:eastAsia="Times New Roman" w:hAnsi="Aptos Narrow" w:cs="Times New Roman"/>
                <w:i/>
                <w:iCs/>
                <w:color w:val="156082" w:themeColor="accent1"/>
                <w:kern w:val="0"/>
                <w:lang w:eastAsia="en-AU"/>
                <w14:ligatures w14:val="none"/>
              </w:rPr>
              <w:t>Manure sold as organic fertiliser</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8A2A01D" w14:textId="23C5A4B7" w:rsidR="003175CE" w:rsidRPr="00E94474" w:rsidRDefault="00771B21" w:rsidP="003175CE">
            <w:pPr>
              <w:spacing w:after="0" w:line="240" w:lineRule="auto"/>
              <w:rPr>
                <w:rFonts w:ascii="Aptos Narrow" w:eastAsia="Times New Roman" w:hAnsi="Aptos Narrow" w:cs="Times New Roman"/>
                <w:i/>
                <w:color w:val="156082" w:themeColor="accent1"/>
                <w:kern w:val="0"/>
                <w:lang w:eastAsia="en-AU"/>
                <w14:ligatures w14:val="none"/>
              </w:rPr>
            </w:pPr>
            <w:r>
              <w:rPr>
                <w:rFonts w:ascii="Aptos Narrow" w:eastAsia="Times New Roman" w:hAnsi="Aptos Narrow" w:cs="Times New Roman"/>
                <w:i/>
                <w:color w:val="156082" w:themeColor="accent1"/>
                <w:kern w:val="0"/>
                <w:lang w:eastAsia="en-AU"/>
                <w14:ligatures w14:val="none"/>
              </w:rPr>
              <w:t>By-product</w:t>
            </w:r>
          </w:p>
        </w:tc>
        <w:tc>
          <w:tcPr>
            <w:tcW w:w="1604" w:type="dxa"/>
            <w:tcBorders>
              <w:top w:val="single" w:sz="4" w:space="0" w:color="auto"/>
              <w:left w:val="single" w:sz="4" w:space="0" w:color="auto"/>
              <w:bottom w:val="single" w:sz="4" w:space="0" w:color="auto"/>
              <w:right w:val="single" w:sz="4" w:space="0" w:color="auto"/>
            </w:tcBorders>
            <w:vAlign w:val="center"/>
          </w:tcPr>
          <w:p w14:paraId="262812F9" w14:textId="7A1F1A1F" w:rsidR="003175CE" w:rsidRPr="00894954" w:rsidRDefault="00AE057A" w:rsidP="003175CE">
            <w:pPr>
              <w:spacing w:after="0" w:line="240" w:lineRule="auto"/>
              <w:rPr>
                <w:rFonts w:ascii="Aptos Narrow" w:eastAsia="Times New Roman" w:hAnsi="Aptos Narrow" w:cs="Times New Roman"/>
                <w:i/>
                <w:iCs/>
                <w:color w:val="156082" w:themeColor="accent1"/>
                <w:kern w:val="0"/>
                <w:lang w:eastAsia="en-AU"/>
                <w14:ligatures w14:val="none"/>
              </w:rPr>
            </w:pPr>
            <w:r w:rsidRPr="00894954">
              <w:rPr>
                <w:rFonts w:ascii="Aptos Narrow" w:eastAsia="Times New Roman" w:hAnsi="Aptos Narrow" w:cs="Times New Roman"/>
                <w:i/>
                <w:iCs/>
                <w:color w:val="156082" w:themeColor="accent1"/>
                <w:kern w:val="0"/>
                <w:lang w:eastAsia="en-AU"/>
                <w14:ligatures w14:val="none"/>
              </w:rPr>
              <w:t>Cradle-to-gate</w:t>
            </w:r>
          </w:p>
        </w:tc>
        <w:tc>
          <w:tcPr>
            <w:tcW w:w="1220" w:type="dxa"/>
            <w:tcBorders>
              <w:top w:val="single" w:sz="4" w:space="0" w:color="auto"/>
              <w:left w:val="single" w:sz="4" w:space="0" w:color="auto"/>
              <w:bottom w:val="single" w:sz="4" w:space="0" w:color="auto"/>
              <w:right w:val="single" w:sz="4" w:space="0" w:color="auto"/>
            </w:tcBorders>
            <w:vAlign w:val="center"/>
            <w:hideMark/>
          </w:tcPr>
          <w:p w14:paraId="161198FD" w14:textId="58CCAB25" w:rsidR="003175CE" w:rsidRPr="00894954" w:rsidRDefault="00267FF7" w:rsidP="003175CE">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1 year</w:t>
            </w:r>
          </w:p>
        </w:tc>
        <w:tc>
          <w:tcPr>
            <w:tcW w:w="1536" w:type="dxa"/>
            <w:tcBorders>
              <w:top w:val="single" w:sz="4" w:space="0" w:color="auto"/>
              <w:left w:val="single" w:sz="4" w:space="0" w:color="auto"/>
              <w:bottom w:val="single" w:sz="4" w:space="0" w:color="auto"/>
              <w:right w:val="single" w:sz="4" w:space="0" w:color="auto"/>
            </w:tcBorders>
            <w:vAlign w:val="center"/>
          </w:tcPr>
          <w:p w14:paraId="7F52EA45" w14:textId="14843595" w:rsidR="003175CE" w:rsidRPr="00894954" w:rsidRDefault="003175CE" w:rsidP="003175CE">
            <w:pPr>
              <w:spacing w:after="0" w:line="240" w:lineRule="auto"/>
              <w:rPr>
                <w:rFonts w:ascii="Aptos Narrow" w:eastAsia="Times New Roman" w:hAnsi="Aptos Narrow" w:cs="Times New Roman"/>
                <w:i/>
                <w:iCs/>
                <w:color w:val="156082" w:themeColor="accent1"/>
                <w:kern w:val="0"/>
                <w:lang w:eastAsia="en-AU"/>
                <w14:ligatures w14:val="none"/>
              </w:rPr>
            </w:pPr>
            <w:r w:rsidRPr="00894954">
              <w:rPr>
                <w:rFonts w:ascii="Aptos Narrow" w:eastAsia="Times New Roman" w:hAnsi="Aptos Narrow" w:cs="Times New Roman"/>
                <w:i/>
                <w:iCs/>
                <w:color w:val="156082" w:themeColor="accent1"/>
                <w:kern w:val="0"/>
                <w:lang w:eastAsia="en-AU"/>
                <w14:ligatures w14:val="none"/>
              </w:rPr>
              <w:t>5 years</w:t>
            </w:r>
          </w:p>
        </w:tc>
        <w:tc>
          <w:tcPr>
            <w:tcW w:w="3010" w:type="dxa"/>
            <w:tcBorders>
              <w:top w:val="single" w:sz="4" w:space="0" w:color="auto"/>
              <w:left w:val="single" w:sz="4" w:space="0" w:color="auto"/>
              <w:bottom w:val="single" w:sz="4" w:space="0" w:color="auto"/>
              <w:right w:val="single" w:sz="4" w:space="0" w:color="auto"/>
            </w:tcBorders>
            <w:vAlign w:val="center"/>
            <w:hideMark/>
          </w:tcPr>
          <w:p w14:paraId="3C26E38C" w14:textId="6AF8DDF0" w:rsidR="003175CE" w:rsidRPr="00894954" w:rsidRDefault="003175CE" w:rsidP="003175CE">
            <w:pPr>
              <w:spacing w:after="0" w:line="240" w:lineRule="auto"/>
              <w:rPr>
                <w:rFonts w:ascii="Aptos Narrow" w:eastAsia="Times New Roman" w:hAnsi="Aptos Narrow" w:cs="Times New Roman"/>
                <w:i/>
                <w:iCs/>
                <w:color w:val="156082" w:themeColor="accent1"/>
                <w:kern w:val="0"/>
                <w:lang w:eastAsia="en-AU"/>
                <w14:ligatures w14:val="none"/>
              </w:rPr>
            </w:pPr>
            <w:r w:rsidRPr="00894954">
              <w:rPr>
                <w:rFonts w:ascii="Aptos Narrow" w:eastAsia="Times New Roman" w:hAnsi="Aptos Narrow" w:cs="Times New Roman"/>
                <w:i/>
                <w:iCs/>
                <w:color w:val="156082" w:themeColor="accent1"/>
                <w:kern w:val="0"/>
                <w:lang w:eastAsia="en-AU"/>
                <w14:ligatures w14:val="none"/>
              </w:rPr>
              <w:t>Manage interannual variability</w:t>
            </w:r>
          </w:p>
        </w:tc>
        <w:tc>
          <w:tcPr>
            <w:tcW w:w="3119" w:type="dxa"/>
            <w:tcBorders>
              <w:top w:val="single" w:sz="4" w:space="0" w:color="auto"/>
              <w:left w:val="single" w:sz="4" w:space="0" w:color="auto"/>
              <w:bottom w:val="single" w:sz="4" w:space="0" w:color="auto"/>
              <w:right w:val="single" w:sz="4" w:space="0" w:color="auto"/>
            </w:tcBorders>
            <w:vAlign w:val="center"/>
          </w:tcPr>
          <w:p w14:paraId="3AF45032" w14:textId="77777777" w:rsidR="003175CE" w:rsidRPr="00894954" w:rsidRDefault="003175CE" w:rsidP="003175CE">
            <w:pPr>
              <w:spacing w:after="0" w:line="240" w:lineRule="auto"/>
              <w:rPr>
                <w:rFonts w:ascii="Aptos Narrow" w:eastAsia="Times New Roman" w:hAnsi="Aptos Narrow" w:cs="Times New Roman"/>
                <w:i/>
                <w:iCs/>
                <w:color w:val="156082" w:themeColor="accent1"/>
                <w:kern w:val="0"/>
                <w:lang w:eastAsia="en-AU"/>
                <w14:ligatures w14:val="none"/>
              </w:rPr>
            </w:pPr>
          </w:p>
        </w:tc>
      </w:tr>
      <w:tr w:rsidR="002D1818" w:rsidRPr="00FA1403" w14:paraId="2F83277A" w14:textId="77777777" w:rsidTr="00E56A4D">
        <w:trPr>
          <w:trHeight w:val="20"/>
        </w:trPr>
        <w:tc>
          <w:tcPr>
            <w:tcW w:w="1843" w:type="dxa"/>
            <w:tcBorders>
              <w:top w:val="single" w:sz="4" w:space="0" w:color="auto"/>
              <w:left w:val="single" w:sz="4" w:space="0" w:color="auto"/>
              <w:bottom w:val="single" w:sz="4" w:space="0" w:color="auto"/>
            </w:tcBorders>
            <w:vAlign w:val="center"/>
          </w:tcPr>
          <w:p w14:paraId="333BEFCD" w14:textId="3A415246" w:rsidR="00AE1065" w:rsidRPr="00894954" w:rsidRDefault="00AE1065" w:rsidP="00AE1065">
            <w:pPr>
              <w:spacing w:after="0" w:line="240" w:lineRule="auto"/>
              <w:rPr>
                <w:rFonts w:ascii="Aptos Narrow" w:eastAsia="Times New Roman" w:hAnsi="Aptos Narrow" w:cs="Times New Roman"/>
                <w:i/>
                <w:iCs/>
                <w:color w:val="156082" w:themeColor="accent1"/>
                <w:kern w:val="0"/>
                <w:lang w:eastAsia="en-AU"/>
                <w14:ligatures w14:val="none"/>
              </w:rPr>
            </w:pPr>
            <w:r w:rsidRPr="00894954">
              <w:rPr>
                <w:rFonts w:ascii="Aptos Narrow" w:eastAsia="Times New Roman" w:hAnsi="Aptos Narrow" w:cs="Times New Roman"/>
                <w:i/>
                <w:iCs/>
                <w:color w:val="156082" w:themeColor="accent1"/>
                <w:kern w:val="0"/>
                <w:lang w:eastAsia="en-AU"/>
                <w14:ligatures w14:val="none"/>
              </w:rPr>
              <w:t>Manure and crop residue disposed of on-site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D94F4DB" w14:textId="440F1EA6" w:rsidR="00073BF0" w:rsidRPr="00E94474" w:rsidRDefault="00AE1065" w:rsidP="00073BF0">
            <w:pPr>
              <w:spacing w:after="0" w:line="240" w:lineRule="auto"/>
              <w:rPr>
                <w:rFonts w:ascii="Aptos Narrow" w:eastAsia="Times New Roman" w:hAnsi="Aptos Narrow" w:cs="Times New Roman"/>
                <w:i/>
                <w:color w:val="156082" w:themeColor="accent1"/>
                <w:kern w:val="0"/>
                <w:lang w:eastAsia="en-AU"/>
                <w14:ligatures w14:val="none"/>
              </w:rPr>
            </w:pPr>
            <w:r w:rsidRPr="00E94474">
              <w:rPr>
                <w:rFonts w:ascii="Aptos Narrow" w:eastAsia="Times New Roman" w:hAnsi="Aptos Narrow" w:cs="Times New Roman"/>
                <w:i/>
                <w:iCs/>
                <w:color w:val="156082" w:themeColor="accent1"/>
                <w:kern w:val="0"/>
                <w:lang w:eastAsia="en-AU"/>
                <w14:ligatures w14:val="none"/>
              </w:rPr>
              <w:t xml:space="preserve">Waste </w:t>
            </w:r>
          </w:p>
        </w:tc>
        <w:tc>
          <w:tcPr>
            <w:tcW w:w="1604" w:type="dxa"/>
            <w:tcBorders>
              <w:top w:val="single" w:sz="4" w:space="0" w:color="auto"/>
              <w:bottom w:val="single" w:sz="4" w:space="0" w:color="auto"/>
              <w:right w:val="single" w:sz="4" w:space="0" w:color="auto"/>
            </w:tcBorders>
            <w:vAlign w:val="center"/>
          </w:tcPr>
          <w:p w14:paraId="06AF526F" w14:textId="1639FF57" w:rsidR="00073BF0" w:rsidRPr="00894954" w:rsidRDefault="00AE057A" w:rsidP="00073BF0">
            <w:pPr>
              <w:spacing w:after="0" w:line="240" w:lineRule="auto"/>
              <w:rPr>
                <w:rFonts w:ascii="Aptos Narrow" w:eastAsia="Times New Roman" w:hAnsi="Aptos Narrow" w:cs="Times New Roman"/>
                <w:i/>
                <w:iCs/>
                <w:color w:val="156082" w:themeColor="accent1"/>
                <w:kern w:val="0"/>
                <w:lang w:eastAsia="en-AU"/>
                <w14:ligatures w14:val="none"/>
              </w:rPr>
            </w:pPr>
            <w:r w:rsidRPr="00894954">
              <w:rPr>
                <w:rFonts w:ascii="Aptos Narrow" w:eastAsia="Times New Roman" w:hAnsi="Aptos Narrow" w:cs="Times New Roman"/>
                <w:i/>
                <w:iCs/>
                <w:color w:val="156082" w:themeColor="accent1"/>
                <w:kern w:val="0"/>
                <w:lang w:eastAsia="en-AU"/>
                <w14:ligatures w14:val="none"/>
              </w:rPr>
              <w:t>Cradle-to-gate</w:t>
            </w:r>
          </w:p>
        </w:tc>
        <w:tc>
          <w:tcPr>
            <w:tcW w:w="1220" w:type="dxa"/>
            <w:tcBorders>
              <w:top w:val="single" w:sz="4" w:space="0" w:color="auto"/>
              <w:left w:val="single" w:sz="4" w:space="0" w:color="auto"/>
              <w:bottom w:val="single" w:sz="4" w:space="0" w:color="auto"/>
              <w:right w:val="single" w:sz="4" w:space="0" w:color="auto"/>
            </w:tcBorders>
            <w:vAlign w:val="center"/>
            <w:hideMark/>
          </w:tcPr>
          <w:p w14:paraId="31CD9AFA" w14:textId="672385B0" w:rsidR="00073BF0" w:rsidRPr="00894954" w:rsidRDefault="00267FF7" w:rsidP="00073BF0">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1 year</w:t>
            </w:r>
          </w:p>
        </w:tc>
        <w:tc>
          <w:tcPr>
            <w:tcW w:w="1536" w:type="dxa"/>
            <w:tcBorders>
              <w:top w:val="single" w:sz="4" w:space="0" w:color="auto"/>
              <w:bottom w:val="single" w:sz="4" w:space="0" w:color="auto"/>
              <w:right w:val="single" w:sz="4" w:space="0" w:color="auto"/>
            </w:tcBorders>
            <w:vAlign w:val="center"/>
          </w:tcPr>
          <w:p w14:paraId="6307DDAE" w14:textId="69D1D9EE" w:rsidR="00073BF0" w:rsidRPr="00894954" w:rsidRDefault="003175CE" w:rsidP="00073BF0">
            <w:pPr>
              <w:spacing w:after="0" w:line="240" w:lineRule="auto"/>
              <w:rPr>
                <w:rFonts w:ascii="Aptos Narrow" w:eastAsia="Times New Roman" w:hAnsi="Aptos Narrow" w:cs="Times New Roman"/>
                <w:i/>
                <w:iCs/>
                <w:color w:val="156082" w:themeColor="accent1"/>
                <w:kern w:val="0"/>
                <w:lang w:eastAsia="en-AU"/>
                <w14:ligatures w14:val="none"/>
              </w:rPr>
            </w:pPr>
            <w:r w:rsidRPr="00894954">
              <w:rPr>
                <w:rFonts w:ascii="Aptos Narrow" w:eastAsia="Times New Roman" w:hAnsi="Aptos Narrow" w:cs="Times New Roman"/>
                <w:i/>
                <w:iCs/>
                <w:color w:val="156082" w:themeColor="accent1"/>
                <w:kern w:val="0"/>
                <w:lang w:eastAsia="en-AU"/>
                <w14:ligatures w14:val="none"/>
              </w:rPr>
              <w:t>NA</w:t>
            </w:r>
          </w:p>
        </w:tc>
        <w:tc>
          <w:tcPr>
            <w:tcW w:w="3010" w:type="dxa"/>
            <w:tcBorders>
              <w:top w:val="single" w:sz="4" w:space="0" w:color="auto"/>
              <w:left w:val="single" w:sz="4" w:space="0" w:color="auto"/>
              <w:bottom w:val="single" w:sz="4" w:space="0" w:color="auto"/>
              <w:right w:val="single" w:sz="4" w:space="0" w:color="auto"/>
            </w:tcBorders>
            <w:vAlign w:val="center"/>
            <w:hideMark/>
          </w:tcPr>
          <w:p w14:paraId="37BF2C1B" w14:textId="52D4DB7D" w:rsidR="00073BF0" w:rsidRPr="00894954" w:rsidRDefault="003175CE" w:rsidP="00073BF0">
            <w:pPr>
              <w:spacing w:after="0" w:line="240" w:lineRule="auto"/>
              <w:rPr>
                <w:rFonts w:ascii="Aptos Narrow" w:eastAsia="Times New Roman" w:hAnsi="Aptos Narrow" w:cs="Times New Roman"/>
                <w:i/>
                <w:iCs/>
                <w:color w:val="156082" w:themeColor="accent1"/>
                <w:kern w:val="0"/>
                <w:lang w:eastAsia="en-AU"/>
                <w14:ligatures w14:val="none"/>
              </w:rPr>
            </w:pPr>
            <w:r w:rsidRPr="00894954">
              <w:rPr>
                <w:rFonts w:ascii="Aptos Narrow" w:eastAsia="Times New Roman" w:hAnsi="Aptos Narrow" w:cs="Times New Roman"/>
                <w:i/>
                <w:iCs/>
                <w:color w:val="156082" w:themeColor="accent1"/>
                <w:kern w:val="0"/>
                <w:lang w:eastAsia="en-AU"/>
                <w14:ligatures w14:val="none"/>
              </w:rPr>
              <w:t>NA</w:t>
            </w:r>
          </w:p>
        </w:tc>
        <w:tc>
          <w:tcPr>
            <w:tcW w:w="3119" w:type="dxa"/>
            <w:tcBorders>
              <w:top w:val="single" w:sz="4" w:space="0" w:color="auto"/>
              <w:bottom w:val="single" w:sz="4" w:space="0" w:color="auto"/>
              <w:right w:val="single" w:sz="4" w:space="0" w:color="auto"/>
            </w:tcBorders>
            <w:vAlign w:val="center"/>
          </w:tcPr>
          <w:p w14:paraId="3C0BE5FE" w14:textId="77777777" w:rsidR="00073BF0" w:rsidRPr="00894954" w:rsidRDefault="00073BF0" w:rsidP="00073BF0">
            <w:pPr>
              <w:spacing w:after="0" w:line="240" w:lineRule="auto"/>
              <w:rPr>
                <w:rFonts w:ascii="Aptos Narrow" w:eastAsia="Times New Roman" w:hAnsi="Aptos Narrow" w:cs="Times New Roman"/>
                <w:i/>
                <w:iCs/>
                <w:color w:val="156082" w:themeColor="accent1"/>
                <w:kern w:val="0"/>
                <w:lang w:eastAsia="en-AU"/>
                <w14:ligatures w14:val="none"/>
              </w:rPr>
            </w:pPr>
          </w:p>
        </w:tc>
      </w:tr>
    </w:tbl>
    <w:p w14:paraId="2EA89716" w14:textId="77777777" w:rsidR="005C0391" w:rsidRDefault="005C0391" w:rsidP="005C0391"/>
    <w:p w14:paraId="35712EC3" w14:textId="7A73CCE0" w:rsidR="00F9589D" w:rsidRDefault="00FF0725" w:rsidP="00F9589D">
      <w:pPr>
        <w:pStyle w:val="Heading3"/>
        <w:numPr>
          <w:ilvl w:val="0"/>
          <w:numId w:val="0"/>
        </w:numPr>
      </w:pPr>
      <w:r>
        <w:lastRenderedPageBreak/>
        <w:t>Emission intensity</w:t>
      </w:r>
      <w:r w:rsidR="003F439C">
        <w:t xml:space="preserve"> </w:t>
      </w:r>
      <w:r w:rsidR="00231254">
        <w:t>of</w:t>
      </w:r>
      <w:r w:rsidR="004C0136">
        <w:t xml:space="preserve"> product</w:t>
      </w:r>
      <w:r w:rsidR="00231254">
        <w:t>s</w:t>
      </w:r>
    </w:p>
    <w:p w14:paraId="74D09231" w14:textId="324DED8C" w:rsidR="00F974AD" w:rsidRPr="00F974AD" w:rsidRDefault="00F974AD" w:rsidP="00F974AD">
      <w:r>
        <w:t>[</w:t>
      </w:r>
      <w:r w:rsidR="00761EB0">
        <w:t>F</w:t>
      </w:r>
      <w:r w:rsidR="004A160F">
        <w:t xml:space="preserve">or reporting </w:t>
      </w:r>
      <w:r w:rsidR="001F660F">
        <w:t>average</w:t>
      </w:r>
      <w:r w:rsidR="004A160F">
        <w:t>d</w:t>
      </w:r>
      <w:r w:rsidR="00482110" w:rsidRPr="00482110">
        <w:t xml:space="preserve"> </w:t>
      </w:r>
      <w:r w:rsidR="004A160F">
        <w:t xml:space="preserve">emission intensity </w:t>
      </w:r>
      <w:r w:rsidR="00761EB0">
        <w:t xml:space="preserve">create a separate table with </w:t>
      </w:r>
      <w:r w:rsidR="004A160F">
        <w:t>production quantities and emissions and removal columns</w:t>
      </w:r>
      <w:r w:rsidR="00761EB0">
        <w:t xml:space="preserve"> removed</w:t>
      </w:r>
      <w:r w:rsidR="001F660F">
        <w:t>]</w:t>
      </w:r>
    </w:p>
    <w:tbl>
      <w:tblPr>
        <w:tblW w:w="143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909"/>
        <w:gridCol w:w="909"/>
        <w:gridCol w:w="1105"/>
        <w:gridCol w:w="1134"/>
        <w:gridCol w:w="1275"/>
        <w:gridCol w:w="1418"/>
        <w:gridCol w:w="1633"/>
        <w:gridCol w:w="1202"/>
        <w:gridCol w:w="1379"/>
        <w:gridCol w:w="1161"/>
        <w:gridCol w:w="1288"/>
      </w:tblGrid>
      <w:tr w:rsidR="002D1818" w:rsidRPr="00371DEF" w14:paraId="1B62A2F7" w14:textId="77777777" w:rsidTr="00AF6D6D">
        <w:trPr>
          <w:trHeight w:val="199"/>
          <w:tblHeader/>
        </w:trPr>
        <w:tc>
          <w:tcPr>
            <w:tcW w:w="905" w:type="dxa"/>
            <w:vMerge w:val="restart"/>
            <w:tcBorders>
              <w:top w:val="single" w:sz="4" w:space="0" w:color="auto"/>
              <w:left w:val="single" w:sz="4" w:space="0" w:color="auto"/>
              <w:right w:val="single" w:sz="4" w:space="0" w:color="auto"/>
            </w:tcBorders>
            <w:shd w:val="clear" w:color="auto" w:fill="E8E8E8" w:themeFill="background2"/>
            <w:hideMark/>
          </w:tcPr>
          <w:p w14:paraId="746CF4EE" w14:textId="77777777" w:rsidR="00A80E4A" w:rsidRPr="00FD29E8" w:rsidRDefault="00A80E4A" w:rsidP="00371DEF">
            <w:pPr>
              <w:spacing w:after="0" w:line="240" w:lineRule="auto"/>
              <w:jc w:val="center"/>
              <w:rPr>
                <w:rFonts w:ascii="Aptos Narrow" w:eastAsia="Times New Roman" w:hAnsi="Aptos Narrow" w:cs="Times New Roman"/>
                <w:b/>
                <w:color w:val="000000"/>
                <w:kern w:val="0"/>
                <w:sz w:val="18"/>
                <w:szCs w:val="18"/>
                <w:lang w:eastAsia="en-AU"/>
                <w14:ligatures w14:val="none"/>
              </w:rPr>
            </w:pPr>
            <w:r w:rsidRPr="00FD29E8">
              <w:rPr>
                <w:rFonts w:ascii="Aptos Narrow" w:eastAsia="Times New Roman" w:hAnsi="Aptos Narrow" w:cs="Times New Roman"/>
                <w:b/>
                <w:color w:val="000000"/>
                <w:kern w:val="0"/>
                <w:sz w:val="18"/>
                <w:szCs w:val="18"/>
                <w:lang w:eastAsia="en-AU"/>
                <w14:ligatures w14:val="none"/>
              </w:rPr>
              <w:t>Product / Output</w:t>
            </w:r>
          </w:p>
        </w:tc>
        <w:tc>
          <w:tcPr>
            <w:tcW w:w="909" w:type="dxa"/>
            <w:vMerge w:val="restart"/>
            <w:tcBorders>
              <w:top w:val="single" w:sz="4" w:space="0" w:color="auto"/>
              <w:left w:val="single" w:sz="4" w:space="0" w:color="auto"/>
              <w:right w:val="single" w:sz="4" w:space="0" w:color="auto"/>
            </w:tcBorders>
            <w:shd w:val="clear" w:color="auto" w:fill="E8E8E8" w:themeFill="background2"/>
            <w:hideMark/>
          </w:tcPr>
          <w:p w14:paraId="12FD45AD" w14:textId="52243829" w:rsidR="00A80E4A" w:rsidRPr="00FD29E8" w:rsidRDefault="00EB6005" w:rsidP="00371DEF">
            <w:pPr>
              <w:spacing w:after="0" w:line="240" w:lineRule="auto"/>
              <w:jc w:val="center"/>
              <w:rPr>
                <w:rFonts w:ascii="Aptos Narrow" w:eastAsia="Times New Roman" w:hAnsi="Aptos Narrow" w:cs="Times New Roman"/>
                <w:b/>
                <w:color w:val="000000"/>
                <w:kern w:val="0"/>
                <w:sz w:val="18"/>
                <w:szCs w:val="18"/>
                <w:lang w:eastAsia="en-AU"/>
                <w14:ligatures w14:val="none"/>
              </w:rPr>
            </w:pPr>
            <w:r>
              <w:rPr>
                <w:rFonts w:ascii="Aptos Narrow" w:eastAsia="Times New Roman" w:hAnsi="Aptos Narrow" w:cs="Times New Roman"/>
                <w:b/>
                <w:color w:val="000000"/>
                <w:kern w:val="0"/>
                <w:sz w:val="18"/>
                <w:szCs w:val="18"/>
                <w:lang w:eastAsia="en-AU"/>
                <w14:ligatures w14:val="none"/>
              </w:rPr>
              <w:t>Output</w:t>
            </w:r>
            <w:r w:rsidRPr="00FD29E8">
              <w:rPr>
                <w:rFonts w:ascii="Aptos Narrow" w:eastAsia="Times New Roman" w:hAnsi="Aptos Narrow" w:cs="Times New Roman"/>
                <w:b/>
                <w:color w:val="000000"/>
                <w:kern w:val="0"/>
                <w:sz w:val="18"/>
                <w:szCs w:val="18"/>
                <w:lang w:eastAsia="en-AU"/>
                <w14:ligatures w14:val="none"/>
              </w:rPr>
              <w:t xml:space="preserve"> </w:t>
            </w:r>
            <w:r w:rsidR="00A80E4A" w:rsidRPr="00FD29E8">
              <w:rPr>
                <w:rFonts w:ascii="Aptos Narrow" w:eastAsia="Times New Roman" w:hAnsi="Aptos Narrow" w:cs="Times New Roman"/>
                <w:b/>
                <w:color w:val="000000"/>
                <w:kern w:val="0"/>
                <w:sz w:val="18"/>
                <w:szCs w:val="18"/>
                <w:lang w:eastAsia="en-AU"/>
                <w14:ligatures w14:val="none"/>
              </w:rPr>
              <w:t xml:space="preserve">Type </w:t>
            </w:r>
          </w:p>
        </w:tc>
        <w:tc>
          <w:tcPr>
            <w:tcW w:w="909" w:type="dxa"/>
            <w:vMerge w:val="restart"/>
            <w:tcBorders>
              <w:top w:val="single" w:sz="4" w:space="0" w:color="auto"/>
              <w:left w:val="single" w:sz="4" w:space="0" w:color="auto"/>
              <w:right w:val="single" w:sz="4" w:space="0" w:color="auto"/>
            </w:tcBorders>
            <w:shd w:val="clear" w:color="auto" w:fill="E8E8E8" w:themeFill="background2"/>
          </w:tcPr>
          <w:p w14:paraId="13A0C341" w14:textId="77777777" w:rsidR="00481DBB" w:rsidRDefault="00A80E4A" w:rsidP="0018502E">
            <w:pPr>
              <w:spacing w:after="0" w:line="240" w:lineRule="auto"/>
              <w:jc w:val="center"/>
              <w:rPr>
                <w:rFonts w:ascii="Aptos Narrow" w:eastAsia="Times New Roman" w:hAnsi="Aptos Narrow" w:cs="Times New Roman"/>
                <w:b/>
                <w:bCs/>
                <w:color w:val="000000"/>
                <w:kern w:val="0"/>
                <w:sz w:val="18"/>
                <w:szCs w:val="18"/>
                <w:lang w:eastAsia="en-AU"/>
                <w14:ligatures w14:val="none"/>
              </w:rPr>
            </w:pPr>
            <w:r w:rsidRPr="00FD29E8">
              <w:rPr>
                <w:rFonts w:ascii="Aptos Narrow" w:eastAsia="Times New Roman" w:hAnsi="Aptos Narrow" w:cs="Times New Roman"/>
                <w:b/>
                <w:color w:val="000000"/>
                <w:kern w:val="0"/>
                <w:sz w:val="18"/>
                <w:szCs w:val="18"/>
                <w:lang w:eastAsia="en-AU"/>
                <w14:ligatures w14:val="none"/>
              </w:rPr>
              <w:t>Declared unit</w:t>
            </w:r>
            <w:r w:rsidR="006B54BD">
              <w:rPr>
                <w:rFonts w:ascii="Aptos Narrow" w:eastAsia="Times New Roman" w:hAnsi="Aptos Narrow" w:cs="Times New Roman"/>
                <w:b/>
                <w:bCs/>
                <w:color w:val="000000"/>
                <w:kern w:val="0"/>
                <w:sz w:val="18"/>
                <w:szCs w:val="18"/>
                <w:lang w:eastAsia="en-AU"/>
                <w14:ligatures w14:val="none"/>
              </w:rPr>
              <w:t xml:space="preserve"> </w:t>
            </w:r>
          </w:p>
          <w:p w14:paraId="40A3454D" w14:textId="39AF42C1" w:rsidR="00A80E4A" w:rsidRPr="00FD29E8" w:rsidRDefault="006B54BD" w:rsidP="00B72F66">
            <w:pPr>
              <w:spacing w:after="0" w:line="240" w:lineRule="auto"/>
              <w:jc w:val="center"/>
              <w:rPr>
                <w:rFonts w:ascii="Aptos Narrow" w:eastAsia="Times New Roman" w:hAnsi="Aptos Narrow" w:cs="Times New Roman"/>
                <w:b/>
                <w:color w:val="000000"/>
                <w:kern w:val="0"/>
                <w:sz w:val="18"/>
                <w:szCs w:val="18"/>
                <w:lang w:eastAsia="en-AU"/>
                <w14:ligatures w14:val="none"/>
              </w:rPr>
            </w:pPr>
            <w:r>
              <w:rPr>
                <w:rFonts w:ascii="Aptos Narrow" w:eastAsia="Times New Roman" w:hAnsi="Aptos Narrow" w:cs="Times New Roman"/>
                <w:b/>
                <w:bCs/>
                <w:color w:val="000000"/>
                <w:kern w:val="0"/>
                <w:sz w:val="18"/>
                <w:szCs w:val="18"/>
                <w:lang w:eastAsia="en-AU"/>
                <w14:ligatures w14:val="none"/>
              </w:rPr>
              <w:t>(DU)</w:t>
            </w:r>
          </w:p>
        </w:tc>
        <w:tc>
          <w:tcPr>
            <w:tcW w:w="1105" w:type="dxa"/>
            <w:vMerge w:val="restart"/>
            <w:tcBorders>
              <w:top w:val="single" w:sz="4" w:space="0" w:color="auto"/>
              <w:left w:val="single" w:sz="4" w:space="0" w:color="auto"/>
              <w:right w:val="single" w:sz="4" w:space="0" w:color="auto"/>
            </w:tcBorders>
            <w:shd w:val="clear" w:color="auto" w:fill="E8E8E8" w:themeFill="background2"/>
            <w:hideMark/>
          </w:tcPr>
          <w:p w14:paraId="17F23B61" w14:textId="18F34D87" w:rsidR="00A80E4A" w:rsidRPr="00FD29E8" w:rsidRDefault="00A80E4A" w:rsidP="00B72F66">
            <w:pPr>
              <w:spacing w:after="0" w:line="240" w:lineRule="auto"/>
              <w:jc w:val="center"/>
              <w:rPr>
                <w:rFonts w:ascii="Aptos Narrow" w:eastAsia="Times New Roman" w:hAnsi="Aptos Narrow" w:cs="Times New Roman"/>
                <w:b/>
                <w:color w:val="000000"/>
                <w:kern w:val="0"/>
                <w:sz w:val="18"/>
                <w:szCs w:val="18"/>
                <w:lang w:eastAsia="en-AU"/>
                <w14:ligatures w14:val="none"/>
              </w:rPr>
            </w:pPr>
            <w:r w:rsidRPr="00FD29E8">
              <w:rPr>
                <w:rFonts w:ascii="Aptos Narrow" w:eastAsia="Times New Roman" w:hAnsi="Aptos Narrow" w:cs="Times New Roman"/>
                <w:b/>
                <w:color w:val="000000"/>
                <w:kern w:val="0"/>
                <w:sz w:val="18"/>
                <w:szCs w:val="18"/>
                <w:lang w:eastAsia="en-AU"/>
                <w14:ligatures w14:val="none"/>
              </w:rPr>
              <w:t xml:space="preserve">Annual Production </w:t>
            </w:r>
            <w:r w:rsidR="00147235" w:rsidRPr="00FD29E8">
              <w:rPr>
                <w:rFonts w:ascii="Aptos Narrow" w:eastAsia="Times New Roman" w:hAnsi="Aptos Narrow" w:cs="Times New Roman"/>
                <w:b/>
                <w:color w:val="000000"/>
                <w:kern w:val="0"/>
                <w:sz w:val="18"/>
                <w:szCs w:val="18"/>
                <w:lang w:eastAsia="en-AU"/>
                <w14:ligatures w14:val="none"/>
              </w:rPr>
              <w:t>Quantity</w:t>
            </w:r>
          </w:p>
          <w:p w14:paraId="1966B107" w14:textId="40BCA3E7" w:rsidR="00A80E4A" w:rsidRPr="00FD29E8" w:rsidRDefault="00A80E4A" w:rsidP="00A80E4A">
            <w:pPr>
              <w:spacing w:after="0" w:line="240" w:lineRule="auto"/>
              <w:rPr>
                <w:rFonts w:ascii="Aptos Narrow" w:eastAsia="Times New Roman" w:hAnsi="Aptos Narrow" w:cs="Times New Roman"/>
                <w:b/>
                <w:color w:val="000000"/>
                <w:kern w:val="0"/>
                <w:sz w:val="18"/>
                <w:szCs w:val="18"/>
                <w:lang w:eastAsia="en-AU"/>
                <w14:ligatures w14:val="none"/>
              </w:rPr>
            </w:pPr>
          </w:p>
        </w:tc>
        <w:tc>
          <w:tcPr>
            <w:tcW w:w="1134" w:type="dxa"/>
            <w:vMerge w:val="restart"/>
            <w:shd w:val="clear" w:color="auto" w:fill="E8E8E8" w:themeFill="background2"/>
          </w:tcPr>
          <w:p w14:paraId="6768B892" w14:textId="59286D8D" w:rsidR="00A80E4A" w:rsidRPr="00FD29E8" w:rsidRDefault="004105D1" w:rsidP="00B72F66">
            <w:pPr>
              <w:spacing w:after="0" w:line="240" w:lineRule="auto"/>
              <w:jc w:val="center"/>
              <w:rPr>
                <w:rFonts w:ascii="Aptos Narrow" w:eastAsia="Times New Roman" w:hAnsi="Aptos Narrow" w:cs="Times New Roman"/>
                <w:b/>
                <w:color w:val="000000"/>
                <w:kern w:val="0"/>
                <w:sz w:val="18"/>
                <w:szCs w:val="18"/>
                <w:lang w:eastAsia="en-AU"/>
                <w14:ligatures w14:val="none"/>
              </w:rPr>
            </w:pPr>
            <w:r w:rsidRPr="00FD29E8">
              <w:rPr>
                <w:rFonts w:ascii="Aptos Narrow" w:eastAsia="Times New Roman" w:hAnsi="Aptos Narrow" w:cs="Times New Roman"/>
                <w:b/>
                <w:color w:val="000000"/>
                <w:kern w:val="0"/>
                <w:sz w:val="18"/>
                <w:szCs w:val="18"/>
                <w:lang w:eastAsia="en-AU"/>
                <w14:ligatures w14:val="none"/>
              </w:rPr>
              <w:t>Quantity</w:t>
            </w:r>
            <w:r w:rsidR="005015A8">
              <w:rPr>
                <w:rFonts w:ascii="Aptos Narrow" w:eastAsia="Times New Roman" w:hAnsi="Aptos Narrow" w:cs="Times New Roman"/>
                <w:b/>
                <w:bCs/>
                <w:color w:val="000000"/>
                <w:kern w:val="0"/>
                <w:sz w:val="18"/>
                <w:szCs w:val="18"/>
                <w:lang w:eastAsia="en-AU"/>
                <w14:ligatures w14:val="none"/>
              </w:rPr>
              <w:t xml:space="preserve"> </w:t>
            </w:r>
            <w:r w:rsidR="00A80E4A" w:rsidRPr="00FD29E8">
              <w:rPr>
                <w:rFonts w:ascii="Aptos Narrow" w:eastAsia="Times New Roman" w:hAnsi="Aptos Narrow" w:cs="Times New Roman"/>
                <w:b/>
                <w:color w:val="000000"/>
                <w:kern w:val="0"/>
                <w:sz w:val="18"/>
                <w:szCs w:val="18"/>
                <w:lang w:eastAsia="en-AU"/>
                <w14:ligatures w14:val="none"/>
              </w:rPr>
              <w:t>Unit</w:t>
            </w:r>
          </w:p>
        </w:tc>
        <w:tc>
          <w:tcPr>
            <w:tcW w:w="1275" w:type="dxa"/>
            <w:tcBorders>
              <w:top w:val="single" w:sz="4" w:space="0" w:color="auto"/>
              <w:left w:val="single" w:sz="4" w:space="0" w:color="auto"/>
              <w:bottom w:val="single" w:sz="4" w:space="0" w:color="auto"/>
              <w:right w:val="single" w:sz="4" w:space="0" w:color="auto"/>
            </w:tcBorders>
            <w:shd w:val="clear" w:color="auto" w:fill="E8E8E8" w:themeFill="background2"/>
          </w:tcPr>
          <w:p w14:paraId="002BB31C" w14:textId="528B6498" w:rsidR="00771B21" w:rsidRDefault="006B54BD" w:rsidP="0018502E">
            <w:pPr>
              <w:spacing w:after="0" w:line="240" w:lineRule="auto"/>
              <w:jc w:val="center"/>
              <w:rPr>
                <w:rFonts w:ascii="Aptos Narrow" w:eastAsia="Times New Roman" w:hAnsi="Aptos Narrow" w:cs="Times New Roman"/>
                <w:b/>
                <w:bCs/>
                <w:color w:val="000000"/>
                <w:kern w:val="0"/>
                <w:sz w:val="18"/>
                <w:szCs w:val="18"/>
                <w:lang w:eastAsia="en-AU"/>
                <w14:ligatures w14:val="none"/>
              </w:rPr>
            </w:pPr>
            <w:r w:rsidRPr="00FD29E8">
              <w:rPr>
                <w:rFonts w:ascii="Aptos Narrow" w:eastAsia="Times New Roman" w:hAnsi="Aptos Narrow" w:cs="Times New Roman"/>
                <w:b/>
                <w:bCs/>
                <w:color w:val="000000"/>
                <w:kern w:val="0"/>
                <w:sz w:val="18"/>
                <w:szCs w:val="18"/>
                <w:lang w:eastAsia="en-AU"/>
                <w14:ligatures w14:val="none"/>
              </w:rPr>
              <w:t>Emissions</w:t>
            </w:r>
            <w:r w:rsidR="004E29FB">
              <w:rPr>
                <w:rFonts w:ascii="Aptos Narrow" w:eastAsia="Times New Roman" w:hAnsi="Aptos Narrow" w:cs="Times New Roman"/>
                <w:b/>
                <w:bCs/>
                <w:color w:val="000000"/>
                <w:kern w:val="0"/>
                <w:sz w:val="18"/>
                <w:szCs w:val="18"/>
                <w:lang w:eastAsia="en-AU"/>
                <w14:ligatures w14:val="none"/>
              </w:rPr>
              <w:t xml:space="preserve"> or</w:t>
            </w:r>
            <w:r w:rsidRPr="00FD29E8">
              <w:rPr>
                <w:rFonts w:ascii="Aptos Narrow" w:eastAsia="Times New Roman" w:hAnsi="Aptos Narrow" w:cs="Times New Roman"/>
                <w:b/>
                <w:bCs/>
                <w:color w:val="000000"/>
                <w:kern w:val="0"/>
                <w:sz w:val="18"/>
                <w:szCs w:val="18"/>
                <w:lang w:eastAsia="en-AU"/>
                <w14:ligatures w14:val="none"/>
              </w:rPr>
              <w:t xml:space="preserve"> removal</w:t>
            </w:r>
            <w:r w:rsidR="004E29FB">
              <w:rPr>
                <w:rFonts w:ascii="Aptos Narrow" w:eastAsia="Times New Roman" w:hAnsi="Aptos Narrow" w:cs="Times New Roman"/>
                <w:b/>
                <w:bCs/>
                <w:color w:val="000000"/>
                <w:kern w:val="0"/>
                <w:sz w:val="18"/>
                <w:szCs w:val="18"/>
                <w:lang w:eastAsia="en-AU"/>
                <w14:ligatures w14:val="none"/>
              </w:rPr>
              <w:t>s</w:t>
            </w:r>
          </w:p>
          <w:p w14:paraId="09EE7A6A" w14:textId="489F040B" w:rsidR="006B54BD" w:rsidRPr="00FD29E8" w:rsidRDefault="006B54BD" w:rsidP="0018502E">
            <w:pPr>
              <w:spacing w:after="0" w:line="240" w:lineRule="auto"/>
              <w:jc w:val="center"/>
              <w:rPr>
                <w:rFonts w:ascii="Aptos Narrow" w:eastAsia="Times New Roman" w:hAnsi="Aptos Narrow" w:cs="Times New Roman"/>
                <w:b/>
                <w:bCs/>
                <w:color w:val="000000"/>
                <w:kern w:val="0"/>
                <w:sz w:val="18"/>
                <w:szCs w:val="18"/>
                <w:lang w:eastAsia="en-AU"/>
                <w14:ligatures w14:val="none"/>
              </w:rPr>
            </w:pPr>
            <w:r>
              <w:rPr>
                <w:rFonts w:ascii="Aptos Narrow" w:eastAsia="Times New Roman" w:hAnsi="Aptos Narrow" w:cs="Times New Roman"/>
                <w:b/>
                <w:bCs/>
                <w:color w:val="000000"/>
                <w:kern w:val="0"/>
                <w:sz w:val="18"/>
                <w:szCs w:val="18"/>
                <w:lang w:eastAsia="en-AU"/>
                <w14:ligatures w14:val="none"/>
              </w:rPr>
              <w:t>L</w:t>
            </w:r>
            <w:r w:rsidRPr="00FD29E8">
              <w:rPr>
                <w:rFonts w:ascii="Aptos Narrow" w:eastAsia="Times New Roman" w:hAnsi="Aptos Narrow" w:cs="Times New Roman"/>
                <w:b/>
                <w:bCs/>
                <w:color w:val="000000"/>
                <w:kern w:val="0"/>
                <w:sz w:val="18"/>
                <w:szCs w:val="18"/>
                <w:lang w:eastAsia="en-AU"/>
                <w14:ligatures w14:val="none"/>
              </w:rPr>
              <w:t>and clearing</w:t>
            </w:r>
          </w:p>
          <w:p w14:paraId="041AB905" w14:textId="4640F01E" w:rsidR="00A80E4A" w:rsidRPr="00FD29E8" w:rsidRDefault="006B54BD" w:rsidP="00B72F66">
            <w:pPr>
              <w:spacing w:after="0" w:line="240" w:lineRule="auto"/>
              <w:jc w:val="center"/>
              <w:rPr>
                <w:rFonts w:ascii="Aptos Narrow" w:eastAsia="Times New Roman" w:hAnsi="Aptos Narrow" w:cs="Times New Roman"/>
                <w:b/>
                <w:color w:val="000000"/>
                <w:kern w:val="0"/>
                <w:sz w:val="18"/>
                <w:szCs w:val="18"/>
                <w:lang w:eastAsia="en-AU"/>
                <w14:ligatures w14:val="none"/>
              </w:rPr>
            </w:pPr>
            <w:r w:rsidRPr="00FD29E8">
              <w:rPr>
                <w:rFonts w:ascii="Aptos Narrow" w:eastAsia="Times New Roman" w:hAnsi="Aptos Narrow" w:cs="Times New Roman"/>
                <w:b/>
                <w:bCs/>
                <w:color w:val="000000"/>
                <w:kern w:val="0"/>
                <w:sz w:val="18"/>
                <w:szCs w:val="18"/>
                <w:vertAlign w:val="superscript"/>
                <w:lang w:eastAsia="en-AU"/>
                <w14:ligatures w14:val="none"/>
              </w:rPr>
              <w:t>(a</w:t>
            </w:r>
            <w:r>
              <w:rPr>
                <w:rFonts w:ascii="Aptos Narrow" w:eastAsia="Times New Roman" w:hAnsi="Aptos Narrow" w:cs="Times New Roman"/>
                <w:b/>
                <w:bCs/>
                <w:color w:val="000000"/>
                <w:kern w:val="0"/>
                <w:sz w:val="18"/>
                <w:szCs w:val="18"/>
                <w:vertAlign w:val="superscript"/>
                <w:lang w:eastAsia="en-AU"/>
                <w14:ligatures w14:val="none"/>
              </w:rPr>
              <w:t>)</w:t>
            </w:r>
          </w:p>
        </w:tc>
        <w:tc>
          <w:tcPr>
            <w:tcW w:w="1418" w:type="dxa"/>
            <w:tcBorders>
              <w:top w:val="single" w:sz="4" w:space="0" w:color="auto"/>
              <w:left w:val="single" w:sz="4" w:space="0" w:color="auto"/>
              <w:bottom w:val="single" w:sz="4" w:space="0" w:color="auto"/>
              <w:right w:val="single" w:sz="4" w:space="0" w:color="auto"/>
            </w:tcBorders>
            <w:shd w:val="clear" w:color="auto" w:fill="E8E8E8" w:themeFill="background2"/>
          </w:tcPr>
          <w:p w14:paraId="66904A42" w14:textId="7DC2C2C8" w:rsidR="004E29FB" w:rsidRDefault="006B54BD" w:rsidP="0018502E">
            <w:pPr>
              <w:spacing w:after="0" w:line="240" w:lineRule="auto"/>
              <w:jc w:val="center"/>
              <w:rPr>
                <w:rFonts w:ascii="Aptos Narrow" w:eastAsia="Times New Roman" w:hAnsi="Aptos Narrow" w:cs="Times New Roman"/>
                <w:b/>
                <w:bCs/>
                <w:color w:val="000000"/>
                <w:kern w:val="0"/>
                <w:sz w:val="18"/>
                <w:szCs w:val="18"/>
                <w:lang w:eastAsia="en-AU"/>
                <w14:ligatures w14:val="none"/>
              </w:rPr>
            </w:pPr>
            <w:r w:rsidRPr="00FD29E8" w:rsidDel="00BA1E96">
              <w:rPr>
                <w:rFonts w:ascii="Aptos Narrow" w:eastAsia="Times New Roman" w:hAnsi="Aptos Narrow" w:cs="Times New Roman"/>
                <w:b/>
                <w:color w:val="000000"/>
                <w:kern w:val="0"/>
                <w:sz w:val="18"/>
                <w:szCs w:val="18"/>
                <w:lang w:eastAsia="en-AU"/>
                <w14:ligatures w14:val="none"/>
              </w:rPr>
              <w:t>Emissions</w:t>
            </w:r>
            <w:r w:rsidR="004E29FB">
              <w:rPr>
                <w:rFonts w:ascii="Aptos Narrow" w:eastAsia="Times New Roman" w:hAnsi="Aptos Narrow" w:cs="Times New Roman"/>
                <w:b/>
                <w:color w:val="000000"/>
                <w:kern w:val="0"/>
                <w:sz w:val="18"/>
                <w:szCs w:val="18"/>
                <w:lang w:eastAsia="en-AU"/>
                <w14:ligatures w14:val="none"/>
              </w:rPr>
              <w:t xml:space="preserve"> or</w:t>
            </w:r>
            <w:r w:rsidR="00771B21">
              <w:rPr>
                <w:rFonts w:ascii="Aptos Narrow" w:eastAsia="Times New Roman" w:hAnsi="Aptos Narrow" w:cs="Times New Roman"/>
                <w:b/>
                <w:color w:val="000000"/>
                <w:kern w:val="0"/>
                <w:sz w:val="18"/>
                <w:szCs w:val="18"/>
                <w:lang w:eastAsia="en-AU"/>
                <w14:ligatures w14:val="none"/>
              </w:rPr>
              <w:t xml:space="preserve"> </w:t>
            </w:r>
            <w:r w:rsidRPr="00FD29E8">
              <w:rPr>
                <w:rFonts w:ascii="Aptos Narrow" w:eastAsia="Times New Roman" w:hAnsi="Aptos Narrow" w:cs="Times New Roman"/>
                <w:b/>
                <w:color w:val="000000"/>
                <w:kern w:val="0"/>
                <w:sz w:val="18"/>
                <w:szCs w:val="18"/>
                <w:lang w:eastAsia="en-AU"/>
                <w14:ligatures w14:val="none"/>
              </w:rPr>
              <w:t>r</w:t>
            </w:r>
            <w:r w:rsidRPr="00FD29E8">
              <w:rPr>
                <w:rFonts w:ascii="Aptos Narrow" w:eastAsia="Times New Roman" w:hAnsi="Aptos Narrow" w:cs="Times New Roman"/>
                <w:b/>
                <w:bCs/>
                <w:color w:val="000000"/>
                <w:kern w:val="0"/>
                <w:sz w:val="18"/>
                <w:szCs w:val="18"/>
                <w:lang w:eastAsia="en-AU"/>
                <w14:ligatures w14:val="none"/>
              </w:rPr>
              <w:t>emoval</w:t>
            </w:r>
            <w:r w:rsidR="004E29FB">
              <w:rPr>
                <w:rFonts w:ascii="Aptos Narrow" w:eastAsia="Times New Roman" w:hAnsi="Aptos Narrow" w:cs="Times New Roman"/>
                <w:b/>
                <w:bCs/>
                <w:color w:val="000000"/>
                <w:kern w:val="0"/>
                <w:sz w:val="18"/>
                <w:szCs w:val="18"/>
                <w:lang w:eastAsia="en-AU"/>
                <w14:ligatures w14:val="none"/>
              </w:rPr>
              <w:t>s</w:t>
            </w:r>
            <w:r w:rsidRPr="00FD29E8">
              <w:rPr>
                <w:rFonts w:ascii="Aptos Narrow" w:eastAsia="Times New Roman" w:hAnsi="Aptos Narrow" w:cs="Times New Roman"/>
                <w:b/>
                <w:bCs/>
                <w:color w:val="000000"/>
                <w:kern w:val="0"/>
                <w:sz w:val="18"/>
                <w:szCs w:val="18"/>
                <w:lang w:eastAsia="en-AU"/>
                <w14:ligatures w14:val="none"/>
              </w:rPr>
              <w:t xml:space="preserve"> </w:t>
            </w:r>
          </w:p>
          <w:p w14:paraId="6898C25C" w14:textId="3E51E378" w:rsidR="006B54BD" w:rsidRPr="00FD29E8" w:rsidRDefault="006B54BD" w:rsidP="0018502E">
            <w:pPr>
              <w:spacing w:after="0" w:line="240" w:lineRule="auto"/>
              <w:jc w:val="center"/>
              <w:rPr>
                <w:rFonts w:ascii="Aptos Narrow" w:eastAsia="Times New Roman" w:hAnsi="Aptos Narrow" w:cs="Times New Roman"/>
                <w:b/>
                <w:bCs/>
                <w:color w:val="000000"/>
                <w:kern w:val="0"/>
                <w:sz w:val="18"/>
                <w:szCs w:val="18"/>
                <w:lang w:eastAsia="en-AU"/>
                <w14:ligatures w14:val="none"/>
              </w:rPr>
            </w:pPr>
            <w:proofErr w:type="spellStart"/>
            <w:r w:rsidRPr="00FD29E8">
              <w:rPr>
                <w:rFonts w:ascii="Aptos Narrow" w:eastAsia="Times New Roman" w:hAnsi="Aptos Narrow" w:cs="Times New Roman"/>
                <w:b/>
                <w:bCs/>
                <w:color w:val="000000"/>
                <w:kern w:val="0"/>
                <w:sz w:val="18"/>
                <w:szCs w:val="18"/>
                <w:lang w:eastAsia="en-AU"/>
                <w14:ligatures w14:val="none"/>
              </w:rPr>
              <w:t>Reveg</w:t>
            </w:r>
            <w:proofErr w:type="spellEnd"/>
            <w:r w:rsidRPr="00FD29E8">
              <w:rPr>
                <w:rFonts w:ascii="Aptos Narrow" w:eastAsia="Times New Roman" w:hAnsi="Aptos Narrow" w:cs="Times New Roman"/>
                <w:b/>
                <w:bCs/>
                <w:color w:val="000000"/>
                <w:kern w:val="0"/>
                <w:sz w:val="18"/>
                <w:szCs w:val="18"/>
                <w:lang w:eastAsia="en-AU"/>
                <w14:ligatures w14:val="none"/>
              </w:rPr>
              <w:t xml:space="preserve"> and Regen</w:t>
            </w:r>
          </w:p>
          <w:p w14:paraId="58F20A58" w14:textId="6CBCD8EC" w:rsidR="00A80E4A" w:rsidRPr="00FD29E8" w:rsidRDefault="006B54BD" w:rsidP="00B72F66">
            <w:pPr>
              <w:spacing w:after="0" w:line="240" w:lineRule="auto"/>
              <w:jc w:val="center"/>
              <w:rPr>
                <w:rFonts w:ascii="Aptos Narrow" w:eastAsia="Times New Roman" w:hAnsi="Aptos Narrow" w:cs="Times New Roman"/>
                <w:b/>
                <w:color w:val="000000"/>
                <w:kern w:val="0"/>
                <w:sz w:val="18"/>
                <w:szCs w:val="18"/>
                <w:lang w:eastAsia="en-AU"/>
                <w14:ligatures w14:val="none"/>
              </w:rPr>
            </w:pPr>
            <w:r w:rsidRPr="00FD29E8">
              <w:rPr>
                <w:rFonts w:ascii="Aptos Narrow" w:eastAsia="Times New Roman" w:hAnsi="Aptos Narrow" w:cs="Times New Roman"/>
                <w:b/>
                <w:bCs/>
                <w:color w:val="000000"/>
                <w:kern w:val="0"/>
                <w:sz w:val="18"/>
                <w:szCs w:val="18"/>
                <w:vertAlign w:val="superscript"/>
                <w:lang w:eastAsia="en-AU"/>
                <w14:ligatures w14:val="none"/>
              </w:rPr>
              <w:t>(a)</w:t>
            </w:r>
          </w:p>
        </w:tc>
        <w:tc>
          <w:tcPr>
            <w:tcW w:w="1633" w:type="dxa"/>
            <w:tcBorders>
              <w:top w:val="single" w:sz="4" w:space="0" w:color="auto"/>
              <w:left w:val="single" w:sz="4" w:space="0" w:color="auto"/>
              <w:bottom w:val="single" w:sz="4" w:space="0" w:color="auto"/>
              <w:right w:val="single" w:sz="4" w:space="0" w:color="auto"/>
            </w:tcBorders>
            <w:shd w:val="clear" w:color="auto" w:fill="E8E8E8" w:themeFill="background2"/>
          </w:tcPr>
          <w:p w14:paraId="49BF7F13" w14:textId="77777777" w:rsidR="006B54BD" w:rsidRDefault="006B54BD" w:rsidP="0018502E">
            <w:pPr>
              <w:spacing w:after="0" w:line="240" w:lineRule="auto"/>
              <w:jc w:val="center"/>
              <w:rPr>
                <w:rFonts w:ascii="Aptos Narrow" w:eastAsia="Times New Roman" w:hAnsi="Aptos Narrow" w:cs="Times New Roman"/>
                <w:b/>
                <w:color w:val="000000"/>
                <w:kern w:val="0"/>
                <w:sz w:val="18"/>
                <w:szCs w:val="18"/>
                <w:lang w:eastAsia="en-AU"/>
                <w14:ligatures w14:val="none"/>
              </w:rPr>
            </w:pPr>
            <w:r w:rsidRPr="00FD29E8" w:rsidDel="00BA1E96">
              <w:rPr>
                <w:rFonts w:ascii="Aptos Narrow" w:eastAsia="Times New Roman" w:hAnsi="Aptos Narrow" w:cs="Times New Roman"/>
                <w:b/>
                <w:color w:val="000000"/>
                <w:kern w:val="0"/>
                <w:sz w:val="18"/>
                <w:szCs w:val="18"/>
                <w:lang w:eastAsia="en-AU"/>
                <w14:ligatures w14:val="none"/>
              </w:rPr>
              <w:t>Emissions</w:t>
            </w:r>
            <w:r w:rsidRPr="00FD29E8">
              <w:rPr>
                <w:rFonts w:ascii="Aptos Narrow" w:eastAsia="Times New Roman" w:hAnsi="Aptos Narrow" w:cs="Times New Roman"/>
                <w:b/>
                <w:color w:val="000000"/>
                <w:kern w:val="0"/>
                <w:sz w:val="18"/>
                <w:szCs w:val="18"/>
                <w:lang w:eastAsia="en-AU"/>
                <w14:ligatures w14:val="none"/>
              </w:rPr>
              <w:t xml:space="preserve"> </w:t>
            </w:r>
          </w:p>
          <w:p w14:paraId="4F29F764" w14:textId="77777777" w:rsidR="006B54BD" w:rsidRDefault="006B54BD" w:rsidP="0018502E">
            <w:pPr>
              <w:spacing w:after="0" w:line="240" w:lineRule="auto"/>
              <w:jc w:val="center"/>
              <w:rPr>
                <w:rFonts w:ascii="Aptos Narrow" w:eastAsia="Times New Roman" w:hAnsi="Aptos Narrow" w:cs="Times New Roman"/>
                <w:b/>
                <w:color w:val="000000"/>
                <w:kern w:val="0"/>
                <w:sz w:val="18"/>
                <w:szCs w:val="18"/>
                <w:lang w:eastAsia="en-AU"/>
                <w14:ligatures w14:val="none"/>
              </w:rPr>
            </w:pPr>
          </w:p>
          <w:p w14:paraId="1C3519A1" w14:textId="20ED46BD" w:rsidR="00A80E4A" w:rsidRPr="00FD29E8" w:rsidRDefault="006B54BD" w:rsidP="00DD3C1A">
            <w:pPr>
              <w:spacing w:after="0" w:line="240" w:lineRule="auto"/>
              <w:jc w:val="center"/>
              <w:rPr>
                <w:rFonts w:ascii="Aptos Narrow" w:eastAsia="Times New Roman" w:hAnsi="Aptos Narrow" w:cs="Times New Roman"/>
                <w:b/>
                <w:color w:val="000000"/>
                <w:kern w:val="0"/>
                <w:sz w:val="18"/>
                <w:szCs w:val="18"/>
                <w:lang w:eastAsia="en-AU"/>
                <w14:ligatures w14:val="none"/>
              </w:rPr>
            </w:pPr>
            <w:r>
              <w:rPr>
                <w:rFonts w:ascii="Aptos Narrow" w:eastAsia="Times New Roman" w:hAnsi="Aptos Narrow" w:cs="Times New Roman"/>
                <w:b/>
                <w:color w:val="000000"/>
                <w:kern w:val="0"/>
                <w:sz w:val="18"/>
                <w:szCs w:val="18"/>
                <w:lang w:eastAsia="en-AU"/>
                <w14:ligatures w14:val="none"/>
              </w:rPr>
              <w:t>(</w:t>
            </w:r>
            <w:r w:rsidRPr="00FD29E8">
              <w:rPr>
                <w:rFonts w:ascii="Aptos Narrow" w:eastAsia="Times New Roman" w:hAnsi="Aptos Narrow" w:cs="Times New Roman"/>
                <w:b/>
                <w:color w:val="000000"/>
                <w:kern w:val="0"/>
                <w:sz w:val="18"/>
                <w:szCs w:val="18"/>
                <w:lang w:eastAsia="en-AU"/>
                <w14:ligatures w14:val="none"/>
              </w:rPr>
              <w:t>excl. A &amp; B</w:t>
            </w:r>
            <w:r>
              <w:rPr>
                <w:rFonts w:ascii="Aptos Narrow" w:eastAsia="Times New Roman" w:hAnsi="Aptos Narrow" w:cs="Times New Roman"/>
                <w:b/>
                <w:color w:val="000000"/>
                <w:kern w:val="0"/>
                <w:sz w:val="18"/>
                <w:szCs w:val="18"/>
                <w:lang w:eastAsia="en-AU"/>
                <w14:ligatures w14:val="none"/>
              </w:rPr>
              <w:t>)</w:t>
            </w:r>
          </w:p>
          <w:p w14:paraId="7D282956" w14:textId="76EC370D" w:rsidR="00A80E4A" w:rsidRPr="00FD29E8" w:rsidDel="00BA1E96" w:rsidRDefault="00A80E4A" w:rsidP="00DD3C1A">
            <w:pPr>
              <w:spacing w:after="0" w:line="240" w:lineRule="auto"/>
              <w:jc w:val="center"/>
              <w:rPr>
                <w:rFonts w:ascii="Aptos Narrow" w:eastAsia="Times New Roman" w:hAnsi="Aptos Narrow" w:cs="Times New Roman"/>
                <w:b/>
                <w:color w:val="000000"/>
                <w:kern w:val="0"/>
                <w:sz w:val="18"/>
                <w:szCs w:val="18"/>
                <w:shd w:val="clear" w:color="auto" w:fill="E8E8E8" w:themeFill="background2"/>
                <w:lang w:eastAsia="en-AU"/>
                <w14:ligatures w14:val="none"/>
              </w:rPr>
            </w:pPr>
          </w:p>
        </w:tc>
        <w:tc>
          <w:tcPr>
            <w:tcW w:w="1202" w:type="dxa"/>
            <w:shd w:val="clear" w:color="auto" w:fill="E8E8E8" w:themeFill="background2"/>
          </w:tcPr>
          <w:p w14:paraId="4657E984" w14:textId="1DBBAABF" w:rsidR="006B54BD" w:rsidRDefault="006B54BD" w:rsidP="0018502E">
            <w:pPr>
              <w:spacing w:after="0" w:line="240" w:lineRule="auto"/>
              <w:jc w:val="center"/>
              <w:rPr>
                <w:rFonts w:ascii="Aptos Narrow" w:eastAsia="Times New Roman" w:hAnsi="Aptos Narrow" w:cs="Times New Roman"/>
                <w:b/>
                <w:bCs/>
                <w:color w:val="000000"/>
                <w:kern w:val="0"/>
                <w:sz w:val="18"/>
                <w:szCs w:val="18"/>
                <w:lang w:eastAsia="en-AU"/>
                <w14:ligatures w14:val="none"/>
              </w:rPr>
            </w:pPr>
            <w:r w:rsidRPr="00FD29E8">
              <w:rPr>
                <w:rFonts w:ascii="Aptos Narrow" w:eastAsia="Times New Roman" w:hAnsi="Aptos Narrow" w:cs="Times New Roman"/>
                <w:b/>
                <w:color w:val="000000"/>
                <w:kern w:val="0"/>
                <w:sz w:val="18"/>
                <w:szCs w:val="18"/>
                <w:lang w:eastAsia="en-AU"/>
                <w14:ligatures w14:val="none"/>
              </w:rPr>
              <w:t>Total e</w:t>
            </w:r>
            <w:r w:rsidRPr="00FD29E8" w:rsidDel="00BA1E96">
              <w:rPr>
                <w:rFonts w:ascii="Aptos Narrow" w:eastAsia="Times New Roman" w:hAnsi="Aptos Narrow" w:cs="Times New Roman"/>
                <w:b/>
                <w:color w:val="000000"/>
                <w:kern w:val="0"/>
                <w:sz w:val="18"/>
                <w:szCs w:val="18"/>
                <w:lang w:eastAsia="en-AU"/>
                <w14:ligatures w14:val="none"/>
              </w:rPr>
              <w:t>missions</w:t>
            </w:r>
            <w:r w:rsidR="00132650">
              <w:rPr>
                <w:rFonts w:ascii="Aptos Narrow" w:eastAsia="Times New Roman" w:hAnsi="Aptos Narrow" w:cs="Times New Roman"/>
                <w:b/>
                <w:color w:val="000000"/>
                <w:kern w:val="0"/>
                <w:sz w:val="18"/>
                <w:szCs w:val="18"/>
                <w:lang w:eastAsia="en-AU"/>
                <w14:ligatures w14:val="none"/>
              </w:rPr>
              <w:t xml:space="preserve"> and</w:t>
            </w:r>
            <w:r w:rsidRPr="00FD29E8">
              <w:rPr>
                <w:rFonts w:ascii="Aptos Narrow" w:eastAsia="Times New Roman" w:hAnsi="Aptos Narrow" w:cs="Times New Roman"/>
                <w:b/>
                <w:color w:val="000000"/>
                <w:kern w:val="0"/>
                <w:sz w:val="18"/>
                <w:szCs w:val="18"/>
                <w:lang w:eastAsia="en-AU"/>
                <w14:ligatures w14:val="none"/>
              </w:rPr>
              <w:t xml:space="preserve"> r</w:t>
            </w:r>
            <w:r w:rsidRPr="00FD29E8">
              <w:rPr>
                <w:rFonts w:ascii="Aptos Narrow" w:eastAsia="Times New Roman" w:hAnsi="Aptos Narrow" w:cs="Times New Roman"/>
                <w:b/>
                <w:bCs/>
                <w:color w:val="000000"/>
                <w:kern w:val="0"/>
                <w:sz w:val="18"/>
                <w:szCs w:val="18"/>
                <w:lang w:eastAsia="en-AU"/>
                <w14:ligatures w14:val="none"/>
              </w:rPr>
              <w:t>emovals</w:t>
            </w:r>
          </w:p>
          <w:p w14:paraId="30646E6C" w14:textId="322EE45B" w:rsidR="00A80E4A" w:rsidRPr="00FD29E8" w:rsidRDefault="006B54BD" w:rsidP="00A80E4A">
            <w:pPr>
              <w:spacing w:after="0" w:line="240" w:lineRule="auto"/>
              <w:jc w:val="center"/>
              <w:rPr>
                <w:rFonts w:ascii="Aptos Narrow" w:eastAsia="Times New Roman" w:hAnsi="Aptos Narrow" w:cs="Times New Roman"/>
                <w:b/>
                <w:color w:val="000000"/>
                <w:kern w:val="0"/>
                <w:sz w:val="18"/>
                <w:szCs w:val="18"/>
                <w:lang w:eastAsia="en-AU"/>
                <w14:ligatures w14:val="none"/>
              </w:rPr>
            </w:pPr>
            <w:r w:rsidRPr="00FD29E8">
              <w:rPr>
                <w:rFonts w:ascii="Aptos Narrow" w:eastAsia="Times New Roman" w:hAnsi="Aptos Narrow" w:cs="Times New Roman"/>
                <w:b/>
                <w:bCs/>
                <w:color w:val="000000"/>
                <w:kern w:val="0"/>
                <w:sz w:val="18"/>
                <w:szCs w:val="18"/>
                <w:vertAlign w:val="superscript"/>
                <w:lang w:eastAsia="en-AU"/>
                <w14:ligatures w14:val="none"/>
              </w:rPr>
              <w:t>(a</w:t>
            </w:r>
            <w:r>
              <w:rPr>
                <w:rFonts w:ascii="Aptos Narrow" w:eastAsia="Times New Roman" w:hAnsi="Aptos Narrow" w:cs="Times New Roman"/>
                <w:b/>
                <w:bCs/>
                <w:color w:val="000000"/>
                <w:kern w:val="0"/>
                <w:sz w:val="18"/>
                <w:szCs w:val="18"/>
                <w:vertAlign w:val="superscript"/>
                <w:lang w:eastAsia="en-AU"/>
                <w14:ligatures w14:val="none"/>
              </w:rPr>
              <w:t>)</w:t>
            </w:r>
          </w:p>
        </w:tc>
        <w:tc>
          <w:tcPr>
            <w:tcW w:w="1379" w:type="dxa"/>
            <w:shd w:val="clear" w:color="auto" w:fill="E8E8E8" w:themeFill="background2"/>
          </w:tcPr>
          <w:p w14:paraId="00BB2541" w14:textId="6501BC1C" w:rsidR="006B54BD" w:rsidRDefault="006B54BD" w:rsidP="00293AB3">
            <w:pPr>
              <w:spacing w:after="0" w:line="240" w:lineRule="auto"/>
              <w:jc w:val="center"/>
              <w:rPr>
                <w:rFonts w:ascii="Aptos Narrow" w:eastAsia="Times New Roman" w:hAnsi="Aptos Narrow" w:cs="Times New Roman"/>
                <w:b/>
                <w:bCs/>
                <w:color w:val="000000"/>
                <w:kern w:val="0"/>
                <w:sz w:val="18"/>
                <w:szCs w:val="18"/>
                <w:lang w:eastAsia="en-AU"/>
                <w14:ligatures w14:val="none"/>
              </w:rPr>
            </w:pPr>
            <w:r>
              <w:rPr>
                <w:rFonts w:ascii="Aptos Narrow" w:eastAsia="Times New Roman" w:hAnsi="Aptos Narrow" w:cs="Times New Roman"/>
                <w:b/>
                <w:bCs/>
                <w:color w:val="000000"/>
                <w:kern w:val="0"/>
                <w:sz w:val="18"/>
                <w:szCs w:val="18"/>
                <w:lang w:eastAsia="en-AU"/>
                <w14:ligatures w14:val="none"/>
              </w:rPr>
              <w:t xml:space="preserve">Total </w:t>
            </w:r>
            <w:r w:rsidRPr="00FD29E8">
              <w:rPr>
                <w:rFonts w:ascii="Aptos Narrow" w:eastAsia="Times New Roman" w:hAnsi="Aptos Narrow" w:cs="Times New Roman"/>
                <w:b/>
                <w:bCs/>
                <w:color w:val="000000"/>
                <w:kern w:val="0"/>
                <w:sz w:val="18"/>
                <w:szCs w:val="18"/>
                <w:lang w:eastAsia="en-AU"/>
                <w14:ligatures w14:val="none"/>
              </w:rPr>
              <w:t>Emission</w:t>
            </w:r>
            <w:r w:rsidR="003251B3">
              <w:rPr>
                <w:rFonts w:ascii="Aptos Narrow" w:eastAsia="Times New Roman" w:hAnsi="Aptos Narrow" w:cs="Times New Roman"/>
                <w:b/>
                <w:bCs/>
                <w:color w:val="000000"/>
                <w:kern w:val="0"/>
                <w:sz w:val="18"/>
                <w:szCs w:val="18"/>
                <w:lang w:eastAsia="en-AU"/>
                <w14:ligatures w14:val="none"/>
              </w:rPr>
              <w:t xml:space="preserve"> </w:t>
            </w:r>
            <w:r w:rsidRPr="00FD29E8">
              <w:rPr>
                <w:rFonts w:ascii="Aptos Narrow" w:eastAsia="Times New Roman" w:hAnsi="Aptos Narrow" w:cs="Times New Roman"/>
                <w:b/>
                <w:bCs/>
                <w:color w:val="000000"/>
                <w:kern w:val="0"/>
                <w:sz w:val="18"/>
                <w:szCs w:val="18"/>
                <w:lang w:eastAsia="en-AU"/>
                <w14:ligatures w14:val="none"/>
              </w:rPr>
              <w:t>Intensity</w:t>
            </w:r>
          </w:p>
          <w:p w14:paraId="6E8EFB75" w14:textId="02650C13" w:rsidR="00C90EA7" w:rsidRDefault="0013308B" w:rsidP="00293AB3">
            <w:pPr>
              <w:spacing w:after="0" w:line="240" w:lineRule="auto"/>
              <w:jc w:val="center"/>
              <w:rPr>
                <w:rFonts w:ascii="Aptos Narrow" w:eastAsia="Times New Roman" w:hAnsi="Aptos Narrow" w:cs="Times New Roman"/>
                <w:b/>
                <w:bCs/>
                <w:color w:val="000000"/>
                <w:kern w:val="0"/>
                <w:sz w:val="18"/>
                <w:szCs w:val="18"/>
                <w:lang w:eastAsia="en-AU"/>
                <w14:ligatures w14:val="none"/>
              </w:rPr>
            </w:pPr>
            <w:r>
              <w:rPr>
                <w:rFonts w:ascii="Aptos Narrow" w:eastAsia="Times New Roman" w:hAnsi="Aptos Narrow" w:cs="Times New Roman"/>
                <w:b/>
                <w:bCs/>
                <w:color w:val="000000"/>
                <w:kern w:val="0"/>
                <w:sz w:val="18"/>
                <w:szCs w:val="18"/>
                <w:lang w:eastAsia="en-AU"/>
                <w14:ligatures w14:val="none"/>
              </w:rPr>
              <w:t>incl. A&amp;B</w:t>
            </w:r>
          </w:p>
          <w:p w14:paraId="06FF5087" w14:textId="77777777" w:rsidR="0013308B" w:rsidRPr="00FD29E8" w:rsidRDefault="0013308B" w:rsidP="00293AB3">
            <w:pPr>
              <w:spacing w:after="0" w:line="240" w:lineRule="auto"/>
              <w:jc w:val="center"/>
              <w:rPr>
                <w:rFonts w:ascii="Aptos Narrow" w:eastAsia="Times New Roman" w:hAnsi="Aptos Narrow" w:cs="Times New Roman"/>
                <w:b/>
                <w:bCs/>
                <w:color w:val="000000"/>
                <w:kern w:val="0"/>
                <w:sz w:val="18"/>
                <w:szCs w:val="18"/>
                <w:lang w:eastAsia="en-AU"/>
                <w14:ligatures w14:val="none"/>
              </w:rPr>
            </w:pPr>
          </w:p>
          <w:p w14:paraId="457B11DD" w14:textId="77777777" w:rsidR="006B54BD" w:rsidRDefault="006B54BD" w:rsidP="00293AB3">
            <w:pPr>
              <w:spacing w:after="0" w:line="240" w:lineRule="auto"/>
              <w:jc w:val="center"/>
              <w:rPr>
                <w:rFonts w:ascii="Aptos Narrow" w:eastAsia="Times New Roman" w:hAnsi="Aptos Narrow" w:cs="Times New Roman"/>
                <w:b/>
                <w:bCs/>
                <w:color w:val="000000"/>
                <w:kern w:val="0"/>
                <w:sz w:val="18"/>
                <w:szCs w:val="18"/>
                <w:lang w:eastAsia="en-AU"/>
                <w14:ligatures w14:val="none"/>
              </w:rPr>
            </w:pPr>
          </w:p>
        </w:tc>
        <w:tc>
          <w:tcPr>
            <w:tcW w:w="1161"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29D48EDC" w14:textId="2C3B9FF0" w:rsidR="006B54BD" w:rsidRPr="00FD29E8" w:rsidRDefault="006B54BD" w:rsidP="008B3558">
            <w:pPr>
              <w:spacing w:after="0" w:line="240" w:lineRule="auto"/>
              <w:jc w:val="center"/>
              <w:rPr>
                <w:rFonts w:ascii="Aptos Narrow" w:eastAsia="Times New Roman" w:hAnsi="Aptos Narrow" w:cs="Times New Roman"/>
                <w:b/>
                <w:bCs/>
                <w:color w:val="000000"/>
                <w:kern w:val="0"/>
                <w:sz w:val="18"/>
                <w:szCs w:val="18"/>
                <w:lang w:eastAsia="en-AU"/>
                <w14:ligatures w14:val="none"/>
              </w:rPr>
            </w:pPr>
            <w:r w:rsidRPr="00FD29E8">
              <w:rPr>
                <w:rFonts w:ascii="Aptos Narrow" w:eastAsia="Times New Roman" w:hAnsi="Aptos Narrow" w:cs="Times New Roman"/>
                <w:b/>
                <w:bCs/>
                <w:color w:val="000000"/>
                <w:kern w:val="0"/>
                <w:sz w:val="18"/>
                <w:szCs w:val="18"/>
                <w:lang w:eastAsia="en-AU"/>
                <w14:ligatures w14:val="none"/>
              </w:rPr>
              <w:t>Emission</w:t>
            </w:r>
            <w:r w:rsidR="003251B3">
              <w:rPr>
                <w:rFonts w:ascii="Aptos Narrow" w:eastAsia="Times New Roman" w:hAnsi="Aptos Narrow" w:cs="Times New Roman"/>
                <w:b/>
                <w:bCs/>
                <w:color w:val="000000"/>
                <w:kern w:val="0"/>
                <w:sz w:val="18"/>
                <w:szCs w:val="18"/>
                <w:lang w:eastAsia="en-AU"/>
                <w14:ligatures w14:val="none"/>
              </w:rPr>
              <w:t xml:space="preserve"> </w:t>
            </w:r>
            <w:r w:rsidRPr="00FD29E8">
              <w:rPr>
                <w:rFonts w:ascii="Aptos Narrow" w:eastAsia="Times New Roman" w:hAnsi="Aptos Narrow" w:cs="Times New Roman"/>
                <w:b/>
                <w:bCs/>
                <w:color w:val="000000"/>
                <w:kern w:val="0"/>
                <w:sz w:val="18"/>
                <w:szCs w:val="18"/>
                <w:lang w:eastAsia="en-AU"/>
                <w14:ligatures w14:val="none"/>
              </w:rPr>
              <w:t>Intensity</w:t>
            </w:r>
          </w:p>
          <w:p w14:paraId="3F1B6B04" w14:textId="4A0A2728" w:rsidR="003E0D6F" w:rsidRPr="00FD29E8" w:rsidRDefault="00BB775E" w:rsidP="008B3558">
            <w:pPr>
              <w:spacing w:after="0" w:line="240" w:lineRule="auto"/>
              <w:jc w:val="center"/>
              <w:rPr>
                <w:rFonts w:ascii="Aptos Narrow" w:eastAsia="Times New Roman" w:hAnsi="Aptos Narrow" w:cs="Times New Roman"/>
                <w:b/>
                <w:bCs/>
                <w:color w:val="000000"/>
                <w:kern w:val="0"/>
                <w:sz w:val="18"/>
                <w:szCs w:val="18"/>
                <w:lang w:eastAsia="en-AU"/>
                <w14:ligatures w14:val="none"/>
              </w:rPr>
            </w:pPr>
            <w:r>
              <w:rPr>
                <w:rFonts w:ascii="Aptos Narrow" w:eastAsia="Times New Roman" w:hAnsi="Aptos Narrow" w:cs="Times New Roman"/>
                <w:b/>
                <w:color w:val="000000"/>
                <w:kern w:val="0"/>
                <w:sz w:val="18"/>
                <w:szCs w:val="18"/>
                <w:lang w:eastAsia="en-AU"/>
                <w14:ligatures w14:val="none"/>
              </w:rPr>
              <w:t>excl</w:t>
            </w:r>
            <w:r w:rsidRPr="00FD29E8">
              <w:rPr>
                <w:rFonts w:ascii="Aptos Narrow" w:eastAsia="Times New Roman" w:hAnsi="Aptos Narrow" w:cs="Times New Roman"/>
                <w:b/>
                <w:color w:val="000000"/>
                <w:kern w:val="0"/>
                <w:sz w:val="18"/>
                <w:szCs w:val="18"/>
                <w:lang w:eastAsia="en-AU"/>
                <w14:ligatures w14:val="none"/>
              </w:rPr>
              <w:t xml:space="preserve">. </w:t>
            </w:r>
            <w:r w:rsidR="003E0D6F">
              <w:rPr>
                <w:rFonts w:ascii="Aptos Narrow" w:eastAsia="Times New Roman" w:hAnsi="Aptos Narrow" w:cs="Times New Roman"/>
                <w:b/>
                <w:color w:val="000000"/>
                <w:kern w:val="0"/>
                <w:sz w:val="18"/>
                <w:szCs w:val="18"/>
                <w:lang w:eastAsia="en-AU"/>
                <w14:ligatures w14:val="none"/>
              </w:rPr>
              <w:t>B)</w:t>
            </w:r>
          </w:p>
          <w:p w14:paraId="43780738" w14:textId="4492126C" w:rsidR="00A80E4A" w:rsidRPr="00FD29E8" w:rsidRDefault="00A80E4A" w:rsidP="00371DEF">
            <w:pPr>
              <w:spacing w:after="0" w:line="240" w:lineRule="auto"/>
              <w:jc w:val="center"/>
              <w:rPr>
                <w:rFonts w:ascii="Aptos Narrow" w:eastAsia="Times New Roman" w:hAnsi="Aptos Narrow" w:cs="Times New Roman"/>
                <w:b/>
                <w:color w:val="000000"/>
                <w:kern w:val="0"/>
                <w:sz w:val="18"/>
                <w:szCs w:val="18"/>
                <w:lang w:eastAsia="en-AU"/>
                <w14:ligatures w14:val="none"/>
              </w:rPr>
            </w:pPr>
          </w:p>
        </w:tc>
        <w:tc>
          <w:tcPr>
            <w:tcW w:w="1288" w:type="dxa"/>
            <w:tcBorders>
              <w:top w:val="single" w:sz="4" w:space="0" w:color="auto"/>
              <w:left w:val="single" w:sz="4" w:space="0" w:color="auto"/>
              <w:bottom w:val="single" w:sz="4" w:space="0" w:color="auto"/>
              <w:right w:val="single" w:sz="4" w:space="0" w:color="auto"/>
            </w:tcBorders>
            <w:shd w:val="clear" w:color="auto" w:fill="E8E8E8" w:themeFill="background2"/>
          </w:tcPr>
          <w:p w14:paraId="2C254F42" w14:textId="7C61DEF5" w:rsidR="00A80E4A" w:rsidRPr="00FD29E8" w:rsidRDefault="00A80E4A" w:rsidP="00C57AF6">
            <w:pPr>
              <w:spacing w:after="0" w:line="240" w:lineRule="auto"/>
              <w:jc w:val="center"/>
              <w:rPr>
                <w:rFonts w:ascii="Aptos Narrow" w:eastAsia="Times New Roman" w:hAnsi="Aptos Narrow" w:cs="Times New Roman"/>
                <w:b/>
                <w:color w:val="000000"/>
                <w:kern w:val="0"/>
                <w:sz w:val="18"/>
                <w:szCs w:val="18"/>
                <w:lang w:eastAsia="en-AU"/>
                <w14:ligatures w14:val="none"/>
              </w:rPr>
            </w:pPr>
            <w:r w:rsidRPr="00FD29E8">
              <w:rPr>
                <w:rFonts w:ascii="Aptos Narrow" w:eastAsia="Times New Roman" w:hAnsi="Aptos Narrow" w:cs="Times New Roman"/>
                <w:b/>
                <w:color w:val="000000"/>
                <w:kern w:val="0"/>
                <w:sz w:val="18"/>
                <w:szCs w:val="18"/>
                <w:lang w:eastAsia="en-AU"/>
                <w14:ligatures w14:val="none"/>
              </w:rPr>
              <w:t>Emission</w:t>
            </w:r>
            <w:r w:rsidR="003251B3">
              <w:rPr>
                <w:rFonts w:ascii="Aptos Narrow" w:eastAsia="Times New Roman" w:hAnsi="Aptos Narrow" w:cs="Times New Roman"/>
                <w:b/>
                <w:bCs/>
                <w:color w:val="000000"/>
                <w:kern w:val="0"/>
                <w:sz w:val="18"/>
                <w:szCs w:val="18"/>
                <w:lang w:eastAsia="en-AU"/>
                <w14:ligatures w14:val="none"/>
              </w:rPr>
              <w:t xml:space="preserve"> </w:t>
            </w:r>
            <w:r w:rsidRPr="00FD29E8">
              <w:rPr>
                <w:rFonts w:ascii="Aptos Narrow" w:eastAsia="Times New Roman" w:hAnsi="Aptos Narrow" w:cs="Times New Roman"/>
                <w:b/>
                <w:color w:val="000000"/>
                <w:kern w:val="0"/>
                <w:sz w:val="18"/>
                <w:szCs w:val="18"/>
                <w:lang w:eastAsia="en-AU"/>
                <w14:ligatures w14:val="none"/>
              </w:rPr>
              <w:t>Intensity</w:t>
            </w:r>
          </w:p>
          <w:p w14:paraId="1D906861" w14:textId="627B7416" w:rsidR="00A80E4A" w:rsidRPr="00FD29E8" w:rsidRDefault="00BB775E" w:rsidP="00C57AF6">
            <w:pPr>
              <w:spacing w:after="0" w:line="240" w:lineRule="auto"/>
              <w:jc w:val="center"/>
              <w:rPr>
                <w:rFonts w:ascii="Aptos Narrow" w:eastAsia="Times New Roman" w:hAnsi="Aptos Narrow" w:cs="Times New Roman"/>
                <w:b/>
                <w:color w:val="000000"/>
                <w:kern w:val="0"/>
                <w:sz w:val="18"/>
                <w:szCs w:val="18"/>
                <w:lang w:eastAsia="en-AU"/>
                <w14:ligatures w14:val="none"/>
              </w:rPr>
            </w:pPr>
            <w:r w:rsidRPr="00FD29E8">
              <w:rPr>
                <w:rFonts w:ascii="Aptos Narrow" w:eastAsia="Times New Roman" w:hAnsi="Aptos Narrow" w:cs="Times New Roman"/>
                <w:b/>
                <w:color w:val="000000"/>
                <w:kern w:val="0"/>
                <w:sz w:val="18"/>
                <w:szCs w:val="18"/>
                <w:lang w:eastAsia="en-AU"/>
                <w14:ligatures w14:val="none"/>
              </w:rPr>
              <w:t xml:space="preserve">excl. </w:t>
            </w:r>
            <w:r w:rsidR="003E0D6F">
              <w:rPr>
                <w:rFonts w:ascii="Aptos Narrow" w:eastAsia="Times New Roman" w:hAnsi="Aptos Narrow" w:cs="Times New Roman"/>
                <w:b/>
                <w:color w:val="000000"/>
                <w:kern w:val="0"/>
                <w:sz w:val="18"/>
                <w:szCs w:val="18"/>
                <w:lang w:eastAsia="en-AU"/>
                <w14:ligatures w14:val="none"/>
              </w:rPr>
              <w:t xml:space="preserve">A&amp;B </w:t>
            </w:r>
          </w:p>
        </w:tc>
      </w:tr>
      <w:tr w:rsidR="002D1818" w:rsidRPr="00FD29E8" w14:paraId="54020CD8" w14:textId="77777777" w:rsidTr="00AF6D6D">
        <w:trPr>
          <w:trHeight w:val="199"/>
          <w:tblHeader/>
        </w:trPr>
        <w:tc>
          <w:tcPr>
            <w:tcW w:w="905" w:type="dxa"/>
            <w:vMerge/>
            <w:tcBorders>
              <w:left w:val="single" w:sz="4" w:space="0" w:color="auto"/>
              <w:right w:val="single" w:sz="4" w:space="0" w:color="auto"/>
            </w:tcBorders>
            <w:shd w:val="clear" w:color="auto" w:fill="E8E8E8" w:themeFill="background2"/>
          </w:tcPr>
          <w:p w14:paraId="090ECEC9" w14:textId="77777777" w:rsidR="006B54BD" w:rsidRPr="00FD29E8" w:rsidRDefault="006B54BD" w:rsidP="0018502E">
            <w:pPr>
              <w:spacing w:after="0" w:line="240" w:lineRule="auto"/>
              <w:jc w:val="center"/>
              <w:rPr>
                <w:rFonts w:ascii="Aptos Narrow" w:eastAsia="Times New Roman" w:hAnsi="Aptos Narrow" w:cs="Times New Roman"/>
                <w:b/>
                <w:color w:val="000000"/>
                <w:kern w:val="0"/>
                <w:sz w:val="18"/>
                <w:szCs w:val="18"/>
                <w:lang w:eastAsia="en-AU"/>
                <w14:ligatures w14:val="none"/>
              </w:rPr>
            </w:pPr>
          </w:p>
        </w:tc>
        <w:tc>
          <w:tcPr>
            <w:tcW w:w="909" w:type="dxa"/>
            <w:vMerge/>
            <w:tcBorders>
              <w:left w:val="single" w:sz="4" w:space="0" w:color="auto"/>
              <w:right w:val="single" w:sz="4" w:space="0" w:color="auto"/>
            </w:tcBorders>
            <w:shd w:val="clear" w:color="auto" w:fill="E8E8E8" w:themeFill="background2"/>
          </w:tcPr>
          <w:p w14:paraId="181FA92C" w14:textId="77777777" w:rsidR="006B54BD" w:rsidRPr="00FD29E8" w:rsidRDefault="006B54BD" w:rsidP="0018502E">
            <w:pPr>
              <w:spacing w:after="0" w:line="240" w:lineRule="auto"/>
              <w:jc w:val="center"/>
              <w:rPr>
                <w:rFonts w:ascii="Aptos Narrow" w:eastAsia="Times New Roman" w:hAnsi="Aptos Narrow" w:cs="Times New Roman"/>
                <w:b/>
                <w:bCs/>
                <w:color w:val="000000"/>
                <w:kern w:val="0"/>
                <w:sz w:val="18"/>
                <w:szCs w:val="18"/>
                <w:lang w:eastAsia="en-AU"/>
                <w14:ligatures w14:val="none"/>
              </w:rPr>
            </w:pPr>
          </w:p>
        </w:tc>
        <w:tc>
          <w:tcPr>
            <w:tcW w:w="909" w:type="dxa"/>
            <w:vMerge/>
            <w:tcBorders>
              <w:left w:val="single" w:sz="4" w:space="0" w:color="auto"/>
              <w:right w:val="single" w:sz="4" w:space="0" w:color="auto"/>
            </w:tcBorders>
            <w:shd w:val="clear" w:color="auto" w:fill="E8E8E8" w:themeFill="background2"/>
          </w:tcPr>
          <w:p w14:paraId="11A9C0A6" w14:textId="5A4BB566" w:rsidR="006B54BD" w:rsidRPr="00FD29E8" w:rsidRDefault="006B54BD" w:rsidP="0018502E">
            <w:pPr>
              <w:spacing w:after="0" w:line="240" w:lineRule="auto"/>
              <w:jc w:val="center"/>
              <w:rPr>
                <w:rFonts w:ascii="Aptos Narrow" w:eastAsia="Times New Roman" w:hAnsi="Aptos Narrow" w:cs="Times New Roman"/>
                <w:b/>
                <w:bCs/>
                <w:color w:val="000000"/>
                <w:kern w:val="0"/>
                <w:sz w:val="18"/>
                <w:szCs w:val="18"/>
                <w:lang w:eastAsia="en-AU"/>
                <w14:ligatures w14:val="none"/>
              </w:rPr>
            </w:pPr>
          </w:p>
        </w:tc>
        <w:tc>
          <w:tcPr>
            <w:tcW w:w="1105" w:type="dxa"/>
            <w:vMerge/>
            <w:tcBorders>
              <w:left w:val="single" w:sz="4" w:space="0" w:color="auto"/>
              <w:right w:val="single" w:sz="4" w:space="0" w:color="auto"/>
            </w:tcBorders>
            <w:shd w:val="clear" w:color="auto" w:fill="E8E8E8" w:themeFill="background2"/>
          </w:tcPr>
          <w:p w14:paraId="3850549B" w14:textId="77777777" w:rsidR="006B54BD" w:rsidRPr="00FD29E8" w:rsidRDefault="006B54BD" w:rsidP="0018502E">
            <w:pPr>
              <w:spacing w:after="0" w:line="240" w:lineRule="auto"/>
              <w:jc w:val="center"/>
              <w:rPr>
                <w:rFonts w:ascii="Aptos Narrow" w:eastAsia="Times New Roman" w:hAnsi="Aptos Narrow" w:cs="Times New Roman"/>
                <w:b/>
                <w:color w:val="000000"/>
                <w:kern w:val="0"/>
                <w:sz w:val="18"/>
                <w:szCs w:val="18"/>
                <w:lang w:eastAsia="en-AU"/>
                <w14:ligatures w14:val="none"/>
              </w:rPr>
            </w:pPr>
          </w:p>
        </w:tc>
        <w:tc>
          <w:tcPr>
            <w:tcW w:w="1134" w:type="dxa"/>
            <w:vMerge/>
            <w:shd w:val="clear" w:color="auto" w:fill="E8E8E8" w:themeFill="background2"/>
          </w:tcPr>
          <w:p w14:paraId="7CCA8FE7" w14:textId="77777777" w:rsidR="006B54BD" w:rsidRPr="00FD29E8" w:rsidRDefault="006B54BD" w:rsidP="0018502E">
            <w:pPr>
              <w:spacing w:after="0" w:line="240" w:lineRule="auto"/>
              <w:jc w:val="center"/>
              <w:rPr>
                <w:rFonts w:ascii="Aptos Narrow" w:eastAsia="Times New Roman" w:hAnsi="Aptos Narrow" w:cs="Times New Roman"/>
                <w:b/>
                <w:bCs/>
                <w:color w:val="000000"/>
                <w:kern w:val="0"/>
                <w:sz w:val="18"/>
                <w:szCs w:val="18"/>
                <w:lang w:eastAsia="en-AU"/>
                <w14:ligatures w14:val="none"/>
              </w:rPr>
            </w:pPr>
          </w:p>
        </w:tc>
        <w:tc>
          <w:tcPr>
            <w:tcW w:w="1275" w:type="dxa"/>
            <w:tcBorders>
              <w:top w:val="single" w:sz="4" w:space="0" w:color="auto"/>
              <w:left w:val="single" w:sz="4" w:space="0" w:color="auto"/>
              <w:bottom w:val="single" w:sz="4" w:space="0" w:color="auto"/>
              <w:right w:val="single" w:sz="4" w:space="0" w:color="auto"/>
            </w:tcBorders>
            <w:shd w:val="clear" w:color="auto" w:fill="E8E8E8" w:themeFill="background2"/>
          </w:tcPr>
          <w:p w14:paraId="01FF89B5" w14:textId="6DB38F36" w:rsidR="006B54BD" w:rsidRPr="00FD29E8" w:rsidRDefault="006B54BD" w:rsidP="0018502E">
            <w:pPr>
              <w:spacing w:after="0" w:line="240" w:lineRule="auto"/>
              <w:jc w:val="center"/>
              <w:rPr>
                <w:rFonts w:ascii="Aptos Narrow" w:eastAsia="Times New Roman" w:hAnsi="Aptos Narrow" w:cs="Times New Roman"/>
                <w:b/>
                <w:bCs/>
                <w:color w:val="000000"/>
                <w:kern w:val="0"/>
                <w:sz w:val="18"/>
                <w:szCs w:val="18"/>
                <w:lang w:eastAsia="en-AU"/>
                <w14:ligatures w14:val="none"/>
              </w:rPr>
            </w:pPr>
            <w:r>
              <w:rPr>
                <w:rFonts w:ascii="Aptos Narrow" w:eastAsia="Times New Roman" w:hAnsi="Aptos Narrow" w:cs="Times New Roman"/>
                <w:b/>
                <w:bCs/>
                <w:color w:val="000000"/>
                <w:kern w:val="0"/>
                <w:sz w:val="18"/>
                <w:szCs w:val="18"/>
                <w:lang w:eastAsia="en-AU"/>
                <w14:ligatures w14:val="none"/>
              </w:rPr>
              <w:t>A</w:t>
            </w:r>
          </w:p>
        </w:tc>
        <w:tc>
          <w:tcPr>
            <w:tcW w:w="1418" w:type="dxa"/>
            <w:tcBorders>
              <w:top w:val="single" w:sz="4" w:space="0" w:color="auto"/>
              <w:left w:val="single" w:sz="4" w:space="0" w:color="auto"/>
              <w:bottom w:val="single" w:sz="4" w:space="0" w:color="auto"/>
              <w:right w:val="single" w:sz="4" w:space="0" w:color="auto"/>
            </w:tcBorders>
            <w:shd w:val="clear" w:color="auto" w:fill="E8E8E8" w:themeFill="background2"/>
          </w:tcPr>
          <w:p w14:paraId="435290BD" w14:textId="1C89F52B" w:rsidR="006B54BD" w:rsidRPr="00FD29E8" w:rsidDel="00BA1E96" w:rsidRDefault="006B54BD" w:rsidP="0018502E">
            <w:pPr>
              <w:spacing w:after="0" w:line="240" w:lineRule="auto"/>
              <w:jc w:val="center"/>
              <w:rPr>
                <w:rFonts w:ascii="Aptos Narrow" w:eastAsia="Times New Roman" w:hAnsi="Aptos Narrow" w:cs="Times New Roman"/>
                <w:b/>
                <w:color w:val="000000"/>
                <w:kern w:val="0"/>
                <w:sz w:val="18"/>
                <w:szCs w:val="18"/>
                <w:lang w:eastAsia="en-AU"/>
                <w14:ligatures w14:val="none"/>
              </w:rPr>
            </w:pPr>
            <w:r>
              <w:rPr>
                <w:rFonts w:ascii="Aptos Narrow" w:eastAsia="Times New Roman" w:hAnsi="Aptos Narrow" w:cs="Times New Roman"/>
                <w:b/>
                <w:color w:val="000000"/>
                <w:kern w:val="0"/>
                <w:sz w:val="18"/>
                <w:szCs w:val="18"/>
                <w:lang w:eastAsia="en-AU"/>
                <w14:ligatures w14:val="none"/>
              </w:rPr>
              <w:t>B</w:t>
            </w:r>
          </w:p>
        </w:tc>
        <w:tc>
          <w:tcPr>
            <w:tcW w:w="1633" w:type="dxa"/>
            <w:tcBorders>
              <w:top w:val="single" w:sz="4" w:space="0" w:color="auto"/>
              <w:left w:val="single" w:sz="4" w:space="0" w:color="auto"/>
              <w:bottom w:val="single" w:sz="4" w:space="0" w:color="auto"/>
              <w:right w:val="single" w:sz="4" w:space="0" w:color="auto"/>
            </w:tcBorders>
            <w:shd w:val="clear" w:color="auto" w:fill="E8E8E8" w:themeFill="background2"/>
          </w:tcPr>
          <w:p w14:paraId="51876E0A" w14:textId="1C55B6C7" w:rsidR="006B54BD" w:rsidRPr="00FD29E8" w:rsidDel="00BA1E96" w:rsidRDefault="006B54BD" w:rsidP="0018502E">
            <w:pPr>
              <w:spacing w:after="0" w:line="240" w:lineRule="auto"/>
              <w:jc w:val="center"/>
              <w:rPr>
                <w:rFonts w:ascii="Aptos Narrow" w:eastAsia="Times New Roman" w:hAnsi="Aptos Narrow" w:cs="Times New Roman"/>
                <w:b/>
                <w:color w:val="000000"/>
                <w:kern w:val="0"/>
                <w:sz w:val="18"/>
                <w:szCs w:val="18"/>
                <w:lang w:eastAsia="en-AU"/>
                <w14:ligatures w14:val="none"/>
              </w:rPr>
            </w:pPr>
            <w:r>
              <w:rPr>
                <w:rFonts w:ascii="Aptos Narrow" w:eastAsia="Times New Roman" w:hAnsi="Aptos Narrow" w:cs="Times New Roman"/>
                <w:b/>
                <w:color w:val="000000"/>
                <w:kern w:val="0"/>
                <w:sz w:val="18"/>
                <w:szCs w:val="18"/>
                <w:lang w:eastAsia="en-AU"/>
                <w14:ligatures w14:val="none"/>
              </w:rPr>
              <w:t>C</w:t>
            </w:r>
          </w:p>
        </w:tc>
        <w:tc>
          <w:tcPr>
            <w:tcW w:w="1202" w:type="dxa"/>
            <w:shd w:val="clear" w:color="auto" w:fill="E8E8E8" w:themeFill="background2"/>
          </w:tcPr>
          <w:p w14:paraId="53955C22" w14:textId="703B2162" w:rsidR="006B54BD" w:rsidRPr="00FD29E8" w:rsidRDefault="006B54BD" w:rsidP="0018502E">
            <w:pPr>
              <w:spacing w:after="0" w:line="240" w:lineRule="auto"/>
              <w:jc w:val="center"/>
              <w:rPr>
                <w:rFonts w:ascii="Aptos Narrow" w:eastAsia="Times New Roman" w:hAnsi="Aptos Narrow" w:cs="Times New Roman"/>
                <w:b/>
                <w:color w:val="000000"/>
                <w:kern w:val="0"/>
                <w:sz w:val="18"/>
                <w:szCs w:val="18"/>
                <w:lang w:eastAsia="en-AU"/>
                <w14:ligatures w14:val="none"/>
              </w:rPr>
            </w:pPr>
            <w:r>
              <w:rPr>
                <w:rFonts w:ascii="Aptos Narrow" w:eastAsia="Times New Roman" w:hAnsi="Aptos Narrow" w:cs="Times New Roman"/>
                <w:b/>
                <w:color w:val="000000"/>
                <w:kern w:val="0"/>
                <w:sz w:val="18"/>
                <w:szCs w:val="18"/>
                <w:lang w:eastAsia="en-AU"/>
                <w14:ligatures w14:val="none"/>
              </w:rPr>
              <w:t>A+B+C</w:t>
            </w:r>
          </w:p>
        </w:tc>
        <w:tc>
          <w:tcPr>
            <w:tcW w:w="1379" w:type="dxa"/>
            <w:shd w:val="clear" w:color="auto" w:fill="E8E8E8" w:themeFill="background2"/>
          </w:tcPr>
          <w:p w14:paraId="23FC70C6" w14:textId="5B8EE806" w:rsidR="006B54BD" w:rsidRPr="00FD29E8" w:rsidRDefault="006B54BD" w:rsidP="00293AB3">
            <w:pPr>
              <w:spacing w:after="0" w:line="240" w:lineRule="auto"/>
              <w:jc w:val="center"/>
              <w:rPr>
                <w:rFonts w:ascii="Aptos Narrow" w:eastAsia="Times New Roman" w:hAnsi="Aptos Narrow" w:cs="Times New Roman"/>
                <w:b/>
                <w:bCs/>
                <w:color w:val="000000"/>
                <w:kern w:val="0"/>
                <w:sz w:val="18"/>
                <w:szCs w:val="18"/>
                <w:lang w:eastAsia="en-AU"/>
                <w14:ligatures w14:val="none"/>
              </w:rPr>
            </w:pPr>
            <w:r>
              <w:rPr>
                <w:rFonts w:ascii="Aptos Narrow" w:eastAsia="Times New Roman" w:hAnsi="Aptos Narrow" w:cs="Times New Roman"/>
                <w:b/>
                <w:color w:val="000000"/>
                <w:kern w:val="0"/>
                <w:sz w:val="18"/>
                <w:szCs w:val="18"/>
                <w:lang w:eastAsia="en-AU"/>
                <w14:ligatures w14:val="none"/>
              </w:rPr>
              <w:t>(A+B+C)/DU</w:t>
            </w:r>
            <w:r w:rsidRPr="00FD29E8">
              <w:rPr>
                <w:rFonts w:ascii="Aptos Narrow" w:eastAsia="Times New Roman" w:hAnsi="Aptos Narrow" w:cs="Times New Roman"/>
                <w:b/>
                <w:bCs/>
                <w:color w:val="000000"/>
                <w:kern w:val="0"/>
                <w:sz w:val="18"/>
                <w:szCs w:val="18"/>
                <w:lang w:eastAsia="en-AU"/>
                <w14:ligatures w14:val="none"/>
              </w:rPr>
              <w:t xml:space="preserve"> </w:t>
            </w:r>
          </w:p>
        </w:tc>
        <w:tc>
          <w:tcPr>
            <w:tcW w:w="1161" w:type="dxa"/>
            <w:tcBorders>
              <w:top w:val="single" w:sz="4" w:space="0" w:color="auto"/>
              <w:left w:val="single" w:sz="4" w:space="0" w:color="auto"/>
              <w:bottom w:val="single" w:sz="4" w:space="0" w:color="auto"/>
              <w:right w:val="single" w:sz="4" w:space="0" w:color="auto"/>
            </w:tcBorders>
            <w:shd w:val="clear" w:color="auto" w:fill="E8E8E8" w:themeFill="background2"/>
          </w:tcPr>
          <w:p w14:paraId="267F2F67" w14:textId="1930BE59" w:rsidR="006B54BD" w:rsidRPr="00FD29E8" w:rsidRDefault="003E0D6F" w:rsidP="008B3558">
            <w:pPr>
              <w:spacing w:after="0" w:line="240" w:lineRule="auto"/>
              <w:jc w:val="center"/>
              <w:rPr>
                <w:rFonts w:ascii="Aptos Narrow" w:eastAsia="Times New Roman" w:hAnsi="Aptos Narrow" w:cs="Times New Roman"/>
                <w:b/>
                <w:bCs/>
                <w:color w:val="000000"/>
                <w:kern w:val="0"/>
                <w:sz w:val="18"/>
                <w:szCs w:val="18"/>
                <w:lang w:eastAsia="en-AU"/>
                <w14:ligatures w14:val="none"/>
              </w:rPr>
            </w:pPr>
            <w:r>
              <w:rPr>
                <w:rFonts w:ascii="Aptos Narrow" w:eastAsia="Times New Roman" w:hAnsi="Aptos Narrow" w:cs="Times New Roman"/>
                <w:b/>
                <w:bCs/>
                <w:color w:val="000000"/>
                <w:kern w:val="0"/>
                <w:sz w:val="18"/>
                <w:szCs w:val="18"/>
                <w:lang w:eastAsia="en-AU"/>
                <w14:ligatures w14:val="none"/>
              </w:rPr>
              <w:t>(A+C)/</w:t>
            </w:r>
            <w:r w:rsidR="006B54BD">
              <w:rPr>
                <w:rFonts w:ascii="Aptos Narrow" w:eastAsia="Times New Roman" w:hAnsi="Aptos Narrow" w:cs="Times New Roman"/>
                <w:b/>
                <w:bCs/>
                <w:color w:val="000000"/>
                <w:kern w:val="0"/>
                <w:sz w:val="18"/>
                <w:szCs w:val="18"/>
                <w:lang w:eastAsia="en-AU"/>
                <w14:ligatures w14:val="none"/>
              </w:rPr>
              <w:t>DU</w:t>
            </w:r>
          </w:p>
        </w:tc>
        <w:tc>
          <w:tcPr>
            <w:tcW w:w="1288" w:type="dxa"/>
            <w:tcBorders>
              <w:top w:val="single" w:sz="4" w:space="0" w:color="auto"/>
              <w:left w:val="single" w:sz="4" w:space="0" w:color="auto"/>
              <w:bottom w:val="single" w:sz="4" w:space="0" w:color="auto"/>
              <w:right w:val="single" w:sz="4" w:space="0" w:color="auto"/>
            </w:tcBorders>
            <w:shd w:val="clear" w:color="auto" w:fill="E8E8E8" w:themeFill="background2"/>
          </w:tcPr>
          <w:p w14:paraId="784A433A" w14:textId="10D18964" w:rsidR="006B54BD" w:rsidRPr="00FD29E8" w:rsidRDefault="006B54BD" w:rsidP="0018502E">
            <w:pPr>
              <w:spacing w:after="0" w:line="240" w:lineRule="auto"/>
              <w:jc w:val="center"/>
              <w:rPr>
                <w:rFonts w:ascii="Aptos Narrow" w:eastAsia="Times New Roman" w:hAnsi="Aptos Narrow" w:cs="Times New Roman"/>
                <w:b/>
                <w:bCs/>
                <w:color w:val="000000"/>
                <w:kern w:val="0"/>
                <w:sz w:val="18"/>
                <w:szCs w:val="18"/>
                <w:lang w:eastAsia="en-AU"/>
                <w14:ligatures w14:val="none"/>
              </w:rPr>
            </w:pPr>
            <w:r>
              <w:rPr>
                <w:rFonts w:ascii="Aptos Narrow" w:eastAsia="Times New Roman" w:hAnsi="Aptos Narrow" w:cs="Times New Roman"/>
                <w:b/>
                <w:bCs/>
                <w:color w:val="000000"/>
                <w:kern w:val="0"/>
                <w:sz w:val="18"/>
                <w:szCs w:val="18"/>
                <w:lang w:eastAsia="en-AU"/>
                <w14:ligatures w14:val="none"/>
              </w:rPr>
              <w:t>C/DU</w:t>
            </w:r>
          </w:p>
        </w:tc>
      </w:tr>
      <w:tr w:rsidR="00AF6D6D" w:rsidRPr="00FD29E8" w14:paraId="0041C511" w14:textId="77777777" w:rsidTr="00AF6D6D">
        <w:trPr>
          <w:trHeight w:val="387"/>
        </w:trPr>
        <w:tc>
          <w:tcPr>
            <w:tcW w:w="905" w:type="dxa"/>
            <w:vMerge/>
            <w:tcBorders>
              <w:left w:val="single" w:sz="4" w:space="0" w:color="auto"/>
              <w:right w:val="single" w:sz="4" w:space="0" w:color="auto"/>
            </w:tcBorders>
          </w:tcPr>
          <w:p w14:paraId="3996537B" w14:textId="77777777" w:rsidR="00AF6D6D" w:rsidRPr="00FD29E8" w:rsidRDefault="00AF6D6D" w:rsidP="00371DEF">
            <w:pPr>
              <w:spacing w:after="0" w:line="240" w:lineRule="auto"/>
              <w:rPr>
                <w:rFonts w:ascii="Aptos Narrow" w:eastAsia="Times New Roman" w:hAnsi="Aptos Narrow" w:cs="Times New Roman"/>
                <w:i/>
                <w:color w:val="156082" w:themeColor="accent1"/>
                <w:kern w:val="0"/>
                <w:sz w:val="18"/>
                <w:szCs w:val="18"/>
                <w:lang w:eastAsia="en-AU"/>
                <w14:ligatures w14:val="none"/>
              </w:rPr>
            </w:pPr>
          </w:p>
        </w:tc>
        <w:tc>
          <w:tcPr>
            <w:tcW w:w="909" w:type="dxa"/>
            <w:vMerge/>
            <w:tcBorders>
              <w:left w:val="single" w:sz="4" w:space="0" w:color="auto"/>
              <w:right w:val="single" w:sz="4" w:space="0" w:color="auto"/>
            </w:tcBorders>
            <w:noWrap/>
          </w:tcPr>
          <w:p w14:paraId="570D5931" w14:textId="77777777" w:rsidR="00AF6D6D" w:rsidRPr="00FD29E8" w:rsidRDefault="00AF6D6D" w:rsidP="00371DEF">
            <w:pPr>
              <w:spacing w:after="0" w:line="240" w:lineRule="auto"/>
              <w:rPr>
                <w:rFonts w:ascii="Aptos Narrow" w:eastAsia="Times New Roman" w:hAnsi="Aptos Narrow" w:cs="Times New Roman"/>
                <w:i/>
                <w:color w:val="156082" w:themeColor="accent1"/>
                <w:kern w:val="0"/>
                <w:sz w:val="18"/>
                <w:szCs w:val="18"/>
                <w:lang w:eastAsia="en-AU"/>
                <w14:ligatures w14:val="none"/>
              </w:rPr>
            </w:pPr>
          </w:p>
        </w:tc>
        <w:tc>
          <w:tcPr>
            <w:tcW w:w="909" w:type="dxa"/>
            <w:vMerge/>
            <w:tcBorders>
              <w:left w:val="single" w:sz="4" w:space="0" w:color="auto"/>
              <w:right w:val="single" w:sz="4" w:space="0" w:color="auto"/>
            </w:tcBorders>
          </w:tcPr>
          <w:p w14:paraId="36239FE4" w14:textId="77777777" w:rsidR="00AF6D6D" w:rsidRPr="00FD29E8" w:rsidRDefault="00AF6D6D" w:rsidP="00B72F66">
            <w:pPr>
              <w:spacing w:after="0" w:line="240" w:lineRule="auto"/>
              <w:rPr>
                <w:rFonts w:ascii="Aptos Narrow" w:eastAsia="Times New Roman" w:hAnsi="Aptos Narrow" w:cs="Times New Roman"/>
                <w:i/>
                <w:color w:val="156082" w:themeColor="accent1"/>
                <w:kern w:val="0"/>
                <w:sz w:val="18"/>
                <w:szCs w:val="18"/>
                <w:lang w:eastAsia="en-AU"/>
                <w14:ligatures w14:val="none"/>
              </w:rPr>
            </w:pPr>
          </w:p>
        </w:tc>
        <w:tc>
          <w:tcPr>
            <w:tcW w:w="1105" w:type="dxa"/>
            <w:vMerge/>
            <w:tcBorders>
              <w:left w:val="single" w:sz="4" w:space="0" w:color="auto"/>
            </w:tcBorders>
            <w:noWrap/>
          </w:tcPr>
          <w:p w14:paraId="0FB9C7AC" w14:textId="77777777" w:rsidR="00AF6D6D" w:rsidRPr="00FD29E8" w:rsidRDefault="00AF6D6D" w:rsidP="00371DEF">
            <w:pPr>
              <w:spacing w:after="0" w:line="240" w:lineRule="auto"/>
              <w:rPr>
                <w:rFonts w:ascii="Aptos Narrow" w:eastAsia="Times New Roman" w:hAnsi="Aptos Narrow" w:cs="Times New Roman"/>
                <w:i/>
                <w:color w:val="156082" w:themeColor="accent1"/>
                <w:kern w:val="0"/>
                <w:sz w:val="18"/>
                <w:szCs w:val="18"/>
                <w:lang w:eastAsia="en-AU"/>
                <w14:ligatures w14:val="none"/>
              </w:rPr>
            </w:pPr>
          </w:p>
        </w:tc>
        <w:tc>
          <w:tcPr>
            <w:tcW w:w="1134" w:type="dxa"/>
            <w:vMerge/>
          </w:tcPr>
          <w:p w14:paraId="652DBCCA" w14:textId="77777777" w:rsidR="00AF6D6D" w:rsidRPr="00FD29E8" w:rsidRDefault="00AF6D6D" w:rsidP="00B72F66">
            <w:pPr>
              <w:spacing w:after="0" w:line="240" w:lineRule="auto"/>
              <w:rPr>
                <w:rFonts w:ascii="Aptos Narrow" w:eastAsia="Times New Roman" w:hAnsi="Aptos Narrow" w:cs="Times New Roman"/>
                <w:i/>
                <w:color w:val="156082" w:themeColor="accent1"/>
                <w:kern w:val="0"/>
                <w:sz w:val="18"/>
                <w:szCs w:val="18"/>
                <w:lang w:eastAsia="en-AU"/>
                <w14:ligatures w14:val="none"/>
              </w:rPr>
            </w:pPr>
          </w:p>
        </w:tc>
        <w:tc>
          <w:tcPr>
            <w:tcW w:w="5528" w:type="dxa"/>
            <w:gridSpan w:val="4"/>
            <w:tcBorders>
              <w:top w:val="single" w:sz="4" w:space="0" w:color="auto"/>
            </w:tcBorders>
            <w:shd w:val="clear" w:color="auto" w:fill="E8E8E8" w:themeFill="background2"/>
            <w:vAlign w:val="center"/>
          </w:tcPr>
          <w:p w14:paraId="09E996D8" w14:textId="77777777" w:rsidR="00AF6D6D" w:rsidRPr="00FD29E8" w:rsidRDefault="00AF6D6D" w:rsidP="005015A8">
            <w:pPr>
              <w:spacing w:after="0" w:line="240" w:lineRule="auto"/>
              <w:jc w:val="center"/>
              <w:rPr>
                <w:rFonts w:ascii="Aptos Narrow" w:eastAsia="Times New Roman" w:hAnsi="Aptos Narrow" w:cs="Times New Roman"/>
                <w:i/>
                <w:color w:val="156082" w:themeColor="accent1"/>
                <w:kern w:val="0"/>
                <w:sz w:val="18"/>
                <w:szCs w:val="18"/>
                <w:lang w:eastAsia="en-AU"/>
                <w14:ligatures w14:val="none"/>
              </w:rPr>
            </w:pPr>
            <w:r w:rsidRPr="00FD29E8">
              <w:rPr>
                <w:rFonts w:ascii="Aptos Narrow" w:eastAsia="Times New Roman" w:hAnsi="Aptos Narrow" w:cs="Times New Roman"/>
                <w:b/>
                <w:bCs/>
                <w:color w:val="000000"/>
                <w:kern w:val="0"/>
                <w:sz w:val="18"/>
                <w:szCs w:val="18"/>
                <w:lang w:eastAsia="en-AU"/>
                <w14:ligatures w14:val="none"/>
              </w:rPr>
              <w:t>(t CO2-e)</w:t>
            </w:r>
          </w:p>
          <w:p w14:paraId="00A18783" w14:textId="6CA4D0C2" w:rsidR="00AF6D6D" w:rsidRPr="00FD29E8" w:rsidRDefault="00AF6D6D" w:rsidP="005015A8">
            <w:pPr>
              <w:spacing w:after="0" w:line="240" w:lineRule="auto"/>
              <w:jc w:val="center"/>
              <w:rPr>
                <w:rFonts w:ascii="Aptos Narrow" w:eastAsia="Times New Roman" w:hAnsi="Aptos Narrow" w:cs="Times New Roman"/>
                <w:i/>
                <w:color w:val="156082" w:themeColor="accent1"/>
                <w:kern w:val="0"/>
                <w:sz w:val="18"/>
                <w:szCs w:val="18"/>
                <w:lang w:eastAsia="en-AU"/>
                <w14:ligatures w14:val="none"/>
              </w:rPr>
            </w:pPr>
            <w:r w:rsidRPr="00FD29E8">
              <w:rPr>
                <w:rFonts w:ascii="Aptos Narrow" w:eastAsia="Times New Roman" w:hAnsi="Aptos Narrow" w:cs="Times New Roman"/>
                <w:b/>
                <w:color w:val="000000"/>
                <w:kern w:val="0"/>
                <w:sz w:val="18"/>
                <w:szCs w:val="18"/>
                <w:lang w:eastAsia="en-AU"/>
                <w14:ligatures w14:val="none"/>
              </w:rPr>
              <w:t>()</w:t>
            </w:r>
          </w:p>
        </w:tc>
        <w:tc>
          <w:tcPr>
            <w:tcW w:w="3828" w:type="dxa"/>
            <w:gridSpan w:val="3"/>
            <w:shd w:val="clear" w:color="auto" w:fill="E8E8E8" w:themeFill="background2"/>
            <w:vAlign w:val="center"/>
          </w:tcPr>
          <w:p w14:paraId="31CF7ED7" w14:textId="290761BE" w:rsidR="00AF6D6D" w:rsidRPr="00FD29E8" w:rsidRDefault="00AF6D6D" w:rsidP="005015A8">
            <w:pPr>
              <w:spacing w:after="0" w:line="240" w:lineRule="auto"/>
              <w:jc w:val="center"/>
              <w:rPr>
                <w:rFonts w:ascii="Aptos Narrow" w:eastAsia="Times New Roman" w:hAnsi="Aptos Narrow" w:cs="Times New Roman"/>
                <w:i/>
                <w:color w:val="156082" w:themeColor="accent1"/>
                <w:kern w:val="0"/>
                <w:sz w:val="18"/>
                <w:szCs w:val="18"/>
                <w:lang w:eastAsia="en-AU"/>
                <w14:ligatures w14:val="none"/>
              </w:rPr>
            </w:pPr>
            <w:r w:rsidRPr="00FD29E8">
              <w:rPr>
                <w:rFonts w:ascii="Aptos Narrow" w:eastAsia="Times New Roman" w:hAnsi="Aptos Narrow" w:cs="Times New Roman"/>
                <w:b/>
                <w:color w:val="000000"/>
                <w:kern w:val="0"/>
                <w:sz w:val="18"/>
                <w:szCs w:val="18"/>
                <w:lang w:eastAsia="en-AU"/>
                <w14:ligatures w14:val="none"/>
              </w:rPr>
              <w:t xml:space="preserve">kg CO₂-e </w:t>
            </w:r>
            <w:r w:rsidRPr="00FD29E8">
              <w:rPr>
                <w:rFonts w:ascii="Aptos Narrow" w:eastAsia="Times New Roman" w:hAnsi="Aptos Narrow" w:cs="Times New Roman"/>
                <w:b/>
                <w:bCs/>
                <w:color w:val="000000"/>
                <w:kern w:val="0"/>
                <w:sz w:val="18"/>
                <w:szCs w:val="18"/>
                <w:lang w:eastAsia="en-AU"/>
                <w14:ligatures w14:val="none"/>
              </w:rPr>
              <w:t>/</w:t>
            </w:r>
            <w:r w:rsidRPr="00FD29E8">
              <w:rPr>
                <w:rFonts w:ascii="Aptos Narrow" w:eastAsia="Times New Roman" w:hAnsi="Aptos Narrow" w:cs="Times New Roman"/>
                <w:b/>
                <w:color w:val="000000"/>
                <w:kern w:val="0"/>
                <w:sz w:val="18"/>
                <w:szCs w:val="18"/>
                <w:lang w:eastAsia="en-AU"/>
                <w14:ligatures w14:val="none"/>
              </w:rPr>
              <w:t xml:space="preserve"> declared unit</w:t>
            </w:r>
          </w:p>
        </w:tc>
      </w:tr>
      <w:tr w:rsidR="00147235" w:rsidRPr="00371DEF" w14:paraId="568DA5ED" w14:textId="77777777" w:rsidTr="00AF6D6D">
        <w:tc>
          <w:tcPr>
            <w:tcW w:w="905" w:type="dxa"/>
            <w:tcBorders>
              <w:top w:val="single" w:sz="4" w:space="0" w:color="auto"/>
            </w:tcBorders>
            <w:hideMark/>
          </w:tcPr>
          <w:p w14:paraId="16EE004E" w14:textId="64A64F5B" w:rsidR="00A80E4A" w:rsidRPr="00FC5DC8"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r w:rsidRPr="00FC5DC8">
              <w:rPr>
                <w:rFonts w:ascii="Aptos Narrow" w:eastAsia="Times New Roman" w:hAnsi="Aptos Narrow" w:cs="Times New Roman"/>
                <w:i/>
                <w:color w:val="156082" w:themeColor="accent1"/>
                <w:kern w:val="0"/>
                <w:sz w:val="20"/>
                <w:szCs w:val="20"/>
                <w:lang w:eastAsia="en-AU"/>
                <w14:ligatures w14:val="none"/>
              </w:rPr>
              <w:t>Wheat grain</w:t>
            </w:r>
          </w:p>
        </w:tc>
        <w:tc>
          <w:tcPr>
            <w:tcW w:w="909" w:type="dxa"/>
            <w:tcBorders>
              <w:top w:val="single" w:sz="4" w:space="0" w:color="auto"/>
            </w:tcBorders>
            <w:noWrap/>
            <w:hideMark/>
          </w:tcPr>
          <w:p w14:paraId="438E6ADB" w14:textId="77777777" w:rsidR="00A80E4A" w:rsidRPr="00FC5DC8"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r w:rsidRPr="00FC5DC8">
              <w:rPr>
                <w:rFonts w:ascii="Aptos Narrow" w:eastAsia="Times New Roman" w:hAnsi="Aptos Narrow" w:cs="Times New Roman"/>
                <w:i/>
                <w:color w:val="156082" w:themeColor="accent1"/>
                <w:kern w:val="0"/>
                <w:sz w:val="20"/>
                <w:szCs w:val="20"/>
                <w:lang w:eastAsia="en-AU"/>
                <w14:ligatures w14:val="none"/>
              </w:rPr>
              <w:t>Main</w:t>
            </w:r>
          </w:p>
        </w:tc>
        <w:tc>
          <w:tcPr>
            <w:tcW w:w="909" w:type="dxa"/>
            <w:tcBorders>
              <w:top w:val="single" w:sz="4" w:space="0" w:color="auto"/>
            </w:tcBorders>
          </w:tcPr>
          <w:p w14:paraId="08A0E34C" w14:textId="4A452A7E" w:rsidR="00A80E4A" w:rsidRPr="00FC5DC8" w:rsidRDefault="00A80E4A" w:rsidP="00B72F66">
            <w:pPr>
              <w:spacing w:after="0" w:line="240" w:lineRule="auto"/>
              <w:rPr>
                <w:rFonts w:ascii="Aptos Narrow" w:eastAsia="Times New Roman" w:hAnsi="Aptos Narrow" w:cs="Times New Roman"/>
                <w:i/>
                <w:color w:val="156082" w:themeColor="accent1"/>
                <w:kern w:val="0"/>
                <w:sz w:val="20"/>
                <w:szCs w:val="20"/>
                <w:lang w:eastAsia="en-AU"/>
                <w14:ligatures w14:val="none"/>
              </w:rPr>
            </w:pPr>
            <w:r w:rsidRPr="00FC5DC8">
              <w:rPr>
                <w:rFonts w:ascii="Aptos Narrow" w:eastAsia="Times New Roman" w:hAnsi="Aptos Narrow" w:cs="Times New Roman"/>
                <w:i/>
                <w:color w:val="156082" w:themeColor="accent1"/>
                <w:kern w:val="0"/>
                <w:sz w:val="20"/>
                <w:szCs w:val="20"/>
                <w:lang w:eastAsia="en-AU"/>
                <w14:ligatures w14:val="none"/>
              </w:rPr>
              <w:t>kg grain</w:t>
            </w:r>
          </w:p>
        </w:tc>
        <w:tc>
          <w:tcPr>
            <w:tcW w:w="1105" w:type="dxa"/>
            <w:tcBorders>
              <w:top w:val="single" w:sz="4" w:space="0" w:color="auto"/>
            </w:tcBorders>
            <w:noWrap/>
            <w:hideMark/>
          </w:tcPr>
          <w:p w14:paraId="49A62814" w14:textId="08DC5B22" w:rsidR="00A80E4A" w:rsidRPr="00FC5DC8"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r w:rsidRPr="00FC5DC8">
              <w:rPr>
                <w:rFonts w:ascii="Aptos Narrow" w:eastAsia="Times New Roman" w:hAnsi="Aptos Narrow" w:cs="Times New Roman"/>
                <w:i/>
                <w:color w:val="156082" w:themeColor="accent1"/>
                <w:kern w:val="0"/>
                <w:sz w:val="20"/>
                <w:szCs w:val="20"/>
                <w:lang w:eastAsia="en-AU"/>
                <w14:ligatures w14:val="none"/>
              </w:rPr>
              <w:t> </w:t>
            </w:r>
          </w:p>
        </w:tc>
        <w:tc>
          <w:tcPr>
            <w:tcW w:w="1134" w:type="dxa"/>
          </w:tcPr>
          <w:p w14:paraId="5D7B4C60" w14:textId="003EEA7A" w:rsidR="00A80E4A" w:rsidRDefault="00A80E4A" w:rsidP="00B72F66">
            <w:pPr>
              <w:spacing w:after="0" w:line="240" w:lineRule="auto"/>
              <w:rPr>
                <w:rFonts w:ascii="Aptos Narrow" w:eastAsia="Times New Roman" w:hAnsi="Aptos Narrow" w:cs="Times New Roman"/>
                <w:i/>
                <w:color w:val="156082" w:themeColor="accent1"/>
                <w:kern w:val="0"/>
                <w:sz w:val="20"/>
                <w:szCs w:val="20"/>
                <w:lang w:eastAsia="en-AU"/>
                <w14:ligatures w14:val="none"/>
              </w:rPr>
            </w:pPr>
            <w:r>
              <w:rPr>
                <w:rFonts w:ascii="Aptos Narrow" w:eastAsia="Times New Roman" w:hAnsi="Aptos Narrow" w:cs="Times New Roman"/>
                <w:i/>
                <w:color w:val="156082" w:themeColor="accent1"/>
                <w:kern w:val="0"/>
                <w:sz w:val="20"/>
                <w:szCs w:val="20"/>
                <w:lang w:eastAsia="en-AU"/>
                <w14:ligatures w14:val="none"/>
              </w:rPr>
              <w:t>t</w:t>
            </w:r>
          </w:p>
        </w:tc>
        <w:tc>
          <w:tcPr>
            <w:tcW w:w="1275" w:type="dxa"/>
            <w:tcBorders>
              <w:top w:val="single" w:sz="4" w:space="0" w:color="auto"/>
            </w:tcBorders>
          </w:tcPr>
          <w:p w14:paraId="18A34C13" w14:textId="48220DE1" w:rsidR="00A80E4A" w:rsidRPr="00FC5DC8" w:rsidRDefault="00A80E4A" w:rsidP="00B72F66">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418" w:type="dxa"/>
            <w:tcBorders>
              <w:top w:val="single" w:sz="4" w:space="0" w:color="auto"/>
            </w:tcBorders>
          </w:tcPr>
          <w:p w14:paraId="0BDD2BCA" w14:textId="4DDFAAAB" w:rsidR="00A80E4A" w:rsidRPr="00FC5DC8" w:rsidRDefault="00A80E4A" w:rsidP="00B72F66">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633" w:type="dxa"/>
            <w:tcBorders>
              <w:top w:val="single" w:sz="4" w:space="0" w:color="auto"/>
            </w:tcBorders>
          </w:tcPr>
          <w:p w14:paraId="0FB69F74" w14:textId="77777777" w:rsidR="00A80E4A" w:rsidRPr="00FC5DC8"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202" w:type="dxa"/>
          </w:tcPr>
          <w:p w14:paraId="14A8D7E6" w14:textId="77777777" w:rsidR="00A80E4A" w:rsidRPr="00FC5DC8"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379" w:type="dxa"/>
          </w:tcPr>
          <w:p w14:paraId="3D467E2A" w14:textId="77777777" w:rsidR="0041422E" w:rsidRPr="00D15E82" w:rsidRDefault="0041422E"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161" w:type="dxa"/>
            <w:tcBorders>
              <w:top w:val="single" w:sz="4" w:space="0" w:color="auto"/>
            </w:tcBorders>
            <w:noWrap/>
            <w:hideMark/>
          </w:tcPr>
          <w:p w14:paraId="42825614" w14:textId="5C80338D" w:rsidR="00A80E4A" w:rsidRPr="00FC5DC8"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r w:rsidRPr="00FC5DC8">
              <w:rPr>
                <w:rFonts w:ascii="Aptos Narrow" w:eastAsia="Times New Roman" w:hAnsi="Aptos Narrow" w:cs="Times New Roman"/>
                <w:i/>
                <w:color w:val="156082" w:themeColor="accent1"/>
                <w:kern w:val="0"/>
                <w:sz w:val="20"/>
                <w:szCs w:val="20"/>
                <w:lang w:eastAsia="en-AU"/>
                <w14:ligatures w14:val="none"/>
              </w:rPr>
              <w:t> </w:t>
            </w:r>
          </w:p>
        </w:tc>
        <w:tc>
          <w:tcPr>
            <w:tcW w:w="1288" w:type="dxa"/>
            <w:tcBorders>
              <w:top w:val="single" w:sz="4" w:space="0" w:color="auto"/>
            </w:tcBorders>
          </w:tcPr>
          <w:p w14:paraId="4EE726F5" w14:textId="77777777" w:rsidR="00A80E4A" w:rsidRPr="00FC5DC8" w:rsidRDefault="00A80E4A" w:rsidP="00D276F5">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r>
      <w:tr w:rsidR="00147235" w:rsidRPr="00371DEF" w14:paraId="7DD4CF23" w14:textId="77777777" w:rsidTr="00AF6D6D">
        <w:tc>
          <w:tcPr>
            <w:tcW w:w="905" w:type="dxa"/>
            <w:hideMark/>
          </w:tcPr>
          <w:p w14:paraId="132359BB" w14:textId="5B3F4B78" w:rsidR="00A80E4A" w:rsidRPr="00FC5DC8"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r w:rsidRPr="00FC5DC8">
              <w:rPr>
                <w:rFonts w:ascii="Aptos Narrow" w:eastAsia="Times New Roman" w:hAnsi="Aptos Narrow" w:cs="Times New Roman"/>
                <w:i/>
                <w:color w:val="156082" w:themeColor="accent1"/>
                <w:kern w:val="0"/>
                <w:sz w:val="20"/>
                <w:szCs w:val="20"/>
                <w:lang w:eastAsia="en-AU"/>
                <w14:ligatures w14:val="none"/>
              </w:rPr>
              <w:t>Wheat straw (baled)</w:t>
            </w:r>
          </w:p>
        </w:tc>
        <w:tc>
          <w:tcPr>
            <w:tcW w:w="909" w:type="dxa"/>
            <w:noWrap/>
            <w:hideMark/>
          </w:tcPr>
          <w:p w14:paraId="4E360C3C" w14:textId="6304C98F" w:rsidR="00A80E4A" w:rsidRPr="00FC5DC8"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r>
              <w:rPr>
                <w:rFonts w:ascii="Aptos Narrow" w:eastAsia="Times New Roman" w:hAnsi="Aptos Narrow" w:cs="Times New Roman"/>
                <w:i/>
                <w:color w:val="156082" w:themeColor="accent1"/>
                <w:kern w:val="0"/>
                <w:sz w:val="20"/>
                <w:szCs w:val="20"/>
                <w:lang w:eastAsia="en-AU"/>
                <w14:ligatures w14:val="none"/>
              </w:rPr>
              <w:t>By</w:t>
            </w:r>
            <w:r w:rsidRPr="00FC5DC8">
              <w:rPr>
                <w:rFonts w:ascii="Aptos Narrow" w:eastAsia="Times New Roman" w:hAnsi="Aptos Narrow" w:cs="Times New Roman"/>
                <w:i/>
                <w:color w:val="156082" w:themeColor="accent1"/>
                <w:kern w:val="0"/>
                <w:sz w:val="20"/>
                <w:szCs w:val="20"/>
                <w:lang w:eastAsia="en-AU"/>
                <w14:ligatures w14:val="none"/>
              </w:rPr>
              <w:t>-product</w:t>
            </w:r>
            <w:r>
              <w:rPr>
                <w:rFonts w:ascii="Aptos Narrow" w:eastAsia="Times New Roman" w:hAnsi="Aptos Narrow" w:cs="Times New Roman"/>
                <w:i/>
                <w:color w:val="156082" w:themeColor="accent1"/>
                <w:kern w:val="0"/>
                <w:sz w:val="20"/>
                <w:szCs w:val="20"/>
                <w:lang w:eastAsia="en-AU"/>
                <w14:ligatures w14:val="none"/>
              </w:rPr>
              <w:t xml:space="preserve"> or Residue </w:t>
            </w:r>
          </w:p>
        </w:tc>
        <w:tc>
          <w:tcPr>
            <w:tcW w:w="909" w:type="dxa"/>
          </w:tcPr>
          <w:p w14:paraId="7531528B" w14:textId="2A7F821A" w:rsidR="00A80E4A" w:rsidRDefault="00A80E4A" w:rsidP="00B72F66">
            <w:pPr>
              <w:spacing w:after="0" w:line="240" w:lineRule="auto"/>
              <w:rPr>
                <w:rFonts w:ascii="Aptos Narrow" w:eastAsia="Times New Roman" w:hAnsi="Aptos Narrow" w:cs="Times New Roman"/>
                <w:i/>
                <w:color w:val="156082" w:themeColor="accent1"/>
                <w:kern w:val="0"/>
                <w:sz w:val="20"/>
                <w:szCs w:val="20"/>
                <w:lang w:eastAsia="en-AU"/>
                <w14:ligatures w14:val="none"/>
              </w:rPr>
            </w:pPr>
            <w:r>
              <w:rPr>
                <w:rFonts w:ascii="Aptos Narrow" w:eastAsia="Times New Roman" w:hAnsi="Aptos Narrow" w:cs="Times New Roman"/>
                <w:i/>
                <w:color w:val="156082" w:themeColor="accent1"/>
                <w:kern w:val="0"/>
                <w:sz w:val="20"/>
                <w:szCs w:val="20"/>
                <w:lang w:eastAsia="en-AU"/>
                <w14:ligatures w14:val="none"/>
              </w:rPr>
              <w:t>kg straw</w:t>
            </w:r>
          </w:p>
        </w:tc>
        <w:tc>
          <w:tcPr>
            <w:tcW w:w="1105" w:type="dxa"/>
            <w:noWrap/>
            <w:hideMark/>
          </w:tcPr>
          <w:p w14:paraId="0A804792" w14:textId="6DB288A7" w:rsidR="00A80E4A" w:rsidRPr="00FC5DC8"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r w:rsidRPr="00FC5DC8">
              <w:rPr>
                <w:rFonts w:ascii="Aptos Narrow" w:eastAsia="Times New Roman" w:hAnsi="Aptos Narrow" w:cs="Times New Roman"/>
                <w:i/>
                <w:color w:val="156082" w:themeColor="accent1"/>
                <w:kern w:val="0"/>
                <w:sz w:val="20"/>
                <w:szCs w:val="20"/>
                <w:lang w:eastAsia="en-AU"/>
                <w14:ligatures w14:val="none"/>
              </w:rPr>
              <w:t> </w:t>
            </w:r>
          </w:p>
        </w:tc>
        <w:tc>
          <w:tcPr>
            <w:tcW w:w="1134" w:type="dxa"/>
          </w:tcPr>
          <w:p w14:paraId="2891EE62" w14:textId="05E9DBF0" w:rsidR="00A80E4A" w:rsidRPr="00FC5DC8" w:rsidRDefault="00F01D98" w:rsidP="00B72F66">
            <w:pPr>
              <w:spacing w:after="0" w:line="240" w:lineRule="auto"/>
              <w:rPr>
                <w:rFonts w:ascii="Aptos Narrow" w:eastAsia="Times New Roman" w:hAnsi="Aptos Narrow" w:cs="Times New Roman"/>
                <w:i/>
                <w:color w:val="156082" w:themeColor="accent1"/>
                <w:kern w:val="0"/>
                <w:sz w:val="20"/>
                <w:szCs w:val="20"/>
                <w:lang w:eastAsia="en-AU"/>
                <w14:ligatures w14:val="none"/>
              </w:rPr>
            </w:pPr>
            <w:r>
              <w:rPr>
                <w:rFonts w:ascii="Aptos Narrow" w:eastAsia="Times New Roman" w:hAnsi="Aptos Narrow" w:cs="Times New Roman"/>
                <w:i/>
                <w:color w:val="156082" w:themeColor="accent1"/>
                <w:kern w:val="0"/>
                <w:sz w:val="20"/>
                <w:szCs w:val="20"/>
                <w:lang w:eastAsia="en-AU"/>
                <w14:ligatures w14:val="none"/>
              </w:rPr>
              <w:t>t</w:t>
            </w:r>
          </w:p>
        </w:tc>
        <w:tc>
          <w:tcPr>
            <w:tcW w:w="1275" w:type="dxa"/>
          </w:tcPr>
          <w:p w14:paraId="058D1CDF" w14:textId="32FCD55C" w:rsidR="00A80E4A" w:rsidRPr="00FC5DC8" w:rsidRDefault="00A80E4A" w:rsidP="00B72F66">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418" w:type="dxa"/>
          </w:tcPr>
          <w:p w14:paraId="0890548B" w14:textId="110EF301" w:rsidR="00A80E4A" w:rsidRPr="00FC5DC8" w:rsidRDefault="00A80E4A" w:rsidP="00B72F66">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633" w:type="dxa"/>
          </w:tcPr>
          <w:p w14:paraId="086009DC" w14:textId="77777777" w:rsidR="00A80E4A" w:rsidRPr="00FC5DC8"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202" w:type="dxa"/>
          </w:tcPr>
          <w:p w14:paraId="4D911340" w14:textId="77777777" w:rsidR="00A80E4A" w:rsidRPr="00FC5DC8"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379" w:type="dxa"/>
          </w:tcPr>
          <w:p w14:paraId="768D2E92" w14:textId="77777777" w:rsidR="0041422E" w:rsidRPr="00D15E82" w:rsidRDefault="0041422E"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161" w:type="dxa"/>
            <w:noWrap/>
            <w:hideMark/>
          </w:tcPr>
          <w:p w14:paraId="0895BA8E" w14:textId="65D9FB5E" w:rsidR="00A80E4A"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r w:rsidRPr="00FC5DC8">
              <w:rPr>
                <w:rFonts w:ascii="Aptos Narrow" w:eastAsia="Times New Roman" w:hAnsi="Aptos Narrow" w:cs="Times New Roman"/>
                <w:i/>
                <w:color w:val="156082" w:themeColor="accent1"/>
                <w:kern w:val="0"/>
                <w:sz w:val="20"/>
                <w:szCs w:val="20"/>
                <w:lang w:eastAsia="en-AU"/>
                <w14:ligatures w14:val="none"/>
              </w:rPr>
              <w:t> </w:t>
            </w:r>
          </w:p>
          <w:p w14:paraId="604965E9" w14:textId="6A75E068" w:rsidR="00A80E4A" w:rsidRPr="00FC5DC8"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288" w:type="dxa"/>
          </w:tcPr>
          <w:p w14:paraId="2812AC7A" w14:textId="77777777" w:rsidR="00A80E4A" w:rsidRPr="00FC5DC8" w:rsidRDefault="00A80E4A" w:rsidP="00D276F5">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r>
      <w:tr w:rsidR="00147235" w:rsidRPr="00371DEF" w14:paraId="2F9C5231" w14:textId="77777777" w:rsidTr="00AF6D6D">
        <w:tc>
          <w:tcPr>
            <w:tcW w:w="905" w:type="dxa"/>
            <w:hideMark/>
          </w:tcPr>
          <w:p w14:paraId="3F7417F2" w14:textId="04F87388" w:rsidR="00A80E4A" w:rsidRPr="00FC5DC8"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r w:rsidRPr="00FC5DC8">
              <w:rPr>
                <w:rFonts w:ascii="Aptos Narrow" w:eastAsia="Times New Roman" w:hAnsi="Aptos Narrow" w:cs="Times New Roman"/>
                <w:i/>
                <w:color w:val="156082" w:themeColor="accent1"/>
                <w:kern w:val="0"/>
                <w:sz w:val="20"/>
                <w:szCs w:val="20"/>
                <w:lang w:eastAsia="en-AU"/>
                <w14:ligatures w14:val="none"/>
              </w:rPr>
              <w:t xml:space="preserve">Sheep meat </w:t>
            </w:r>
          </w:p>
        </w:tc>
        <w:tc>
          <w:tcPr>
            <w:tcW w:w="909" w:type="dxa"/>
            <w:noWrap/>
            <w:hideMark/>
          </w:tcPr>
          <w:p w14:paraId="63C7650C" w14:textId="77777777" w:rsidR="00A80E4A" w:rsidRPr="00FC5DC8"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r w:rsidRPr="00FC5DC8">
              <w:rPr>
                <w:rFonts w:ascii="Aptos Narrow" w:eastAsia="Times New Roman" w:hAnsi="Aptos Narrow" w:cs="Times New Roman"/>
                <w:i/>
                <w:color w:val="156082" w:themeColor="accent1"/>
                <w:kern w:val="0"/>
                <w:sz w:val="20"/>
                <w:szCs w:val="20"/>
                <w:lang w:eastAsia="en-AU"/>
                <w14:ligatures w14:val="none"/>
              </w:rPr>
              <w:t>Main</w:t>
            </w:r>
          </w:p>
        </w:tc>
        <w:tc>
          <w:tcPr>
            <w:tcW w:w="909" w:type="dxa"/>
          </w:tcPr>
          <w:p w14:paraId="66A7C4D8" w14:textId="4E86E32F" w:rsidR="00A80E4A" w:rsidRPr="00FC5DC8" w:rsidRDefault="00A80E4A" w:rsidP="00B72F66">
            <w:pPr>
              <w:spacing w:after="0" w:line="240" w:lineRule="auto"/>
              <w:rPr>
                <w:rFonts w:ascii="Aptos Narrow" w:eastAsia="Times New Roman" w:hAnsi="Aptos Narrow" w:cs="Times New Roman"/>
                <w:i/>
                <w:color w:val="156082" w:themeColor="accent1"/>
                <w:kern w:val="0"/>
                <w:sz w:val="20"/>
                <w:szCs w:val="20"/>
                <w:lang w:eastAsia="en-AU"/>
                <w14:ligatures w14:val="none"/>
              </w:rPr>
            </w:pPr>
            <w:r w:rsidRPr="00FC5DC8">
              <w:rPr>
                <w:rFonts w:ascii="Aptos Narrow" w:eastAsia="Times New Roman" w:hAnsi="Aptos Narrow" w:cs="Times New Roman"/>
                <w:i/>
                <w:color w:val="156082" w:themeColor="accent1"/>
                <w:kern w:val="0"/>
                <w:sz w:val="20"/>
                <w:szCs w:val="20"/>
                <w:lang w:eastAsia="en-AU"/>
                <w14:ligatures w14:val="none"/>
              </w:rPr>
              <w:t>kg liveweight</w:t>
            </w:r>
          </w:p>
        </w:tc>
        <w:tc>
          <w:tcPr>
            <w:tcW w:w="1105" w:type="dxa"/>
            <w:noWrap/>
            <w:hideMark/>
          </w:tcPr>
          <w:p w14:paraId="737C57CC" w14:textId="18A4002F" w:rsidR="00A80E4A" w:rsidRPr="00FC5DC8"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r w:rsidRPr="00FC5DC8">
              <w:rPr>
                <w:rFonts w:ascii="Aptos Narrow" w:eastAsia="Times New Roman" w:hAnsi="Aptos Narrow" w:cs="Times New Roman"/>
                <w:i/>
                <w:color w:val="156082" w:themeColor="accent1"/>
                <w:kern w:val="0"/>
                <w:sz w:val="20"/>
                <w:szCs w:val="20"/>
                <w:lang w:eastAsia="en-AU"/>
                <w14:ligatures w14:val="none"/>
              </w:rPr>
              <w:t> </w:t>
            </w:r>
          </w:p>
        </w:tc>
        <w:tc>
          <w:tcPr>
            <w:tcW w:w="1134" w:type="dxa"/>
          </w:tcPr>
          <w:p w14:paraId="61AB2226" w14:textId="4DDA24FD" w:rsidR="00A80E4A" w:rsidRPr="00FC5DC8" w:rsidRDefault="001012C2" w:rsidP="00B72F66">
            <w:pPr>
              <w:spacing w:after="0" w:line="240" w:lineRule="auto"/>
              <w:rPr>
                <w:rFonts w:ascii="Aptos Narrow" w:eastAsia="Times New Roman" w:hAnsi="Aptos Narrow" w:cs="Times New Roman"/>
                <w:i/>
                <w:color w:val="156082" w:themeColor="accent1"/>
                <w:kern w:val="0"/>
                <w:sz w:val="20"/>
                <w:szCs w:val="20"/>
                <w:lang w:eastAsia="en-AU"/>
                <w14:ligatures w14:val="none"/>
              </w:rPr>
            </w:pPr>
            <w:r>
              <w:rPr>
                <w:rFonts w:ascii="Aptos Narrow" w:eastAsia="Times New Roman" w:hAnsi="Aptos Narrow" w:cs="Times New Roman"/>
                <w:i/>
                <w:color w:val="156082" w:themeColor="accent1"/>
                <w:kern w:val="0"/>
                <w:sz w:val="20"/>
                <w:szCs w:val="20"/>
                <w:lang w:eastAsia="en-AU"/>
                <w14:ligatures w14:val="none"/>
              </w:rPr>
              <w:t>t</w:t>
            </w:r>
          </w:p>
        </w:tc>
        <w:tc>
          <w:tcPr>
            <w:tcW w:w="1275" w:type="dxa"/>
          </w:tcPr>
          <w:p w14:paraId="6D225B76" w14:textId="18892DB4" w:rsidR="00A80E4A" w:rsidRPr="00FC5DC8" w:rsidRDefault="00A80E4A" w:rsidP="00B72F66">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418" w:type="dxa"/>
          </w:tcPr>
          <w:p w14:paraId="75173B02" w14:textId="64856937" w:rsidR="00A80E4A" w:rsidRPr="00FC5DC8" w:rsidRDefault="00A80E4A" w:rsidP="00B72F66">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633" w:type="dxa"/>
          </w:tcPr>
          <w:p w14:paraId="2EF9DCE5" w14:textId="77777777" w:rsidR="00A80E4A" w:rsidRPr="00FC5DC8"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202" w:type="dxa"/>
          </w:tcPr>
          <w:p w14:paraId="192DB9E1" w14:textId="77777777" w:rsidR="00A80E4A" w:rsidRPr="00FC5DC8"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379" w:type="dxa"/>
          </w:tcPr>
          <w:p w14:paraId="43E3C01C" w14:textId="77777777" w:rsidR="0041422E" w:rsidRPr="00D15E82" w:rsidRDefault="0041422E"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161" w:type="dxa"/>
            <w:noWrap/>
            <w:hideMark/>
          </w:tcPr>
          <w:p w14:paraId="18F6DAE1" w14:textId="416E69F5" w:rsidR="00A80E4A" w:rsidRPr="00FC5DC8"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r w:rsidRPr="00FC5DC8">
              <w:rPr>
                <w:rFonts w:ascii="Aptos Narrow" w:eastAsia="Times New Roman" w:hAnsi="Aptos Narrow" w:cs="Times New Roman"/>
                <w:i/>
                <w:color w:val="156082" w:themeColor="accent1"/>
                <w:kern w:val="0"/>
                <w:sz w:val="20"/>
                <w:szCs w:val="20"/>
                <w:lang w:eastAsia="en-AU"/>
                <w14:ligatures w14:val="none"/>
              </w:rPr>
              <w:t> </w:t>
            </w:r>
          </w:p>
        </w:tc>
        <w:tc>
          <w:tcPr>
            <w:tcW w:w="1288" w:type="dxa"/>
          </w:tcPr>
          <w:p w14:paraId="212F5AC2" w14:textId="77777777" w:rsidR="00A80E4A" w:rsidRPr="00FC5DC8" w:rsidRDefault="00A80E4A" w:rsidP="00D276F5">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r>
      <w:tr w:rsidR="00147235" w:rsidRPr="00371DEF" w14:paraId="2A10F101" w14:textId="77777777" w:rsidTr="00AF6D6D">
        <w:tc>
          <w:tcPr>
            <w:tcW w:w="905" w:type="dxa"/>
            <w:hideMark/>
          </w:tcPr>
          <w:p w14:paraId="1B09EE3B" w14:textId="785C69C2" w:rsidR="00A80E4A" w:rsidRPr="00FC5DC8"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r w:rsidRPr="00FC5DC8">
              <w:rPr>
                <w:rFonts w:ascii="Aptos Narrow" w:eastAsia="Times New Roman" w:hAnsi="Aptos Narrow" w:cs="Times New Roman"/>
                <w:i/>
                <w:color w:val="156082" w:themeColor="accent1"/>
                <w:kern w:val="0"/>
                <w:sz w:val="20"/>
                <w:szCs w:val="20"/>
                <w:lang w:eastAsia="en-AU"/>
                <w14:ligatures w14:val="none"/>
              </w:rPr>
              <w:t>Wool</w:t>
            </w:r>
          </w:p>
        </w:tc>
        <w:tc>
          <w:tcPr>
            <w:tcW w:w="909" w:type="dxa"/>
            <w:noWrap/>
            <w:hideMark/>
          </w:tcPr>
          <w:p w14:paraId="67050B66" w14:textId="5E7753DC" w:rsidR="00A80E4A" w:rsidRPr="00FC5DC8"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r>
              <w:rPr>
                <w:rFonts w:ascii="Aptos Narrow" w:eastAsia="Times New Roman" w:hAnsi="Aptos Narrow" w:cs="Times New Roman"/>
                <w:i/>
                <w:color w:val="156082" w:themeColor="accent1"/>
                <w:kern w:val="0"/>
                <w:sz w:val="20"/>
                <w:szCs w:val="20"/>
                <w:lang w:eastAsia="en-AU"/>
                <w14:ligatures w14:val="none"/>
              </w:rPr>
              <w:t>By</w:t>
            </w:r>
            <w:r w:rsidRPr="00FC5DC8">
              <w:rPr>
                <w:rFonts w:ascii="Aptos Narrow" w:eastAsia="Times New Roman" w:hAnsi="Aptos Narrow" w:cs="Times New Roman"/>
                <w:i/>
                <w:color w:val="156082" w:themeColor="accent1"/>
                <w:kern w:val="0"/>
                <w:sz w:val="20"/>
                <w:szCs w:val="20"/>
                <w:lang w:eastAsia="en-AU"/>
                <w14:ligatures w14:val="none"/>
              </w:rPr>
              <w:t>-product</w:t>
            </w:r>
          </w:p>
        </w:tc>
        <w:tc>
          <w:tcPr>
            <w:tcW w:w="909" w:type="dxa"/>
          </w:tcPr>
          <w:p w14:paraId="69D845CE" w14:textId="3DFC4168" w:rsidR="00A80E4A" w:rsidRPr="00FC5DC8" w:rsidRDefault="00A80E4A" w:rsidP="00B72F66">
            <w:pPr>
              <w:spacing w:after="0" w:line="240" w:lineRule="auto"/>
              <w:rPr>
                <w:rFonts w:ascii="Aptos Narrow" w:eastAsia="Times New Roman" w:hAnsi="Aptos Narrow" w:cs="Times New Roman"/>
                <w:i/>
                <w:color w:val="156082" w:themeColor="accent1"/>
                <w:kern w:val="0"/>
                <w:sz w:val="20"/>
                <w:szCs w:val="20"/>
                <w:lang w:eastAsia="en-AU"/>
                <w14:ligatures w14:val="none"/>
              </w:rPr>
            </w:pPr>
            <w:r w:rsidRPr="00FC5DC8">
              <w:rPr>
                <w:rFonts w:ascii="Aptos Narrow" w:eastAsia="Times New Roman" w:hAnsi="Aptos Narrow" w:cs="Times New Roman"/>
                <w:i/>
                <w:color w:val="156082" w:themeColor="accent1"/>
                <w:kern w:val="0"/>
                <w:sz w:val="20"/>
                <w:szCs w:val="20"/>
                <w:lang w:eastAsia="en-AU"/>
                <w14:ligatures w14:val="none"/>
              </w:rPr>
              <w:t>kg greasy wool</w:t>
            </w:r>
          </w:p>
        </w:tc>
        <w:tc>
          <w:tcPr>
            <w:tcW w:w="1105" w:type="dxa"/>
            <w:noWrap/>
            <w:hideMark/>
          </w:tcPr>
          <w:p w14:paraId="47932A36" w14:textId="23936D63" w:rsidR="00A80E4A" w:rsidRPr="00FC5DC8"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r w:rsidRPr="00FC5DC8">
              <w:rPr>
                <w:rFonts w:ascii="Aptos Narrow" w:eastAsia="Times New Roman" w:hAnsi="Aptos Narrow" w:cs="Times New Roman"/>
                <w:i/>
                <w:color w:val="156082" w:themeColor="accent1"/>
                <w:kern w:val="0"/>
                <w:sz w:val="20"/>
                <w:szCs w:val="20"/>
                <w:lang w:eastAsia="en-AU"/>
                <w14:ligatures w14:val="none"/>
              </w:rPr>
              <w:t> </w:t>
            </w:r>
          </w:p>
        </w:tc>
        <w:tc>
          <w:tcPr>
            <w:tcW w:w="1134" w:type="dxa"/>
          </w:tcPr>
          <w:p w14:paraId="36208B88" w14:textId="7E2527DB" w:rsidR="00A80E4A" w:rsidRPr="00FC5DC8" w:rsidRDefault="001012C2" w:rsidP="00B72F66">
            <w:pPr>
              <w:spacing w:after="0" w:line="240" w:lineRule="auto"/>
              <w:rPr>
                <w:rFonts w:ascii="Aptos Narrow" w:eastAsia="Times New Roman" w:hAnsi="Aptos Narrow" w:cs="Times New Roman"/>
                <w:i/>
                <w:color w:val="156082" w:themeColor="accent1"/>
                <w:kern w:val="0"/>
                <w:sz w:val="20"/>
                <w:szCs w:val="20"/>
                <w:lang w:eastAsia="en-AU"/>
                <w14:ligatures w14:val="none"/>
              </w:rPr>
            </w:pPr>
            <w:r>
              <w:rPr>
                <w:rFonts w:ascii="Aptos Narrow" w:eastAsia="Times New Roman" w:hAnsi="Aptos Narrow" w:cs="Times New Roman"/>
                <w:i/>
                <w:color w:val="156082" w:themeColor="accent1"/>
                <w:kern w:val="0"/>
                <w:sz w:val="20"/>
                <w:szCs w:val="20"/>
                <w:lang w:eastAsia="en-AU"/>
                <w14:ligatures w14:val="none"/>
              </w:rPr>
              <w:t>t</w:t>
            </w:r>
          </w:p>
        </w:tc>
        <w:tc>
          <w:tcPr>
            <w:tcW w:w="1275" w:type="dxa"/>
          </w:tcPr>
          <w:p w14:paraId="383EF41B" w14:textId="361A9DB2" w:rsidR="00A80E4A" w:rsidRPr="00FC5DC8" w:rsidRDefault="00A80E4A" w:rsidP="00B72F66">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418" w:type="dxa"/>
          </w:tcPr>
          <w:p w14:paraId="5FD5C601" w14:textId="75617E80" w:rsidR="00A80E4A" w:rsidRPr="00FC5DC8" w:rsidRDefault="00A80E4A" w:rsidP="00B72F66">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633" w:type="dxa"/>
          </w:tcPr>
          <w:p w14:paraId="50A03D4D" w14:textId="77777777" w:rsidR="00A80E4A" w:rsidRPr="00FC5DC8"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202" w:type="dxa"/>
          </w:tcPr>
          <w:p w14:paraId="28908C96" w14:textId="77777777" w:rsidR="00A80E4A" w:rsidRPr="00FC5DC8"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379" w:type="dxa"/>
          </w:tcPr>
          <w:p w14:paraId="1E78ED99" w14:textId="77777777" w:rsidR="0041422E" w:rsidRPr="00D15E82" w:rsidRDefault="0041422E"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161" w:type="dxa"/>
            <w:noWrap/>
            <w:hideMark/>
          </w:tcPr>
          <w:p w14:paraId="407384A0" w14:textId="548F7499" w:rsidR="00A80E4A" w:rsidRPr="00FC5DC8" w:rsidRDefault="00A80E4A" w:rsidP="00371DEF">
            <w:pPr>
              <w:spacing w:after="0" w:line="240" w:lineRule="auto"/>
              <w:rPr>
                <w:rFonts w:ascii="Aptos Narrow" w:eastAsia="Times New Roman" w:hAnsi="Aptos Narrow" w:cs="Times New Roman"/>
                <w:i/>
                <w:color w:val="156082" w:themeColor="accent1"/>
                <w:kern w:val="0"/>
                <w:sz w:val="20"/>
                <w:szCs w:val="20"/>
                <w:lang w:eastAsia="en-AU"/>
                <w14:ligatures w14:val="none"/>
              </w:rPr>
            </w:pPr>
            <w:r w:rsidRPr="00FC5DC8">
              <w:rPr>
                <w:rFonts w:ascii="Aptos Narrow" w:eastAsia="Times New Roman" w:hAnsi="Aptos Narrow" w:cs="Times New Roman"/>
                <w:i/>
                <w:color w:val="156082" w:themeColor="accent1"/>
                <w:kern w:val="0"/>
                <w:sz w:val="20"/>
                <w:szCs w:val="20"/>
                <w:lang w:eastAsia="en-AU"/>
                <w14:ligatures w14:val="none"/>
              </w:rPr>
              <w:t> </w:t>
            </w:r>
          </w:p>
        </w:tc>
        <w:tc>
          <w:tcPr>
            <w:tcW w:w="1288" w:type="dxa"/>
          </w:tcPr>
          <w:p w14:paraId="57C0DFFE" w14:textId="77777777" w:rsidR="00A80E4A" w:rsidRPr="00FC5DC8" w:rsidRDefault="00A80E4A" w:rsidP="00D276F5">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r>
      <w:tr w:rsidR="00147235" w:rsidRPr="00371DEF" w14:paraId="57C0B4A3" w14:textId="77777777" w:rsidTr="00AF6D6D">
        <w:tc>
          <w:tcPr>
            <w:tcW w:w="905" w:type="dxa"/>
          </w:tcPr>
          <w:p w14:paraId="12803987" w14:textId="226C3D04" w:rsidR="00A80E4A" w:rsidRPr="00FC5DC8" w:rsidRDefault="00A80E4A" w:rsidP="005A271D">
            <w:pPr>
              <w:spacing w:after="0" w:line="240" w:lineRule="auto"/>
              <w:rPr>
                <w:rFonts w:ascii="Aptos Narrow" w:eastAsia="Times New Roman" w:hAnsi="Aptos Narrow" w:cs="Times New Roman"/>
                <w:i/>
                <w:color w:val="156082" w:themeColor="accent1"/>
                <w:kern w:val="0"/>
                <w:sz w:val="20"/>
                <w:szCs w:val="20"/>
                <w:lang w:eastAsia="en-AU"/>
                <w14:ligatures w14:val="none"/>
              </w:rPr>
            </w:pPr>
            <w:r w:rsidRPr="00FC5DC8">
              <w:rPr>
                <w:rFonts w:ascii="Aptos Narrow" w:eastAsia="Times New Roman" w:hAnsi="Aptos Narrow" w:cs="Times New Roman"/>
                <w:i/>
                <w:color w:val="156082" w:themeColor="accent1"/>
                <w:kern w:val="0"/>
                <w:sz w:val="20"/>
                <w:szCs w:val="20"/>
                <w:lang w:eastAsia="en-AU"/>
                <w14:ligatures w14:val="none"/>
              </w:rPr>
              <w:t>Manure (sold as organic fertiliser)</w:t>
            </w:r>
          </w:p>
        </w:tc>
        <w:tc>
          <w:tcPr>
            <w:tcW w:w="909" w:type="dxa"/>
            <w:noWrap/>
          </w:tcPr>
          <w:p w14:paraId="5C2B9DBF" w14:textId="152A32B6" w:rsidR="00A80E4A" w:rsidRDefault="00A939CE" w:rsidP="005A271D">
            <w:pPr>
              <w:spacing w:after="0" w:line="240" w:lineRule="auto"/>
              <w:rPr>
                <w:rFonts w:ascii="Aptos Narrow" w:eastAsia="Times New Roman" w:hAnsi="Aptos Narrow" w:cs="Times New Roman"/>
                <w:i/>
                <w:color w:val="156082" w:themeColor="accent1"/>
                <w:kern w:val="0"/>
                <w:sz w:val="20"/>
                <w:szCs w:val="20"/>
                <w:lang w:eastAsia="en-AU"/>
                <w14:ligatures w14:val="none"/>
              </w:rPr>
            </w:pPr>
            <w:r>
              <w:rPr>
                <w:rFonts w:ascii="Aptos Narrow" w:eastAsia="Times New Roman" w:hAnsi="Aptos Narrow" w:cs="Times New Roman"/>
                <w:i/>
                <w:color w:val="156082" w:themeColor="accent1"/>
                <w:kern w:val="0"/>
                <w:sz w:val="20"/>
                <w:szCs w:val="20"/>
                <w:lang w:eastAsia="en-AU"/>
                <w14:ligatures w14:val="none"/>
              </w:rPr>
              <w:t xml:space="preserve">By-product </w:t>
            </w:r>
          </w:p>
        </w:tc>
        <w:tc>
          <w:tcPr>
            <w:tcW w:w="909" w:type="dxa"/>
          </w:tcPr>
          <w:p w14:paraId="104FA0F3" w14:textId="5B12BFFA" w:rsidR="00A80E4A" w:rsidRPr="00FC5DC8" w:rsidRDefault="00A80E4A" w:rsidP="005A271D">
            <w:pPr>
              <w:spacing w:after="0" w:line="240" w:lineRule="auto"/>
              <w:rPr>
                <w:rFonts w:ascii="Aptos Narrow" w:eastAsia="Times New Roman" w:hAnsi="Aptos Narrow" w:cs="Times New Roman"/>
                <w:i/>
                <w:color w:val="156082" w:themeColor="accent1"/>
                <w:kern w:val="0"/>
                <w:sz w:val="20"/>
                <w:szCs w:val="20"/>
                <w:lang w:eastAsia="en-AU"/>
                <w14:ligatures w14:val="none"/>
              </w:rPr>
            </w:pPr>
            <w:r>
              <w:rPr>
                <w:rFonts w:ascii="Aptos Narrow" w:eastAsia="Times New Roman" w:hAnsi="Aptos Narrow" w:cs="Times New Roman"/>
                <w:i/>
                <w:color w:val="156082" w:themeColor="accent1"/>
                <w:kern w:val="0"/>
                <w:sz w:val="20"/>
                <w:szCs w:val="20"/>
                <w:lang w:eastAsia="en-AU"/>
                <w14:ligatures w14:val="none"/>
              </w:rPr>
              <w:t>kg manure</w:t>
            </w:r>
          </w:p>
        </w:tc>
        <w:tc>
          <w:tcPr>
            <w:tcW w:w="1105" w:type="dxa"/>
            <w:noWrap/>
          </w:tcPr>
          <w:p w14:paraId="59DE47B8" w14:textId="6DAB0C4E" w:rsidR="00A80E4A" w:rsidRPr="00FC5DC8" w:rsidRDefault="00A80E4A" w:rsidP="005A271D">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134" w:type="dxa"/>
          </w:tcPr>
          <w:p w14:paraId="53F9C775" w14:textId="33F23CC7" w:rsidR="00A80E4A" w:rsidRPr="002D41C5" w:rsidDel="005A271D" w:rsidRDefault="00806361" w:rsidP="005A271D">
            <w:pPr>
              <w:spacing w:after="0" w:line="240" w:lineRule="auto"/>
              <w:rPr>
                <w:rFonts w:ascii="Aptos Narrow" w:eastAsia="Times New Roman" w:hAnsi="Aptos Narrow" w:cs="Times New Roman"/>
                <w:i/>
                <w:color w:val="156082" w:themeColor="accent1"/>
                <w:kern w:val="0"/>
                <w:sz w:val="20"/>
                <w:szCs w:val="20"/>
                <w:lang w:eastAsia="en-AU"/>
                <w14:ligatures w14:val="none"/>
              </w:rPr>
            </w:pPr>
            <w:r>
              <w:rPr>
                <w:rFonts w:ascii="Aptos Narrow" w:eastAsia="Times New Roman" w:hAnsi="Aptos Narrow" w:cs="Times New Roman"/>
                <w:i/>
                <w:color w:val="156082" w:themeColor="accent1"/>
                <w:kern w:val="0"/>
                <w:sz w:val="20"/>
                <w:szCs w:val="20"/>
                <w:lang w:eastAsia="en-AU"/>
                <w14:ligatures w14:val="none"/>
              </w:rPr>
              <w:t>t</w:t>
            </w:r>
          </w:p>
        </w:tc>
        <w:tc>
          <w:tcPr>
            <w:tcW w:w="1275" w:type="dxa"/>
          </w:tcPr>
          <w:p w14:paraId="3F723596" w14:textId="6A90E3CD" w:rsidR="00A80E4A" w:rsidRPr="00FC5DC8" w:rsidRDefault="00F825C0" w:rsidP="005A271D">
            <w:pPr>
              <w:spacing w:after="0" w:line="240" w:lineRule="auto"/>
              <w:rPr>
                <w:rFonts w:ascii="Aptos Narrow" w:eastAsia="Times New Roman" w:hAnsi="Aptos Narrow" w:cs="Times New Roman"/>
                <w:i/>
                <w:color w:val="156082" w:themeColor="accent1"/>
                <w:kern w:val="0"/>
                <w:sz w:val="20"/>
                <w:szCs w:val="20"/>
                <w:lang w:eastAsia="en-AU"/>
                <w14:ligatures w14:val="none"/>
              </w:rPr>
            </w:pPr>
            <w:r>
              <w:rPr>
                <w:rFonts w:ascii="Aptos Narrow" w:eastAsia="Times New Roman" w:hAnsi="Aptos Narrow" w:cs="Times New Roman"/>
                <w:i/>
                <w:color w:val="156082" w:themeColor="accent1"/>
                <w:kern w:val="0"/>
                <w:sz w:val="20"/>
                <w:szCs w:val="20"/>
                <w:lang w:eastAsia="en-AU"/>
                <w14:ligatures w14:val="none"/>
              </w:rPr>
              <w:t>NA</w:t>
            </w:r>
          </w:p>
        </w:tc>
        <w:tc>
          <w:tcPr>
            <w:tcW w:w="1418" w:type="dxa"/>
          </w:tcPr>
          <w:p w14:paraId="1B7E89DF" w14:textId="3411D609" w:rsidR="00A80E4A" w:rsidRPr="00FC5DC8" w:rsidRDefault="00A80E4A" w:rsidP="005A271D">
            <w:pPr>
              <w:spacing w:after="0" w:line="240" w:lineRule="auto"/>
              <w:rPr>
                <w:rFonts w:ascii="Aptos Narrow" w:eastAsia="Times New Roman" w:hAnsi="Aptos Narrow" w:cs="Times New Roman"/>
                <w:i/>
                <w:color w:val="156082" w:themeColor="accent1"/>
                <w:kern w:val="0"/>
                <w:sz w:val="20"/>
                <w:szCs w:val="20"/>
                <w:lang w:eastAsia="en-AU"/>
                <w14:ligatures w14:val="none"/>
              </w:rPr>
            </w:pPr>
            <w:r w:rsidRPr="002D41C5">
              <w:rPr>
                <w:rFonts w:ascii="Aptos Narrow" w:eastAsia="Times New Roman" w:hAnsi="Aptos Narrow" w:cs="Times New Roman"/>
                <w:i/>
                <w:color w:val="156082" w:themeColor="accent1"/>
                <w:kern w:val="0"/>
                <w:sz w:val="20"/>
                <w:szCs w:val="20"/>
                <w:lang w:eastAsia="en-AU"/>
                <w14:ligatures w14:val="none"/>
              </w:rPr>
              <w:t>NA</w:t>
            </w:r>
          </w:p>
        </w:tc>
        <w:tc>
          <w:tcPr>
            <w:tcW w:w="1633" w:type="dxa"/>
          </w:tcPr>
          <w:p w14:paraId="607BE356" w14:textId="0EE82505" w:rsidR="00A80E4A" w:rsidRPr="00FC5DC8" w:rsidRDefault="00A80E4A" w:rsidP="005A271D">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202" w:type="dxa"/>
          </w:tcPr>
          <w:p w14:paraId="1BCB9113" w14:textId="77777777" w:rsidR="00A80E4A" w:rsidRPr="00FC5DC8" w:rsidRDefault="00A80E4A" w:rsidP="005A271D">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379" w:type="dxa"/>
          </w:tcPr>
          <w:p w14:paraId="2B7D5B92" w14:textId="77777777" w:rsidR="0041422E" w:rsidRPr="00D15E82" w:rsidRDefault="0041422E" w:rsidP="005A271D">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161" w:type="dxa"/>
            <w:noWrap/>
          </w:tcPr>
          <w:p w14:paraId="0BCD4458" w14:textId="601F4A97" w:rsidR="00A80E4A" w:rsidRPr="00FC5DC8" w:rsidRDefault="00A80E4A" w:rsidP="005A271D">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c>
          <w:tcPr>
            <w:tcW w:w="1288" w:type="dxa"/>
          </w:tcPr>
          <w:p w14:paraId="5CC39F3C" w14:textId="7AE0ED6E" w:rsidR="00A80E4A" w:rsidRPr="00FC5DC8" w:rsidRDefault="00A80E4A" w:rsidP="005A271D">
            <w:pPr>
              <w:spacing w:after="0" w:line="240" w:lineRule="auto"/>
              <w:rPr>
                <w:rFonts w:ascii="Aptos Narrow" w:eastAsia="Times New Roman" w:hAnsi="Aptos Narrow" w:cs="Times New Roman"/>
                <w:i/>
                <w:color w:val="156082" w:themeColor="accent1"/>
                <w:kern w:val="0"/>
                <w:sz w:val="20"/>
                <w:szCs w:val="20"/>
                <w:lang w:eastAsia="en-AU"/>
                <w14:ligatures w14:val="none"/>
              </w:rPr>
            </w:pPr>
          </w:p>
        </w:tc>
      </w:tr>
    </w:tbl>
    <w:p w14:paraId="3B3BB8FD" w14:textId="6E8E33B1" w:rsidR="00371DEF" w:rsidRPr="00D15E82" w:rsidRDefault="00960FB8" w:rsidP="00371DEF">
      <w:pPr>
        <w:rPr>
          <w:sz w:val="18"/>
          <w:szCs w:val="18"/>
        </w:rPr>
      </w:pPr>
      <w:r w:rsidRPr="00D15E82">
        <w:rPr>
          <w:sz w:val="18"/>
          <w:szCs w:val="18"/>
        </w:rPr>
        <w:t>(a) Removal</w:t>
      </w:r>
      <w:r w:rsidR="00460BD3" w:rsidRPr="00D15E82">
        <w:rPr>
          <w:sz w:val="18"/>
          <w:szCs w:val="18"/>
        </w:rPr>
        <w:t>s</w:t>
      </w:r>
      <w:r w:rsidRPr="00D15E82">
        <w:rPr>
          <w:sz w:val="18"/>
          <w:szCs w:val="18"/>
        </w:rPr>
        <w:t xml:space="preserve"> </w:t>
      </w:r>
      <w:r w:rsidR="00AF34FA" w:rsidRPr="00D15E82">
        <w:rPr>
          <w:sz w:val="18"/>
          <w:szCs w:val="18"/>
        </w:rPr>
        <w:t>should be</w:t>
      </w:r>
      <w:r w:rsidRPr="00D15E82">
        <w:rPr>
          <w:sz w:val="18"/>
          <w:szCs w:val="18"/>
        </w:rPr>
        <w:t xml:space="preserve"> e</w:t>
      </w:r>
      <w:r w:rsidR="00D81208" w:rsidRPr="00D15E82">
        <w:rPr>
          <w:sz w:val="18"/>
          <w:szCs w:val="18"/>
        </w:rPr>
        <w:t>xpress</w:t>
      </w:r>
      <w:r w:rsidR="00AF34FA" w:rsidRPr="00D15E82">
        <w:rPr>
          <w:sz w:val="18"/>
          <w:szCs w:val="18"/>
        </w:rPr>
        <w:t>ed</w:t>
      </w:r>
      <w:r w:rsidR="00D81208" w:rsidRPr="00D15E82">
        <w:rPr>
          <w:sz w:val="18"/>
          <w:szCs w:val="18"/>
        </w:rPr>
        <w:t xml:space="preserve"> as a negative number</w:t>
      </w:r>
    </w:p>
    <w:p w14:paraId="224E88A5" w14:textId="77777777" w:rsidR="005D7244" w:rsidRDefault="005D7244">
      <w:pPr>
        <w:rPr>
          <w:rFonts w:eastAsiaTheme="majorEastAsia" w:cstheme="majorBidi"/>
          <w:color w:val="0F4761" w:themeColor="accent1" w:themeShade="BF"/>
          <w:sz w:val="28"/>
          <w:szCs w:val="28"/>
        </w:rPr>
      </w:pPr>
      <w:r>
        <w:br w:type="page"/>
      </w:r>
    </w:p>
    <w:p w14:paraId="4F16A6A1" w14:textId="038F2E80" w:rsidR="00446DBE" w:rsidRPr="00446DBE" w:rsidRDefault="00F72A5F" w:rsidP="0032040D">
      <w:pPr>
        <w:pStyle w:val="Heading3"/>
        <w:numPr>
          <w:ilvl w:val="0"/>
          <w:numId w:val="0"/>
        </w:numPr>
      </w:pPr>
      <w:r>
        <w:lastRenderedPageBreak/>
        <w:t xml:space="preserve">Emissions and </w:t>
      </w:r>
      <w:r w:rsidR="008D4F41">
        <w:t>r</w:t>
      </w:r>
      <w:r>
        <w:t>emovals by process</w:t>
      </w:r>
      <w:r w:rsidDel="000648D2">
        <w:t xml:space="preserve"> </w:t>
      </w:r>
    </w:p>
    <w:p w14:paraId="43563A06" w14:textId="14660C0D" w:rsidR="00CD6E05" w:rsidRPr="000942AA" w:rsidRDefault="00CD6E05" w:rsidP="00CD6E05">
      <w:r>
        <w:t>[</w:t>
      </w:r>
      <w:r w:rsidR="00D63C7A">
        <w:t>P</w:t>
      </w:r>
      <w:r>
        <w:t>repare separate table for each stage if applicable</w:t>
      </w:r>
      <w:r w:rsidR="000300B5">
        <w:t>.  Add additional columns if multiple</w:t>
      </w:r>
      <w:r w:rsidR="00D63C7A">
        <w:t xml:space="preserve"> main products, by</w:t>
      </w:r>
      <w:r w:rsidR="00804311">
        <w:t>-products</w:t>
      </w:r>
      <w:r w:rsidR="00D63C7A">
        <w:t xml:space="preserve"> or residues</w:t>
      </w:r>
      <w:r>
        <w:t>]</w:t>
      </w:r>
    </w:p>
    <w:tbl>
      <w:tblPr>
        <w:tblW w:w="145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11624"/>
      </w:tblGrid>
      <w:tr w:rsidR="00A1131B" w:rsidRPr="00446DBE" w14:paraId="64195A08" w14:textId="77777777" w:rsidTr="00A839E3">
        <w:trPr>
          <w:trHeight w:val="290"/>
        </w:trPr>
        <w:tc>
          <w:tcPr>
            <w:tcW w:w="2967" w:type="dxa"/>
            <w:shd w:val="clear" w:color="000000" w:fill="E8E8E8"/>
            <w:vAlign w:val="center"/>
          </w:tcPr>
          <w:p w14:paraId="02274FF1" w14:textId="12BF6E42" w:rsidR="00A1131B" w:rsidRPr="00446DBE" w:rsidRDefault="00D728C6">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Sy</w:t>
            </w:r>
            <w:r w:rsidR="00C426CC">
              <w:rPr>
                <w:rFonts w:ascii="Aptos Narrow" w:eastAsia="Times New Roman" w:hAnsi="Aptos Narrow" w:cs="Times New Roman"/>
                <w:b/>
                <w:bCs/>
                <w:color w:val="000000"/>
                <w:kern w:val="0"/>
                <w:lang w:eastAsia="en-AU"/>
                <w14:ligatures w14:val="none"/>
              </w:rPr>
              <w:t>s</w:t>
            </w:r>
            <w:r>
              <w:rPr>
                <w:rFonts w:ascii="Aptos Narrow" w:eastAsia="Times New Roman" w:hAnsi="Aptos Narrow" w:cs="Times New Roman"/>
                <w:b/>
                <w:bCs/>
                <w:color w:val="000000"/>
                <w:kern w:val="0"/>
                <w:lang w:eastAsia="en-AU"/>
                <w14:ligatures w14:val="none"/>
              </w:rPr>
              <w:t>tem</w:t>
            </w:r>
            <w:r w:rsidR="008C2372">
              <w:rPr>
                <w:rFonts w:ascii="Aptos Narrow" w:eastAsia="Times New Roman" w:hAnsi="Aptos Narrow" w:cs="Times New Roman"/>
                <w:b/>
                <w:bCs/>
                <w:color w:val="000000"/>
                <w:kern w:val="0"/>
                <w:lang w:eastAsia="en-AU"/>
                <w14:ligatures w14:val="none"/>
              </w:rPr>
              <w:t xml:space="preserve"> b</w:t>
            </w:r>
            <w:r>
              <w:rPr>
                <w:rFonts w:ascii="Aptos Narrow" w:eastAsia="Times New Roman" w:hAnsi="Aptos Narrow" w:cs="Times New Roman"/>
                <w:b/>
                <w:bCs/>
                <w:color w:val="000000"/>
                <w:kern w:val="0"/>
                <w:lang w:eastAsia="en-AU"/>
                <w14:ligatures w14:val="none"/>
              </w:rPr>
              <w:t xml:space="preserve">oundary </w:t>
            </w:r>
            <w:r w:rsidR="008C2372">
              <w:rPr>
                <w:rFonts w:ascii="Aptos Narrow" w:eastAsia="Times New Roman" w:hAnsi="Aptos Narrow" w:cs="Times New Roman"/>
                <w:b/>
                <w:bCs/>
                <w:color w:val="000000"/>
                <w:kern w:val="0"/>
                <w:lang w:eastAsia="en-AU"/>
                <w14:ligatures w14:val="none"/>
              </w:rPr>
              <w:t>s</w:t>
            </w:r>
            <w:r w:rsidR="00A1131B">
              <w:rPr>
                <w:rFonts w:ascii="Aptos Narrow" w:eastAsia="Times New Roman" w:hAnsi="Aptos Narrow" w:cs="Times New Roman"/>
                <w:b/>
                <w:bCs/>
                <w:color w:val="000000"/>
                <w:kern w:val="0"/>
                <w:lang w:eastAsia="en-AU"/>
                <w14:ligatures w14:val="none"/>
              </w:rPr>
              <w:t>tage</w:t>
            </w:r>
          </w:p>
        </w:tc>
        <w:tc>
          <w:tcPr>
            <w:tcW w:w="11624" w:type="dxa"/>
          </w:tcPr>
          <w:p w14:paraId="3932920A" w14:textId="01CDDB48" w:rsidR="00A1131B" w:rsidRPr="00446DBE" w:rsidRDefault="00A1131B">
            <w:pPr>
              <w:spacing w:after="0" w:line="240" w:lineRule="auto"/>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i/>
                <w:iCs/>
                <w:color w:val="156082"/>
                <w:kern w:val="0"/>
                <w:lang w:eastAsia="en-AU"/>
                <w14:ligatures w14:val="none"/>
              </w:rPr>
              <w:t>Eg Cradle-to-gate, gate-to-factory gate, gate-to-point-of-first-sale</w:t>
            </w:r>
          </w:p>
        </w:tc>
      </w:tr>
    </w:tbl>
    <w:p w14:paraId="2AFD185B" w14:textId="77777777" w:rsidR="00D65C8A" w:rsidRDefault="00D65C8A" w:rsidP="00DE1F33">
      <w:pPr>
        <w:spacing w:after="0"/>
      </w:pPr>
    </w:p>
    <w:tbl>
      <w:tblPr>
        <w:tblW w:w="145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0"/>
        <w:gridCol w:w="1134"/>
        <w:gridCol w:w="1134"/>
        <w:gridCol w:w="1134"/>
        <w:gridCol w:w="992"/>
        <w:gridCol w:w="1412"/>
        <w:gridCol w:w="1368"/>
        <w:gridCol w:w="5017"/>
      </w:tblGrid>
      <w:tr w:rsidR="005134E1" w:rsidRPr="00446DBE" w14:paraId="42C2DAE4" w14:textId="77777777" w:rsidTr="00A839E3">
        <w:trPr>
          <w:trHeight w:val="290"/>
          <w:tblHeader/>
        </w:trPr>
        <w:tc>
          <w:tcPr>
            <w:tcW w:w="2400" w:type="dxa"/>
            <w:vMerge w:val="restart"/>
            <w:shd w:val="clear" w:color="000000" w:fill="E8E8E8"/>
            <w:vAlign w:val="center"/>
          </w:tcPr>
          <w:p w14:paraId="4E630644" w14:textId="627F4333" w:rsidR="001C4B17" w:rsidRPr="0004075A" w:rsidRDefault="001C4B17" w:rsidP="00BB19A8">
            <w:pPr>
              <w:spacing w:after="0" w:line="240" w:lineRule="auto"/>
              <w:jc w:val="center"/>
              <w:rPr>
                <w:rFonts w:ascii="Aptos Narrow" w:eastAsia="Times New Roman" w:hAnsi="Aptos Narrow" w:cs="Times New Roman"/>
                <w:b/>
                <w:bCs/>
                <w:color w:val="000000"/>
                <w:kern w:val="0"/>
                <w:sz w:val="20"/>
                <w:szCs w:val="20"/>
                <w:lang w:eastAsia="en-AU"/>
                <w14:ligatures w14:val="none"/>
              </w:rPr>
            </w:pPr>
            <w:r w:rsidRPr="0004075A">
              <w:rPr>
                <w:rFonts w:ascii="Aptos Narrow" w:eastAsia="Times New Roman" w:hAnsi="Aptos Narrow" w:cs="Times New Roman"/>
                <w:b/>
                <w:bCs/>
                <w:color w:val="000000"/>
                <w:kern w:val="0"/>
                <w:sz w:val="20"/>
                <w:szCs w:val="20"/>
                <w:lang w:eastAsia="en-AU"/>
                <w14:ligatures w14:val="none"/>
              </w:rPr>
              <w:t>Process (module)</w:t>
            </w:r>
          </w:p>
        </w:tc>
        <w:tc>
          <w:tcPr>
            <w:tcW w:w="1134" w:type="dxa"/>
            <w:vMerge w:val="restart"/>
            <w:shd w:val="clear" w:color="000000" w:fill="E8E8E8"/>
            <w:vAlign w:val="center"/>
          </w:tcPr>
          <w:p w14:paraId="47F45072" w14:textId="4DE72421" w:rsidR="001C4B17" w:rsidRPr="0004075A" w:rsidRDefault="001C4B17" w:rsidP="00BB19A8">
            <w:pPr>
              <w:spacing w:after="0" w:line="240" w:lineRule="auto"/>
              <w:jc w:val="center"/>
              <w:rPr>
                <w:rFonts w:ascii="Aptos Narrow" w:eastAsia="Times New Roman" w:hAnsi="Aptos Narrow" w:cs="Times New Roman"/>
                <w:b/>
                <w:bCs/>
                <w:color w:val="000000"/>
                <w:kern w:val="0"/>
                <w:sz w:val="20"/>
                <w:szCs w:val="20"/>
                <w:lang w:eastAsia="en-AU"/>
                <w14:ligatures w14:val="none"/>
              </w:rPr>
            </w:pPr>
            <w:r w:rsidRPr="0004075A">
              <w:rPr>
                <w:rFonts w:ascii="Aptos Narrow" w:eastAsia="Times New Roman" w:hAnsi="Aptos Narrow" w:cs="Times New Roman"/>
                <w:b/>
                <w:bCs/>
                <w:color w:val="000000"/>
                <w:kern w:val="0"/>
                <w:sz w:val="20"/>
                <w:szCs w:val="20"/>
                <w:lang w:eastAsia="en-AU"/>
                <w14:ligatures w14:val="none"/>
              </w:rPr>
              <w:t>Scope</w:t>
            </w:r>
          </w:p>
        </w:tc>
        <w:tc>
          <w:tcPr>
            <w:tcW w:w="1134" w:type="dxa"/>
            <w:shd w:val="clear" w:color="auto" w:fill="E8E8E8" w:themeFill="background2"/>
          </w:tcPr>
          <w:p w14:paraId="562383B0" w14:textId="77777777" w:rsidR="0099028B" w:rsidRPr="005A10B0" w:rsidRDefault="0099028B" w:rsidP="0099028B">
            <w:pPr>
              <w:spacing w:after="0" w:line="240" w:lineRule="auto"/>
              <w:jc w:val="center"/>
              <w:rPr>
                <w:rFonts w:ascii="Aptos Narrow" w:eastAsia="Times New Roman" w:hAnsi="Aptos Narrow" w:cs="Times New Roman"/>
                <w:b/>
                <w:bCs/>
                <w:color w:val="000000"/>
                <w:kern w:val="0"/>
                <w:sz w:val="20"/>
                <w:szCs w:val="20"/>
                <w:lang w:eastAsia="en-AU"/>
                <w14:ligatures w14:val="none"/>
              </w:rPr>
            </w:pPr>
            <w:r w:rsidRPr="005A10B0">
              <w:rPr>
                <w:rFonts w:ascii="Aptos Narrow" w:eastAsia="Times New Roman" w:hAnsi="Aptos Narrow" w:cs="Times New Roman"/>
                <w:b/>
                <w:bCs/>
                <w:color w:val="000000"/>
                <w:kern w:val="0"/>
                <w:sz w:val="20"/>
                <w:szCs w:val="20"/>
                <w:lang w:eastAsia="en-AU"/>
                <w14:ligatures w14:val="none"/>
              </w:rPr>
              <w:t>Main Product Emissions</w:t>
            </w:r>
          </w:p>
          <w:p w14:paraId="5A96012A" w14:textId="2B7FD9B2" w:rsidR="0099028B" w:rsidRPr="005A10B0" w:rsidRDefault="0099028B" w:rsidP="0099028B">
            <w:pPr>
              <w:spacing w:after="0" w:line="240" w:lineRule="auto"/>
              <w:jc w:val="center"/>
              <w:rPr>
                <w:rFonts w:ascii="Aptos Narrow" w:eastAsia="Times New Roman" w:hAnsi="Aptos Narrow" w:cs="Times New Roman"/>
                <w:b/>
                <w:bCs/>
                <w:color w:val="000000"/>
                <w:kern w:val="0"/>
                <w:sz w:val="20"/>
                <w:szCs w:val="20"/>
                <w:lang w:eastAsia="en-AU"/>
                <w14:ligatures w14:val="none"/>
              </w:rPr>
            </w:pPr>
            <w:r w:rsidRPr="005A10B0">
              <w:rPr>
                <w:rFonts w:ascii="Aptos Narrow" w:eastAsia="Times New Roman" w:hAnsi="Aptos Narrow" w:cs="Times New Roman"/>
                <w:b/>
                <w:bCs/>
                <w:color w:val="000000"/>
                <w:kern w:val="0"/>
                <w:sz w:val="20"/>
                <w:szCs w:val="20"/>
                <w:lang w:eastAsia="en-AU"/>
                <w14:ligatures w14:val="none"/>
              </w:rPr>
              <w:t xml:space="preserve">(t </w:t>
            </w:r>
            <w:proofErr w:type="spellStart"/>
            <w:r w:rsidRPr="005A10B0">
              <w:rPr>
                <w:rFonts w:ascii="Aptos Narrow" w:eastAsia="Times New Roman" w:hAnsi="Aptos Narrow" w:cs="Times New Roman"/>
                <w:b/>
                <w:bCs/>
                <w:color w:val="000000"/>
                <w:kern w:val="0"/>
                <w:sz w:val="20"/>
                <w:szCs w:val="20"/>
                <w:lang w:eastAsia="en-AU"/>
                <w14:ligatures w14:val="none"/>
              </w:rPr>
              <w:t>CO₂e</w:t>
            </w:r>
            <w:proofErr w:type="spellEnd"/>
            <w:r w:rsidRPr="005A10B0">
              <w:rPr>
                <w:rFonts w:ascii="Aptos Narrow" w:eastAsia="Times New Roman" w:hAnsi="Aptos Narrow" w:cs="Times New Roman"/>
                <w:b/>
                <w:bCs/>
                <w:color w:val="000000"/>
                <w:kern w:val="0"/>
                <w:sz w:val="20"/>
                <w:szCs w:val="20"/>
                <w:lang w:eastAsia="en-AU"/>
                <w14:ligatures w14:val="none"/>
              </w:rPr>
              <w:t>)</w:t>
            </w:r>
          </w:p>
        </w:tc>
        <w:tc>
          <w:tcPr>
            <w:tcW w:w="1134" w:type="dxa"/>
            <w:shd w:val="clear" w:color="auto" w:fill="E8E8E8" w:themeFill="background2"/>
          </w:tcPr>
          <w:p w14:paraId="5D445C86" w14:textId="74361A25" w:rsidR="00CD37A8" w:rsidRPr="0004075A" w:rsidRDefault="001C4B17" w:rsidP="00BB19A8">
            <w:pPr>
              <w:spacing w:after="0" w:line="240" w:lineRule="auto"/>
              <w:jc w:val="center"/>
              <w:rPr>
                <w:rFonts w:ascii="Aptos Narrow" w:eastAsia="Times New Roman" w:hAnsi="Aptos Narrow" w:cs="Times New Roman"/>
                <w:b/>
                <w:bCs/>
                <w:color w:val="000000"/>
                <w:kern w:val="0"/>
                <w:sz w:val="20"/>
                <w:szCs w:val="20"/>
                <w:lang w:eastAsia="en-AU"/>
                <w14:ligatures w14:val="none"/>
              </w:rPr>
            </w:pPr>
            <w:r w:rsidRPr="0004075A">
              <w:rPr>
                <w:rFonts w:ascii="Aptos Narrow" w:eastAsia="Times New Roman" w:hAnsi="Aptos Narrow" w:cs="Times New Roman"/>
                <w:b/>
                <w:bCs/>
                <w:color w:val="000000"/>
                <w:kern w:val="0"/>
                <w:sz w:val="20"/>
                <w:szCs w:val="20"/>
                <w:lang w:eastAsia="en-AU"/>
                <w14:ligatures w14:val="none"/>
              </w:rPr>
              <w:t>Main Product Emissions</w:t>
            </w:r>
          </w:p>
          <w:p w14:paraId="708B47CE" w14:textId="1DC3504D" w:rsidR="001C4B17" w:rsidRPr="0004075A" w:rsidRDefault="001C4B17" w:rsidP="00BB19A8">
            <w:pPr>
              <w:spacing w:after="0" w:line="240" w:lineRule="auto"/>
              <w:jc w:val="center"/>
              <w:rPr>
                <w:rFonts w:ascii="Aptos Narrow" w:eastAsia="Times New Roman" w:hAnsi="Aptos Narrow" w:cs="Times New Roman"/>
                <w:b/>
                <w:bCs/>
                <w:color w:val="000000"/>
                <w:kern w:val="0"/>
                <w:sz w:val="20"/>
                <w:szCs w:val="20"/>
                <w:lang w:eastAsia="en-AU"/>
                <w14:ligatures w14:val="none"/>
              </w:rPr>
            </w:pPr>
            <w:r w:rsidRPr="0004075A">
              <w:rPr>
                <w:rFonts w:ascii="Aptos Narrow" w:eastAsia="Times New Roman" w:hAnsi="Aptos Narrow" w:cs="Times New Roman"/>
                <w:b/>
                <w:bCs/>
                <w:color w:val="000000"/>
                <w:kern w:val="0"/>
                <w:sz w:val="20"/>
                <w:szCs w:val="20"/>
                <w:lang w:eastAsia="en-AU"/>
                <w14:ligatures w14:val="none"/>
              </w:rPr>
              <w:t xml:space="preserve">(t </w:t>
            </w:r>
            <w:proofErr w:type="spellStart"/>
            <w:r w:rsidRPr="0004075A">
              <w:rPr>
                <w:rFonts w:ascii="Aptos Narrow" w:eastAsia="Times New Roman" w:hAnsi="Aptos Narrow" w:cs="Times New Roman"/>
                <w:b/>
                <w:bCs/>
                <w:color w:val="000000"/>
                <w:kern w:val="0"/>
                <w:sz w:val="20"/>
                <w:szCs w:val="20"/>
                <w:lang w:eastAsia="en-AU"/>
                <w14:ligatures w14:val="none"/>
              </w:rPr>
              <w:t>CO₂e</w:t>
            </w:r>
            <w:proofErr w:type="spellEnd"/>
            <w:r w:rsidRPr="0004075A">
              <w:rPr>
                <w:rFonts w:ascii="Aptos Narrow" w:eastAsia="Times New Roman" w:hAnsi="Aptos Narrow" w:cs="Times New Roman"/>
                <w:b/>
                <w:bCs/>
                <w:color w:val="000000"/>
                <w:kern w:val="0"/>
                <w:sz w:val="20"/>
                <w:szCs w:val="20"/>
                <w:lang w:eastAsia="en-AU"/>
                <w14:ligatures w14:val="none"/>
              </w:rPr>
              <w:t>)</w:t>
            </w:r>
          </w:p>
        </w:tc>
        <w:tc>
          <w:tcPr>
            <w:tcW w:w="992" w:type="dxa"/>
            <w:shd w:val="clear" w:color="auto" w:fill="E8E8E8" w:themeFill="background2"/>
            <w:vAlign w:val="center"/>
          </w:tcPr>
          <w:p w14:paraId="33000F97" w14:textId="0A1F9217" w:rsidR="00CD37A8" w:rsidRPr="0004075A" w:rsidRDefault="001C4B17" w:rsidP="00BB19A8">
            <w:pPr>
              <w:spacing w:after="0" w:line="240" w:lineRule="auto"/>
              <w:jc w:val="center"/>
              <w:rPr>
                <w:rFonts w:ascii="Aptos Narrow" w:eastAsia="Times New Roman" w:hAnsi="Aptos Narrow" w:cs="Times New Roman"/>
                <w:b/>
                <w:bCs/>
                <w:color w:val="000000"/>
                <w:kern w:val="0"/>
                <w:sz w:val="20"/>
                <w:szCs w:val="20"/>
                <w:lang w:eastAsia="en-AU"/>
                <w14:ligatures w14:val="none"/>
              </w:rPr>
            </w:pPr>
            <w:r w:rsidRPr="0004075A">
              <w:rPr>
                <w:rFonts w:ascii="Aptos Narrow" w:eastAsia="Times New Roman" w:hAnsi="Aptos Narrow" w:cs="Times New Roman"/>
                <w:b/>
                <w:bCs/>
                <w:color w:val="000000"/>
                <w:kern w:val="0"/>
                <w:sz w:val="20"/>
                <w:szCs w:val="20"/>
                <w:lang w:eastAsia="en-AU"/>
                <w14:ligatures w14:val="none"/>
              </w:rPr>
              <w:t xml:space="preserve">By-product </w:t>
            </w:r>
            <w:r w:rsidR="00C52E0A" w:rsidRPr="0004075A">
              <w:rPr>
                <w:rFonts w:ascii="Aptos Narrow" w:eastAsia="Times New Roman" w:hAnsi="Aptos Narrow" w:cs="Times New Roman"/>
                <w:b/>
                <w:bCs/>
                <w:color w:val="000000"/>
                <w:kern w:val="0"/>
                <w:sz w:val="20"/>
                <w:szCs w:val="20"/>
                <w:lang w:eastAsia="en-AU"/>
                <w14:ligatures w14:val="none"/>
              </w:rPr>
              <w:t>Emissions</w:t>
            </w:r>
          </w:p>
          <w:p w14:paraId="753F36E2" w14:textId="68EC4FC5" w:rsidR="001C4B17" w:rsidRPr="0004075A" w:rsidRDefault="001C4B17" w:rsidP="00BB19A8">
            <w:pPr>
              <w:spacing w:after="0" w:line="240" w:lineRule="auto"/>
              <w:jc w:val="center"/>
              <w:rPr>
                <w:rFonts w:ascii="Aptos Narrow" w:eastAsia="Times New Roman" w:hAnsi="Aptos Narrow" w:cs="Times New Roman"/>
                <w:b/>
                <w:bCs/>
                <w:color w:val="000000"/>
                <w:kern w:val="0"/>
                <w:sz w:val="20"/>
                <w:szCs w:val="20"/>
                <w:lang w:eastAsia="en-AU"/>
                <w14:ligatures w14:val="none"/>
              </w:rPr>
            </w:pPr>
            <w:r w:rsidRPr="0004075A">
              <w:rPr>
                <w:rFonts w:ascii="Aptos Narrow" w:eastAsia="Times New Roman" w:hAnsi="Aptos Narrow" w:cs="Times New Roman"/>
                <w:b/>
                <w:bCs/>
                <w:color w:val="000000"/>
                <w:kern w:val="0"/>
                <w:sz w:val="20"/>
                <w:szCs w:val="20"/>
                <w:lang w:eastAsia="en-AU"/>
                <w14:ligatures w14:val="none"/>
              </w:rPr>
              <w:t xml:space="preserve">(t </w:t>
            </w:r>
            <w:proofErr w:type="spellStart"/>
            <w:r w:rsidRPr="0004075A">
              <w:rPr>
                <w:rFonts w:ascii="Aptos Narrow" w:eastAsia="Times New Roman" w:hAnsi="Aptos Narrow" w:cs="Times New Roman"/>
                <w:b/>
                <w:bCs/>
                <w:color w:val="000000"/>
                <w:kern w:val="0"/>
                <w:sz w:val="20"/>
                <w:szCs w:val="20"/>
                <w:lang w:eastAsia="en-AU"/>
                <w14:ligatures w14:val="none"/>
              </w:rPr>
              <w:t>CO₂e</w:t>
            </w:r>
            <w:proofErr w:type="spellEnd"/>
            <w:r w:rsidRPr="0004075A">
              <w:rPr>
                <w:rFonts w:ascii="Aptos Narrow" w:eastAsia="Times New Roman" w:hAnsi="Aptos Narrow" w:cs="Times New Roman"/>
                <w:b/>
                <w:bCs/>
                <w:color w:val="000000"/>
                <w:kern w:val="0"/>
                <w:sz w:val="20"/>
                <w:szCs w:val="20"/>
                <w:lang w:eastAsia="en-AU"/>
                <w14:ligatures w14:val="none"/>
              </w:rPr>
              <w:t>)</w:t>
            </w:r>
          </w:p>
        </w:tc>
        <w:tc>
          <w:tcPr>
            <w:tcW w:w="1412" w:type="dxa"/>
            <w:shd w:val="clear" w:color="auto" w:fill="E8E8E8" w:themeFill="background2"/>
          </w:tcPr>
          <w:p w14:paraId="18D59CB1" w14:textId="35DD695B" w:rsidR="003324DB" w:rsidRPr="0004075A" w:rsidRDefault="00C52E0A" w:rsidP="003324DB">
            <w:pPr>
              <w:spacing w:after="0" w:line="240" w:lineRule="auto"/>
              <w:jc w:val="center"/>
              <w:rPr>
                <w:rFonts w:ascii="Aptos Narrow" w:eastAsia="Times New Roman" w:hAnsi="Aptos Narrow" w:cs="Times New Roman"/>
                <w:b/>
                <w:bCs/>
                <w:color w:val="000000"/>
                <w:kern w:val="0"/>
                <w:sz w:val="20"/>
                <w:szCs w:val="20"/>
                <w:lang w:eastAsia="en-AU"/>
                <w14:ligatures w14:val="none"/>
              </w:rPr>
            </w:pPr>
            <w:r>
              <w:rPr>
                <w:rFonts w:ascii="Aptos Narrow" w:eastAsia="Times New Roman" w:hAnsi="Aptos Narrow" w:cs="Times New Roman"/>
                <w:b/>
                <w:bCs/>
                <w:color w:val="000000"/>
                <w:kern w:val="0"/>
                <w:sz w:val="20"/>
                <w:szCs w:val="20"/>
                <w:lang w:eastAsia="en-AU"/>
                <w14:ligatures w14:val="none"/>
              </w:rPr>
              <w:t xml:space="preserve">Residue </w:t>
            </w:r>
            <w:r w:rsidRPr="0004075A">
              <w:rPr>
                <w:rFonts w:ascii="Aptos Narrow" w:eastAsia="Times New Roman" w:hAnsi="Aptos Narrow" w:cs="Times New Roman"/>
                <w:b/>
                <w:bCs/>
                <w:color w:val="000000"/>
                <w:kern w:val="0"/>
                <w:sz w:val="20"/>
                <w:szCs w:val="20"/>
                <w:lang w:eastAsia="en-AU"/>
                <w14:ligatures w14:val="none"/>
              </w:rPr>
              <w:t>Emissions</w:t>
            </w:r>
          </w:p>
          <w:p w14:paraId="3E6B74A1" w14:textId="0EDF15C8" w:rsidR="003324DB" w:rsidRDefault="003324DB" w:rsidP="003324DB">
            <w:pPr>
              <w:spacing w:after="0" w:line="240" w:lineRule="auto"/>
              <w:jc w:val="center"/>
              <w:rPr>
                <w:rFonts w:ascii="Aptos Narrow" w:eastAsia="Times New Roman" w:hAnsi="Aptos Narrow" w:cs="Times New Roman"/>
                <w:b/>
                <w:bCs/>
                <w:color w:val="000000"/>
                <w:kern w:val="0"/>
                <w:sz w:val="20"/>
                <w:szCs w:val="20"/>
                <w:lang w:eastAsia="en-AU"/>
                <w14:ligatures w14:val="none"/>
              </w:rPr>
            </w:pPr>
            <w:r w:rsidRPr="0004075A">
              <w:rPr>
                <w:rFonts w:ascii="Aptos Narrow" w:eastAsia="Times New Roman" w:hAnsi="Aptos Narrow" w:cs="Times New Roman"/>
                <w:b/>
                <w:bCs/>
                <w:color w:val="000000"/>
                <w:kern w:val="0"/>
                <w:sz w:val="20"/>
                <w:szCs w:val="20"/>
                <w:lang w:eastAsia="en-AU"/>
                <w14:ligatures w14:val="none"/>
              </w:rPr>
              <w:t xml:space="preserve">(t </w:t>
            </w:r>
            <w:proofErr w:type="spellStart"/>
            <w:r w:rsidRPr="0004075A">
              <w:rPr>
                <w:rFonts w:ascii="Aptos Narrow" w:eastAsia="Times New Roman" w:hAnsi="Aptos Narrow" w:cs="Times New Roman"/>
                <w:b/>
                <w:bCs/>
                <w:color w:val="000000"/>
                <w:kern w:val="0"/>
                <w:sz w:val="20"/>
                <w:szCs w:val="20"/>
                <w:lang w:eastAsia="en-AU"/>
                <w14:ligatures w14:val="none"/>
              </w:rPr>
              <w:t>CO₂e</w:t>
            </w:r>
            <w:proofErr w:type="spellEnd"/>
            <w:r w:rsidRPr="0004075A">
              <w:rPr>
                <w:rFonts w:ascii="Aptos Narrow" w:eastAsia="Times New Roman" w:hAnsi="Aptos Narrow" w:cs="Times New Roman"/>
                <w:b/>
                <w:bCs/>
                <w:color w:val="000000"/>
                <w:kern w:val="0"/>
                <w:sz w:val="20"/>
                <w:szCs w:val="20"/>
                <w:lang w:eastAsia="en-AU"/>
                <w14:ligatures w14:val="none"/>
              </w:rPr>
              <w:t>)</w:t>
            </w:r>
          </w:p>
        </w:tc>
        <w:tc>
          <w:tcPr>
            <w:tcW w:w="1368" w:type="dxa"/>
            <w:vMerge w:val="restart"/>
            <w:shd w:val="clear" w:color="000000" w:fill="E8E8E8"/>
            <w:vAlign w:val="center"/>
          </w:tcPr>
          <w:p w14:paraId="72C68421" w14:textId="34B30435" w:rsidR="001C4B17" w:rsidRPr="0004075A" w:rsidRDefault="00C52E0A" w:rsidP="00BB19A8">
            <w:pPr>
              <w:spacing w:after="0" w:line="240" w:lineRule="auto"/>
              <w:jc w:val="center"/>
              <w:rPr>
                <w:rFonts w:ascii="Aptos Narrow" w:eastAsia="Times New Roman" w:hAnsi="Aptos Narrow" w:cs="Times New Roman"/>
                <w:b/>
                <w:bCs/>
                <w:color w:val="000000"/>
                <w:kern w:val="0"/>
                <w:sz w:val="20"/>
                <w:szCs w:val="20"/>
                <w:lang w:eastAsia="en-AU"/>
                <w14:ligatures w14:val="none"/>
              </w:rPr>
            </w:pPr>
            <w:r>
              <w:rPr>
                <w:rFonts w:ascii="Aptos Narrow" w:eastAsia="Times New Roman" w:hAnsi="Aptos Narrow" w:cs="Times New Roman"/>
                <w:b/>
                <w:bCs/>
                <w:color w:val="000000"/>
                <w:kern w:val="0"/>
                <w:sz w:val="20"/>
                <w:szCs w:val="20"/>
                <w:lang w:eastAsia="en-AU"/>
                <w14:ligatures w14:val="none"/>
              </w:rPr>
              <w:t xml:space="preserve">Sub-division </w:t>
            </w:r>
            <w:r w:rsidR="0099028B">
              <w:rPr>
                <w:rFonts w:ascii="Aptos Narrow" w:eastAsia="Times New Roman" w:hAnsi="Aptos Narrow" w:cs="Times New Roman"/>
                <w:b/>
                <w:bCs/>
                <w:color w:val="000000"/>
                <w:kern w:val="0"/>
                <w:sz w:val="20"/>
                <w:szCs w:val="20"/>
                <w:lang w:eastAsia="en-AU"/>
                <w14:ligatures w14:val="none"/>
              </w:rPr>
              <w:t>/</w:t>
            </w:r>
            <w:r>
              <w:rPr>
                <w:rFonts w:ascii="Aptos Narrow" w:eastAsia="Times New Roman" w:hAnsi="Aptos Narrow" w:cs="Times New Roman"/>
                <w:b/>
                <w:bCs/>
                <w:color w:val="000000"/>
                <w:kern w:val="0"/>
                <w:sz w:val="20"/>
                <w:szCs w:val="20"/>
                <w:lang w:eastAsia="en-AU"/>
                <w14:ligatures w14:val="none"/>
              </w:rPr>
              <w:t xml:space="preserve"> allocation</w:t>
            </w:r>
            <w:r w:rsidR="00BD5662">
              <w:rPr>
                <w:rFonts w:ascii="Aptos Narrow" w:eastAsia="Times New Roman" w:hAnsi="Aptos Narrow" w:cs="Times New Roman"/>
                <w:b/>
                <w:bCs/>
                <w:color w:val="000000"/>
                <w:kern w:val="0"/>
                <w:sz w:val="20"/>
                <w:szCs w:val="20"/>
                <w:lang w:eastAsia="en-AU"/>
                <w14:ligatures w14:val="none"/>
              </w:rPr>
              <w:t xml:space="preserve"> </w:t>
            </w:r>
            <w:r>
              <w:rPr>
                <w:rFonts w:ascii="Aptos Narrow" w:eastAsia="Times New Roman" w:hAnsi="Aptos Narrow" w:cs="Times New Roman"/>
                <w:b/>
                <w:bCs/>
                <w:color w:val="000000"/>
                <w:kern w:val="0"/>
                <w:sz w:val="20"/>
                <w:szCs w:val="20"/>
                <w:lang w:eastAsia="en-AU"/>
                <w14:ligatures w14:val="none"/>
              </w:rPr>
              <w:t xml:space="preserve"> </w:t>
            </w:r>
          </w:p>
        </w:tc>
        <w:tc>
          <w:tcPr>
            <w:tcW w:w="5017" w:type="dxa"/>
            <w:vMerge w:val="restart"/>
            <w:shd w:val="clear" w:color="000000" w:fill="E8E8E8"/>
            <w:vAlign w:val="center"/>
          </w:tcPr>
          <w:p w14:paraId="44C7DF00" w14:textId="6824AEBC" w:rsidR="001C4B17" w:rsidRPr="0004075A" w:rsidRDefault="00BD5662" w:rsidP="00BB19A8">
            <w:pPr>
              <w:spacing w:after="0" w:line="240" w:lineRule="auto"/>
              <w:jc w:val="center"/>
              <w:rPr>
                <w:rFonts w:ascii="Aptos Narrow" w:eastAsia="Times New Roman" w:hAnsi="Aptos Narrow" w:cs="Times New Roman"/>
                <w:b/>
                <w:bCs/>
                <w:color w:val="000000"/>
                <w:kern w:val="0"/>
                <w:sz w:val="20"/>
                <w:szCs w:val="20"/>
                <w:lang w:eastAsia="en-AU"/>
                <w14:ligatures w14:val="none"/>
              </w:rPr>
            </w:pPr>
            <w:r>
              <w:rPr>
                <w:rFonts w:ascii="Aptos Narrow" w:eastAsia="Times New Roman" w:hAnsi="Aptos Narrow" w:cs="Times New Roman"/>
                <w:b/>
                <w:bCs/>
                <w:color w:val="000000"/>
                <w:kern w:val="0"/>
                <w:sz w:val="20"/>
                <w:szCs w:val="20"/>
                <w:lang w:eastAsia="en-AU"/>
                <w14:ligatures w14:val="none"/>
              </w:rPr>
              <w:t xml:space="preserve">Method </w:t>
            </w:r>
            <w:r w:rsidR="0099028B" w:rsidRPr="005A10B0">
              <w:rPr>
                <w:rFonts w:ascii="Aptos Narrow" w:eastAsia="Times New Roman" w:hAnsi="Aptos Narrow" w:cs="Times New Roman"/>
                <w:b/>
                <w:bCs/>
                <w:color w:val="000000"/>
                <w:kern w:val="0"/>
                <w:sz w:val="20"/>
                <w:szCs w:val="20"/>
                <w:lang w:eastAsia="en-AU"/>
                <w14:ligatures w14:val="none"/>
              </w:rPr>
              <w:t>[additional info</w:t>
            </w:r>
            <w:r w:rsidR="0000632D">
              <w:rPr>
                <w:rFonts w:ascii="Aptos Narrow" w:eastAsia="Times New Roman" w:hAnsi="Aptos Narrow" w:cs="Times New Roman"/>
                <w:b/>
                <w:bCs/>
                <w:color w:val="000000"/>
                <w:kern w:val="0"/>
                <w:sz w:val="20"/>
                <w:szCs w:val="20"/>
                <w:lang w:eastAsia="en-AU"/>
                <w14:ligatures w14:val="none"/>
              </w:rPr>
              <w:t xml:space="preserve"> </w:t>
            </w:r>
            <w:r w:rsidR="00C6547C">
              <w:rPr>
                <w:rFonts w:ascii="Aptos Narrow" w:eastAsia="Times New Roman" w:hAnsi="Aptos Narrow" w:cs="Times New Roman"/>
                <w:b/>
                <w:bCs/>
                <w:color w:val="000000"/>
                <w:kern w:val="0"/>
                <w:sz w:val="20"/>
                <w:szCs w:val="20"/>
                <w:lang w:eastAsia="en-AU"/>
                <w14:ligatures w14:val="none"/>
              </w:rPr>
              <w:t xml:space="preserve">reference </w:t>
            </w:r>
            <w:r w:rsidR="0099028B" w:rsidRPr="005A10B0">
              <w:rPr>
                <w:rFonts w:ascii="Aptos Narrow" w:eastAsia="Times New Roman" w:hAnsi="Aptos Narrow" w:cs="Times New Roman"/>
                <w:b/>
                <w:bCs/>
                <w:color w:val="000000"/>
                <w:kern w:val="0"/>
                <w:sz w:val="20"/>
                <w:szCs w:val="20"/>
                <w:lang w:eastAsia="en-AU"/>
                <w14:ligatures w14:val="none"/>
              </w:rPr>
              <w:t>#]</w:t>
            </w:r>
          </w:p>
        </w:tc>
      </w:tr>
      <w:tr w:rsidR="005134E1" w:rsidRPr="00446DBE" w14:paraId="165B83D2" w14:textId="77777777" w:rsidTr="00A839E3">
        <w:trPr>
          <w:trHeight w:val="453"/>
        </w:trPr>
        <w:tc>
          <w:tcPr>
            <w:tcW w:w="2400" w:type="dxa"/>
            <w:vMerge/>
            <w:shd w:val="clear" w:color="000000" w:fill="E8E8E8"/>
            <w:vAlign w:val="center"/>
          </w:tcPr>
          <w:p w14:paraId="44F52246" w14:textId="77777777" w:rsidR="001C4B17" w:rsidRPr="0004075A" w:rsidRDefault="001C4B17" w:rsidP="00BB19A8">
            <w:pPr>
              <w:spacing w:after="0" w:line="240" w:lineRule="auto"/>
              <w:jc w:val="center"/>
              <w:rPr>
                <w:rFonts w:ascii="Aptos Narrow" w:eastAsia="Times New Roman" w:hAnsi="Aptos Narrow" w:cs="Times New Roman"/>
                <w:b/>
                <w:bCs/>
                <w:color w:val="000000"/>
                <w:kern w:val="0"/>
                <w:sz w:val="20"/>
                <w:szCs w:val="20"/>
                <w:lang w:eastAsia="en-AU"/>
                <w14:ligatures w14:val="none"/>
              </w:rPr>
            </w:pPr>
          </w:p>
        </w:tc>
        <w:tc>
          <w:tcPr>
            <w:tcW w:w="1134" w:type="dxa"/>
            <w:vMerge/>
            <w:shd w:val="clear" w:color="000000" w:fill="E8E8E8"/>
            <w:vAlign w:val="center"/>
          </w:tcPr>
          <w:p w14:paraId="0B30AA74" w14:textId="77777777" w:rsidR="001C4B17" w:rsidRPr="0004075A" w:rsidRDefault="001C4B17" w:rsidP="00BB19A8">
            <w:pPr>
              <w:spacing w:after="0" w:line="240" w:lineRule="auto"/>
              <w:jc w:val="center"/>
              <w:rPr>
                <w:rFonts w:ascii="Aptos Narrow" w:eastAsia="Times New Roman" w:hAnsi="Aptos Narrow" w:cs="Times New Roman"/>
                <w:b/>
                <w:bCs/>
                <w:color w:val="000000"/>
                <w:kern w:val="0"/>
                <w:sz w:val="20"/>
                <w:szCs w:val="20"/>
                <w:lang w:eastAsia="en-AU"/>
                <w14:ligatures w14:val="none"/>
              </w:rPr>
            </w:pPr>
          </w:p>
        </w:tc>
        <w:tc>
          <w:tcPr>
            <w:tcW w:w="1134" w:type="dxa"/>
            <w:vAlign w:val="center"/>
          </w:tcPr>
          <w:p w14:paraId="20658EFA" w14:textId="21CD1F40" w:rsidR="0099028B" w:rsidRDefault="0099028B" w:rsidP="00AB41B6">
            <w:pPr>
              <w:spacing w:after="0" w:line="240" w:lineRule="auto"/>
              <w:jc w:val="center"/>
              <w:rPr>
                <w:rFonts w:ascii="Aptos Narrow" w:eastAsia="Times New Roman" w:hAnsi="Aptos Narrow" w:cs="Times New Roman"/>
                <w:i/>
                <w:iCs/>
                <w:color w:val="156082"/>
                <w:kern w:val="0"/>
                <w:sz w:val="20"/>
                <w:szCs w:val="20"/>
                <w:lang w:eastAsia="en-AU"/>
                <w14:ligatures w14:val="none"/>
              </w:rPr>
            </w:pPr>
            <w:r>
              <w:rPr>
                <w:rFonts w:ascii="Aptos Narrow" w:eastAsia="Times New Roman" w:hAnsi="Aptos Narrow" w:cs="Times New Roman"/>
                <w:i/>
                <w:iCs/>
                <w:color w:val="156082"/>
                <w:kern w:val="0"/>
                <w:sz w:val="20"/>
                <w:szCs w:val="20"/>
                <w:lang w:eastAsia="en-AU"/>
                <w14:ligatures w14:val="none"/>
              </w:rPr>
              <w:t>Wheat</w:t>
            </w:r>
          </w:p>
        </w:tc>
        <w:tc>
          <w:tcPr>
            <w:tcW w:w="1134" w:type="dxa"/>
            <w:vAlign w:val="center"/>
          </w:tcPr>
          <w:p w14:paraId="6507E181" w14:textId="05A18485" w:rsidR="001C4B17" w:rsidRPr="0004075A" w:rsidRDefault="001C4B17" w:rsidP="00BB19A8">
            <w:pPr>
              <w:spacing w:after="0" w:line="240" w:lineRule="auto"/>
              <w:jc w:val="center"/>
              <w:rPr>
                <w:rFonts w:ascii="Aptos Narrow" w:eastAsia="Times New Roman" w:hAnsi="Aptos Narrow" w:cs="Times New Roman"/>
                <w:i/>
                <w:iCs/>
                <w:color w:val="156082"/>
                <w:kern w:val="0"/>
                <w:sz w:val="20"/>
                <w:szCs w:val="20"/>
                <w:lang w:eastAsia="en-AU"/>
                <w14:ligatures w14:val="none"/>
              </w:rPr>
            </w:pPr>
            <w:r w:rsidRPr="0004075A">
              <w:rPr>
                <w:rFonts w:ascii="Aptos Narrow" w:eastAsia="Times New Roman" w:hAnsi="Aptos Narrow" w:cs="Times New Roman"/>
                <w:i/>
                <w:iCs/>
                <w:color w:val="156082"/>
                <w:kern w:val="0"/>
                <w:sz w:val="20"/>
                <w:szCs w:val="20"/>
                <w:lang w:eastAsia="en-AU"/>
                <w14:ligatures w14:val="none"/>
              </w:rPr>
              <w:t>Meat</w:t>
            </w:r>
          </w:p>
        </w:tc>
        <w:tc>
          <w:tcPr>
            <w:tcW w:w="992" w:type="dxa"/>
            <w:vAlign w:val="center"/>
          </w:tcPr>
          <w:p w14:paraId="7A6308FF" w14:textId="06B21600" w:rsidR="001C4B17" w:rsidRPr="0004075A" w:rsidRDefault="001C4B17" w:rsidP="00BB19A8">
            <w:pPr>
              <w:spacing w:after="0" w:line="240" w:lineRule="auto"/>
              <w:jc w:val="center"/>
              <w:rPr>
                <w:rFonts w:ascii="Aptos Narrow" w:eastAsia="Times New Roman" w:hAnsi="Aptos Narrow" w:cs="Times New Roman"/>
                <w:i/>
                <w:iCs/>
                <w:color w:val="156082"/>
                <w:kern w:val="0"/>
                <w:sz w:val="20"/>
                <w:szCs w:val="20"/>
                <w:lang w:eastAsia="en-AU"/>
                <w14:ligatures w14:val="none"/>
              </w:rPr>
            </w:pPr>
            <w:r w:rsidRPr="0004075A">
              <w:rPr>
                <w:rFonts w:ascii="Aptos Narrow" w:eastAsia="Times New Roman" w:hAnsi="Aptos Narrow" w:cs="Times New Roman"/>
                <w:i/>
                <w:iCs/>
                <w:color w:val="156082"/>
                <w:kern w:val="0"/>
                <w:sz w:val="20"/>
                <w:szCs w:val="20"/>
                <w:lang w:eastAsia="en-AU"/>
                <w14:ligatures w14:val="none"/>
              </w:rPr>
              <w:t>Wool</w:t>
            </w:r>
          </w:p>
        </w:tc>
        <w:tc>
          <w:tcPr>
            <w:tcW w:w="1412" w:type="dxa"/>
            <w:vAlign w:val="center"/>
          </w:tcPr>
          <w:p w14:paraId="42357CE6" w14:textId="186929A7" w:rsidR="003324DB" w:rsidRPr="0004075A" w:rsidRDefault="009D5434" w:rsidP="00BB19A8">
            <w:pPr>
              <w:spacing w:after="0" w:line="240" w:lineRule="auto"/>
              <w:jc w:val="center"/>
              <w:rPr>
                <w:rFonts w:ascii="Aptos Narrow" w:eastAsia="Times New Roman" w:hAnsi="Aptos Narrow" w:cs="Times New Roman"/>
                <w:b/>
                <w:bCs/>
                <w:color w:val="000000"/>
                <w:kern w:val="0"/>
                <w:sz w:val="20"/>
                <w:szCs w:val="20"/>
                <w:lang w:eastAsia="en-AU"/>
                <w14:ligatures w14:val="none"/>
              </w:rPr>
            </w:pPr>
            <w:r w:rsidRPr="00527360">
              <w:rPr>
                <w:rFonts w:ascii="Aptos Narrow" w:eastAsia="Times New Roman" w:hAnsi="Aptos Narrow" w:cs="Times New Roman"/>
                <w:i/>
                <w:iCs/>
                <w:color w:val="156082"/>
                <w:kern w:val="0"/>
                <w:sz w:val="20"/>
                <w:szCs w:val="20"/>
                <w:lang w:eastAsia="en-AU"/>
                <w14:ligatures w14:val="none"/>
              </w:rPr>
              <w:t>Manure</w:t>
            </w:r>
          </w:p>
        </w:tc>
        <w:tc>
          <w:tcPr>
            <w:tcW w:w="1368" w:type="dxa"/>
            <w:vMerge/>
            <w:shd w:val="clear" w:color="000000" w:fill="E8E8E8"/>
            <w:vAlign w:val="center"/>
          </w:tcPr>
          <w:p w14:paraId="425B3C87" w14:textId="305B8621" w:rsidR="001C4B17" w:rsidRPr="0004075A" w:rsidRDefault="001C4B17" w:rsidP="00BB19A8">
            <w:pPr>
              <w:spacing w:after="0" w:line="240" w:lineRule="auto"/>
              <w:jc w:val="center"/>
              <w:rPr>
                <w:rFonts w:ascii="Aptos Narrow" w:eastAsia="Times New Roman" w:hAnsi="Aptos Narrow" w:cs="Times New Roman"/>
                <w:b/>
                <w:bCs/>
                <w:color w:val="000000"/>
                <w:kern w:val="0"/>
                <w:sz w:val="20"/>
                <w:szCs w:val="20"/>
                <w:lang w:eastAsia="en-AU"/>
                <w14:ligatures w14:val="none"/>
              </w:rPr>
            </w:pPr>
          </w:p>
        </w:tc>
        <w:tc>
          <w:tcPr>
            <w:tcW w:w="5017" w:type="dxa"/>
            <w:vMerge/>
            <w:shd w:val="clear" w:color="000000" w:fill="E8E8E8"/>
            <w:vAlign w:val="center"/>
          </w:tcPr>
          <w:p w14:paraId="412DD545" w14:textId="77777777" w:rsidR="001C4B17" w:rsidRPr="0004075A" w:rsidRDefault="001C4B17" w:rsidP="00BB19A8">
            <w:pPr>
              <w:spacing w:after="0" w:line="240" w:lineRule="auto"/>
              <w:jc w:val="center"/>
              <w:rPr>
                <w:rFonts w:ascii="Aptos Narrow" w:eastAsia="Times New Roman" w:hAnsi="Aptos Narrow" w:cs="Times New Roman"/>
                <w:b/>
                <w:bCs/>
                <w:color w:val="000000"/>
                <w:kern w:val="0"/>
                <w:sz w:val="20"/>
                <w:szCs w:val="20"/>
                <w:lang w:eastAsia="en-AU"/>
                <w14:ligatures w14:val="none"/>
              </w:rPr>
            </w:pPr>
          </w:p>
        </w:tc>
      </w:tr>
      <w:tr w:rsidR="00446DBE" w:rsidRPr="00446DBE" w14:paraId="35D4A762" w14:textId="77777777" w:rsidTr="00A839E3">
        <w:tc>
          <w:tcPr>
            <w:tcW w:w="2400" w:type="dxa"/>
            <w:vAlign w:val="center"/>
            <w:hideMark/>
          </w:tcPr>
          <w:p w14:paraId="536743BA" w14:textId="784FB432" w:rsidR="00446DBE" w:rsidRPr="0004075A" w:rsidRDefault="00446DBE" w:rsidP="00446DBE">
            <w:pPr>
              <w:spacing w:after="0" w:line="240" w:lineRule="auto"/>
              <w:rPr>
                <w:rFonts w:ascii="Aptos Narrow" w:eastAsia="Times New Roman" w:hAnsi="Aptos Narrow" w:cs="Times New Roman"/>
                <w:i/>
                <w:color w:val="156082"/>
                <w:kern w:val="0"/>
                <w:sz w:val="20"/>
                <w:szCs w:val="20"/>
                <w:lang w:eastAsia="en-AU"/>
                <w14:ligatures w14:val="none"/>
              </w:rPr>
            </w:pPr>
            <w:r w:rsidRPr="0004075A">
              <w:rPr>
                <w:rFonts w:ascii="Aptos Narrow" w:eastAsia="Times New Roman" w:hAnsi="Aptos Narrow" w:cs="Times New Roman"/>
                <w:i/>
                <w:color w:val="156082"/>
                <w:kern w:val="0"/>
                <w:sz w:val="20"/>
                <w:szCs w:val="20"/>
                <w:lang w:eastAsia="en-AU"/>
                <w14:ligatures w14:val="none"/>
              </w:rPr>
              <w:t xml:space="preserve">Enteric </w:t>
            </w:r>
            <w:r w:rsidR="00BB19A8" w:rsidRPr="0004075A">
              <w:rPr>
                <w:rFonts w:ascii="Aptos Narrow" w:eastAsia="Times New Roman" w:hAnsi="Aptos Narrow" w:cs="Times New Roman"/>
                <w:i/>
                <w:iCs/>
                <w:color w:val="156082"/>
                <w:kern w:val="0"/>
                <w:sz w:val="20"/>
                <w:szCs w:val="20"/>
                <w:lang w:eastAsia="en-AU"/>
                <w14:ligatures w14:val="none"/>
              </w:rPr>
              <w:t>Fermentation</w:t>
            </w:r>
          </w:p>
        </w:tc>
        <w:tc>
          <w:tcPr>
            <w:tcW w:w="1134" w:type="dxa"/>
            <w:vAlign w:val="center"/>
            <w:hideMark/>
          </w:tcPr>
          <w:p w14:paraId="3B9E26BD" w14:textId="77777777" w:rsidR="00446DBE" w:rsidRPr="0004075A" w:rsidRDefault="00446DBE" w:rsidP="00446DBE">
            <w:pPr>
              <w:spacing w:after="0" w:line="240" w:lineRule="auto"/>
              <w:rPr>
                <w:rFonts w:ascii="Aptos Narrow" w:eastAsia="Times New Roman" w:hAnsi="Aptos Narrow" w:cs="Times New Roman"/>
                <w:i/>
                <w:color w:val="156082"/>
                <w:kern w:val="0"/>
                <w:sz w:val="20"/>
                <w:szCs w:val="20"/>
                <w:lang w:eastAsia="en-AU"/>
                <w14:ligatures w14:val="none"/>
              </w:rPr>
            </w:pPr>
            <w:r w:rsidRPr="0004075A">
              <w:rPr>
                <w:rFonts w:ascii="Aptos Narrow" w:eastAsia="Times New Roman" w:hAnsi="Aptos Narrow" w:cs="Times New Roman"/>
                <w:i/>
                <w:color w:val="156082"/>
                <w:kern w:val="0"/>
                <w:sz w:val="20"/>
                <w:szCs w:val="20"/>
                <w:lang w:eastAsia="en-AU"/>
                <w14:ligatures w14:val="none"/>
              </w:rPr>
              <w:t>Scope 1</w:t>
            </w:r>
          </w:p>
        </w:tc>
        <w:tc>
          <w:tcPr>
            <w:tcW w:w="1134" w:type="dxa"/>
          </w:tcPr>
          <w:p w14:paraId="1831BD17" w14:textId="77777777" w:rsidR="0099028B" w:rsidRPr="005A10B0" w:rsidRDefault="0099028B" w:rsidP="0099028B">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134" w:type="dxa"/>
          </w:tcPr>
          <w:p w14:paraId="6D10D8BE" w14:textId="4E9A801D" w:rsidR="00BB19A8" w:rsidRPr="0004075A" w:rsidRDefault="00BB19A8" w:rsidP="00BB19A8">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992" w:type="dxa"/>
          </w:tcPr>
          <w:p w14:paraId="45DA6F18" w14:textId="77777777" w:rsidR="00BB19A8" w:rsidRPr="0004075A" w:rsidRDefault="00BB19A8" w:rsidP="00BB19A8">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412" w:type="dxa"/>
          </w:tcPr>
          <w:p w14:paraId="1E9926AD" w14:textId="274D8F3A" w:rsidR="00D85CED" w:rsidRPr="006E6428" w:rsidRDefault="00D85CED">
            <w:pPr>
              <w:spacing w:after="0" w:line="240" w:lineRule="auto"/>
              <w:jc w:val="center"/>
              <w:rPr>
                <w:rFonts w:ascii="Aptos Narrow" w:eastAsia="Times New Roman" w:hAnsi="Aptos Narrow" w:cs="Times New Roman"/>
                <w:i/>
                <w:color w:val="156082" w:themeColor="accent1"/>
                <w:kern w:val="0"/>
                <w:sz w:val="20"/>
                <w:szCs w:val="20"/>
                <w:lang w:eastAsia="en-AU"/>
                <w14:ligatures w14:val="none"/>
              </w:rPr>
            </w:pPr>
            <w:r w:rsidRPr="006E6428">
              <w:rPr>
                <w:rFonts w:ascii="Aptos Narrow" w:eastAsia="Times New Roman" w:hAnsi="Aptos Narrow" w:cs="Times New Roman"/>
                <w:i/>
                <w:color w:val="156082" w:themeColor="accent1"/>
                <w:kern w:val="0"/>
                <w:sz w:val="20"/>
                <w:szCs w:val="20"/>
                <w:lang w:eastAsia="en-AU"/>
                <w14:ligatures w14:val="none"/>
              </w:rPr>
              <w:t>NA</w:t>
            </w:r>
          </w:p>
        </w:tc>
        <w:tc>
          <w:tcPr>
            <w:tcW w:w="1368" w:type="dxa"/>
            <w:vAlign w:val="center"/>
            <w:hideMark/>
          </w:tcPr>
          <w:p w14:paraId="005B37BD" w14:textId="755846AF" w:rsidR="00446DBE" w:rsidRPr="0004075A" w:rsidRDefault="00BB19A8" w:rsidP="00446DBE">
            <w:pPr>
              <w:spacing w:after="0" w:line="240" w:lineRule="auto"/>
              <w:rPr>
                <w:rFonts w:ascii="Aptos Narrow" w:eastAsia="Times New Roman" w:hAnsi="Aptos Narrow" w:cs="Times New Roman"/>
                <w:i/>
                <w:color w:val="156082"/>
                <w:kern w:val="0"/>
                <w:sz w:val="20"/>
                <w:szCs w:val="20"/>
                <w:lang w:eastAsia="en-AU"/>
                <w14:ligatures w14:val="none"/>
              </w:rPr>
            </w:pPr>
            <w:r w:rsidRPr="0004075A">
              <w:rPr>
                <w:rFonts w:ascii="Aptos Narrow" w:eastAsia="Times New Roman" w:hAnsi="Aptos Narrow" w:cs="Times New Roman"/>
                <w:i/>
                <w:iCs/>
                <w:color w:val="156082"/>
                <w:kern w:val="0"/>
                <w:sz w:val="20"/>
                <w:szCs w:val="20"/>
                <w:lang w:eastAsia="en-AU"/>
                <w14:ligatures w14:val="none"/>
              </w:rPr>
              <w:t>Allocation</w:t>
            </w:r>
          </w:p>
        </w:tc>
        <w:tc>
          <w:tcPr>
            <w:tcW w:w="5017" w:type="dxa"/>
            <w:vAlign w:val="center"/>
            <w:hideMark/>
          </w:tcPr>
          <w:p w14:paraId="4675F213" w14:textId="45D63D40" w:rsidR="00446DBE" w:rsidRPr="0004075A" w:rsidRDefault="00BB19A8" w:rsidP="00446DBE">
            <w:pPr>
              <w:spacing w:after="0" w:line="240" w:lineRule="auto"/>
              <w:rPr>
                <w:rFonts w:ascii="Aptos Narrow" w:eastAsia="Times New Roman" w:hAnsi="Aptos Narrow" w:cs="Times New Roman"/>
                <w:i/>
                <w:color w:val="156082"/>
                <w:kern w:val="0"/>
                <w:sz w:val="20"/>
                <w:szCs w:val="20"/>
                <w:lang w:eastAsia="en-AU"/>
                <w14:ligatures w14:val="none"/>
              </w:rPr>
            </w:pPr>
            <w:r w:rsidRPr="0004075A">
              <w:rPr>
                <w:rFonts w:ascii="Aptos Narrow" w:eastAsia="Times New Roman" w:hAnsi="Aptos Narrow" w:cs="Times New Roman"/>
                <w:i/>
                <w:iCs/>
                <w:color w:val="156082"/>
                <w:kern w:val="0"/>
                <w:sz w:val="20"/>
                <w:szCs w:val="20"/>
                <w:lang w:eastAsia="en-AU"/>
                <w14:ligatures w14:val="none"/>
              </w:rPr>
              <w:t xml:space="preserve">Allocated </w:t>
            </w:r>
            <w:r w:rsidR="00EF10D4">
              <w:rPr>
                <w:rFonts w:ascii="Aptos Narrow" w:eastAsia="Times New Roman" w:hAnsi="Aptos Narrow" w:cs="Times New Roman"/>
                <w:i/>
                <w:iCs/>
                <w:color w:val="156082"/>
                <w:kern w:val="0"/>
                <w:sz w:val="20"/>
                <w:szCs w:val="20"/>
                <w:lang w:eastAsia="en-AU"/>
                <w14:ligatures w14:val="none"/>
              </w:rPr>
              <w:t>to</w:t>
            </w:r>
            <w:r w:rsidRPr="0004075A">
              <w:rPr>
                <w:rFonts w:ascii="Aptos Narrow" w:eastAsia="Times New Roman" w:hAnsi="Aptos Narrow" w:cs="Times New Roman"/>
                <w:i/>
                <w:iCs/>
                <w:color w:val="156082"/>
                <w:kern w:val="0"/>
                <w:sz w:val="20"/>
                <w:szCs w:val="20"/>
                <w:lang w:eastAsia="en-AU"/>
                <w14:ligatures w14:val="none"/>
              </w:rPr>
              <w:t xml:space="preserve"> meat and wool (physical)</w:t>
            </w:r>
            <w:r w:rsidR="0018480E">
              <w:rPr>
                <w:rFonts w:ascii="Aptos Narrow" w:eastAsia="Times New Roman" w:hAnsi="Aptos Narrow" w:cs="Times New Roman"/>
                <w:i/>
                <w:iCs/>
                <w:color w:val="156082"/>
                <w:kern w:val="0"/>
                <w:sz w:val="20"/>
                <w:szCs w:val="20"/>
                <w:lang w:eastAsia="en-AU"/>
                <w14:ligatures w14:val="none"/>
              </w:rPr>
              <w:t xml:space="preserve"> [1]</w:t>
            </w:r>
          </w:p>
        </w:tc>
      </w:tr>
      <w:tr w:rsidR="003E0C6B" w:rsidRPr="00446DBE" w14:paraId="15DB7AC6" w14:textId="77777777" w:rsidTr="00A839E3">
        <w:tc>
          <w:tcPr>
            <w:tcW w:w="2400" w:type="dxa"/>
            <w:vAlign w:val="center"/>
            <w:hideMark/>
          </w:tcPr>
          <w:p w14:paraId="3A2632B8" w14:textId="77777777" w:rsidR="00446DBE" w:rsidRPr="0004075A" w:rsidRDefault="00446DBE" w:rsidP="00446DBE">
            <w:pPr>
              <w:spacing w:after="0" w:line="240" w:lineRule="auto"/>
              <w:rPr>
                <w:rFonts w:ascii="Aptos Narrow" w:eastAsia="Times New Roman" w:hAnsi="Aptos Narrow" w:cs="Times New Roman"/>
                <w:i/>
                <w:color w:val="156082"/>
                <w:kern w:val="0"/>
                <w:sz w:val="20"/>
                <w:szCs w:val="20"/>
                <w:lang w:eastAsia="en-AU"/>
                <w14:ligatures w14:val="none"/>
              </w:rPr>
            </w:pPr>
            <w:r w:rsidRPr="0004075A">
              <w:rPr>
                <w:rFonts w:ascii="Aptos Narrow" w:eastAsia="Times New Roman" w:hAnsi="Aptos Narrow" w:cs="Times New Roman"/>
                <w:i/>
                <w:color w:val="156082"/>
                <w:kern w:val="0"/>
                <w:sz w:val="20"/>
                <w:szCs w:val="20"/>
                <w:lang w:eastAsia="en-AU"/>
                <w14:ligatures w14:val="none"/>
              </w:rPr>
              <w:t>Manure management</w:t>
            </w:r>
          </w:p>
        </w:tc>
        <w:tc>
          <w:tcPr>
            <w:tcW w:w="1134" w:type="dxa"/>
            <w:vAlign w:val="center"/>
            <w:hideMark/>
          </w:tcPr>
          <w:p w14:paraId="667487B2" w14:textId="77777777" w:rsidR="00446DBE" w:rsidRPr="0004075A" w:rsidRDefault="00446DBE" w:rsidP="00446DBE">
            <w:pPr>
              <w:spacing w:after="0" w:line="240" w:lineRule="auto"/>
              <w:rPr>
                <w:rFonts w:ascii="Aptos Narrow" w:eastAsia="Times New Roman" w:hAnsi="Aptos Narrow" w:cs="Times New Roman"/>
                <w:i/>
                <w:color w:val="156082"/>
                <w:kern w:val="0"/>
                <w:sz w:val="20"/>
                <w:szCs w:val="20"/>
                <w:lang w:eastAsia="en-AU"/>
                <w14:ligatures w14:val="none"/>
              </w:rPr>
            </w:pPr>
            <w:r w:rsidRPr="0004075A">
              <w:rPr>
                <w:rFonts w:ascii="Aptos Narrow" w:eastAsia="Times New Roman" w:hAnsi="Aptos Narrow" w:cs="Times New Roman"/>
                <w:i/>
                <w:color w:val="156082"/>
                <w:kern w:val="0"/>
                <w:sz w:val="20"/>
                <w:szCs w:val="20"/>
                <w:lang w:eastAsia="en-AU"/>
                <w14:ligatures w14:val="none"/>
              </w:rPr>
              <w:t>Scope 1</w:t>
            </w:r>
          </w:p>
        </w:tc>
        <w:tc>
          <w:tcPr>
            <w:tcW w:w="1134" w:type="dxa"/>
          </w:tcPr>
          <w:p w14:paraId="0F83DCD8" w14:textId="77777777" w:rsidR="0099028B" w:rsidRPr="005A10B0" w:rsidRDefault="0099028B" w:rsidP="0099028B">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134" w:type="dxa"/>
          </w:tcPr>
          <w:p w14:paraId="2A4A674E" w14:textId="7F418478" w:rsidR="00BB19A8" w:rsidRPr="0004075A" w:rsidRDefault="00BB19A8" w:rsidP="00BB19A8">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992" w:type="dxa"/>
          </w:tcPr>
          <w:p w14:paraId="19CC2FBF" w14:textId="77777777" w:rsidR="00BB19A8" w:rsidRPr="0004075A" w:rsidRDefault="00BB19A8" w:rsidP="00BB19A8">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412" w:type="dxa"/>
          </w:tcPr>
          <w:p w14:paraId="3C899F34" w14:textId="657C5DFD" w:rsidR="00D85CED" w:rsidRPr="006E6428" w:rsidRDefault="00D85CED">
            <w:pPr>
              <w:spacing w:after="0" w:line="240" w:lineRule="auto"/>
              <w:jc w:val="center"/>
              <w:rPr>
                <w:rFonts w:ascii="Aptos Narrow" w:eastAsia="Times New Roman" w:hAnsi="Aptos Narrow" w:cs="Times New Roman"/>
                <w:i/>
                <w:color w:val="156082" w:themeColor="accent1"/>
                <w:kern w:val="0"/>
                <w:sz w:val="20"/>
                <w:szCs w:val="20"/>
                <w:lang w:eastAsia="en-AU"/>
                <w14:ligatures w14:val="none"/>
              </w:rPr>
            </w:pPr>
            <w:r w:rsidRPr="006E6428">
              <w:rPr>
                <w:rFonts w:ascii="Aptos Narrow" w:eastAsia="Times New Roman" w:hAnsi="Aptos Narrow" w:cs="Times New Roman"/>
                <w:i/>
                <w:color w:val="156082" w:themeColor="accent1"/>
                <w:kern w:val="0"/>
                <w:sz w:val="20"/>
                <w:szCs w:val="20"/>
                <w:lang w:eastAsia="en-AU"/>
                <w14:ligatures w14:val="none"/>
              </w:rPr>
              <w:t>NA</w:t>
            </w:r>
          </w:p>
        </w:tc>
        <w:tc>
          <w:tcPr>
            <w:tcW w:w="1368" w:type="dxa"/>
            <w:vAlign w:val="center"/>
            <w:hideMark/>
          </w:tcPr>
          <w:p w14:paraId="0B2C5526" w14:textId="569CA18E" w:rsidR="00446DBE" w:rsidRPr="0004075A" w:rsidRDefault="00BB19A8" w:rsidP="00446DBE">
            <w:pPr>
              <w:spacing w:after="0" w:line="240" w:lineRule="auto"/>
              <w:rPr>
                <w:rFonts w:ascii="Aptos Narrow" w:eastAsia="Times New Roman" w:hAnsi="Aptos Narrow" w:cs="Times New Roman"/>
                <w:i/>
                <w:color w:val="156082"/>
                <w:kern w:val="0"/>
                <w:sz w:val="20"/>
                <w:szCs w:val="20"/>
                <w:lang w:eastAsia="en-AU"/>
                <w14:ligatures w14:val="none"/>
              </w:rPr>
            </w:pPr>
            <w:r w:rsidRPr="0004075A">
              <w:rPr>
                <w:rFonts w:ascii="Aptos Narrow" w:eastAsia="Times New Roman" w:hAnsi="Aptos Narrow" w:cs="Times New Roman"/>
                <w:i/>
                <w:iCs/>
                <w:color w:val="156082"/>
                <w:kern w:val="0"/>
                <w:sz w:val="20"/>
                <w:szCs w:val="20"/>
                <w:lang w:eastAsia="en-AU"/>
                <w14:ligatures w14:val="none"/>
              </w:rPr>
              <w:t>Allocation</w:t>
            </w:r>
          </w:p>
        </w:tc>
        <w:tc>
          <w:tcPr>
            <w:tcW w:w="5017" w:type="dxa"/>
            <w:vAlign w:val="center"/>
            <w:hideMark/>
          </w:tcPr>
          <w:p w14:paraId="3ECB3C77" w14:textId="0ACB4E68" w:rsidR="00446DBE" w:rsidRPr="0004075A" w:rsidRDefault="00BB19A8" w:rsidP="00446DBE">
            <w:pPr>
              <w:spacing w:after="0" w:line="240" w:lineRule="auto"/>
              <w:rPr>
                <w:rFonts w:ascii="Aptos Narrow" w:eastAsia="Times New Roman" w:hAnsi="Aptos Narrow" w:cs="Times New Roman"/>
                <w:i/>
                <w:color w:val="156082"/>
                <w:kern w:val="0"/>
                <w:sz w:val="20"/>
                <w:szCs w:val="20"/>
                <w:lang w:eastAsia="en-AU"/>
                <w14:ligatures w14:val="none"/>
              </w:rPr>
            </w:pPr>
            <w:r w:rsidRPr="0004075A">
              <w:rPr>
                <w:rFonts w:ascii="Aptos Narrow" w:eastAsia="Times New Roman" w:hAnsi="Aptos Narrow" w:cs="Times New Roman"/>
                <w:i/>
                <w:iCs/>
                <w:color w:val="156082"/>
                <w:kern w:val="0"/>
                <w:sz w:val="20"/>
                <w:szCs w:val="20"/>
                <w:lang w:eastAsia="en-AU"/>
                <w14:ligatures w14:val="none"/>
              </w:rPr>
              <w:t xml:space="preserve">Allocated </w:t>
            </w:r>
            <w:r w:rsidR="00EF10D4">
              <w:rPr>
                <w:rFonts w:ascii="Aptos Narrow" w:eastAsia="Times New Roman" w:hAnsi="Aptos Narrow" w:cs="Times New Roman"/>
                <w:i/>
                <w:iCs/>
                <w:color w:val="156082"/>
                <w:kern w:val="0"/>
                <w:sz w:val="20"/>
                <w:szCs w:val="20"/>
                <w:lang w:eastAsia="en-AU"/>
                <w14:ligatures w14:val="none"/>
              </w:rPr>
              <w:t>to</w:t>
            </w:r>
            <w:r w:rsidRPr="0004075A">
              <w:rPr>
                <w:rFonts w:ascii="Aptos Narrow" w:eastAsia="Times New Roman" w:hAnsi="Aptos Narrow" w:cs="Times New Roman"/>
                <w:i/>
                <w:iCs/>
                <w:color w:val="156082"/>
                <w:kern w:val="0"/>
                <w:sz w:val="20"/>
                <w:szCs w:val="20"/>
                <w:lang w:eastAsia="en-AU"/>
                <w14:ligatures w14:val="none"/>
              </w:rPr>
              <w:t xml:space="preserve"> meat and wool (physical)</w:t>
            </w:r>
            <w:r w:rsidR="003D54CB">
              <w:rPr>
                <w:rFonts w:ascii="Aptos Narrow" w:eastAsia="Times New Roman" w:hAnsi="Aptos Narrow" w:cs="Times New Roman"/>
                <w:i/>
                <w:iCs/>
                <w:color w:val="156082"/>
                <w:kern w:val="0"/>
                <w:sz w:val="20"/>
                <w:szCs w:val="20"/>
                <w:lang w:eastAsia="en-AU"/>
                <w14:ligatures w14:val="none"/>
              </w:rPr>
              <w:t xml:space="preserve"> [1]</w:t>
            </w:r>
          </w:p>
        </w:tc>
      </w:tr>
      <w:tr w:rsidR="001A463F" w:rsidRPr="00446DBE" w14:paraId="122740C0" w14:textId="77777777" w:rsidTr="00A839E3">
        <w:tc>
          <w:tcPr>
            <w:tcW w:w="2400" w:type="dxa"/>
            <w:vAlign w:val="center"/>
          </w:tcPr>
          <w:p w14:paraId="1306FCCF"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Inorganic Fertiliser</w:t>
            </w:r>
          </w:p>
        </w:tc>
        <w:tc>
          <w:tcPr>
            <w:tcW w:w="1134" w:type="dxa"/>
            <w:vAlign w:val="center"/>
          </w:tcPr>
          <w:p w14:paraId="0E1D39D0"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Scope 1</w:t>
            </w:r>
          </w:p>
        </w:tc>
        <w:tc>
          <w:tcPr>
            <w:tcW w:w="1134" w:type="dxa"/>
          </w:tcPr>
          <w:p w14:paraId="123FA546"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134" w:type="dxa"/>
          </w:tcPr>
          <w:p w14:paraId="2EB43790"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992" w:type="dxa"/>
          </w:tcPr>
          <w:p w14:paraId="52C44D94"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412" w:type="dxa"/>
          </w:tcPr>
          <w:p w14:paraId="4FE0FE6E" w14:textId="77777777" w:rsidR="001A463F" w:rsidRPr="005A10B0" w:rsidRDefault="001A463F" w:rsidP="001A7D3E">
            <w:pPr>
              <w:spacing w:after="0" w:line="240" w:lineRule="auto"/>
              <w:jc w:val="center"/>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color w:val="156082" w:themeColor="accent1"/>
                <w:kern w:val="0"/>
                <w:sz w:val="20"/>
                <w:szCs w:val="20"/>
                <w:lang w:eastAsia="en-AU"/>
                <w14:ligatures w14:val="none"/>
              </w:rPr>
              <w:t>NA</w:t>
            </w:r>
          </w:p>
        </w:tc>
        <w:tc>
          <w:tcPr>
            <w:tcW w:w="1368" w:type="dxa"/>
            <w:vAlign w:val="center"/>
          </w:tcPr>
          <w:p w14:paraId="058DAFBC" w14:textId="43940975" w:rsidR="001A463F" w:rsidRPr="005A10B0" w:rsidRDefault="00161512"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Subdivision</w:t>
            </w:r>
            <w:r w:rsidR="001A463F" w:rsidRPr="005A10B0">
              <w:rPr>
                <w:rFonts w:ascii="Aptos Narrow" w:eastAsia="Times New Roman" w:hAnsi="Aptos Narrow" w:cs="Times New Roman"/>
                <w:i/>
                <w:iCs/>
                <w:color w:val="156082"/>
                <w:kern w:val="0"/>
                <w:sz w:val="20"/>
                <w:szCs w:val="20"/>
                <w:lang w:eastAsia="en-AU"/>
                <w14:ligatures w14:val="none"/>
              </w:rPr>
              <w:t xml:space="preserve"> and allocation</w:t>
            </w:r>
          </w:p>
        </w:tc>
        <w:tc>
          <w:tcPr>
            <w:tcW w:w="5017" w:type="dxa"/>
            <w:vAlign w:val="center"/>
          </w:tcPr>
          <w:p w14:paraId="279B76BF" w14:textId="35BCE992"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 xml:space="preserve">Subdivision </w:t>
            </w:r>
            <w:r>
              <w:rPr>
                <w:rFonts w:ascii="Aptos Narrow" w:eastAsia="Times New Roman" w:hAnsi="Aptos Narrow" w:cs="Times New Roman"/>
                <w:i/>
                <w:iCs/>
                <w:color w:val="156082"/>
                <w:kern w:val="0"/>
                <w:sz w:val="20"/>
                <w:szCs w:val="20"/>
                <w:lang w:eastAsia="en-AU"/>
                <w14:ligatures w14:val="none"/>
              </w:rPr>
              <w:t>wheat</w:t>
            </w:r>
            <w:r w:rsidRPr="005A10B0">
              <w:rPr>
                <w:rFonts w:ascii="Aptos Narrow" w:eastAsia="Times New Roman" w:hAnsi="Aptos Narrow" w:cs="Times New Roman"/>
                <w:i/>
                <w:iCs/>
                <w:color w:val="156082"/>
                <w:kern w:val="0"/>
                <w:sz w:val="20"/>
                <w:szCs w:val="20"/>
                <w:lang w:eastAsia="en-AU"/>
                <w14:ligatures w14:val="none"/>
              </w:rPr>
              <w:t xml:space="preserve"> and sheep based on production system specific data [2]. Sheep emission</w:t>
            </w:r>
            <w:r w:rsidR="00B138A8">
              <w:rPr>
                <w:rFonts w:ascii="Aptos Narrow" w:eastAsia="Times New Roman" w:hAnsi="Aptos Narrow" w:cs="Times New Roman"/>
                <w:i/>
                <w:iCs/>
                <w:color w:val="156082"/>
                <w:kern w:val="0"/>
                <w:sz w:val="20"/>
                <w:szCs w:val="20"/>
                <w:lang w:eastAsia="en-AU"/>
                <w14:ligatures w14:val="none"/>
              </w:rPr>
              <w:t>s a</w:t>
            </w:r>
            <w:r w:rsidR="00985F77">
              <w:rPr>
                <w:rFonts w:ascii="Aptos Narrow" w:eastAsia="Times New Roman" w:hAnsi="Aptos Narrow" w:cs="Times New Roman"/>
                <w:i/>
                <w:iCs/>
                <w:color w:val="156082"/>
                <w:kern w:val="0"/>
                <w:sz w:val="20"/>
                <w:szCs w:val="20"/>
                <w:lang w:eastAsia="en-AU"/>
                <w14:ligatures w14:val="none"/>
              </w:rPr>
              <w:t>llocated</w:t>
            </w:r>
            <w:r w:rsidRPr="005A10B0">
              <w:rPr>
                <w:rFonts w:ascii="Aptos Narrow" w:eastAsia="Times New Roman" w:hAnsi="Aptos Narrow" w:cs="Times New Roman"/>
                <w:i/>
                <w:iCs/>
                <w:color w:val="156082"/>
                <w:kern w:val="0"/>
                <w:sz w:val="20"/>
                <w:szCs w:val="20"/>
                <w:lang w:eastAsia="en-AU"/>
                <w14:ligatures w14:val="none"/>
              </w:rPr>
              <w:t xml:space="preserve"> to meat and wool [1] </w:t>
            </w:r>
          </w:p>
        </w:tc>
      </w:tr>
      <w:tr w:rsidR="001A463F" w:rsidRPr="00446DBE" w14:paraId="7D215DDA" w14:textId="77777777" w:rsidTr="00A839E3">
        <w:tc>
          <w:tcPr>
            <w:tcW w:w="2400" w:type="dxa"/>
            <w:vAlign w:val="center"/>
          </w:tcPr>
          <w:p w14:paraId="06EBC48B"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Organic Fertiliser</w:t>
            </w:r>
          </w:p>
        </w:tc>
        <w:tc>
          <w:tcPr>
            <w:tcW w:w="1134" w:type="dxa"/>
            <w:vAlign w:val="center"/>
          </w:tcPr>
          <w:p w14:paraId="1DDFC437"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Scope 1</w:t>
            </w:r>
          </w:p>
        </w:tc>
        <w:tc>
          <w:tcPr>
            <w:tcW w:w="1134" w:type="dxa"/>
          </w:tcPr>
          <w:p w14:paraId="2C7742E8"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134" w:type="dxa"/>
          </w:tcPr>
          <w:p w14:paraId="764E7859"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992" w:type="dxa"/>
          </w:tcPr>
          <w:p w14:paraId="3B6BE5C5"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412" w:type="dxa"/>
          </w:tcPr>
          <w:p w14:paraId="355A7EB9" w14:textId="77777777" w:rsidR="001A463F" w:rsidRPr="005A10B0" w:rsidRDefault="001A463F" w:rsidP="001A7D3E">
            <w:pPr>
              <w:spacing w:after="0" w:line="240" w:lineRule="auto"/>
              <w:jc w:val="center"/>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color w:val="156082" w:themeColor="accent1"/>
                <w:kern w:val="0"/>
                <w:sz w:val="20"/>
                <w:szCs w:val="20"/>
                <w:lang w:eastAsia="en-AU"/>
                <w14:ligatures w14:val="none"/>
              </w:rPr>
              <w:t>NA</w:t>
            </w:r>
          </w:p>
        </w:tc>
        <w:tc>
          <w:tcPr>
            <w:tcW w:w="1368" w:type="dxa"/>
            <w:vAlign w:val="center"/>
          </w:tcPr>
          <w:p w14:paraId="6BBC55F9"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Allocation</w:t>
            </w:r>
          </w:p>
        </w:tc>
        <w:tc>
          <w:tcPr>
            <w:tcW w:w="5017" w:type="dxa"/>
            <w:vAlign w:val="center"/>
          </w:tcPr>
          <w:p w14:paraId="333B1856" w14:textId="0D57696E"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Manure d</w:t>
            </w:r>
            <w:r w:rsidR="00626AD1">
              <w:rPr>
                <w:rFonts w:ascii="Aptos Narrow" w:eastAsia="Times New Roman" w:hAnsi="Aptos Narrow" w:cs="Times New Roman"/>
                <w:i/>
                <w:iCs/>
                <w:color w:val="156082"/>
                <w:kern w:val="0"/>
                <w:sz w:val="20"/>
                <w:szCs w:val="20"/>
                <w:lang w:eastAsia="en-AU"/>
                <w14:ligatures w14:val="none"/>
              </w:rPr>
              <w:t xml:space="preserve">eposited </w:t>
            </w:r>
            <w:r w:rsidRPr="005A10B0">
              <w:rPr>
                <w:rFonts w:ascii="Aptos Narrow" w:eastAsia="Times New Roman" w:hAnsi="Aptos Narrow" w:cs="Times New Roman"/>
                <w:i/>
                <w:iCs/>
                <w:color w:val="156082"/>
                <w:kern w:val="0"/>
                <w:sz w:val="20"/>
                <w:szCs w:val="20"/>
                <w:lang w:eastAsia="en-AU"/>
                <w14:ligatures w14:val="none"/>
              </w:rPr>
              <w:t>on pastures.  Emissions allocated to meat and wool [1]</w:t>
            </w:r>
          </w:p>
        </w:tc>
      </w:tr>
      <w:tr w:rsidR="001A463F" w:rsidRPr="00446DBE" w14:paraId="3058A2D6" w14:textId="77777777" w:rsidTr="00A839E3">
        <w:tc>
          <w:tcPr>
            <w:tcW w:w="2400" w:type="dxa"/>
            <w:vAlign w:val="center"/>
            <w:hideMark/>
          </w:tcPr>
          <w:p w14:paraId="041A6065" w14:textId="77777777" w:rsidR="001A463F" w:rsidRPr="005A10B0" w:rsidRDefault="001A463F" w:rsidP="001A7D3E">
            <w:pPr>
              <w:spacing w:after="0" w:line="240" w:lineRule="auto"/>
              <w:rPr>
                <w:rFonts w:ascii="Aptos Narrow" w:eastAsia="Times New Roman" w:hAnsi="Aptos Narrow" w:cs="Times New Roman"/>
                <w:i/>
                <w:color w:val="156082"/>
                <w:kern w:val="0"/>
                <w:sz w:val="20"/>
                <w:szCs w:val="20"/>
                <w:lang w:eastAsia="en-AU"/>
                <w14:ligatures w14:val="none"/>
              </w:rPr>
            </w:pPr>
            <w:r w:rsidRPr="005A10B0">
              <w:rPr>
                <w:rFonts w:ascii="Aptos Narrow" w:eastAsia="Times New Roman" w:hAnsi="Aptos Narrow" w:cs="Times New Roman"/>
                <w:i/>
                <w:color w:val="156082"/>
                <w:kern w:val="0"/>
                <w:sz w:val="20"/>
                <w:szCs w:val="20"/>
                <w:lang w:eastAsia="en-AU"/>
                <w14:ligatures w14:val="none"/>
              </w:rPr>
              <w:t>Fuel use</w:t>
            </w:r>
          </w:p>
        </w:tc>
        <w:tc>
          <w:tcPr>
            <w:tcW w:w="1134" w:type="dxa"/>
            <w:vAlign w:val="center"/>
            <w:hideMark/>
          </w:tcPr>
          <w:p w14:paraId="02F0C143" w14:textId="77777777" w:rsidR="001A463F" w:rsidRPr="005A10B0" w:rsidRDefault="001A463F" w:rsidP="001A7D3E">
            <w:pPr>
              <w:spacing w:after="0" w:line="240" w:lineRule="auto"/>
              <w:rPr>
                <w:rFonts w:ascii="Aptos Narrow" w:eastAsia="Times New Roman" w:hAnsi="Aptos Narrow" w:cs="Times New Roman"/>
                <w:i/>
                <w:color w:val="156082"/>
                <w:kern w:val="0"/>
                <w:sz w:val="20"/>
                <w:szCs w:val="20"/>
                <w:lang w:eastAsia="en-AU"/>
                <w14:ligatures w14:val="none"/>
              </w:rPr>
            </w:pPr>
            <w:r w:rsidRPr="005A10B0">
              <w:rPr>
                <w:rFonts w:ascii="Aptos Narrow" w:eastAsia="Times New Roman" w:hAnsi="Aptos Narrow" w:cs="Times New Roman"/>
                <w:i/>
                <w:color w:val="156082"/>
                <w:kern w:val="0"/>
                <w:sz w:val="20"/>
                <w:szCs w:val="20"/>
                <w:lang w:eastAsia="en-AU"/>
                <w14:ligatures w14:val="none"/>
              </w:rPr>
              <w:t xml:space="preserve">Scope 1 </w:t>
            </w:r>
          </w:p>
        </w:tc>
        <w:tc>
          <w:tcPr>
            <w:tcW w:w="1134" w:type="dxa"/>
          </w:tcPr>
          <w:p w14:paraId="6932CE27"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134" w:type="dxa"/>
          </w:tcPr>
          <w:p w14:paraId="5D1B8B74"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992" w:type="dxa"/>
          </w:tcPr>
          <w:p w14:paraId="04C1D775"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412" w:type="dxa"/>
          </w:tcPr>
          <w:p w14:paraId="1B734FB7"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368" w:type="dxa"/>
            <w:vAlign w:val="center"/>
            <w:hideMark/>
          </w:tcPr>
          <w:p w14:paraId="31C5D967" w14:textId="062B41E9" w:rsidR="001A463F" w:rsidRPr="005A10B0" w:rsidRDefault="001A463F" w:rsidP="001A7D3E">
            <w:pPr>
              <w:spacing w:after="0" w:line="240" w:lineRule="auto"/>
              <w:rPr>
                <w:rFonts w:ascii="Aptos Narrow" w:eastAsia="Times New Roman" w:hAnsi="Aptos Narrow" w:cs="Times New Roman"/>
                <w:i/>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 </w:t>
            </w:r>
            <w:r w:rsidR="00161512" w:rsidRPr="005A10B0">
              <w:rPr>
                <w:rFonts w:ascii="Aptos Narrow" w:eastAsia="Times New Roman" w:hAnsi="Aptos Narrow" w:cs="Times New Roman"/>
                <w:i/>
                <w:iCs/>
                <w:color w:val="156082"/>
                <w:kern w:val="0"/>
                <w:sz w:val="20"/>
                <w:szCs w:val="20"/>
                <w:lang w:eastAsia="en-AU"/>
                <w14:ligatures w14:val="none"/>
              </w:rPr>
              <w:t>Subdivision</w:t>
            </w:r>
            <w:r w:rsidRPr="005A10B0">
              <w:rPr>
                <w:rFonts w:ascii="Aptos Narrow" w:eastAsia="Times New Roman" w:hAnsi="Aptos Narrow" w:cs="Times New Roman"/>
                <w:i/>
                <w:iCs/>
                <w:color w:val="156082"/>
                <w:kern w:val="0"/>
                <w:sz w:val="20"/>
                <w:szCs w:val="20"/>
                <w:lang w:eastAsia="en-AU"/>
                <w14:ligatures w14:val="none"/>
              </w:rPr>
              <w:t xml:space="preserve"> and allocation</w:t>
            </w:r>
          </w:p>
        </w:tc>
        <w:tc>
          <w:tcPr>
            <w:tcW w:w="5017" w:type="dxa"/>
            <w:vAlign w:val="center"/>
            <w:hideMark/>
          </w:tcPr>
          <w:p w14:paraId="0E32078F" w14:textId="740E2ACA" w:rsidR="001A463F" w:rsidRPr="005A10B0" w:rsidRDefault="001A463F" w:rsidP="001A7D3E">
            <w:pPr>
              <w:spacing w:after="0" w:line="240" w:lineRule="auto"/>
              <w:rPr>
                <w:rFonts w:ascii="Aptos Narrow" w:eastAsia="Times New Roman" w:hAnsi="Aptos Narrow" w:cs="Times New Roman"/>
                <w:i/>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 xml:space="preserve">Subdivision </w:t>
            </w:r>
            <w:r>
              <w:rPr>
                <w:rFonts w:ascii="Aptos Narrow" w:eastAsia="Times New Roman" w:hAnsi="Aptos Narrow" w:cs="Times New Roman"/>
                <w:i/>
                <w:iCs/>
                <w:color w:val="156082"/>
                <w:kern w:val="0"/>
                <w:sz w:val="20"/>
                <w:szCs w:val="20"/>
                <w:lang w:eastAsia="en-AU"/>
                <w14:ligatures w14:val="none"/>
              </w:rPr>
              <w:t>wheat</w:t>
            </w:r>
            <w:r w:rsidRPr="005A10B0">
              <w:rPr>
                <w:rFonts w:ascii="Aptos Narrow" w:eastAsia="Times New Roman" w:hAnsi="Aptos Narrow" w:cs="Times New Roman"/>
                <w:i/>
                <w:iCs/>
                <w:color w:val="156082"/>
                <w:kern w:val="0"/>
                <w:sz w:val="20"/>
                <w:szCs w:val="20"/>
                <w:lang w:eastAsia="en-AU"/>
                <w14:ligatures w14:val="none"/>
              </w:rPr>
              <w:t>, sheep and manure based on representative data [3]. Sheep emissions allocated to meat and wool [1]</w:t>
            </w:r>
          </w:p>
        </w:tc>
      </w:tr>
      <w:tr w:rsidR="001A463F" w:rsidRPr="00446DBE" w14:paraId="3B99348B" w14:textId="77777777" w:rsidTr="00A839E3">
        <w:tc>
          <w:tcPr>
            <w:tcW w:w="2400" w:type="dxa"/>
            <w:vAlign w:val="center"/>
          </w:tcPr>
          <w:p w14:paraId="23EAB0EC"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 xml:space="preserve">Land Use Change - Land clearing </w:t>
            </w:r>
          </w:p>
        </w:tc>
        <w:tc>
          <w:tcPr>
            <w:tcW w:w="1134" w:type="dxa"/>
            <w:vAlign w:val="center"/>
          </w:tcPr>
          <w:p w14:paraId="7D9222A0"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Scope 1</w:t>
            </w:r>
          </w:p>
        </w:tc>
        <w:tc>
          <w:tcPr>
            <w:tcW w:w="1134" w:type="dxa"/>
          </w:tcPr>
          <w:p w14:paraId="6A474C9C"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134" w:type="dxa"/>
          </w:tcPr>
          <w:p w14:paraId="4C52D982"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992" w:type="dxa"/>
          </w:tcPr>
          <w:p w14:paraId="216F2C17"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412" w:type="dxa"/>
          </w:tcPr>
          <w:p w14:paraId="40FB3C5B" w14:textId="77777777" w:rsidR="001A463F" w:rsidRPr="005A10B0" w:rsidRDefault="001A463F" w:rsidP="001A7D3E">
            <w:pPr>
              <w:spacing w:after="0" w:line="240" w:lineRule="auto"/>
              <w:jc w:val="center"/>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color w:val="156082" w:themeColor="accent1"/>
                <w:kern w:val="0"/>
                <w:sz w:val="20"/>
                <w:szCs w:val="20"/>
                <w:lang w:eastAsia="en-AU"/>
                <w14:ligatures w14:val="none"/>
              </w:rPr>
              <w:t>NA</w:t>
            </w:r>
          </w:p>
        </w:tc>
        <w:tc>
          <w:tcPr>
            <w:tcW w:w="1368" w:type="dxa"/>
            <w:vAlign w:val="center"/>
          </w:tcPr>
          <w:p w14:paraId="01474C46" w14:textId="1A2F9814" w:rsidR="001A463F" w:rsidRPr="005A10B0" w:rsidRDefault="00161512"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Subdivision</w:t>
            </w:r>
            <w:r w:rsidR="001A463F" w:rsidRPr="005A10B0">
              <w:rPr>
                <w:rFonts w:ascii="Aptos Narrow" w:eastAsia="Times New Roman" w:hAnsi="Aptos Narrow" w:cs="Times New Roman"/>
                <w:i/>
                <w:iCs/>
                <w:color w:val="156082"/>
                <w:kern w:val="0"/>
                <w:sz w:val="20"/>
                <w:szCs w:val="20"/>
                <w:lang w:eastAsia="en-AU"/>
                <w14:ligatures w14:val="none"/>
              </w:rPr>
              <w:t xml:space="preserve"> and allocation</w:t>
            </w:r>
          </w:p>
        </w:tc>
        <w:tc>
          <w:tcPr>
            <w:tcW w:w="5017" w:type="dxa"/>
            <w:vAlign w:val="center"/>
          </w:tcPr>
          <w:p w14:paraId="2745CB69" w14:textId="04031B06"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 xml:space="preserve">Subdivision </w:t>
            </w:r>
            <w:r>
              <w:rPr>
                <w:rFonts w:ascii="Aptos Narrow" w:eastAsia="Times New Roman" w:hAnsi="Aptos Narrow" w:cs="Times New Roman"/>
                <w:i/>
                <w:iCs/>
                <w:color w:val="156082"/>
                <w:kern w:val="0"/>
                <w:sz w:val="20"/>
                <w:szCs w:val="20"/>
                <w:lang w:eastAsia="en-AU"/>
                <w14:ligatures w14:val="none"/>
              </w:rPr>
              <w:t>wheat</w:t>
            </w:r>
            <w:r w:rsidRPr="005A10B0">
              <w:rPr>
                <w:rFonts w:ascii="Aptos Narrow" w:eastAsia="Times New Roman" w:hAnsi="Aptos Narrow" w:cs="Times New Roman"/>
                <w:i/>
                <w:iCs/>
                <w:color w:val="156082"/>
                <w:kern w:val="0"/>
                <w:sz w:val="20"/>
                <w:szCs w:val="20"/>
                <w:lang w:eastAsia="en-AU"/>
                <w14:ligatures w14:val="none"/>
              </w:rPr>
              <w:t xml:space="preserve"> and sheep based on purpose of clearing [</w:t>
            </w:r>
            <w:r w:rsidR="000F6327">
              <w:rPr>
                <w:rFonts w:ascii="Aptos Narrow" w:eastAsia="Times New Roman" w:hAnsi="Aptos Narrow" w:cs="Times New Roman"/>
                <w:i/>
                <w:iCs/>
                <w:color w:val="156082"/>
                <w:kern w:val="0"/>
                <w:sz w:val="20"/>
                <w:szCs w:val="20"/>
                <w:lang w:eastAsia="en-AU"/>
                <w14:ligatures w14:val="none"/>
              </w:rPr>
              <w:t>4</w:t>
            </w:r>
            <w:r w:rsidRPr="005A10B0">
              <w:rPr>
                <w:rFonts w:ascii="Aptos Narrow" w:eastAsia="Times New Roman" w:hAnsi="Aptos Narrow" w:cs="Times New Roman"/>
                <w:i/>
                <w:iCs/>
                <w:color w:val="156082"/>
                <w:kern w:val="0"/>
                <w:sz w:val="20"/>
                <w:szCs w:val="20"/>
                <w:lang w:eastAsia="en-AU"/>
                <w14:ligatures w14:val="none"/>
              </w:rPr>
              <w:t>]. Sheep emissions then allocated to meat and wool) [1]</w:t>
            </w:r>
          </w:p>
        </w:tc>
      </w:tr>
      <w:tr w:rsidR="001A463F" w:rsidRPr="00446DBE" w14:paraId="517D5F1D" w14:textId="77777777" w:rsidTr="00A839E3">
        <w:tc>
          <w:tcPr>
            <w:tcW w:w="2400" w:type="dxa"/>
            <w:vAlign w:val="center"/>
            <w:hideMark/>
          </w:tcPr>
          <w:p w14:paraId="574DA97C" w14:textId="77777777" w:rsidR="001A463F" w:rsidRPr="005A10B0" w:rsidRDefault="001A463F" w:rsidP="001A7D3E">
            <w:pPr>
              <w:spacing w:after="0" w:line="240" w:lineRule="auto"/>
              <w:rPr>
                <w:rFonts w:ascii="Aptos Narrow" w:eastAsia="Times New Roman" w:hAnsi="Aptos Narrow" w:cs="Times New Roman"/>
                <w:i/>
                <w:color w:val="156082"/>
                <w:kern w:val="0"/>
                <w:sz w:val="20"/>
                <w:szCs w:val="20"/>
                <w:lang w:eastAsia="en-AU"/>
                <w14:ligatures w14:val="none"/>
              </w:rPr>
            </w:pPr>
            <w:r w:rsidRPr="005A10B0">
              <w:rPr>
                <w:rFonts w:ascii="Aptos Narrow" w:eastAsia="Times New Roman" w:hAnsi="Aptos Narrow" w:cs="Times New Roman"/>
                <w:i/>
                <w:color w:val="156082"/>
                <w:kern w:val="0"/>
                <w:sz w:val="20"/>
                <w:szCs w:val="20"/>
                <w:lang w:eastAsia="en-AU"/>
                <w14:ligatures w14:val="none"/>
              </w:rPr>
              <w:t xml:space="preserve">Purchased energy </w:t>
            </w:r>
          </w:p>
        </w:tc>
        <w:tc>
          <w:tcPr>
            <w:tcW w:w="1134" w:type="dxa"/>
            <w:vAlign w:val="center"/>
            <w:hideMark/>
          </w:tcPr>
          <w:p w14:paraId="596BF108" w14:textId="77777777" w:rsidR="001A463F" w:rsidRPr="005A10B0" w:rsidRDefault="001A463F" w:rsidP="001A7D3E">
            <w:pPr>
              <w:spacing w:after="0" w:line="240" w:lineRule="auto"/>
              <w:rPr>
                <w:rFonts w:ascii="Aptos Narrow" w:eastAsia="Times New Roman" w:hAnsi="Aptos Narrow" w:cs="Times New Roman"/>
                <w:i/>
                <w:color w:val="156082"/>
                <w:kern w:val="0"/>
                <w:sz w:val="20"/>
                <w:szCs w:val="20"/>
                <w:lang w:eastAsia="en-AU"/>
                <w14:ligatures w14:val="none"/>
              </w:rPr>
            </w:pPr>
            <w:r w:rsidRPr="005A10B0">
              <w:rPr>
                <w:rFonts w:ascii="Aptos Narrow" w:eastAsia="Times New Roman" w:hAnsi="Aptos Narrow" w:cs="Times New Roman"/>
                <w:i/>
                <w:color w:val="156082"/>
                <w:kern w:val="0"/>
                <w:sz w:val="20"/>
                <w:szCs w:val="20"/>
                <w:lang w:eastAsia="en-AU"/>
                <w14:ligatures w14:val="none"/>
              </w:rPr>
              <w:t>Scope 2</w:t>
            </w:r>
          </w:p>
        </w:tc>
        <w:tc>
          <w:tcPr>
            <w:tcW w:w="1134" w:type="dxa"/>
          </w:tcPr>
          <w:p w14:paraId="1D0AAAD5"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134" w:type="dxa"/>
          </w:tcPr>
          <w:p w14:paraId="3D486893"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992" w:type="dxa"/>
          </w:tcPr>
          <w:p w14:paraId="1DE095EA"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412" w:type="dxa"/>
          </w:tcPr>
          <w:p w14:paraId="4BE3E290"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368" w:type="dxa"/>
            <w:vAlign w:val="center"/>
            <w:hideMark/>
          </w:tcPr>
          <w:p w14:paraId="00777CC4" w14:textId="5FE42BC5" w:rsidR="001A463F" w:rsidRPr="005A10B0" w:rsidRDefault="00161512" w:rsidP="001A7D3E">
            <w:pPr>
              <w:spacing w:after="0" w:line="240" w:lineRule="auto"/>
              <w:rPr>
                <w:rFonts w:ascii="Aptos Narrow" w:eastAsia="Times New Roman" w:hAnsi="Aptos Narrow" w:cs="Times New Roman"/>
                <w:i/>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Subdivision</w:t>
            </w:r>
            <w:r w:rsidR="001A463F" w:rsidRPr="005A10B0">
              <w:rPr>
                <w:rFonts w:ascii="Aptos Narrow" w:eastAsia="Times New Roman" w:hAnsi="Aptos Narrow" w:cs="Times New Roman"/>
                <w:i/>
                <w:iCs/>
                <w:color w:val="156082"/>
                <w:kern w:val="0"/>
                <w:sz w:val="20"/>
                <w:szCs w:val="20"/>
                <w:lang w:eastAsia="en-AU"/>
                <w14:ligatures w14:val="none"/>
              </w:rPr>
              <w:t xml:space="preserve"> </w:t>
            </w:r>
          </w:p>
        </w:tc>
        <w:tc>
          <w:tcPr>
            <w:tcW w:w="5017" w:type="dxa"/>
            <w:vAlign w:val="center"/>
            <w:hideMark/>
          </w:tcPr>
          <w:p w14:paraId="02FA2580" w14:textId="3B5EB6C4" w:rsidR="001A463F" w:rsidRPr="005A10B0" w:rsidRDefault="001A463F" w:rsidP="001A7D3E">
            <w:pPr>
              <w:spacing w:after="0" w:line="240" w:lineRule="auto"/>
              <w:rPr>
                <w:rFonts w:ascii="Aptos Narrow" w:eastAsia="Times New Roman" w:hAnsi="Aptos Narrow" w:cs="Times New Roman"/>
                <w:i/>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 xml:space="preserve">Electricity for wool shed </w:t>
            </w:r>
            <w:r w:rsidR="0036126B">
              <w:rPr>
                <w:rFonts w:ascii="Aptos Narrow" w:eastAsia="Times New Roman" w:hAnsi="Aptos Narrow" w:cs="Times New Roman"/>
                <w:i/>
                <w:iCs/>
                <w:color w:val="156082"/>
                <w:kern w:val="0"/>
                <w:sz w:val="20"/>
                <w:szCs w:val="20"/>
                <w:lang w:eastAsia="en-AU"/>
                <w14:ligatures w14:val="none"/>
              </w:rPr>
              <w:t xml:space="preserve">assigned </w:t>
            </w:r>
            <w:r w:rsidRPr="005A10B0">
              <w:rPr>
                <w:rFonts w:ascii="Aptos Narrow" w:eastAsia="Times New Roman" w:hAnsi="Aptos Narrow" w:cs="Times New Roman"/>
                <w:i/>
                <w:iCs/>
                <w:color w:val="156082"/>
                <w:kern w:val="0"/>
                <w:sz w:val="20"/>
                <w:szCs w:val="20"/>
                <w:lang w:eastAsia="en-AU"/>
                <w14:ligatures w14:val="none"/>
              </w:rPr>
              <w:t>to wool based on meter data [</w:t>
            </w:r>
            <w:r w:rsidR="000F6327">
              <w:rPr>
                <w:rFonts w:ascii="Aptos Narrow" w:eastAsia="Times New Roman" w:hAnsi="Aptos Narrow" w:cs="Times New Roman"/>
                <w:i/>
                <w:iCs/>
                <w:color w:val="156082"/>
                <w:kern w:val="0"/>
                <w:sz w:val="20"/>
                <w:szCs w:val="20"/>
                <w:lang w:eastAsia="en-AU"/>
                <w14:ligatures w14:val="none"/>
              </w:rPr>
              <w:t>5</w:t>
            </w:r>
            <w:r w:rsidRPr="005A10B0">
              <w:rPr>
                <w:rFonts w:ascii="Aptos Narrow" w:eastAsia="Times New Roman" w:hAnsi="Aptos Narrow" w:cs="Times New Roman"/>
                <w:i/>
                <w:iCs/>
                <w:color w:val="156082"/>
                <w:kern w:val="0"/>
                <w:sz w:val="20"/>
                <w:szCs w:val="20"/>
                <w:lang w:eastAsia="en-AU"/>
                <w14:ligatures w14:val="none"/>
              </w:rPr>
              <w:t>]</w:t>
            </w:r>
          </w:p>
        </w:tc>
      </w:tr>
      <w:tr w:rsidR="00663354" w:rsidRPr="00446DBE" w14:paraId="0C151C82" w14:textId="77777777" w:rsidTr="00A839E3">
        <w:tc>
          <w:tcPr>
            <w:tcW w:w="2400" w:type="dxa"/>
            <w:vAlign w:val="center"/>
          </w:tcPr>
          <w:p w14:paraId="272BFC5A" w14:textId="77777777" w:rsidR="00663354" w:rsidRPr="005A10B0" w:rsidRDefault="00663354"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Purchased feed</w:t>
            </w:r>
          </w:p>
        </w:tc>
        <w:tc>
          <w:tcPr>
            <w:tcW w:w="1134" w:type="dxa"/>
            <w:vAlign w:val="center"/>
          </w:tcPr>
          <w:p w14:paraId="5D7CD280" w14:textId="77777777" w:rsidR="00663354" w:rsidRPr="005A10B0" w:rsidRDefault="00663354"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Scope 3</w:t>
            </w:r>
          </w:p>
        </w:tc>
        <w:tc>
          <w:tcPr>
            <w:tcW w:w="1134" w:type="dxa"/>
          </w:tcPr>
          <w:p w14:paraId="18A44F1F" w14:textId="77777777" w:rsidR="00663354" w:rsidRPr="005A10B0" w:rsidRDefault="00663354"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134" w:type="dxa"/>
          </w:tcPr>
          <w:p w14:paraId="727C0AD6" w14:textId="77777777" w:rsidR="00663354" w:rsidRPr="005A10B0" w:rsidRDefault="00663354"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992" w:type="dxa"/>
          </w:tcPr>
          <w:p w14:paraId="1BB8A4E3" w14:textId="77777777" w:rsidR="00663354" w:rsidRPr="005A10B0" w:rsidRDefault="00663354"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412" w:type="dxa"/>
          </w:tcPr>
          <w:p w14:paraId="159A56BC" w14:textId="77777777" w:rsidR="00663354" w:rsidRPr="005A10B0" w:rsidRDefault="00663354" w:rsidP="001A7D3E">
            <w:pPr>
              <w:spacing w:after="0" w:line="240" w:lineRule="auto"/>
              <w:jc w:val="center"/>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color w:val="156082" w:themeColor="accent1"/>
                <w:kern w:val="0"/>
                <w:sz w:val="20"/>
                <w:szCs w:val="20"/>
                <w:lang w:eastAsia="en-AU"/>
                <w14:ligatures w14:val="none"/>
              </w:rPr>
              <w:t>NA</w:t>
            </w:r>
          </w:p>
        </w:tc>
        <w:tc>
          <w:tcPr>
            <w:tcW w:w="1368" w:type="dxa"/>
            <w:vAlign w:val="center"/>
          </w:tcPr>
          <w:p w14:paraId="5CFE1B99" w14:textId="77777777" w:rsidR="00663354" w:rsidRPr="005A10B0" w:rsidRDefault="00663354"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 xml:space="preserve">Allocation </w:t>
            </w:r>
          </w:p>
        </w:tc>
        <w:tc>
          <w:tcPr>
            <w:tcW w:w="5017" w:type="dxa"/>
            <w:vAlign w:val="center"/>
          </w:tcPr>
          <w:p w14:paraId="1B75AA5B" w14:textId="77777777" w:rsidR="00663354" w:rsidRPr="005A10B0" w:rsidRDefault="00663354"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 xml:space="preserve">Allocated </w:t>
            </w:r>
            <w:r>
              <w:rPr>
                <w:rFonts w:ascii="Aptos Narrow" w:eastAsia="Times New Roman" w:hAnsi="Aptos Narrow" w:cs="Times New Roman"/>
                <w:i/>
                <w:iCs/>
                <w:color w:val="156082"/>
                <w:kern w:val="0"/>
                <w:sz w:val="20"/>
                <w:szCs w:val="20"/>
                <w:lang w:eastAsia="en-AU"/>
                <w14:ligatures w14:val="none"/>
              </w:rPr>
              <w:t>to</w:t>
            </w:r>
            <w:r w:rsidRPr="005A10B0">
              <w:rPr>
                <w:rFonts w:ascii="Aptos Narrow" w:eastAsia="Times New Roman" w:hAnsi="Aptos Narrow" w:cs="Times New Roman"/>
                <w:i/>
                <w:iCs/>
                <w:color w:val="156082"/>
                <w:kern w:val="0"/>
                <w:sz w:val="20"/>
                <w:szCs w:val="20"/>
                <w:lang w:eastAsia="en-AU"/>
                <w14:ligatures w14:val="none"/>
              </w:rPr>
              <w:t xml:space="preserve"> meat and wool [1]</w:t>
            </w:r>
          </w:p>
        </w:tc>
      </w:tr>
      <w:tr w:rsidR="00663354" w:rsidRPr="00446DBE" w14:paraId="59ADD08C" w14:textId="77777777" w:rsidTr="00A839E3">
        <w:tc>
          <w:tcPr>
            <w:tcW w:w="2400" w:type="dxa"/>
            <w:vAlign w:val="center"/>
          </w:tcPr>
          <w:p w14:paraId="20F36A97" w14:textId="77777777" w:rsidR="00663354" w:rsidRPr="005A10B0" w:rsidRDefault="00663354"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Purchased fertiliser</w:t>
            </w:r>
          </w:p>
        </w:tc>
        <w:tc>
          <w:tcPr>
            <w:tcW w:w="1134" w:type="dxa"/>
            <w:vAlign w:val="center"/>
          </w:tcPr>
          <w:p w14:paraId="354CE1A5" w14:textId="77777777" w:rsidR="00663354" w:rsidRPr="005A10B0" w:rsidRDefault="00663354"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Scope 3</w:t>
            </w:r>
          </w:p>
        </w:tc>
        <w:tc>
          <w:tcPr>
            <w:tcW w:w="1134" w:type="dxa"/>
          </w:tcPr>
          <w:p w14:paraId="61795905" w14:textId="77777777" w:rsidR="00663354" w:rsidRPr="005A10B0" w:rsidRDefault="00663354"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134" w:type="dxa"/>
          </w:tcPr>
          <w:p w14:paraId="07590C1B" w14:textId="77777777" w:rsidR="00663354" w:rsidRPr="005A10B0" w:rsidRDefault="00663354"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992" w:type="dxa"/>
          </w:tcPr>
          <w:p w14:paraId="7E3221E0" w14:textId="77777777" w:rsidR="00663354" w:rsidRPr="005A10B0" w:rsidRDefault="00663354"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412" w:type="dxa"/>
          </w:tcPr>
          <w:p w14:paraId="644A85CF" w14:textId="77777777" w:rsidR="00663354" w:rsidRPr="005A10B0" w:rsidRDefault="00663354" w:rsidP="001A7D3E">
            <w:pPr>
              <w:spacing w:after="0" w:line="240" w:lineRule="auto"/>
              <w:jc w:val="center"/>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color w:val="156082" w:themeColor="accent1"/>
                <w:kern w:val="0"/>
                <w:sz w:val="20"/>
                <w:szCs w:val="20"/>
                <w:lang w:eastAsia="en-AU"/>
                <w14:ligatures w14:val="none"/>
              </w:rPr>
              <w:t>NA</w:t>
            </w:r>
          </w:p>
        </w:tc>
        <w:tc>
          <w:tcPr>
            <w:tcW w:w="1368" w:type="dxa"/>
            <w:vAlign w:val="center"/>
          </w:tcPr>
          <w:p w14:paraId="19FC44B9" w14:textId="13639744" w:rsidR="00663354" w:rsidRPr="005A10B0" w:rsidRDefault="00161512"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Subdivision</w:t>
            </w:r>
            <w:r w:rsidR="00663354" w:rsidRPr="005A10B0">
              <w:rPr>
                <w:rFonts w:ascii="Aptos Narrow" w:eastAsia="Times New Roman" w:hAnsi="Aptos Narrow" w:cs="Times New Roman"/>
                <w:i/>
                <w:iCs/>
                <w:color w:val="156082"/>
                <w:kern w:val="0"/>
                <w:sz w:val="20"/>
                <w:szCs w:val="20"/>
                <w:lang w:eastAsia="en-AU"/>
                <w14:ligatures w14:val="none"/>
              </w:rPr>
              <w:t xml:space="preserve"> and allocation</w:t>
            </w:r>
          </w:p>
        </w:tc>
        <w:tc>
          <w:tcPr>
            <w:tcW w:w="5017" w:type="dxa"/>
            <w:vAlign w:val="center"/>
          </w:tcPr>
          <w:p w14:paraId="7DE51D9B" w14:textId="07E2B4E7" w:rsidR="00663354" w:rsidRPr="005A10B0" w:rsidRDefault="00663354"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 xml:space="preserve">Subdivision </w:t>
            </w:r>
            <w:r>
              <w:rPr>
                <w:rFonts w:ascii="Aptos Narrow" w:eastAsia="Times New Roman" w:hAnsi="Aptos Narrow" w:cs="Times New Roman"/>
                <w:i/>
                <w:iCs/>
                <w:color w:val="156082"/>
                <w:kern w:val="0"/>
                <w:sz w:val="20"/>
                <w:szCs w:val="20"/>
                <w:lang w:eastAsia="en-AU"/>
                <w14:ligatures w14:val="none"/>
              </w:rPr>
              <w:t>wheat</w:t>
            </w:r>
            <w:r w:rsidRPr="005A10B0">
              <w:rPr>
                <w:rFonts w:ascii="Aptos Narrow" w:eastAsia="Times New Roman" w:hAnsi="Aptos Narrow" w:cs="Times New Roman"/>
                <w:i/>
                <w:iCs/>
                <w:color w:val="156082"/>
                <w:kern w:val="0"/>
                <w:sz w:val="20"/>
                <w:szCs w:val="20"/>
                <w:lang w:eastAsia="en-AU"/>
                <w14:ligatures w14:val="none"/>
              </w:rPr>
              <w:t xml:space="preserve"> and sheep based on fertiliser use [2]. Sheep emissions allocated to meat and wool) [1]</w:t>
            </w:r>
          </w:p>
        </w:tc>
      </w:tr>
      <w:tr w:rsidR="001A463F" w:rsidRPr="00446DBE" w14:paraId="07ECA175" w14:textId="77777777" w:rsidTr="00A839E3">
        <w:tc>
          <w:tcPr>
            <w:tcW w:w="2400" w:type="dxa"/>
            <w:vAlign w:val="center"/>
          </w:tcPr>
          <w:p w14:paraId="536BB3D3" w14:textId="6F3321E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 xml:space="preserve">Upstream </w:t>
            </w:r>
            <w:r w:rsidR="0065370B">
              <w:rPr>
                <w:rFonts w:ascii="Aptos Narrow" w:eastAsia="Times New Roman" w:hAnsi="Aptos Narrow" w:cs="Times New Roman"/>
                <w:i/>
                <w:iCs/>
                <w:color w:val="156082"/>
                <w:kern w:val="0"/>
                <w:sz w:val="20"/>
                <w:szCs w:val="20"/>
                <w:lang w:eastAsia="en-AU"/>
                <w14:ligatures w14:val="none"/>
              </w:rPr>
              <w:t xml:space="preserve">fuel </w:t>
            </w:r>
            <w:r w:rsidRPr="005A10B0">
              <w:rPr>
                <w:rFonts w:ascii="Aptos Narrow" w:eastAsia="Times New Roman" w:hAnsi="Aptos Narrow" w:cs="Times New Roman"/>
                <w:i/>
                <w:iCs/>
                <w:color w:val="156082"/>
                <w:kern w:val="0"/>
                <w:sz w:val="20"/>
                <w:szCs w:val="20"/>
                <w:lang w:eastAsia="en-AU"/>
                <w14:ligatures w14:val="none"/>
              </w:rPr>
              <w:t xml:space="preserve">emissions </w:t>
            </w:r>
          </w:p>
        </w:tc>
        <w:tc>
          <w:tcPr>
            <w:tcW w:w="1134" w:type="dxa"/>
            <w:vAlign w:val="center"/>
          </w:tcPr>
          <w:p w14:paraId="65DE7573"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Scope 3</w:t>
            </w:r>
          </w:p>
        </w:tc>
        <w:tc>
          <w:tcPr>
            <w:tcW w:w="1134" w:type="dxa"/>
          </w:tcPr>
          <w:p w14:paraId="224CA7C7"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134" w:type="dxa"/>
          </w:tcPr>
          <w:p w14:paraId="71CD3F74"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992" w:type="dxa"/>
          </w:tcPr>
          <w:p w14:paraId="6A082DE3"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412" w:type="dxa"/>
          </w:tcPr>
          <w:p w14:paraId="56D55B45"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368" w:type="dxa"/>
            <w:vAlign w:val="center"/>
          </w:tcPr>
          <w:p w14:paraId="521B3EEE" w14:textId="581837A8" w:rsidR="001A463F" w:rsidRPr="005A10B0" w:rsidRDefault="00161512"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Subdivision</w:t>
            </w:r>
            <w:r w:rsidR="001A463F" w:rsidRPr="005A10B0">
              <w:rPr>
                <w:rFonts w:ascii="Aptos Narrow" w:eastAsia="Times New Roman" w:hAnsi="Aptos Narrow" w:cs="Times New Roman"/>
                <w:i/>
                <w:iCs/>
                <w:color w:val="156082"/>
                <w:kern w:val="0"/>
                <w:sz w:val="20"/>
                <w:szCs w:val="20"/>
                <w:lang w:eastAsia="en-AU"/>
                <w14:ligatures w14:val="none"/>
              </w:rPr>
              <w:t xml:space="preserve"> and allocation</w:t>
            </w:r>
          </w:p>
        </w:tc>
        <w:tc>
          <w:tcPr>
            <w:tcW w:w="5017" w:type="dxa"/>
            <w:vAlign w:val="center"/>
          </w:tcPr>
          <w:p w14:paraId="7A4A1AA2"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As per fuel use</w:t>
            </w:r>
          </w:p>
        </w:tc>
      </w:tr>
      <w:tr w:rsidR="001A463F" w:rsidRPr="00446DBE" w14:paraId="0CC10ADB" w14:textId="77777777" w:rsidTr="00A839E3">
        <w:tc>
          <w:tcPr>
            <w:tcW w:w="2400" w:type="dxa"/>
            <w:vAlign w:val="center"/>
          </w:tcPr>
          <w:p w14:paraId="60457C6F"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Upstream freight (purchased goods)</w:t>
            </w:r>
          </w:p>
        </w:tc>
        <w:tc>
          <w:tcPr>
            <w:tcW w:w="1134" w:type="dxa"/>
            <w:vAlign w:val="center"/>
          </w:tcPr>
          <w:p w14:paraId="64C3A994"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Scope 3</w:t>
            </w:r>
          </w:p>
        </w:tc>
        <w:tc>
          <w:tcPr>
            <w:tcW w:w="1134" w:type="dxa"/>
          </w:tcPr>
          <w:p w14:paraId="414D8B40"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134" w:type="dxa"/>
          </w:tcPr>
          <w:p w14:paraId="56E3F316"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992" w:type="dxa"/>
          </w:tcPr>
          <w:p w14:paraId="01F16EDC" w14:textId="77777777"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412" w:type="dxa"/>
          </w:tcPr>
          <w:p w14:paraId="26369590" w14:textId="77777777" w:rsidR="001A463F" w:rsidRPr="005A10B0" w:rsidRDefault="001A463F" w:rsidP="001A7D3E">
            <w:pPr>
              <w:spacing w:after="0" w:line="240" w:lineRule="auto"/>
              <w:jc w:val="center"/>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color w:val="156082" w:themeColor="accent1"/>
                <w:kern w:val="0"/>
                <w:sz w:val="20"/>
                <w:szCs w:val="20"/>
                <w:lang w:eastAsia="en-AU"/>
                <w14:ligatures w14:val="none"/>
              </w:rPr>
              <w:t>NA</w:t>
            </w:r>
          </w:p>
        </w:tc>
        <w:tc>
          <w:tcPr>
            <w:tcW w:w="1368" w:type="dxa"/>
            <w:vAlign w:val="center"/>
          </w:tcPr>
          <w:p w14:paraId="17146C2A" w14:textId="7358BED4" w:rsidR="001A463F" w:rsidRPr="005A10B0" w:rsidRDefault="00161512"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Subdivision</w:t>
            </w:r>
            <w:r w:rsidR="001A463F" w:rsidRPr="005A10B0">
              <w:rPr>
                <w:rFonts w:ascii="Aptos Narrow" w:eastAsia="Times New Roman" w:hAnsi="Aptos Narrow" w:cs="Times New Roman"/>
                <w:i/>
                <w:iCs/>
                <w:color w:val="156082"/>
                <w:kern w:val="0"/>
                <w:sz w:val="20"/>
                <w:szCs w:val="20"/>
                <w:lang w:eastAsia="en-AU"/>
                <w14:ligatures w14:val="none"/>
              </w:rPr>
              <w:t xml:space="preserve"> and allocation </w:t>
            </w:r>
          </w:p>
        </w:tc>
        <w:tc>
          <w:tcPr>
            <w:tcW w:w="5017" w:type="dxa"/>
            <w:vAlign w:val="center"/>
          </w:tcPr>
          <w:p w14:paraId="0586503E" w14:textId="286093E4" w:rsidR="001A463F" w:rsidRPr="005A10B0" w:rsidRDefault="001A463F" w:rsidP="001A7D3E">
            <w:pPr>
              <w:spacing w:after="0" w:line="240" w:lineRule="auto"/>
              <w:rPr>
                <w:rFonts w:ascii="Aptos Narrow" w:eastAsia="Times New Roman" w:hAnsi="Aptos Narrow" w:cs="Times New Roman"/>
                <w:i/>
                <w:iCs/>
                <w:color w:val="156082"/>
                <w:kern w:val="0"/>
                <w:sz w:val="20"/>
                <w:szCs w:val="20"/>
                <w:lang w:eastAsia="en-AU"/>
                <w14:ligatures w14:val="none"/>
              </w:rPr>
            </w:pPr>
            <w:r w:rsidRPr="005A10B0">
              <w:rPr>
                <w:rFonts w:ascii="Aptos Narrow" w:eastAsia="Times New Roman" w:hAnsi="Aptos Narrow" w:cs="Times New Roman"/>
                <w:i/>
                <w:iCs/>
                <w:color w:val="156082"/>
                <w:kern w:val="0"/>
                <w:sz w:val="20"/>
                <w:szCs w:val="20"/>
                <w:lang w:eastAsia="en-AU"/>
                <w14:ligatures w14:val="none"/>
              </w:rPr>
              <w:t xml:space="preserve">Subdivision </w:t>
            </w:r>
            <w:r>
              <w:rPr>
                <w:rFonts w:ascii="Aptos Narrow" w:eastAsia="Times New Roman" w:hAnsi="Aptos Narrow" w:cs="Times New Roman"/>
                <w:i/>
                <w:iCs/>
                <w:color w:val="156082"/>
                <w:kern w:val="0"/>
                <w:sz w:val="20"/>
                <w:szCs w:val="20"/>
                <w:lang w:eastAsia="en-AU"/>
                <w14:ligatures w14:val="none"/>
              </w:rPr>
              <w:t>wheat</w:t>
            </w:r>
            <w:r w:rsidRPr="005A10B0">
              <w:rPr>
                <w:rFonts w:ascii="Aptos Narrow" w:eastAsia="Times New Roman" w:hAnsi="Aptos Narrow" w:cs="Times New Roman"/>
                <w:i/>
                <w:iCs/>
                <w:color w:val="156082"/>
                <w:kern w:val="0"/>
                <w:sz w:val="20"/>
                <w:szCs w:val="20"/>
                <w:lang w:eastAsia="en-AU"/>
                <w14:ligatures w14:val="none"/>
              </w:rPr>
              <w:t xml:space="preserve"> and sheep based on purpose of purchased products [6]. Sheep emissions allocated to meat and wool [1]</w:t>
            </w:r>
          </w:p>
        </w:tc>
      </w:tr>
      <w:tr w:rsidR="003E0C6B" w:rsidRPr="00446DBE" w14:paraId="7216F136" w14:textId="77777777" w:rsidTr="00A839E3">
        <w:tc>
          <w:tcPr>
            <w:tcW w:w="2400" w:type="dxa"/>
            <w:vAlign w:val="center"/>
          </w:tcPr>
          <w:p w14:paraId="2EF074C6" w14:textId="6E23197A" w:rsidR="00BB19A8" w:rsidRPr="0004075A" w:rsidRDefault="00BB19A8" w:rsidP="00BB19A8">
            <w:pPr>
              <w:spacing w:after="0" w:line="240" w:lineRule="auto"/>
              <w:rPr>
                <w:rFonts w:ascii="Aptos Narrow" w:eastAsia="Times New Roman" w:hAnsi="Aptos Narrow" w:cs="Times New Roman"/>
                <w:i/>
                <w:iCs/>
                <w:color w:val="156082"/>
                <w:kern w:val="0"/>
                <w:sz w:val="20"/>
                <w:szCs w:val="20"/>
                <w:lang w:eastAsia="en-AU"/>
                <w14:ligatures w14:val="none"/>
              </w:rPr>
            </w:pPr>
            <w:r w:rsidRPr="0004075A">
              <w:rPr>
                <w:rFonts w:ascii="Aptos Narrow" w:eastAsia="Times New Roman" w:hAnsi="Aptos Narrow" w:cs="Times New Roman"/>
                <w:i/>
                <w:iCs/>
                <w:color w:val="156082"/>
                <w:kern w:val="0"/>
                <w:sz w:val="20"/>
                <w:szCs w:val="20"/>
                <w:lang w:eastAsia="en-AU"/>
                <w14:ligatures w14:val="none"/>
              </w:rPr>
              <w:lastRenderedPageBreak/>
              <w:t>Upstream purchased electricity</w:t>
            </w:r>
          </w:p>
        </w:tc>
        <w:tc>
          <w:tcPr>
            <w:tcW w:w="1134" w:type="dxa"/>
            <w:vAlign w:val="center"/>
          </w:tcPr>
          <w:p w14:paraId="59BC8E7E" w14:textId="01D45039" w:rsidR="00BB19A8" w:rsidRPr="0004075A" w:rsidRDefault="00BB19A8" w:rsidP="00BB19A8">
            <w:pPr>
              <w:spacing w:after="0" w:line="240" w:lineRule="auto"/>
              <w:rPr>
                <w:rFonts w:ascii="Aptos Narrow" w:eastAsia="Times New Roman" w:hAnsi="Aptos Narrow" w:cs="Times New Roman"/>
                <w:i/>
                <w:iCs/>
                <w:color w:val="156082"/>
                <w:kern w:val="0"/>
                <w:sz w:val="20"/>
                <w:szCs w:val="20"/>
                <w:lang w:eastAsia="en-AU"/>
                <w14:ligatures w14:val="none"/>
              </w:rPr>
            </w:pPr>
            <w:r w:rsidRPr="0004075A">
              <w:rPr>
                <w:rFonts w:ascii="Aptos Narrow" w:eastAsia="Times New Roman" w:hAnsi="Aptos Narrow" w:cs="Times New Roman"/>
                <w:i/>
                <w:iCs/>
                <w:color w:val="156082"/>
                <w:kern w:val="0"/>
                <w:sz w:val="20"/>
                <w:szCs w:val="20"/>
                <w:lang w:eastAsia="en-AU"/>
                <w14:ligatures w14:val="none"/>
              </w:rPr>
              <w:t>Scope 3</w:t>
            </w:r>
          </w:p>
        </w:tc>
        <w:tc>
          <w:tcPr>
            <w:tcW w:w="1134" w:type="dxa"/>
          </w:tcPr>
          <w:p w14:paraId="2DA9E887" w14:textId="77777777" w:rsidR="0099028B" w:rsidRPr="005A10B0" w:rsidRDefault="0099028B" w:rsidP="0099028B">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134" w:type="dxa"/>
          </w:tcPr>
          <w:p w14:paraId="0EF10186" w14:textId="3A6E1F0C" w:rsidR="00BB19A8" w:rsidRPr="0004075A" w:rsidRDefault="00BB19A8" w:rsidP="00BB19A8">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992" w:type="dxa"/>
          </w:tcPr>
          <w:p w14:paraId="284DE596" w14:textId="77777777" w:rsidR="00BB19A8" w:rsidRPr="0004075A" w:rsidRDefault="00BB19A8" w:rsidP="00BB19A8">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412" w:type="dxa"/>
          </w:tcPr>
          <w:p w14:paraId="074F471E" w14:textId="77777777" w:rsidR="003324DB" w:rsidRPr="0004075A" w:rsidRDefault="003324DB" w:rsidP="00BB19A8">
            <w:pPr>
              <w:spacing w:after="0" w:line="240" w:lineRule="auto"/>
              <w:rPr>
                <w:rFonts w:ascii="Aptos Narrow" w:eastAsia="Times New Roman" w:hAnsi="Aptos Narrow" w:cs="Times New Roman"/>
                <w:i/>
                <w:iCs/>
                <w:color w:val="156082"/>
                <w:kern w:val="0"/>
                <w:sz w:val="20"/>
                <w:szCs w:val="20"/>
                <w:lang w:eastAsia="en-AU"/>
                <w14:ligatures w14:val="none"/>
              </w:rPr>
            </w:pPr>
          </w:p>
        </w:tc>
        <w:tc>
          <w:tcPr>
            <w:tcW w:w="1368" w:type="dxa"/>
            <w:vAlign w:val="center"/>
          </w:tcPr>
          <w:p w14:paraId="4B28B959" w14:textId="76338E78" w:rsidR="00BB19A8" w:rsidRPr="0004075A" w:rsidRDefault="00161512" w:rsidP="00BB19A8">
            <w:pPr>
              <w:spacing w:after="0" w:line="240" w:lineRule="auto"/>
              <w:rPr>
                <w:rFonts w:ascii="Aptos Narrow" w:eastAsia="Times New Roman" w:hAnsi="Aptos Narrow" w:cs="Times New Roman"/>
                <w:i/>
                <w:iCs/>
                <w:color w:val="156082"/>
                <w:kern w:val="0"/>
                <w:sz w:val="20"/>
                <w:szCs w:val="20"/>
                <w:lang w:eastAsia="en-AU"/>
                <w14:ligatures w14:val="none"/>
              </w:rPr>
            </w:pPr>
            <w:r w:rsidRPr="0004075A">
              <w:rPr>
                <w:rFonts w:ascii="Aptos Narrow" w:eastAsia="Times New Roman" w:hAnsi="Aptos Narrow" w:cs="Times New Roman"/>
                <w:i/>
                <w:iCs/>
                <w:color w:val="156082"/>
                <w:kern w:val="0"/>
                <w:sz w:val="20"/>
                <w:szCs w:val="20"/>
                <w:lang w:eastAsia="en-AU"/>
                <w14:ligatures w14:val="none"/>
              </w:rPr>
              <w:t>Subdivision</w:t>
            </w:r>
            <w:r w:rsidR="00BB19A8" w:rsidRPr="0004075A">
              <w:rPr>
                <w:rFonts w:ascii="Aptos Narrow" w:eastAsia="Times New Roman" w:hAnsi="Aptos Narrow" w:cs="Times New Roman"/>
                <w:i/>
                <w:iCs/>
                <w:color w:val="156082"/>
                <w:kern w:val="0"/>
                <w:sz w:val="20"/>
                <w:szCs w:val="20"/>
                <w:lang w:eastAsia="en-AU"/>
                <w14:ligatures w14:val="none"/>
              </w:rPr>
              <w:t xml:space="preserve"> </w:t>
            </w:r>
          </w:p>
        </w:tc>
        <w:tc>
          <w:tcPr>
            <w:tcW w:w="5017" w:type="dxa"/>
            <w:vAlign w:val="center"/>
          </w:tcPr>
          <w:p w14:paraId="745B6AA3" w14:textId="10C64842" w:rsidR="00BB19A8" w:rsidRPr="0004075A" w:rsidRDefault="00BB19A8" w:rsidP="00BB19A8">
            <w:pPr>
              <w:spacing w:after="0" w:line="240" w:lineRule="auto"/>
              <w:rPr>
                <w:rFonts w:ascii="Aptos Narrow" w:eastAsia="Times New Roman" w:hAnsi="Aptos Narrow" w:cs="Times New Roman"/>
                <w:i/>
                <w:iCs/>
                <w:color w:val="156082"/>
                <w:kern w:val="0"/>
                <w:sz w:val="20"/>
                <w:szCs w:val="20"/>
                <w:lang w:eastAsia="en-AU"/>
                <w14:ligatures w14:val="none"/>
              </w:rPr>
            </w:pPr>
            <w:r w:rsidRPr="0004075A">
              <w:rPr>
                <w:rFonts w:ascii="Aptos Narrow" w:eastAsia="Times New Roman" w:hAnsi="Aptos Narrow" w:cs="Times New Roman"/>
                <w:i/>
                <w:iCs/>
                <w:color w:val="156082"/>
                <w:kern w:val="0"/>
                <w:sz w:val="20"/>
                <w:szCs w:val="20"/>
                <w:lang w:eastAsia="en-AU"/>
                <w14:ligatures w14:val="none"/>
              </w:rPr>
              <w:t>As per purchased electricity</w:t>
            </w:r>
          </w:p>
        </w:tc>
      </w:tr>
      <w:tr w:rsidR="005134E1" w:rsidRPr="00446DBE" w14:paraId="4FC71435" w14:textId="77777777" w:rsidTr="00A839E3">
        <w:trPr>
          <w:trHeight w:val="290"/>
        </w:trPr>
        <w:tc>
          <w:tcPr>
            <w:tcW w:w="2400" w:type="dxa"/>
            <w:shd w:val="clear" w:color="auto" w:fill="E8E8E8" w:themeFill="background2"/>
            <w:vAlign w:val="center"/>
            <w:hideMark/>
          </w:tcPr>
          <w:p w14:paraId="63157096" w14:textId="16A2EED3" w:rsidR="00446DBE" w:rsidRPr="0004075A" w:rsidRDefault="00BB19A8" w:rsidP="00446DBE">
            <w:pPr>
              <w:spacing w:after="0" w:line="240" w:lineRule="auto"/>
              <w:rPr>
                <w:rFonts w:ascii="Aptos Narrow" w:eastAsia="Times New Roman" w:hAnsi="Aptos Narrow" w:cs="Times New Roman"/>
                <w:b/>
                <w:color w:val="000000"/>
                <w:kern w:val="0"/>
                <w:sz w:val="20"/>
                <w:szCs w:val="20"/>
                <w:lang w:eastAsia="en-AU"/>
                <w14:ligatures w14:val="none"/>
              </w:rPr>
            </w:pPr>
            <w:r w:rsidRPr="0004075A">
              <w:rPr>
                <w:rFonts w:ascii="Aptos Narrow" w:eastAsia="Times New Roman" w:hAnsi="Aptos Narrow" w:cs="Times New Roman"/>
                <w:b/>
                <w:bCs/>
                <w:color w:val="000000"/>
                <w:kern w:val="0"/>
                <w:sz w:val="20"/>
                <w:szCs w:val="20"/>
                <w:lang w:eastAsia="en-AU"/>
                <w14:ligatures w14:val="none"/>
              </w:rPr>
              <w:t xml:space="preserve">Total </w:t>
            </w:r>
          </w:p>
        </w:tc>
        <w:tc>
          <w:tcPr>
            <w:tcW w:w="1134" w:type="dxa"/>
            <w:shd w:val="clear" w:color="auto" w:fill="E8E8E8" w:themeFill="background2"/>
            <w:vAlign w:val="center"/>
            <w:hideMark/>
          </w:tcPr>
          <w:p w14:paraId="488D145E" w14:textId="77777777" w:rsidR="00446DBE" w:rsidRPr="0004075A" w:rsidRDefault="00446DBE" w:rsidP="00446DBE">
            <w:pPr>
              <w:spacing w:after="0" w:line="240" w:lineRule="auto"/>
              <w:rPr>
                <w:rFonts w:ascii="Aptos Narrow" w:eastAsia="Times New Roman" w:hAnsi="Aptos Narrow" w:cs="Times New Roman"/>
                <w:color w:val="000000"/>
                <w:kern w:val="0"/>
                <w:sz w:val="20"/>
                <w:szCs w:val="20"/>
                <w:lang w:eastAsia="en-AU"/>
                <w14:ligatures w14:val="none"/>
              </w:rPr>
            </w:pPr>
            <w:r w:rsidRPr="0004075A">
              <w:rPr>
                <w:rFonts w:ascii="Aptos Narrow" w:eastAsia="Times New Roman" w:hAnsi="Aptos Narrow" w:cs="Times New Roman"/>
                <w:color w:val="000000"/>
                <w:kern w:val="0"/>
                <w:sz w:val="20"/>
                <w:szCs w:val="20"/>
                <w:lang w:eastAsia="en-AU"/>
                <w14:ligatures w14:val="none"/>
              </w:rPr>
              <w:t> </w:t>
            </w:r>
          </w:p>
        </w:tc>
        <w:tc>
          <w:tcPr>
            <w:tcW w:w="1134" w:type="dxa"/>
          </w:tcPr>
          <w:p w14:paraId="1117A404" w14:textId="77777777" w:rsidR="0099028B" w:rsidRPr="005A10B0" w:rsidRDefault="0099028B" w:rsidP="0099028B">
            <w:pPr>
              <w:spacing w:after="0" w:line="240" w:lineRule="auto"/>
              <w:rPr>
                <w:rFonts w:ascii="Aptos Narrow" w:eastAsia="Times New Roman" w:hAnsi="Aptos Narrow" w:cs="Times New Roman"/>
                <w:color w:val="000000"/>
                <w:kern w:val="0"/>
                <w:sz w:val="20"/>
                <w:szCs w:val="20"/>
                <w:lang w:eastAsia="en-AU"/>
                <w14:ligatures w14:val="none"/>
              </w:rPr>
            </w:pPr>
          </w:p>
        </w:tc>
        <w:tc>
          <w:tcPr>
            <w:tcW w:w="1134" w:type="dxa"/>
          </w:tcPr>
          <w:p w14:paraId="528B37DF" w14:textId="7408CFC5" w:rsidR="00BB19A8" w:rsidRPr="0004075A" w:rsidRDefault="00BB19A8" w:rsidP="00BB19A8">
            <w:pPr>
              <w:spacing w:after="0" w:line="240" w:lineRule="auto"/>
              <w:rPr>
                <w:rFonts w:ascii="Aptos Narrow" w:eastAsia="Times New Roman" w:hAnsi="Aptos Narrow" w:cs="Times New Roman"/>
                <w:color w:val="000000"/>
                <w:kern w:val="0"/>
                <w:sz w:val="20"/>
                <w:szCs w:val="20"/>
                <w:lang w:eastAsia="en-AU"/>
                <w14:ligatures w14:val="none"/>
              </w:rPr>
            </w:pPr>
          </w:p>
        </w:tc>
        <w:tc>
          <w:tcPr>
            <w:tcW w:w="992" w:type="dxa"/>
          </w:tcPr>
          <w:p w14:paraId="75DBD19D" w14:textId="77777777" w:rsidR="00BB19A8" w:rsidRPr="0004075A" w:rsidRDefault="00BB19A8" w:rsidP="00BB19A8">
            <w:pPr>
              <w:spacing w:after="0" w:line="240" w:lineRule="auto"/>
              <w:rPr>
                <w:rFonts w:ascii="Aptos Narrow" w:eastAsia="Times New Roman" w:hAnsi="Aptos Narrow" w:cs="Times New Roman"/>
                <w:color w:val="000000"/>
                <w:kern w:val="0"/>
                <w:sz w:val="20"/>
                <w:szCs w:val="20"/>
                <w:lang w:eastAsia="en-AU"/>
                <w14:ligatures w14:val="none"/>
              </w:rPr>
            </w:pPr>
          </w:p>
        </w:tc>
        <w:tc>
          <w:tcPr>
            <w:tcW w:w="1412" w:type="dxa"/>
          </w:tcPr>
          <w:p w14:paraId="3E4001E3" w14:textId="77777777" w:rsidR="003324DB" w:rsidRPr="0004075A" w:rsidRDefault="003324DB" w:rsidP="00446DBE">
            <w:pPr>
              <w:spacing w:after="0" w:line="240" w:lineRule="auto"/>
              <w:jc w:val="right"/>
              <w:rPr>
                <w:rFonts w:ascii="Aptos Narrow" w:eastAsia="Times New Roman" w:hAnsi="Aptos Narrow" w:cs="Times New Roman"/>
                <w:color w:val="000000"/>
                <w:kern w:val="0"/>
                <w:sz w:val="20"/>
                <w:szCs w:val="20"/>
                <w:lang w:eastAsia="en-AU"/>
                <w14:ligatures w14:val="none"/>
              </w:rPr>
            </w:pPr>
          </w:p>
        </w:tc>
        <w:tc>
          <w:tcPr>
            <w:tcW w:w="1368" w:type="dxa"/>
            <w:shd w:val="clear" w:color="auto" w:fill="E8E8E8" w:themeFill="background2"/>
            <w:vAlign w:val="center"/>
            <w:hideMark/>
          </w:tcPr>
          <w:p w14:paraId="7C073936" w14:textId="1A620AAB" w:rsidR="00446DBE" w:rsidRPr="0004075A" w:rsidRDefault="00446DBE" w:rsidP="00446DBE">
            <w:pPr>
              <w:spacing w:after="0" w:line="240" w:lineRule="auto"/>
              <w:jc w:val="right"/>
              <w:rPr>
                <w:rFonts w:ascii="Aptos Narrow" w:eastAsia="Times New Roman" w:hAnsi="Aptos Narrow" w:cs="Times New Roman"/>
                <w:color w:val="000000"/>
                <w:kern w:val="0"/>
                <w:sz w:val="20"/>
                <w:szCs w:val="20"/>
                <w:lang w:eastAsia="en-AU"/>
                <w14:ligatures w14:val="none"/>
              </w:rPr>
            </w:pPr>
          </w:p>
        </w:tc>
        <w:tc>
          <w:tcPr>
            <w:tcW w:w="5017" w:type="dxa"/>
            <w:shd w:val="clear" w:color="auto" w:fill="E8E8E8" w:themeFill="background2"/>
            <w:vAlign w:val="center"/>
            <w:hideMark/>
          </w:tcPr>
          <w:p w14:paraId="3C2AC4A7" w14:textId="77777777" w:rsidR="00446DBE" w:rsidRPr="0004075A" w:rsidRDefault="00446DBE" w:rsidP="00446DBE">
            <w:pPr>
              <w:spacing w:after="0" w:line="240" w:lineRule="auto"/>
              <w:rPr>
                <w:rFonts w:ascii="Aptos Narrow" w:eastAsia="Times New Roman" w:hAnsi="Aptos Narrow" w:cs="Times New Roman"/>
                <w:color w:val="000000"/>
                <w:kern w:val="0"/>
                <w:sz w:val="20"/>
                <w:szCs w:val="20"/>
                <w:lang w:eastAsia="en-AU"/>
                <w14:ligatures w14:val="none"/>
              </w:rPr>
            </w:pPr>
            <w:r w:rsidRPr="0004075A">
              <w:rPr>
                <w:rFonts w:ascii="Aptos Narrow" w:eastAsia="Times New Roman" w:hAnsi="Aptos Narrow" w:cs="Times New Roman"/>
                <w:color w:val="000000"/>
                <w:kern w:val="0"/>
                <w:sz w:val="20"/>
                <w:szCs w:val="20"/>
                <w:lang w:eastAsia="en-AU"/>
                <w14:ligatures w14:val="none"/>
              </w:rPr>
              <w:t> </w:t>
            </w:r>
          </w:p>
        </w:tc>
      </w:tr>
    </w:tbl>
    <w:p w14:paraId="13EF07A5" w14:textId="77777777" w:rsidR="00CF066D" w:rsidRDefault="00CF066D" w:rsidP="00CF066D"/>
    <w:p w14:paraId="68451FDF" w14:textId="7E85FF85" w:rsidR="00D87B5A" w:rsidRDefault="001B46E4" w:rsidP="00D87B5A">
      <w:pPr>
        <w:pStyle w:val="Heading3"/>
        <w:numPr>
          <w:ilvl w:val="0"/>
          <w:numId w:val="0"/>
        </w:numPr>
      </w:pPr>
      <w:r>
        <w:t>Additional information on</w:t>
      </w:r>
      <w:r w:rsidR="00CF066D">
        <w:t xml:space="preserve"> </w:t>
      </w:r>
      <w:r w:rsidR="00804A5C">
        <w:t xml:space="preserve">allocation </w:t>
      </w:r>
      <w:r w:rsidR="00221E06">
        <w:t>methods</w:t>
      </w:r>
      <w:r w:rsidR="00D87B5A">
        <w:t xml:space="preserve"> </w:t>
      </w:r>
    </w:p>
    <w:tbl>
      <w:tblPr>
        <w:tblW w:w="14024" w:type="dxa"/>
        <w:tblInd w:w="5" w:type="dxa"/>
        <w:tblLook w:val="04A0" w:firstRow="1" w:lastRow="0" w:firstColumn="1" w:lastColumn="0" w:noHBand="0" w:noVBand="1"/>
      </w:tblPr>
      <w:tblGrid>
        <w:gridCol w:w="1152"/>
        <w:gridCol w:w="1390"/>
        <w:gridCol w:w="1580"/>
        <w:gridCol w:w="1867"/>
        <w:gridCol w:w="2798"/>
        <w:gridCol w:w="1782"/>
        <w:gridCol w:w="3455"/>
      </w:tblGrid>
      <w:tr w:rsidR="00566DA1" w:rsidRPr="00FA1403" w14:paraId="7D9C0C51" w14:textId="77777777" w:rsidTr="00D554D6">
        <w:trPr>
          <w:trHeight w:val="1160"/>
          <w:tblHeader/>
        </w:trPr>
        <w:tc>
          <w:tcPr>
            <w:tcW w:w="1152"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0FC8C9D6" w14:textId="2AEF2476" w:rsidR="00C51922" w:rsidRDefault="00C51922" w:rsidP="00C51922">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 xml:space="preserve">Reference </w:t>
            </w:r>
            <w:r w:rsidR="00AF0A3C">
              <w:rPr>
                <w:rFonts w:ascii="Aptos Narrow" w:eastAsia="Times New Roman" w:hAnsi="Aptos Narrow" w:cs="Times New Roman"/>
                <w:b/>
                <w:bCs/>
                <w:color w:val="000000"/>
                <w:kern w:val="0"/>
                <w:lang w:eastAsia="en-AU"/>
                <w14:ligatures w14:val="none"/>
              </w:rPr>
              <w:t>#</w:t>
            </w:r>
          </w:p>
        </w:tc>
        <w:tc>
          <w:tcPr>
            <w:tcW w:w="1390" w:type="dxa"/>
            <w:tcBorders>
              <w:top w:val="single" w:sz="4" w:space="0" w:color="auto"/>
              <w:bottom w:val="single" w:sz="4" w:space="0" w:color="auto"/>
              <w:right w:val="single" w:sz="4" w:space="0" w:color="auto"/>
            </w:tcBorders>
            <w:shd w:val="clear" w:color="auto" w:fill="E8E8E8" w:themeFill="background2"/>
            <w:vAlign w:val="center"/>
          </w:tcPr>
          <w:p w14:paraId="76DD9295" w14:textId="77777777" w:rsidR="00D554D6" w:rsidRDefault="00C51922" w:rsidP="00E30E36">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Products/</w:t>
            </w:r>
          </w:p>
          <w:p w14:paraId="4177768D" w14:textId="4FCFEDAB" w:rsidR="00C51922" w:rsidRDefault="00C51922" w:rsidP="00C51922">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production system</w:t>
            </w:r>
          </w:p>
        </w:tc>
        <w:tc>
          <w:tcPr>
            <w:tcW w:w="1580" w:type="dxa"/>
            <w:tcBorders>
              <w:top w:val="single" w:sz="4" w:space="0" w:color="auto"/>
              <w:left w:val="single" w:sz="4" w:space="0" w:color="auto"/>
              <w:bottom w:val="single" w:sz="4" w:space="0" w:color="auto"/>
            </w:tcBorders>
            <w:shd w:val="clear" w:color="auto" w:fill="E8E8E8" w:themeFill="background2"/>
            <w:vAlign w:val="center"/>
          </w:tcPr>
          <w:p w14:paraId="4BA00834" w14:textId="5FF88D36" w:rsidR="00E30E36" w:rsidRDefault="00E30E36" w:rsidP="00E30E36">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Process (module)</w:t>
            </w:r>
          </w:p>
        </w:tc>
        <w:tc>
          <w:tcPr>
            <w:tcW w:w="1867"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43AD3DE5" w14:textId="54D68FB8" w:rsidR="00C51922" w:rsidRDefault="00C51922" w:rsidP="00C51922">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Method</w:t>
            </w:r>
          </w:p>
        </w:tc>
        <w:tc>
          <w:tcPr>
            <w:tcW w:w="2798" w:type="dxa"/>
            <w:tcBorders>
              <w:top w:val="single" w:sz="4" w:space="0" w:color="auto"/>
              <w:bottom w:val="single" w:sz="4" w:space="0" w:color="auto"/>
              <w:right w:val="single" w:sz="4" w:space="0" w:color="auto"/>
            </w:tcBorders>
            <w:shd w:val="clear" w:color="auto" w:fill="E8E8E8" w:themeFill="background2"/>
            <w:vAlign w:val="center"/>
          </w:tcPr>
          <w:p w14:paraId="59DF6254" w14:textId="1296E0FA" w:rsidR="00C51922" w:rsidRPr="00FA1403" w:rsidRDefault="005E2391" w:rsidP="00C51922">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Basis for allocation</w:t>
            </w:r>
          </w:p>
        </w:tc>
        <w:tc>
          <w:tcPr>
            <w:tcW w:w="1782" w:type="dxa"/>
            <w:tcBorders>
              <w:top w:val="single" w:sz="4" w:space="0" w:color="auto"/>
              <w:left w:val="single" w:sz="4" w:space="0" w:color="auto"/>
              <w:bottom w:val="single" w:sz="4" w:space="0" w:color="auto"/>
              <w:right w:val="single" w:sz="4" w:space="0" w:color="auto"/>
            </w:tcBorders>
            <w:shd w:val="clear" w:color="000000" w:fill="E8E8E8"/>
            <w:vAlign w:val="center"/>
          </w:tcPr>
          <w:p w14:paraId="69CC23D4" w14:textId="62FF74CE" w:rsidR="00C51922" w:rsidRPr="00FA1403" w:rsidRDefault="000318A4" w:rsidP="00C51922">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Source</w:t>
            </w:r>
          </w:p>
        </w:tc>
        <w:tc>
          <w:tcPr>
            <w:tcW w:w="3455" w:type="dxa"/>
            <w:tcBorders>
              <w:top w:val="single" w:sz="4" w:space="0" w:color="auto"/>
              <w:bottom w:val="single" w:sz="4" w:space="0" w:color="auto"/>
              <w:right w:val="single" w:sz="4" w:space="0" w:color="auto"/>
            </w:tcBorders>
            <w:shd w:val="clear" w:color="auto" w:fill="E8E8E8" w:themeFill="background2"/>
            <w:vAlign w:val="center"/>
          </w:tcPr>
          <w:p w14:paraId="01178027" w14:textId="24E0D5F6" w:rsidR="00C51922" w:rsidRPr="007B317F" w:rsidRDefault="002A34A1" w:rsidP="00C51922">
            <w:pPr>
              <w:spacing w:after="0" w:line="240" w:lineRule="auto"/>
              <w:jc w:val="center"/>
              <w:rPr>
                <w:rFonts w:ascii="Aptos Narrow" w:eastAsia="Times New Roman" w:hAnsi="Aptos Narrow" w:cs="Times New Roman"/>
                <w:color w:val="000000"/>
                <w:kern w:val="0"/>
                <w:sz w:val="20"/>
                <w:szCs w:val="20"/>
                <w:lang w:eastAsia="en-AU"/>
                <w14:ligatures w14:val="none"/>
              </w:rPr>
            </w:pPr>
            <w:r>
              <w:rPr>
                <w:rFonts w:ascii="Aptos Narrow" w:eastAsia="Times New Roman" w:hAnsi="Aptos Narrow" w:cs="Times New Roman"/>
                <w:b/>
                <w:bCs/>
                <w:color w:val="000000"/>
                <w:kern w:val="0"/>
                <w:lang w:eastAsia="en-AU"/>
                <w14:ligatures w14:val="none"/>
              </w:rPr>
              <w:t xml:space="preserve">Other </w:t>
            </w:r>
            <w:r w:rsidR="00100B5B" w:rsidRPr="00100B5B">
              <w:rPr>
                <w:rFonts w:ascii="Aptos Narrow" w:eastAsia="Times New Roman" w:hAnsi="Aptos Narrow" w:cs="Times New Roman"/>
                <w:b/>
                <w:bCs/>
                <w:color w:val="000000"/>
                <w:kern w:val="0"/>
                <w:lang w:eastAsia="en-AU"/>
                <w14:ligatures w14:val="none"/>
              </w:rPr>
              <w:t>Evidence</w:t>
            </w:r>
          </w:p>
        </w:tc>
      </w:tr>
      <w:tr w:rsidR="009D41E8" w:rsidRPr="00FA1403" w14:paraId="674D1A35" w14:textId="77777777" w:rsidTr="00D554D6">
        <w:trPr>
          <w:trHeight w:val="492"/>
        </w:trPr>
        <w:tc>
          <w:tcPr>
            <w:tcW w:w="1152" w:type="dxa"/>
            <w:tcBorders>
              <w:top w:val="single" w:sz="4" w:space="0" w:color="auto"/>
              <w:left w:val="single" w:sz="4" w:space="0" w:color="auto"/>
              <w:bottom w:val="single" w:sz="4" w:space="0" w:color="auto"/>
              <w:right w:val="single" w:sz="4" w:space="0" w:color="auto"/>
            </w:tcBorders>
            <w:vAlign w:val="center"/>
          </w:tcPr>
          <w:p w14:paraId="30E47D31" w14:textId="7613EC89" w:rsidR="009D41E8" w:rsidRDefault="009D41E8">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1</w:t>
            </w:r>
          </w:p>
        </w:tc>
        <w:tc>
          <w:tcPr>
            <w:tcW w:w="1390" w:type="dxa"/>
            <w:tcBorders>
              <w:top w:val="single" w:sz="4" w:space="0" w:color="auto"/>
              <w:bottom w:val="single" w:sz="4" w:space="0" w:color="auto"/>
              <w:right w:val="single" w:sz="4" w:space="0" w:color="auto"/>
            </w:tcBorders>
            <w:vAlign w:val="center"/>
          </w:tcPr>
          <w:p w14:paraId="48A3A175" w14:textId="77777777" w:rsidR="009D41E8" w:rsidRDefault="009D41E8">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Sheep meat and wool</w:t>
            </w:r>
          </w:p>
        </w:tc>
        <w:tc>
          <w:tcPr>
            <w:tcW w:w="1580" w:type="dxa"/>
            <w:tcBorders>
              <w:top w:val="single" w:sz="4" w:space="0" w:color="auto"/>
              <w:left w:val="single" w:sz="4" w:space="0" w:color="auto"/>
              <w:bottom w:val="single" w:sz="4" w:space="0" w:color="auto"/>
            </w:tcBorders>
            <w:vAlign w:val="center"/>
          </w:tcPr>
          <w:p w14:paraId="57727617" w14:textId="3038311F" w:rsidR="00E30E36" w:rsidRDefault="00E30E36" w:rsidP="00E30E36">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General</w:t>
            </w:r>
          </w:p>
        </w:tc>
        <w:tc>
          <w:tcPr>
            <w:tcW w:w="1867" w:type="dxa"/>
            <w:tcBorders>
              <w:top w:val="single" w:sz="4" w:space="0" w:color="auto"/>
              <w:left w:val="single" w:sz="4" w:space="0" w:color="auto"/>
              <w:bottom w:val="single" w:sz="4" w:space="0" w:color="auto"/>
              <w:right w:val="single" w:sz="4" w:space="0" w:color="auto"/>
            </w:tcBorders>
            <w:vAlign w:val="center"/>
          </w:tcPr>
          <w:p w14:paraId="4875EB7B" w14:textId="47065BB7" w:rsidR="009D41E8" w:rsidRPr="00894954" w:rsidRDefault="009D41E8">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Allocation - Physical</w:t>
            </w:r>
          </w:p>
        </w:tc>
        <w:tc>
          <w:tcPr>
            <w:tcW w:w="2798" w:type="dxa"/>
            <w:tcBorders>
              <w:top w:val="single" w:sz="4" w:space="0" w:color="auto"/>
              <w:bottom w:val="single" w:sz="4" w:space="0" w:color="auto"/>
              <w:right w:val="single" w:sz="4" w:space="0" w:color="auto"/>
            </w:tcBorders>
            <w:vAlign w:val="center"/>
          </w:tcPr>
          <w:p w14:paraId="637BE341" w14:textId="17BF4FF6" w:rsidR="009D41E8" w:rsidRPr="00894954" w:rsidRDefault="00312B42">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 xml:space="preserve">Relative </w:t>
            </w:r>
            <w:r w:rsidR="009D41E8" w:rsidRPr="00B26C80">
              <w:rPr>
                <w:rFonts w:ascii="Aptos Narrow" w:eastAsia="Times New Roman" w:hAnsi="Aptos Narrow" w:cs="Times New Roman"/>
                <w:i/>
                <w:iCs/>
                <w:color w:val="156082" w:themeColor="accent1"/>
                <w:kern w:val="0"/>
                <w:lang w:eastAsia="en-AU"/>
                <w14:ligatures w14:val="none"/>
              </w:rPr>
              <w:t>mass of</w:t>
            </w:r>
            <w:r>
              <w:rPr>
                <w:rFonts w:ascii="Aptos Narrow" w:eastAsia="Times New Roman" w:hAnsi="Aptos Narrow" w:cs="Times New Roman"/>
                <w:i/>
                <w:iCs/>
                <w:color w:val="156082" w:themeColor="accent1"/>
                <w:kern w:val="0"/>
                <w:lang w:eastAsia="en-AU"/>
                <w14:ligatures w14:val="none"/>
              </w:rPr>
              <w:t xml:space="preserve"> protein in </w:t>
            </w:r>
            <w:r w:rsidR="009D41E8" w:rsidRPr="00B26C80">
              <w:rPr>
                <w:rFonts w:ascii="Aptos Narrow" w:eastAsia="Times New Roman" w:hAnsi="Aptos Narrow" w:cs="Times New Roman"/>
                <w:i/>
                <w:iCs/>
                <w:color w:val="156082" w:themeColor="accent1"/>
                <w:kern w:val="0"/>
                <w:lang w:eastAsia="en-AU"/>
                <w14:ligatures w14:val="none"/>
              </w:rPr>
              <w:t xml:space="preserve">liveweight </w:t>
            </w:r>
            <w:r w:rsidR="00D41D33">
              <w:rPr>
                <w:rFonts w:ascii="Aptos Narrow" w:eastAsia="Times New Roman" w:hAnsi="Aptos Narrow" w:cs="Times New Roman"/>
                <w:i/>
                <w:iCs/>
                <w:color w:val="156082" w:themeColor="accent1"/>
                <w:kern w:val="0"/>
                <w:lang w:eastAsia="en-AU"/>
                <w14:ligatures w14:val="none"/>
              </w:rPr>
              <w:t xml:space="preserve">(18% protein) </w:t>
            </w:r>
            <w:r w:rsidR="009D41E8" w:rsidRPr="00B26C80">
              <w:rPr>
                <w:rFonts w:ascii="Aptos Narrow" w:eastAsia="Times New Roman" w:hAnsi="Aptos Narrow" w:cs="Times New Roman"/>
                <w:i/>
                <w:iCs/>
                <w:color w:val="156082" w:themeColor="accent1"/>
                <w:kern w:val="0"/>
                <w:lang w:eastAsia="en-AU"/>
                <w14:ligatures w14:val="none"/>
              </w:rPr>
              <w:t>and clean wool</w:t>
            </w:r>
            <w:r w:rsidR="00D41D33">
              <w:rPr>
                <w:rFonts w:ascii="Aptos Narrow" w:eastAsia="Times New Roman" w:hAnsi="Aptos Narrow" w:cs="Times New Roman"/>
                <w:i/>
                <w:iCs/>
                <w:color w:val="156082" w:themeColor="accent1"/>
                <w:kern w:val="0"/>
                <w:lang w:eastAsia="en-AU"/>
                <w14:ligatures w14:val="none"/>
              </w:rPr>
              <w:t xml:space="preserve"> (100% protein)</w:t>
            </w:r>
          </w:p>
        </w:tc>
        <w:tc>
          <w:tcPr>
            <w:tcW w:w="1782" w:type="dxa"/>
            <w:tcBorders>
              <w:top w:val="nil"/>
              <w:left w:val="single" w:sz="4" w:space="0" w:color="auto"/>
              <w:bottom w:val="single" w:sz="4" w:space="0" w:color="auto"/>
              <w:right w:val="single" w:sz="4" w:space="0" w:color="auto"/>
            </w:tcBorders>
            <w:vAlign w:val="center"/>
          </w:tcPr>
          <w:p w14:paraId="22CA193E" w14:textId="77777777" w:rsidR="009D41E8" w:rsidRPr="00894954" w:rsidRDefault="009D41E8">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Product category rule - Australia</w:t>
            </w:r>
          </w:p>
        </w:tc>
        <w:tc>
          <w:tcPr>
            <w:tcW w:w="3455" w:type="dxa"/>
            <w:tcBorders>
              <w:top w:val="single" w:sz="4" w:space="0" w:color="auto"/>
              <w:bottom w:val="single" w:sz="4" w:space="0" w:color="auto"/>
              <w:right w:val="single" w:sz="4" w:space="0" w:color="auto"/>
            </w:tcBorders>
            <w:vAlign w:val="center"/>
          </w:tcPr>
          <w:p w14:paraId="3E373731" w14:textId="4563084A" w:rsidR="009D41E8" w:rsidRPr="00894954" w:rsidRDefault="009D41E8">
            <w:pPr>
              <w:spacing w:after="0" w:line="240" w:lineRule="auto"/>
              <w:rPr>
                <w:rFonts w:ascii="Aptos Narrow" w:eastAsia="Times New Roman" w:hAnsi="Aptos Narrow" w:cs="Times New Roman"/>
                <w:i/>
                <w:iCs/>
                <w:color w:val="156082" w:themeColor="accent1"/>
                <w:kern w:val="0"/>
                <w:lang w:eastAsia="en-AU"/>
                <w14:ligatures w14:val="none"/>
              </w:rPr>
            </w:pPr>
          </w:p>
        </w:tc>
      </w:tr>
      <w:tr w:rsidR="00566DA1" w:rsidRPr="00FA1403" w14:paraId="7F32BB50" w14:textId="77777777" w:rsidTr="00D554D6">
        <w:trPr>
          <w:trHeight w:val="492"/>
        </w:trPr>
        <w:tc>
          <w:tcPr>
            <w:tcW w:w="1152" w:type="dxa"/>
            <w:tcBorders>
              <w:top w:val="single" w:sz="4" w:space="0" w:color="auto"/>
              <w:left w:val="single" w:sz="4" w:space="0" w:color="auto"/>
              <w:bottom w:val="single" w:sz="4" w:space="0" w:color="auto"/>
              <w:right w:val="single" w:sz="4" w:space="0" w:color="auto"/>
            </w:tcBorders>
            <w:vAlign w:val="center"/>
          </w:tcPr>
          <w:p w14:paraId="702E68FF" w14:textId="33FD2896" w:rsidR="00C51922" w:rsidRDefault="00E8518D" w:rsidP="00C51922">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2</w:t>
            </w:r>
          </w:p>
        </w:tc>
        <w:tc>
          <w:tcPr>
            <w:tcW w:w="1390" w:type="dxa"/>
            <w:tcBorders>
              <w:top w:val="single" w:sz="4" w:space="0" w:color="auto"/>
              <w:bottom w:val="single" w:sz="4" w:space="0" w:color="auto"/>
              <w:right w:val="single" w:sz="4" w:space="0" w:color="auto"/>
            </w:tcBorders>
            <w:vAlign w:val="center"/>
          </w:tcPr>
          <w:p w14:paraId="3FB54023" w14:textId="3CB0BDFE" w:rsidR="00C51922" w:rsidRDefault="00EF2D7A" w:rsidP="00C51922">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Wheat</w:t>
            </w:r>
            <w:r w:rsidR="00C51922">
              <w:rPr>
                <w:rFonts w:ascii="Aptos Narrow" w:eastAsia="Times New Roman" w:hAnsi="Aptos Narrow" w:cs="Times New Roman"/>
                <w:i/>
                <w:iCs/>
                <w:color w:val="156082" w:themeColor="accent1"/>
                <w:kern w:val="0"/>
                <w:lang w:eastAsia="en-AU"/>
                <w14:ligatures w14:val="none"/>
              </w:rPr>
              <w:t xml:space="preserve"> and sheep production</w:t>
            </w:r>
          </w:p>
        </w:tc>
        <w:tc>
          <w:tcPr>
            <w:tcW w:w="1580" w:type="dxa"/>
            <w:tcBorders>
              <w:top w:val="single" w:sz="4" w:space="0" w:color="auto"/>
              <w:left w:val="single" w:sz="4" w:space="0" w:color="auto"/>
              <w:bottom w:val="single" w:sz="4" w:space="0" w:color="auto"/>
            </w:tcBorders>
            <w:vAlign w:val="center"/>
          </w:tcPr>
          <w:p w14:paraId="2FBB35E0" w14:textId="76C14B33" w:rsidR="00E30E36" w:rsidRDefault="00E30E36" w:rsidP="00E30E36">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Purchased fertiliser and fertiliser use</w:t>
            </w:r>
          </w:p>
        </w:tc>
        <w:tc>
          <w:tcPr>
            <w:tcW w:w="1867" w:type="dxa"/>
            <w:tcBorders>
              <w:top w:val="single" w:sz="4" w:space="0" w:color="auto"/>
              <w:left w:val="single" w:sz="4" w:space="0" w:color="auto"/>
              <w:bottom w:val="single" w:sz="4" w:space="0" w:color="auto"/>
              <w:right w:val="single" w:sz="4" w:space="0" w:color="auto"/>
            </w:tcBorders>
            <w:vAlign w:val="center"/>
          </w:tcPr>
          <w:p w14:paraId="27BDBB9B" w14:textId="4626BA38" w:rsidR="00C51922" w:rsidRPr="00894954" w:rsidRDefault="00C51922" w:rsidP="00C51922">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Subdivision</w:t>
            </w:r>
            <w:r w:rsidR="008706C0">
              <w:rPr>
                <w:rFonts w:ascii="Aptos Narrow" w:eastAsia="Times New Roman" w:hAnsi="Aptos Narrow" w:cs="Times New Roman"/>
                <w:i/>
                <w:iCs/>
                <w:color w:val="156082" w:themeColor="accent1"/>
                <w:kern w:val="0"/>
                <w:lang w:eastAsia="en-AU"/>
                <w14:ligatures w14:val="none"/>
              </w:rPr>
              <w:t xml:space="preserve"> – Production system specific data</w:t>
            </w:r>
          </w:p>
        </w:tc>
        <w:tc>
          <w:tcPr>
            <w:tcW w:w="2798" w:type="dxa"/>
            <w:tcBorders>
              <w:top w:val="single" w:sz="4" w:space="0" w:color="auto"/>
              <w:bottom w:val="single" w:sz="4" w:space="0" w:color="auto"/>
              <w:right w:val="single" w:sz="4" w:space="0" w:color="auto"/>
            </w:tcBorders>
            <w:vAlign w:val="center"/>
          </w:tcPr>
          <w:p w14:paraId="1952D259" w14:textId="1E46571A" w:rsidR="00C51922" w:rsidRPr="00894954" w:rsidRDefault="00F54140" w:rsidP="00C51922">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F</w:t>
            </w:r>
            <w:r w:rsidR="00683B27">
              <w:rPr>
                <w:rFonts w:ascii="Aptos Narrow" w:eastAsia="Times New Roman" w:hAnsi="Aptos Narrow" w:cs="Times New Roman"/>
                <w:i/>
                <w:iCs/>
                <w:color w:val="156082" w:themeColor="accent1"/>
                <w:kern w:val="0"/>
                <w:lang w:eastAsia="en-AU"/>
                <w14:ligatures w14:val="none"/>
              </w:rPr>
              <w:t>ertiliser</w:t>
            </w:r>
            <w:r w:rsidR="00260F9C">
              <w:rPr>
                <w:rFonts w:ascii="Aptos Narrow" w:eastAsia="Times New Roman" w:hAnsi="Aptos Narrow" w:cs="Times New Roman"/>
                <w:i/>
                <w:iCs/>
                <w:color w:val="156082" w:themeColor="accent1"/>
                <w:kern w:val="0"/>
                <w:lang w:eastAsia="en-AU"/>
                <w14:ligatures w14:val="none"/>
              </w:rPr>
              <w:t xml:space="preserve"> </w:t>
            </w:r>
            <w:r w:rsidR="002205F0">
              <w:rPr>
                <w:rFonts w:ascii="Aptos Narrow" w:eastAsia="Times New Roman" w:hAnsi="Aptos Narrow" w:cs="Times New Roman"/>
                <w:i/>
                <w:iCs/>
                <w:color w:val="156082" w:themeColor="accent1"/>
                <w:kern w:val="0"/>
                <w:lang w:eastAsia="en-AU"/>
                <w14:ligatures w14:val="none"/>
              </w:rPr>
              <w:t>emissions estimated separately for</w:t>
            </w:r>
            <w:r>
              <w:rPr>
                <w:rFonts w:ascii="Aptos Narrow" w:eastAsia="Times New Roman" w:hAnsi="Aptos Narrow" w:cs="Times New Roman"/>
                <w:i/>
                <w:iCs/>
                <w:color w:val="156082" w:themeColor="accent1"/>
                <w:kern w:val="0"/>
                <w:lang w:eastAsia="en-AU"/>
                <w14:ligatures w14:val="none"/>
              </w:rPr>
              <w:t xml:space="preserve"> </w:t>
            </w:r>
            <w:r w:rsidR="008840E0">
              <w:rPr>
                <w:rFonts w:ascii="Aptos Narrow" w:eastAsia="Times New Roman" w:hAnsi="Aptos Narrow" w:cs="Times New Roman"/>
                <w:i/>
                <w:iCs/>
                <w:color w:val="156082" w:themeColor="accent1"/>
                <w:kern w:val="0"/>
                <w:lang w:eastAsia="en-AU"/>
                <w14:ligatures w14:val="none"/>
              </w:rPr>
              <w:t>sheep and cropping paddocks</w:t>
            </w:r>
          </w:p>
        </w:tc>
        <w:tc>
          <w:tcPr>
            <w:tcW w:w="1782" w:type="dxa"/>
            <w:tcBorders>
              <w:top w:val="nil"/>
              <w:left w:val="single" w:sz="4" w:space="0" w:color="auto"/>
              <w:bottom w:val="single" w:sz="4" w:space="0" w:color="auto"/>
              <w:right w:val="single" w:sz="4" w:space="0" w:color="auto"/>
            </w:tcBorders>
            <w:vAlign w:val="center"/>
          </w:tcPr>
          <w:p w14:paraId="195C62F2" w14:textId="2966F922" w:rsidR="00C51922" w:rsidRPr="00894954" w:rsidRDefault="008840E0" w:rsidP="00C51922">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 xml:space="preserve">Fertiliser </w:t>
            </w:r>
            <w:r w:rsidR="001743EC">
              <w:rPr>
                <w:rFonts w:ascii="Aptos Narrow" w:eastAsia="Times New Roman" w:hAnsi="Aptos Narrow" w:cs="Times New Roman"/>
                <w:i/>
                <w:iCs/>
                <w:color w:val="156082" w:themeColor="accent1"/>
                <w:kern w:val="0"/>
                <w:lang w:eastAsia="en-AU"/>
                <w14:ligatures w14:val="none"/>
              </w:rPr>
              <w:t xml:space="preserve">application </w:t>
            </w:r>
            <w:r>
              <w:rPr>
                <w:rFonts w:ascii="Aptos Narrow" w:eastAsia="Times New Roman" w:hAnsi="Aptos Narrow" w:cs="Times New Roman"/>
                <w:i/>
                <w:iCs/>
                <w:color w:val="156082" w:themeColor="accent1"/>
                <w:kern w:val="0"/>
                <w:lang w:eastAsia="en-AU"/>
                <w14:ligatures w14:val="none"/>
              </w:rPr>
              <w:t>data collected a paddock level</w:t>
            </w:r>
          </w:p>
        </w:tc>
        <w:tc>
          <w:tcPr>
            <w:tcW w:w="3455" w:type="dxa"/>
            <w:tcBorders>
              <w:top w:val="single" w:sz="4" w:space="0" w:color="auto"/>
              <w:bottom w:val="single" w:sz="4" w:space="0" w:color="auto"/>
              <w:right w:val="single" w:sz="4" w:space="0" w:color="auto"/>
            </w:tcBorders>
            <w:vAlign w:val="center"/>
          </w:tcPr>
          <w:p w14:paraId="084CA3C0" w14:textId="3EC72795" w:rsidR="00C51922" w:rsidRPr="00894954" w:rsidRDefault="001743EC" w:rsidP="00C51922">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Farm records</w:t>
            </w:r>
          </w:p>
        </w:tc>
      </w:tr>
      <w:tr w:rsidR="000012A4" w:rsidRPr="00FA1403" w14:paraId="141F3656" w14:textId="77777777" w:rsidTr="00D554D6">
        <w:trPr>
          <w:trHeight w:val="492"/>
        </w:trPr>
        <w:tc>
          <w:tcPr>
            <w:tcW w:w="1152" w:type="dxa"/>
            <w:tcBorders>
              <w:top w:val="single" w:sz="4" w:space="0" w:color="auto"/>
              <w:left w:val="single" w:sz="4" w:space="0" w:color="auto"/>
              <w:bottom w:val="single" w:sz="4" w:space="0" w:color="auto"/>
              <w:right w:val="single" w:sz="4" w:space="0" w:color="auto"/>
            </w:tcBorders>
            <w:vAlign w:val="center"/>
          </w:tcPr>
          <w:p w14:paraId="1D790276" w14:textId="4271E00E" w:rsidR="00AF0A3C" w:rsidRDefault="00E8518D" w:rsidP="00C51922">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3</w:t>
            </w:r>
          </w:p>
        </w:tc>
        <w:tc>
          <w:tcPr>
            <w:tcW w:w="1390" w:type="dxa"/>
            <w:tcBorders>
              <w:top w:val="single" w:sz="4" w:space="0" w:color="auto"/>
              <w:bottom w:val="single" w:sz="4" w:space="0" w:color="auto"/>
              <w:right w:val="single" w:sz="4" w:space="0" w:color="auto"/>
            </w:tcBorders>
            <w:vAlign w:val="center"/>
          </w:tcPr>
          <w:p w14:paraId="46602B67" w14:textId="29CF72E4" w:rsidR="00AF0A3C" w:rsidRDefault="00EF2D7A" w:rsidP="00C51922">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Wheat</w:t>
            </w:r>
            <w:r w:rsidR="004006CE">
              <w:rPr>
                <w:rFonts w:ascii="Aptos Narrow" w:eastAsia="Times New Roman" w:hAnsi="Aptos Narrow" w:cs="Times New Roman"/>
                <w:i/>
                <w:iCs/>
                <w:color w:val="156082" w:themeColor="accent1"/>
                <w:kern w:val="0"/>
                <w:lang w:eastAsia="en-AU"/>
                <w14:ligatures w14:val="none"/>
              </w:rPr>
              <w:t xml:space="preserve"> and</w:t>
            </w:r>
            <w:r w:rsidR="00AE78BE">
              <w:rPr>
                <w:rFonts w:ascii="Aptos Narrow" w:eastAsia="Times New Roman" w:hAnsi="Aptos Narrow" w:cs="Times New Roman"/>
                <w:i/>
                <w:iCs/>
                <w:color w:val="156082" w:themeColor="accent1"/>
                <w:kern w:val="0"/>
                <w:lang w:eastAsia="en-AU"/>
                <w14:ligatures w14:val="none"/>
              </w:rPr>
              <w:t xml:space="preserve"> </w:t>
            </w:r>
            <w:r w:rsidR="00403AFA">
              <w:rPr>
                <w:rFonts w:ascii="Aptos Narrow" w:eastAsia="Times New Roman" w:hAnsi="Aptos Narrow" w:cs="Times New Roman"/>
                <w:i/>
                <w:iCs/>
                <w:color w:val="156082" w:themeColor="accent1"/>
                <w:kern w:val="0"/>
                <w:lang w:eastAsia="en-AU"/>
                <w14:ligatures w14:val="none"/>
              </w:rPr>
              <w:t>sheep production</w:t>
            </w:r>
            <w:r w:rsidR="00B70D7D">
              <w:rPr>
                <w:rFonts w:ascii="Aptos Narrow" w:eastAsia="Times New Roman" w:hAnsi="Aptos Narrow" w:cs="Times New Roman"/>
                <w:i/>
                <w:iCs/>
                <w:color w:val="156082" w:themeColor="accent1"/>
                <w:kern w:val="0"/>
                <w:lang w:eastAsia="en-AU"/>
                <w14:ligatures w14:val="none"/>
              </w:rPr>
              <w:t xml:space="preserve"> and manure </w:t>
            </w:r>
          </w:p>
        </w:tc>
        <w:tc>
          <w:tcPr>
            <w:tcW w:w="1580" w:type="dxa"/>
            <w:tcBorders>
              <w:top w:val="single" w:sz="4" w:space="0" w:color="auto"/>
              <w:left w:val="single" w:sz="4" w:space="0" w:color="auto"/>
              <w:bottom w:val="single" w:sz="4" w:space="0" w:color="auto"/>
            </w:tcBorders>
            <w:vAlign w:val="center"/>
          </w:tcPr>
          <w:p w14:paraId="49E7FEC2" w14:textId="706ED4AB" w:rsidR="00E30E36" w:rsidRDefault="00E30E36" w:rsidP="00E30E36">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Fuel Use</w:t>
            </w:r>
          </w:p>
        </w:tc>
        <w:tc>
          <w:tcPr>
            <w:tcW w:w="1867" w:type="dxa"/>
            <w:tcBorders>
              <w:top w:val="single" w:sz="4" w:space="0" w:color="auto"/>
              <w:left w:val="single" w:sz="4" w:space="0" w:color="auto"/>
              <w:bottom w:val="single" w:sz="4" w:space="0" w:color="auto"/>
              <w:right w:val="single" w:sz="4" w:space="0" w:color="auto"/>
            </w:tcBorders>
            <w:vAlign w:val="center"/>
          </w:tcPr>
          <w:p w14:paraId="726DF3A5" w14:textId="014543C0" w:rsidR="00AF0A3C" w:rsidRDefault="00403AFA" w:rsidP="00C51922">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Subdivision</w:t>
            </w:r>
            <w:r w:rsidR="008706C0">
              <w:rPr>
                <w:rFonts w:ascii="Aptos Narrow" w:eastAsia="Times New Roman" w:hAnsi="Aptos Narrow" w:cs="Times New Roman"/>
                <w:i/>
                <w:iCs/>
                <w:color w:val="156082" w:themeColor="accent1"/>
                <w:kern w:val="0"/>
                <w:lang w:eastAsia="en-AU"/>
                <w14:ligatures w14:val="none"/>
              </w:rPr>
              <w:t xml:space="preserve"> – Representative data</w:t>
            </w:r>
          </w:p>
        </w:tc>
        <w:tc>
          <w:tcPr>
            <w:tcW w:w="2798" w:type="dxa"/>
            <w:tcBorders>
              <w:top w:val="single" w:sz="4" w:space="0" w:color="auto"/>
              <w:bottom w:val="single" w:sz="4" w:space="0" w:color="auto"/>
              <w:right w:val="single" w:sz="4" w:space="0" w:color="auto"/>
            </w:tcBorders>
            <w:vAlign w:val="center"/>
          </w:tcPr>
          <w:p w14:paraId="5FA58239" w14:textId="19825CF2" w:rsidR="00AF0A3C" w:rsidRPr="00894954" w:rsidRDefault="00057FF2" w:rsidP="00C51922">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themeColor="accent1"/>
                <w:kern w:val="0"/>
                <w:lang w:eastAsia="en-AU"/>
                <w14:ligatures w14:val="none"/>
              </w:rPr>
              <w:t xml:space="preserve">Ratio of fuel use for crop and sheep </w:t>
            </w:r>
            <w:r w:rsidR="006E069A">
              <w:rPr>
                <w:rFonts w:ascii="Aptos Narrow" w:eastAsia="Times New Roman" w:hAnsi="Aptos Narrow" w:cs="Times New Roman"/>
                <w:i/>
                <w:iCs/>
                <w:color w:val="156082" w:themeColor="accent1"/>
                <w:kern w:val="0"/>
                <w:lang w:eastAsia="en-AU"/>
                <w14:ligatures w14:val="none"/>
              </w:rPr>
              <w:t xml:space="preserve">management activities </w:t>
            </w:r>
          </w:p>
        </w:tc>
        <w:tc>
          <w:tcPr>
            <w:tcW w:w="1782" w:type="dxa"/>
            <w:tcBorders>
              <w:top w:val="nil"/>
              <w:left w:val="single" w:sz="4" w:space="0" w:color="auto"/>
              <w:bottom w:val="single" w:sz="4" w:space="0" w:color="auto"/>
              <w:right w:val="single" w:sz="4" w:space="0" w:color="auto"/>
            </w:tcBorders>
            <w:vAlign w:val="center"/>
          </w:tcPr>
          <w:p w14:paraId="6B81B386" w14:textId="2E85CE97" w:rsidR="00AF0A3C" w:rsidRPr="00894954" w:rsidRDefault="0091735C" w:rsidP="00C51922">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kern w:val="0"/>
                <w:sz w:val="20"/>
                <w:szCs w:val="20"/>
                <w:lang w:eastAsia="en-AU"/>
                <w14:ligatures w14:val="none"/>
              </w:rPr>
              <w:t xml:space="preserve">fuel use </w:t>
            </w:r>
            <w:r w:rsidR="00E110C2" w:rsidRPr="0004075A">
              <w:rPr>
                <w:rFonts w:ascii="Aptos Narrow" w:eastAsia="Times New Roman" w:hAnsi="Aptos Narrow" w:cs="Times New Roman"/>
                <w:i/>
                <w:iCs/>
                <w:color w:val="156082"/>
                <w:kern w:val="0"/>
                <w:sz w:val="20"/>
                <w:szCs w:val="20"/>
                <w:lang w:eastAsia="en-AU"/>
                <w14:ligatures w14:val="none"/>
              </w:rPr>
              <w:t>rules of thumb for</w:t>
            </w:r>
            <w:r>
              <w:rPr>
                <w:rFonts w:ascii="Aptos Narrow" w:eastAsia="Times New Roman" w:hAnsi="Aptos Narrow" w:cs="Times New Roman"/>
                <w:i/>
                <w:iCs/>
                <w:color w:val="156082"/>
                <w:kern w:val="0"/>
                <w:sz w:val="20"/>
                <w:szCs w:val="20"/>
                <w:lang w:eastAsia="en-AU"/>
                <w14:ligatures w14:val="none"/>
              </w:rPr>
              <w:t xml:space="preserve"> different management practices </w:t>
            </w:r>
            <w:r w:rsidR="00EB0348">
              <w:rPr>
                <w:rFonts w:ascii="Aptos Narrow" w:eastAsia="Times New Roman" w:hAnsi="Aptos Narrow" w:cs="Times New Roman"/>
                <w:i/>
                <w:iCs/>
                <w:color w:val="156082"/>
                <w:kern w:val="0"/>
                <w:sz w:val="20"/>
                <w:szCs w:val="20"/>
                <w:lang w:eastAsia="en-AU"/>
                <w14:ligatures w14:val="none"/>
              </w:rPr>
              <w:t>derived from farm records</w:t>
            </w:r>
            <w:r>
              <w:rPr>
                <w:rFonts w:ascii="Aptos Narrow" w:eastAsia="Times New Roman" w:hAnsi="Aptos Narrow" w:cs="Times New Roman"/>
                <w:i/>
                <w:iCs/>
                <w:color w:val="156082"/>
                <w:kern w:val="0"/>
                <w:sz w:val="20"/>
                <w:szCs w:val="20"/>
                <w:lang w:eastAsia="en-AU"/>
                <w14:ligatures w14:val="none"/>
              </w:rPr>
              <w:t xml:space="preserve"> </w:t>
            </w:r>
          </w:p>
        </w:tc>
        <w:tc>
          <w:tcPr>
            <w:tcW w:w="3455" w:type="dxa"/>
            <w:tcBorders>
              <w:top w:val="single" w:sz="4" w:space="0" w:color="auto"/>
              <w:bottom w:val="single" w:sz="4" w:space="0" w:color="auto"/>
              <w:right w:val="single" w:sz="4" w:space="0" w:color="auto"/>
            </w:tcBorders>
            <w:vAlign w:val="center"/>
          </w:tcPr>
          <w:p w14:paraId="69D10E51" w14:textId="708F5010" w:rsidR="00AF0A3C" w:rsidRPr="00894954" w:rsidRDefault="003E466C" w:rsidP="00C51922">
            <w:pPr>
              <w:spacing w:after="0" w:line="240" w:lineRule="auto"/>
              <w:rPr>
                <w:rFonts w:ascii="Aptos Narrow" w:eastAsia="Times New Roman" w:hAnsi="Aptos Narrow" w:cs="Times New Roman"/>
                <w:i/>
                <w:iCs/>
                <w:color w:val="156082" w:themeColor="accent1"/>
                <w:kern w:val="0"/>
                <w:lang w:eastAsia="en-AU"/>
                <w14:ligatures w14:val="none"/>
              </w:rPr>
            </w:pPr>
            <w:r>
              <w:rPr>
                <w:rFonts w:ascii="Aptos Narrow" w:eastAsia="Times New Roman" w:hAnsi="Aptos Narrow" w:cs="Times New Roman"/>
                <w:i/>
                <w:iCs/>
                <w:color w:val="156082"/>
                <w:kern w:val="0"/>
                <w:sz w:val="20"/>
                <w:szCs w:val="20"/>
                <w:lang w:eastAsia="en-AU"/>
                <w14:ligatures w14:val="none"/>
              </w:rPr>
              <w:t>Management activities undertaken (e</w:t>
            </w:r>
            <w:r w:rsidR="00B43BC8">
              <w:rPr>
                <w:rFonts w:ascii="Aptos Narrow" w:eastAsia="Times New Roman" w:hAnsi="Aptos Narrow" w:cs="Times New Roman"/>
                <w:i/>
                <w:iCs/>
                <w:color w:val="156082"/>
                <w:kern w:val="0"/>
                <w:sz w:val="20"/>
                <w:szCs w:val="20"/>
                <w:lang w:eastAsia="en-AU"/>
                <w14:ligatures w14:val="none"/>
              </w:rPr>
              <w:t>.</w:t>
            </w:r>
            <w:r>
              <w:rPr>
                <w:rFonts w:ascii="Aptos Narrow" w:eastAsia="Times New Roman" w:hAnsi="Aptos Narrow" w:cs="Times New Roman"/>
                <w:i/>
                <w:iCs/>
                <w:color w:val="156082"/>
                <w:kern w:val="0"/>
                <w:sz w:val="20"/>
                <w:szCs w:val="20"/>
                <w:lang w:eastAsia="en-AU"/>
                <w14:ligatures w14:val="none"/>
              </w:rPr>
              <w:t>g.</w:t>
            </w:r>
            <w:r w:rsidR="00EB0348">
              <w:rPr>
                <w:rFonts w:ascii="Aptos Narrow" w:eastAsia="Times New Roman" w:hAnsi="Aptos Narrow" w:cs="Times New Roman"/>
                <w:i/>
                <w:iCs/>
                <w:color w:val="156082"/>
                <w:kern w:val="0"/>
                <w:sz w:val="20"/>
                <w:szCs w:val="20"/>
                <w:lang w:eastAsia="en-AU"/>
                <w14:ligatures w14:val="none"/>
              </w:rPr>
              <w:t xml:space="preserve"> </w:t>
            </w:r>
            <w:r w:rsidR="001F3748" w:rsidRPr="0004075A">
              <w:rPr>
                <w:rFonts w:ascii="Aptos Narrow" w:eastAsia="Times New Roman" w:hAnsi="Aptos Narrow" w:cs="Times New Roman"/>
                <w:i/>
                <w:iCs/>
                <w:color w:val="156082"/>
                <w:kern w:val="0"/>
                <w:sz w:val="20"/>
                <w:szCs w:val="20"/>
                <w:lang w:eastAsia="en-AU"/>
                <w14:ligatures w14:val="none"/>
              </w:rPr>
              <w:t xml:space="preserve">cultivation, spraying, harvesting, mustering, transport of goods) </w:t>
            </w:r>
            <w:r>
              <w:rPr>
                <w:rFonts w:ascii="Aptos Narrow" w:eastAsia="Times New Roman" w:hAnsi="Aptos Narrow" w:cs="Times New Roman"/>
                <w:i/>
                <w:iCs/>
                <w:color w:val="156082"/>
                <w:kern w:val="0"/>
                <w:sz w:val="20"/>
                <w:szCs w:val="20"/>
                <w:lang w:eastAsia="en-AU"/>
                <w14:ligatures w14:val="none"/>
              </w:rPr>
              <w:t xml:space="preserve">for different production systems </w:t>
            </w:r>
            <w:r w:rsidR="00EB0348">
              <w:rPr>
                <w:rFonts w:ascii="Aptos Narrow" w:eastAsia="Times New Roman" w:hAnsi="Aptos Narrow" w:cs="Times New Roman"/>
                <w:i/>
                <w:iCs/>
                <w:color w:val="156082"/>
                <w:kern w:val="0"/>
                <w:sz w:val="20"/>
                <w:szCs w:val="20"/>
                <w:lang w:eastAsia="en-AU"/>
                <w14:ligatures w14:val="none"/>
              </w:rPr>
              <w:t>from farm records</w:t>
            </w:r>
          </w:p>
        </w:tc>
      </w:tr>
    </w:tbl>
    <w:p w14:paraId="2ACAD847" w14:textId="77777777" w:rsidR="004A07AD" w:rsidRDefault="004A07AD" w:rsidP="004A07AD"/>
    <w:p w14:paraId="71F7490F" w14:textId="2EDE8CC3" w:rsidR="00EC7096" w:rsidRDefault="00EC7096" w:rsidP="00EC7096">
      <w:pPr>
        <w:pStyle w:val="Heading3"/>
        <w:numPr>
          <w:ilvl w:val="0"/>
          <w:numId w:val="0"/>
        </w:numPr>
      </w:pPr>
      <w:r>
        <w:t>Processes excluded in each stage</w:t>
      </w:r>
    </w:p>
    <w:p w14:paraId="36BAC939" w14:textId="77777777" w:rsidR="00EC7096" w:rsidRPr="000942AA" w:rsidRDefault="00EC7096" w:rsidP="00EC7096">
      <w:r>
        <w:t>[Prepare separate table for each stage if applicable]</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7230"/>
      </w:tblGrid>
      <w:tr w:rsidR="00EC7096" w:rsidRPr="00446DBE" w14:paraId="0449A73C" w14:textId="77777777" w:rsidTr="001A7D3E">
        <w:trPr>
          <w:trHeight w:val="290"/>
        </w:trPr>
        <w:tc>
          <w:tcPr>
            <w:tcW w:w="3397" w:type="dxa"/>
            <w:shd w:val="clear" w:color="000000" w:fill="E8E8E8"/>
            <w:vAlign w:val="center"/>
          </w:tcPr>
          <w:p w14:paraId="36C66474" w14:textId="77777777" w:rsidR="00EC7096" w:rsidRPr="00446DBE" w:rsidRDefault="00EC7096" w:rsidP="001A7D3E">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lastRenderedPageBreak/>
              <w:t>System boundary stage</w:t>
            </w:r>
          </w:p>
        </w:tc>
        <w:tc>
          <w:tcPr>
            <w:tcW w:w="7230" w:type="dxa"/>
          </w:tcPr>
          <w:p w14:paraId="74087A53" w14:textId="6A2C99A3" w:rsidR="00EC7096" w:rsidRPr="00446DBE" w:rsidRDefault="00EC7096" w:rsidP="001A7D3E">
            <w:pPr>
              <w:spacing w:after="0" w:line="240" w:lineRule="auto"/>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i/>
                <w:iCs/>
                <w:color w:val="156082"/>
                <w:kern w:val="0"/>
                <w:lang w:eastAsia="en-AU"/>
                <w14:ligatures w14:val="none"/>
              </w:rPr>
              <w:t>E</w:t>
            </w:r>
            <w:r w:rsidR="00B43BC8">
              <w:rPr>
                <w:rFonts w:ascii="Aptos Narrow" w:eastAsia="Times New Roman" w:hAnsi="Aptos Narrow" w:cs="Times New Roman"/>
                <w:i/>
                <w:iCs/>
                <w:color w:val="156082"/>
                <w:kern w:val="0"/>
                <w:lang w:eastAsia="en-AU"/>
                <w14:ligatures w14:val="none"/>
              </w:rPr>
              <w:t>.</w:t>
            </w:r>
            <w:r>
              <w:rPr>
                <w:rFonts w:ascii="Aptos Narrow" w:eastAsia="Times New Roman" w:hAnsi="Aptos Narrow" w:cs="Times New Roman"/>
                <w:i/>
                <w:iCs/>
                <w:color w:val="156082"/>
                <w:kern w:val="0"/>
                <w:lang w:eastAsia="en-AU"/>
                <w14:ligatures w14:val="none"/>
              </w:rPr>
              <w:t>g</w:t>
            </w:r>
            <w:r w:rsidR="00B43BC8">
              <w:rPr>
                <w:rFonts w:ascii="Aptos Narrow" w:eastAsia="Times New Roman" w:hAnsi="Aptos Narrow" w:cs="Times New Roman"/>
                <w:i/>
                <w:iCs/>
                <w:color w:val="156082"/>
                <w:kern w:val="0"/>
                <w:lang w:eastAsia="en-AU"/>
                <w14:ligatures w14:val="none"/>
              </w:rPr>
              <w:t>.</w:t>
            </w:r>
            <w:r>
              <w:rPr>
                <w:rFonts w:ascii="Aptos Narrow" w:eastAsia="Times New Roman" w:hAnsi="Aptos Narrow" w:cs="Times New Roman"/>
                <w:i/>
                <w:iCs/>
                <w:color w:val="156082"/>
                <w:kern w:val="0"/>
                <w:lang w:eastAsia="en-AU"/>
                <w14:ligatures w14:val="none"/>
              </w:rPr>
              <w:t xml:space="preserve"> Cradle-to-gate, gate-to-factory gate, gate-to-point-of-first-sale</w:t>
            </w:r>
          </w:p>
        </w:tc>
      </w:tr>
      <w:tr w:rsidR="00EC7096" w:rsidRPr="00446DBE" w14:paraId="44D31FDE" w14:textId="77777777" w:rsidTr="001A7D3E">
        <w:trPr>
          <w:trHeight w:val="290"/>
        </w:trPr>
        <w:tc>
          <w:tcPr>
            <w:tcW w:w="3397" w:type="dxa"/>
            <w:shd w:val="clear" w:color="000000" w:fill="E8E8E8"/>
            <w:vAlign w:val="center"/>
          </w:tcPr>
          <w:p w14:paraId="18A15DA0" w14:textId="77777777" w:rsidR="00EC7096" w:rsidRDefault="00EC7096" w:rsidP="001A7D3E">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Products</w:t>
            </w:r>
          </w:p>
        </w:tc>
        <w:tc>
          <w:tcPr>
            <w:tcW w:w="7230" w:type="dxa"/>
          </w:tcPr>
          <w:p w14:paraId="019178C7" w14:textId="77AEB10A" w:rsidR="00EC7096" w:rsidRDefault="00EC7096" w:rsidP="001A7D3E">
            <w:pPr>
              <w:spacing w:after="0" w:line="240" w:lineRule="auto"/>
              <w:rPr>
                <w:rFonts w:ascii="Aptos Narrow" w:eastAsia="Times New Roman" w:hAnsi="Aptos Narrow" w:cs="Times New Roman"/>
                <w:i/>
                <w:iCs/>
                <w:color w:val="156082"/>
                <w:kern w:val="0"/>
                <w:lang w:eastAsia="en-AU"/>
                <w14:ligatures w14:val="none"/>
              </w:rPr>
            </w:pPr>
            <w:r>
              <w:rPr>
                <w:rFonts w:ascii="Aptos Narrow" w:eastAsia="Times New Roman" w:hAnsi="Aptos Narrow" w:cs="Times New Roman"/>
                <w:i/>
                <w:iCs/>
                <w:color w:val="156082"/>
                <w:kern w:val="0"/>
                <w:lang w:eastAsia="en-AU"/>
                <w14:ligatures w14:val="none"/>
              </w:rPr>
              <w:t>E</w:t>
            </w:r>
            <w:r w:rsidR="00B43BC8">
              <w:rPr>
                <w:rFonts w:ascii="Aptos Narrow" w:eastAsia="Times New Roman" w:hAnsi="Aptos Narrow" w:cs="Times New Roman"/>
                <w:i/>
                <w:iCs/>
                <w:color w:val="156082"/>
                <w:kern w:val="0"/>
                <w:lang w:eastAsia="en-AU"/>
                <w14:ligatures w14:val="none"/>
              </w:rPr>
              <w:t>.</w:t>
            </w:r>
            <w:r>
              <w:rPr>
                <w:rFonts w:ascii="Aptos Narrow" w:eastAsia="Times New Roman" w:hAnsi="Aptos Narrow" w:cs="Times New Roman"/>
                <w:i/>
                <w:iCs/>
                <w:color w:val="156082"/>
                <w:kern w:val="0"/>
                <w:lang w:eastAsia="en-AU"/>
                <w14:ligatures w14:val="none"/>
              </w:rPr>
              <w:t xml:space="preserve">g. </w:t>
            </w:r>
            <w:r w:rsidRPr="00016258">
              <w:rPr>
                <w:rFonts w:ascii="Aptos Narrow" w:eastAsia="Times New Roman" w:hAnsi="Aptos Narrow" w:cs="Times New Roman"/>
                <w:i/>
                <w:iCs/>
                <w:color w:val="156082"/>
                <w:kern w:val="0"/>
                <w:lang w:eastAsia="en-AU"/>
                <w14:ligatures w14:val="none"/>
              </w:rPr>
              <w:t>Sheep meat (main product)</w:t>
            </w:r>
            <w:r>
              <w:rPr>
                <w:rFonts w:ascii="Aptos Narrow" w:eastAsia="Times New Roman" w:hAnsi="Aptos Narrow" w:cs="Times New Roman"/>
                <w:i/>
                <w:iCs/>
                <w:color w:val="156082"/>
                <w:kern w:val="0"/>
                <w:lang w:eastAsia="en-AU"/>
                <w14:ligatures w14:val="none"/>
              </w:rPr>
              <w:t xml:space="preserve"> and </w:t>
            </w:r>
            <w:r w:rsidRPr="00016258">
              <w:rPr>
                <w:rFonts w:ascii="Aptos Narrow" w:eastAsia="Times New Roman" w:hAnsi="Aptos Narrow" w:cs="Times New Roman"/>
                <w:i/>
                <w:iCs/>
                <w:color w:val="156082"/>
                <w:kern w:val="0"/>
                <w:lang w:eastAsia="en-AU"/>
                <w14:ligatures w14:val="none"/>
              </w:rPr>
              <w:t>wool (by-product)</w:t>
            </w:r>
            <w:r>
              <w:rPr>
                <w:rFonts w:ascii="Aptos Narrow" w:eastAsia="Times New Roman" w:hAnsi="Aptos Narrow" w:cs="Times New Roman"/>
                <w:i/>
                <w:iCs/>
                <w:color w:val="156082"/>
                <w:kern w:val="0"/>
                <w:lang w:eastAsia="en-AU"/>
                <w14:ligatures w14:val="none"/>
              </w:rPr>
              <w:t xml:space="preserve"> </w:t>
            </w:r>
          </w:p>
        </w:tc>
      </w:tr>
    </w:tbl>
    <w:p w14:paraId="727A5C9E" w14:textId="77777777" w:rsidR="00EC7096" w:rsidRDefault="00EC7096" w:rsidP="00DE1F33">
      <w:pPr>
        <w:spacing w:after="0"/>
      </w:pPr>
    </w:p>
    <w:tbl>
      <w:tblPr>
        <w:tblW w:w="10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1060"/>
        <w:gridCol w:w="7278"/>
      </w:tblGrid>
      <w:tr w:rsidR="00EC7096" w:rsidRPr="00446DBE" w14:paraId="1FE94492" w14:textId="77777777" w:rsidTr="001A7D3E">
        <w:trPr>
          <w:trHeight w:val="290"/>
        </w:trPr>
        <w:tc>
          <w:tcPr>
            <w:tcW w:w="2379" w:type="dxa"/>
            <w:shd w:val="clear" w:color="000000" w:fill="E8E8E8"/>
            <w:vAlign w:val="center"/>
          </w:tcPr>
          <w:p w14:paraId="5B3FFDF3" w14:textId="77777777" w:rsidR="00EC7096" w:rsidRPr="00446DBE" w:rsidRDefault="00EC7096" w:rsidP="001A7D3E">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Process</w:t>
            </w:r>
          </w:p>
        </w:tc>
        <w:tc>
          <w:tcPr>
            <w:tcW w:w="1060" w:type="dxa"/>
            <w:shd w:val="clear" w:color="000000" w:fill="E8E8E8"/>
            <w:vAlign w:val="center"/>
          </w:tcPr>
          <w:p w14:paraId="40FE4A7D" w14:textId="77777777" w:rsidR="00EC7096" w:rsidRPr="00446DBE" w:rsidRDefault="00EC7096" w:rsidP="001A7D3E">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Scope</w:t>
            </w:r>
          </w:p>
        </w:tc>
        <w:tc>
          <w:tcPr>
            <w:tcW w:w="7278" w:type="dxa"/>
            <w:shd w:val="clear" w:color="000000" w:fill="E8E8E8"/>
            <w:vAlign w:val="center"/>
          </w:tcPr>
          <w:p w14:paraId="767C76DF" w14:textId="77777777" w:rsidR="00EC7096" w:rsidRPr="00446DBE" w:rsidRDefault="00EC7096" w:rsidP="001A7D3E">
            <w:pPr>
              <w:spacing w:after="0" w:line="240" w:lineRule="auto"/>
              <w:jc w:val="center"/>
              <w:rPr>
                <w:rFonts w:ascii="Aptos Narrow" w:eastAsia="Times New Roman" w:hAnsi="Aptos Narrow" w:cs="Times New Roman"/>
                <w:b/>
                <w:bCs/>
                <w:color w:val="000000"/>
                <w:kern w:val="0"/>
                <w:lang w:eastAsia="en-AU"/>
                <w14:ligatures w14:val="none"/>
              </w:rPr>
            </w:pPr>
            <w:r>
              <w:rPr>
                <w:rFonts w:ascii="Aptos Narrow" w:eastAsia="Times New Roman" w:hAnsi="Aptos Narrow" w:cs="Times New Roman"/>
                <w:b/>
                <w:bCs/>
                <w:color w:val="000000"/>
                <w:kern w:val="0"/>
                <w:lang w:eastAsia="en-AU"/>
                <w14:ligatures w14:val="none"/>
              </w:rPr>
              <w:t>Reason</w:t>
            </w:r>
          </w:p>
        </w:tc>
      </w:tr>
      <w:tr w:rsidR="00EC7096" w:rsidRPr="00446DBE" w14:paraId="5CF65CEC" w14:textId="77777777" w:rsidTr="001A7D3E">
        <w:trPr>
          <w:trHeight w:val="290"/>
        </w:trPr>
        <w:tc>
          <w:tcPr>
            <w:tcW w:w="2379" w:type="dxa"/>
            <w:vAlign w:val="center"/>
          </w:tcPr>
          <w:p w14:paraId="52F85CBF" w14:textId="77777777" w:rsidR="00EC7096" w:rsidRPr="000E1CE5" w:rsidRDefault="00EC7096" w:rsidP="001A7D3E">
            <w:pPr>
              <w:spacing w:after="0" w:line="240" w:lineRule="auto"/>
              <w:rPr>
                <w:rFonts w:ascii="Aptos Narrow" w:eastAsia="Times New Roman" w:hAnsi="Aptos Narrow" w:cs="Times New Roman"/>
                <w:i/>
                <w:iCs/>
                <w:color w:val="156082"/>
                <w:kern w:val="0"/>
                <w:lang w:eastAsia="en-AU"/>
                <w14:ligatures w14:val="none"/>
              </w:rPr>
            </w:pPr>
            <w:r w:rsidRPr="000E1CE5">
              <w:rPr>
                <w:rFonts w:ascii="Aptos Narrow" w:eastAsia="Times New Roman" w:hAnsi="Aptos Narrow" w:cs="Times New Roman"/>
                <w:i/>
                <w:iCs/>
                <w:color w:val="156082"/>
                <w:kern w:val="0"/>
                <w:lang w:eastAsia="en-AU"/>
                <w14:ligatures w14:val="none"/>
              </w:rPr>
              <w:t>Purchased good</w:t>
            </w:r>
            <w:r>
              <w:rPr>
                <w:rFonts w:ascii="Aptos Narrow" w:eastAsia="Times New Roman" w:hAnsi="Aptos Narrow" w:cs="Times New Roman"/>
                <w:i/>
                <w:iCs/>
                <w:color w:val="156082"/>
                <w:kern w:val="0"/>
                <w:lang w:eastAsia="en-AU"/>
                <w14:ligatures w14:val="none"/>
              </w:rPr>
              <w:t xml:space="preserve"> X</w:t>
            </w:r>
          </w:p>
        </w:tc>
        <w:tc>
          <w:tcPr>
            <w:tcW w:w="1060" w:type="dxa"/>
            <w:vAlign w:val="center"/>
          </w:tcPr>
          <w:p w14:paraId="1D0ADEB6" w14:textId="77777777" w:rsidR="00EC7096" w:rsidRPr="000E1CE5" w:rsidRDefault="00EC7096" w:rsidP="001A7D3E">
            <w:pPr>
              <w:spacing w:after="0" w:line="240" w:lineRule="auto"/>
              <w:rPr>
                <w:rFonts w:ascii="Aptos Narrow" w:eastAsia="Times New Roman" w:hAnsi="Aptos Narrow" w:cs="Times New Roman"/>
                <w:i/>
                <w:iCs/>
                <w:color w:val="156082"/>
                <w:kern w:val="0"/>
                <w:lang w:eastAsia="en-AU"/>
                <w14:ligatures w14:val="none"/>
              </w:rPr>
            </w:pPr>
            <w:r w:rsidRPr="000E1CE5">
              <w:rPr>
                <w:rFonts w:ascii="Aptos Narrow" w:eastAsia="Times New Roman" w:hAnsi="Aptos Narrow" w:cs="Times New Roman"/>
                <w:i/>
                <w:iCs/>
                <w:color w:val="156082"/>
                <w:kern w:val="0"/>
                <w:lang w:eastAsia="en-AU"/>
                <w14:ligatures w14:val="none"/>
              </w:rPr>
              <w:t>Scope 3</w:t>
            </w:r>
          </w:p>
        </w:tc>
        <w:tc>
          <w:tcPr>
            <w:tcW w:w="7278" w:type="dxa"/>
            <w:vAlign w:val="center"/>
          </w:tcPr>
          <w:p w14:paraId="450E9EFE" w14:textId="77777777" w:rsidR="00EC7096" w:rsidRPr="00B77362" w:rsidRDefault="00EC7096" w:rsidP="001A7D3E">
            <w:pPr>
              <w:spacing w:after="0" w:line="240" w:lineRule="auto"/>
              <w:rPr>
                <w:rFonts w:ascii="Aptos Narrow" w:eastAsia="Times New Roman" w:hAnsi="Aptos Narrow" w:cs="Times New Roman"/>
                <w:i/>
                <w:iCs/>
                <w:color w:val="156082"/>
                <w:kern w:val="0"/>
                <w:lang w:eastAsia="en-AU"/>
                <w14:ligatures w14:val="none"/>
              </w:rPr>
            </w:pPr>
            <w:r w:rsidRPr="00B77362">
              <w:rPr>
                <w:rFonts w:ascii="Aptos Narrow" w:eastAsia="Times New Roman" w:hAnsi="Aptos Narrow" w:cs="Times New Roman"/>
                <w:i/>
                <w:iCs/>
                <w:color w:val="156082"/>
                <w:kern w:val="0"/>
                <w:lang w:eastAsia="en-AU"/>
                <w14:ligatures w14:val="none"/>
              </w:rPr>
              <w:t>Data not available to estimate emissions</w:t>
            </w:r>
          </w:p>
        </w:tc>
      </w:tr>
      <w:tr w:rsidR="00EC7096" w:rsidRPr="00446DBE" w14:paraId="57373D79" w14:textId="77777777" w:rsidTr="001A7D3E">
        <w:trPr>
          <w:trHeight w:val="290"/>
        </w:trPr>
        <w:tc>
          <w:tcPr>
            <w:tcW w:w="2379" w:type="dxa"/>
            <w:vAlign w:val="center"/>
          </w:tcPr>
          <w:p w14:paraId="7257C417" w14:textId="77777777" w:rsidR="00EC7096" w:rsidRPr="000E1CE5" w:rsidRDefault="00EC7096" w:rsidP="001A7D3E">
            <w:pPr>
              <w:spacing w:after="0" w:line="240" w:lineRule="auto"/>
              <w:rPr>
                <w:rFonts w:ascii="Aptos Narrow" w:eastAsia="Times New Roman" w:hAnsi="Aptos Narrow" w:cs="Times New Roman"/>
                <w:i/>
                <w:iCs/>
                <w:color w:val="156082"/>
                <w:kern w:val="0"/>
                <w:lang w:eastAsia="en-AU"/>
                <w14:ligatures w14:val="none"/>
              </w:rPr>
            </w:pPr>
            <w:r w:rsidRPr="000E1CE5">
              <w:rPr>
                <w:rFonts w:ascii="Aptos Narrow" w:eastAsia="Times New Roman" w:hAnsi="Aptos Narrow" w:cs="Times New Roman"/>
                <w:i/>
                <w:iCs/>
                <w:color w:val="156082"/>
                <w:kern w:val="0"/>
                <w:lang w:eastAsia="en-AU"/>
                <w14:ligatures w14:val="none"/>
              </w:rPr>
              <w:t>Purchased service</w:t>
            </w:r>
            <w:r>
              <w:rPr>
                <w:rFonts w:ascii="Aptos Narrow" w:eastAsia="Times New Roman" w:hAnsi="Aptos Narrow" w:cs="Times New Roman"/>
                <w:i/>
                <w:iCs/>
                <w:color w:val="156082"/>
                <w:kern w:val="0"/>
                <w:lang w:eastAsia="en-AU"/>
                <w14:ligatures w14:val="none"/>
              </w:rPr>
              <w:t xml:space="preserve"> X</w:t>
            </w:r>
          </w:p>
        </w:tc>
        <w:tc>
          <w:tcPr>
            <w:tcW w:w="1060" w:type="dxa"/>
            <w:vAlign w:val="center"/>
          </w:tcPr>
          <w:p w14:paraId="2C0A97F3" w14:textId="77777777" w:rsidR="00EC7096" w:rsidRPr="000E1CE5" w:rsidRDefault="00EC7096" w:rsidP="001A7D3E">
            <w:pPr>
              <w:spacing w:after="0" w:line="240" w:lineRule="auto"/>
              <w:rPr>
                <w:rFonts w:ascii="Aptos Narrow" w:eastAsia="Times New Roman" w:hAnsi="Aptos Narrow" w:cs="Times New Roman"/>
                <w:i/>
                <w:iCs/>
                <w:color w:val="156082"/>
                <w:kern w:val="0"/>
                <w:lang w:eastAsia="en-AU"/>
                <w14:ligatures w14:val="none"/>
              </w:rPr>
            </w:pPr>
            <w:r w:rsidRPr="000E1CE5">
              <w:rPr>
                <w:rFonts w:ascii="Aptos Narrow" w:eastAsia="Times New Roman" w:hAnsi="Aptos Narrow" w:cs="Times New Roman"/>
                <w:i/>
                <w:iCs/>
                <w:color w:val="156082"/>
                <w:kern w:val="0"/>
                <w:lang w:eastAsia="en-AU"/>
                <w14:ligatures w14:val="none"/>
              </w:rPr>
              <w:t>Scope 3</w:t>
            </w:r>
          </w:p>
        </w:tc>
        <w:tc>
          <w:tcPr>
            <w:tcW w:w="7278" w:type="dxa"/>
            <w:vAlign w:val="center"/>
          </w:tcPr>
          <w:p w14:paraId="2D7406D7" w14:textId="77777777" w:rsidR="00EC7096" w:rsidRPr="00B77362" w:rsidRDefault="00EC7096" w:rsidP="001A7D3E">
            <w:pPr>
              <w:spacing w:after="0" w:line="240" w:lineRule="auto"/>
              <w:rPr>
                <w:rFonts w:ascii="Aptos Narrow" w:eastAsia="Times New Roman" w:hAnsi="Aptos Narrow" w:cs="Times New Roman"/>
                <w:i/>
                <w:iCs/>
                <w:color w:val="156082"/>
                <w:kern w:val="0"/>
                <w:lang w:eastAsia="en-AU"/>
                <w14:ligatures w14:val="none"/>
              </w:rPr>
            </w:pPr>
            <w:r w:rsidRPr="00B77362">
              <w:rPr>
                <w:rFonts w:ascii="Aptos Narrow" w:eastAsia="Times New Roman" w:hAnsi="Aptos Narrow" w:cs="Times New Roman"/>
                <w:i/>
                <w:iCs/>
                <w:color w:val="156082"/>
                <w:kern w:val="0"/>
                <w:lang w:eastAsia="en-AU"/>
                <w14:ligatures w14:val="none"/>
              </w:rPr>
              <w:t xml:space="preserve">Emissions </w:t>
            </w:r>
            <w:r>
              <w:rPr>
                <w:rFonts w:ascii="Aptos Narrow" w:eastAsia="Times New Roman" w:hAnsi="Aptos Narrow" w:cs="Times New Roman"/>
                <w:i/>
                <w:iCs/>
                <w:color w:val="156082"/>
                <w:kern w:val="0"/>
                <w:lang w:eastAsia="en-AU"/>
                <w14:ligatures w14:val="none"/>
              </w:rPr>
              <w:t xml:space="preserve">assessed as </w:t>
            </w:r>
            <w:r w:rsidRPr="00B77362">
              <w:rPr>
                <w:rFonts w:ascii="Aptos Narrow" w:eastAsia="Times New Roman" w:hAnsi="Aptos Narrow" w:cs="Times New Roman"/>
                <w:i/>
                <w:iCs/>
                <w:color w:val="156082"/>
                <w:kern w:val="0"/>
                <w:lang w:eastAsia="en-AU"/>
                <w14:ligatures w14:val="none"/>
              </w:rPr>
              <w:t>not material</w:t>
            </w:r>
          </w:p>
        </w:tc>
      </w:tr>
      <w:tr w:rsidR="00EC7096" w:rsidRPr="00446DBE" w14:paraId="5BAE1E17" w14:textId="77777777" w:rsidTr="001A7D3E">
        <w:tc>
          <w:tcPr>
            <w:tcW w:w="2379" w:type="dxa"/>
            <w:vAlign w:val="center"/>
          </w:tcPr>
          <w:p w14:paraId="7D3E1CDA" w14:textId="77777777" w:rsidR="00EC7096" w:rsidRDefault="00EC7096" w:rsidP="001A7D3E">
            <w:pPr>
              <w:spacing w:after="0" w:line="240" w:lineRule="auto"/>
              <w:rPr>
                <w:rFonts w:ascii="Aptos Narrow" w:eastAsia="Times New Roman" w:hAnsi="Aptos Narrow" w:cs="Times New Roman"/>
                <w:i/>
                <w:iCs/>
                <w:color w:val="156082"/>
                <w:kern w:val="0"/>
                <w:lang w:eastAsia="en-AU"/>
                <w14:ligatures w14:val="none"/>
              </w:rPr>
            </w:pPr>
            <w:r>
              <w:rPr>
                <w:rFonts w:ascii="Aptos Narrow" w:eastAsia="Times New Roman" w:hAnsi="Aptos Narrow" w:cs="Times New Roman"/>
                <w:i/>
                <w:iCs/>
                <w:color w:val="156082"/>
                <w:kern w:val="0"/>
                <w:lang w:eastAsia="en-AU"/>
                <w14:ligatures w14:val="none"/>
              </w:rPr>
              <w:t>Capital goods</w:t>
            </w:r>
          </w:p>
        </w:tc>
        <w:tc>
          <w:tcPr>
            <w:tcW w:w="1060" w:type="dxa"/>
            <w:vAlign w:val="center"/>
          </w:tcPr>
          <w:p w14:paraId="52E5C57D" w14:textId="77777777" w:rsidR="00EC7096" w:rsidRPr="00446DBE" w:rsidRDefault="00EC7096" w:rsidP="001A7D3E">
            <w:pPr>
              <w:spacing w:after="0" w:line="240" w:lineRule="auto"/>
              <w:rPr>
                <w:rFonts w:ascii="Aptos Narrow" w:eastAsia="Times New Roman" w:hAnsi="Aptos Narrow" w:cs="Times New Roman"/>
                <w:i/>
                <w:iCs/>
                <w:color w:val="156082"/>
                <w:kern w:val="0"/>
                <w:lang w:eastAsia="en-AU"/>
                <w14:ligatures w14:val="none"/>
              </w:rPr>
            </w:pPr>
            <w:r w:rsidRPr="00446DBE">
              <w:rPr>
                <w:rFonts w:ascii="Aptos Narrow" w:eastAsia="Times New Roman" w:hAnsi="Aptos Narrow" w:cs="Times New Roman"/>
                <w:i/>
                <w:iCs/>
                <w:color w:val="156082"/>
                <w:kern w:val="0"/>
                <w:lang w:eastAsia="en-AU"/>
                <w14:ligatures w14:val="none"/>
              </w:rPr>
              <w:t>Scope 3</w:t>
            </w:r>
          </w:p>
        </w:tc>
        <w:tc>
          <w:tcPr>
            <w:tcW w:w="7278" w:type="dxa"/>
            <w:vAlign w:val="center"/>
          </w:tcPr>
          <w:p w14:paraId="53D634A2" w14:textId="77777777" w:rsidR="00EC7096" w:rsidRPr="00446DBE" w:rsidRDefault="00EC7096" w:rsidP="001A7D3E">
            <w:pPr>
              <w:spacing w:after="0" w:line="240" w:lineRule="auto"/>
              <w:rPr>
                <w:rFonts w:ascii="Aptos Narrow" w:eastAsia="Times New Roman" w:hAnsi="Aptos Narrow" w:cs="Times New Roman"/>
                <w:i/>
                <w:iCs/>
                <w:color w:val="156082"/>
                <w:kern w:val="0"/>
                <w:lang w:eastAsia="en-AU"/>
                <w14:ligatures w14:val="none"/>
              </w:rPr>
            </w:pPr>
            <w:r>
              <w:rPr>
                <w:rFonts w:ascii="Aptos Narrow" w:eastAsia="Times New Roman" w:hAnsi="Aptos Narrow" w:cs="Times New Roman"/>
                <w:i/>
                <w:iCs/>
                <w:color w:val="156082"/>
                <w:kern w:val="0"/>
                <w:lang w:eastAsia="en-AU"/>
                <w14:ligatures w14:val="none"/>
              </w:rPr>
              <w:t>Not required - e</w:t>
            </w:r>
            <w:r w:rsidRPr="00B77362">
              <w:rPr>
                <w:rFonts w:ascii="Aptos Narrow" w:eastAsia="Times New Roman" w:hAnsi="Aptos Narrow" w:cs="Times New Roman"/>
                <w:i/>
                <w:iCs/>
                <w:color w:val="156082"/>
                <w:kern w:val="0"/>
                <w:lang w:eastAsia="en-AU"/>
                <w14:ligatures w14:val="none"/>
              </w:rPr>
              <w:t xml:space="preserve">missions </w:t>
            </w:r>
            <w:r>
              <w:rPr>
                <w:rFonts w:ascii="Aptos Narrow" w:eastAsia="Times New Roman" w:hAnsi="Aptos Narrow" w:cs="Times New Roman"/>
                <w:i/>
                <w:iCs/>
                <w:color w:val="156082"/>
                <w:kern w:val="0"/>
                <w:lang w:eastAsia="en-AU"/>
                <w14:ligatures w14:val="none"/>
              </w:rPr>
              <w:t xml:space="preserve">deems as </w:t>
            </w:r>
            <w:r w:rsidRPr="00B77362">
              <w:rPr>
                <w:rFonts w:ascii="Aptos Narrow" w:eastAsia="Times New Roman" w:hAnsi="Aptos Narrow" w:cs="Times New Roman"/>
                <w:i/>
                <w:iCs/>
                <w:color w:val="156082"/>
                <w:kern w:val="0"/>
                <w:lang w:eastAsia="en-AU"/>
                <w14:ligatures w14:val="none"/>
              </w:rPr>
              <w:t>not material</w:t>
            </w:r>
          </w:p>
        </w:tc>
      </w:tr>
      <w:tr w:rsidR="00EC7096" w:rsidRPr="00446DBE" w14:paraId="4AE68C4A" w14:textId="77777777" w:rsidTr="001A7D3E">
        <w:tc>
          <w:tcPr>
            <w:tcW w:w="2379" w:type="dxa"/>
            <w:vAlign w:val="center"/>
          </w:tcPr>
          <w:p w14:paraId="41C54022" w14:textId="77777777" w:rsidR="00EC7096" w:rsidRDefault="00EC7096" w:rsidP="001A7D3E">
            <w:pPr>
              <w:spacing w:after="0" w:line="240" w:lineRule="auto"/>
              <w:rPr>
                <w:rFonts w:ascii="Aptos Narrow" w:eastAsia="Times New Roman" w:hAnsi="Aptos Narrow" w:cs="Times New Roman"/>
                <w:i/>
                <w:iCs/>
                <w:color w:val="156082"/>
                <w:kern w:val="0"/>
                <w:lang w:eastAsia="en-AU"/>
                <w14:ligatures w14:val="none"/>
              </w:rPr>
            </w:pPr>
            <w:r>
              <w:rPr>
                <w:rFonts w:ascii="Aptos Narrow" w:eastAsia="Times New Roman" w:hAnsi="Aptos Narrow" w:cs="Times New Roman"/>
                <w:i/>
                <w:iCs/>
                <w:color w:val="156082"/>
                <w:kern w:val="0"/>
                <w:lang w:eastAsia="en-AU"/>
                <w14:ligatures w14:val="none"/>
              </w:rPr>
              <w:t>Employee travel</w:t>
            </w:r>
          </w:p>
        </w:tc>
        <w:tc>
          <w:tcPr>
            <w:tcW w:w="1060" w:type="dxa"/>
            <w:vAlign w:val="center"/>
          </w:tcPr>
          <w:p w14:paraId="473A21C8" w14:textId="77777777" w:rsidR="00EC7096" w:rsidRPr="00446DBE" w:rsidRDefault="00EC7096" w:rsidP="001A7D3E">
            <w:pPr>
              <w:spacing w:after="0" w:line="240" w:lineRule="auto"/>
              <w:rPr>
                <w:rFonts w:ascii="Aptos Narrow" w:eastAsia="Times New Roman" w:hAnsi="Aptos Narrow" w:cs="Times New Roman"/>
                <w:i/>
                <w:iCs/>
                <w:color w:val="156082"/>
                <w:kern w:val="0"/>
                <w:lang w:eastAsia="en-AU"/>
                <w14:ligatures w14:val="none"/>
              </w:rPr>
            </w:pPr>
            <w:r>
              <w:rPr>
                <w:rFonts w:ascii="Aptos Narrow" w:eastAsia="Times New Roman" w:hAnsi="Aptos Narrow" w:cs="Times New Roman"/>
                <w:i/>
                <w:iCs/>
                <w:color w:val="156082"/>
                <w:kern w:val="0"/>
                <w:lang w:eastAsia="en-AU"/>
                <w14:ligatures w14:val="none"/>
              </w:rPr>
              <w:t>Scope 3</w:t>
            </w:r>
          </w:p>
        </w:tc>
        <w:tc>
          <w:tcPr>
            <w:tcW w:w="7278" w:type="dxa"/>
          </w:tcPr>
          <w:p w14:paraId="1C2ECFCC" w14:textId="77777777" w:rsidR="00EC7096" w:rsidRPr="00446DBE" w:rsidRDefault="00EC7096" w:rsidP="001A7D3E">
            <w:pPr>
              <w:spacing w:after="0" w:line="240" w:lineRule="auto"/>
              <w:rPr>
                <w:rFonts w:ascii="Aptos Narrow" w:eastAsia="Times New Roman" w:hAnsi="Aptos Narrow" w:cs="Times New Roman"/>
                <w:i/>
                <w:iCs/>
                <w:color w:val="156082"/>
                <w:kern w:val="0"/>
                <w:lang w:eastAsia="en-AU"/>
                <w14:ligatures w14:val="none"/>
              </w:rPr>
            </w:pPr>
            <w:r w:rsidRPr="006958AF">
              <w:rPr>
                <w:rFonts w:ascii="Aptos Narrow" w:eastAsia="Times New Roman" w:hAnsi="Aptos Narrow" w:cs="Times New Roman"/>
                <w:i/>
                <w:iCs/>
                <w:color w:val="156082"/>
                <w:kern w:val="0"/>
                <w:lang w:eastAsia="en-AU"/>
                <w14:ligatures w14:val="none"/>
              </w:rPr>
              <w:t>Not required - emissions deems as not material</w:t>
            </w:r>
          </w:p>
        </w:tc>
      </w:tr>
      <w:tr w:rsidR="00EC7096" w:rsidRPr="00446DBE" w14:paraId="3DFE5D48" w14:textId="77777777" w:rsidTr="001A7D3E">
        <w:tc>
          <w:tcPr>
            <w:tcW w:w="2379" w:type="dxa"/>
            <w:vAlign w:val="center"/>
          </w:tcPr>
          <w:p w14:paraId="09A0E228" w14:textId="77777777" w:rsidR="00EC7096" w:rsidRDefault="00EC7096" w:rsidP="001A7D3E">
            <w:pPr>
              <w:spacing w:after="0" w:line="240" w:lineRule="auto"/>
              <w:rPr>
                <w:rFonts w:ascii="Aptos Narrow" w:eastAsia="Times New Roman" w:hAnsi="Aptos Narrow" w:cs="Times New Roman"/>
                <w:i/>
                <w:iCs/>
                <w:color w:val="156082"/>
                <w:kern w:val="0"/>
                <w:lang w:eastAsia="en-AU"/>
                <w14:ligatures w14:val="none"/>
              </w:rPr>
            </w:pPr>
            <w:r>
              <w:rPr>
                <w:rFonts w:ascii="Aptos Narrow" w:eastAsia="Times New Roman" w:hAnsi="Aptos Narrow" w:cs="Times New Roman"/>
                <w:i/>
                <w:iCs/>
                <w:color w:val="156082"/>
                <w:kern w:val="0"/>
                <w:lang w:eastAsia="en-AU"/>
                <w14:ligatures w14:val="none"/>
              </w:rPr>
              <w:t>Business travel</w:t>
            </w:r>
          </w:p>
        </w:tc>
        <w:tc>
          <w:tcPr>
            <w:tcW w:w="1060" w:type="dxa"/>
            <w:vAlign w:val="center"/>
          </w:tcPr>
          <w:p w14:paraId="7C10C1E3" w14:textId="77777777" w:rsidR="00EC7096" w:rsidRDefault="00EC7096" w:rsidP="001A7D3E">
            <w:pPr>
              <w:spacing w:after="0" w:line="240" w:lineRule="auto"/>
              <w:rPr>
                <w:rFonts w:ascii="Aptos Narrow" w:eastAsia="Times New Roman" w:hAnsi="Aptos Narrow" w:cs="Times New Roman"/>
                <w:i/>
                <w:iCs/>
                <w:color w:val="156082"/>
                <w:kern w:val="0"/>
                <w:lang w:eastAsia="en-AU"/>
                <w14:ligatures w14:val="none"/>
              </w:rPr>
            </w:pPr>
            <w:r>
              <w:rPr>
                <w:rFonts w:ascii="Aptos Narrow" w:eastAsia="Times New Roman" w:hAnsi="Aptos Narrow" w:cs="Times New Roman"/>
                <w:i/>
                <w:iCs/>
                <w:color w:val="156082"/>
                <w:kern w:val="0"/>
                <w:lang w:eastAsia="en-AU"/>
                <w14:ligatures w14:val="none"/>
              </w:rPr>
              <w:t>Scope 3</w:t>
            </w:r>
          </w:p>
        </w:tc>
        <w:tc>
          <w:tcPr>
            <w:tcW w:w="7278" w:type="dxa"/>
          </w:tcPr>
          <w:p w14:paraId="29EB2BDC" w14:textId="77777777" w:rsidR="00EC7096" w:rsidRDefault="00EC7096" w:rsidP="001A7D3E">
            <w:pPr>
              <w:spacing w:after="0" w:line="240" w:lineRule="auto"/>
              <w:rPr>
                <w:rFonts w:ascii="Aptos Narrow" w:eastAsia="Times New Roman" w:hAnsi="Aptos Narrow" w:cs="Times New Roman"/>
                <w:i/>
                <w:iCs/>
                <w:color w:val="156082"/>
                <w:kern w:val="0"/>
                <w:lang w:eastAsia="en-AU"/>
                <w14:ligatures w14:val="none"/>
              </w:rPr>
            </w:pPr>
            <w:r w:rsidRPr="006958AF">
              <w:rPr>
                <w:rFonts w:ascii="Aptos Narrow" w:eastAsia="Times New Roman" w:hAnsi="Aptos Narrow" w:cs="Times New Roman"/>
                <w:i/>
                <w:iCs/>
                <w:color w:val="156082"/>
                <w:kern w:val="0"/>
                <w:lang w:eastAsia="en-AU"/>
                <w14:ligatures w14:val="none"/>
              </w:rPr>
              <w:t>Not required - emissions deems as not material</w:t>
            </w:r>
          </w:p>
        </w:tc>
      </w:tr>
    </w:tbl>
    <w:p w14:paraId="624D5C22" w14:textId="77777777" w:rsidR="00EC7096" w:rsidRDefault="00EC7096" w:rsidP="00EC7096"/>
    <w:p w14:paraId="64FA0DDB" w14:textId="2B71267E" w:rsidR="001D3955" w:rsidRDefault="001D3955" w:rsidP="00447836">
      <w:pPr>
        <w:pStyle w:val="Heading3"/>
        <w:numPr>
          <w:ilvl w:val="0"/>
          <w:numId w:val="0"/>
        </w:numPr>
      </w:pPr>
      <w:r>
        <w:t xml:space="preserve">Allocation </w:t>
      </w:r>
      <w:r w:rsidR="00447836">
        <w:t>methods sensitivity analysis</w:t>
      </w:r>
      <w:r w:rsidR="00D51C04">
        <w:t xml:space="preserve"> (if applicable)</w:t>
      </w:r>
    </w:p>
    <w:tbl>
      <w:tblPr>
        <w:tblW w:w="12860" w:type="dxa"/>
        <w:tblLook w:val="04A0" w:firstRow="1" w:lastRow="0" w:firstColumn="1" w:lastColumn="0" w:noHBand="0" w:noVBand="1"/>
      </w:tblPr>
      <w:tblGrid>
        <w:gridCol w:w="2960"/>
        <w:gridCol w:w="2920"/>
        <w:gridCol w:w="2762"/>
        <w:gridCol w:w="4218"/>
      </w:tblGrid>
      <w:tr w:rsidR="001D3955" w:rsidRPr="001D3955" w14:paraId="01C6D3DD" w14:textId="77777777" w:rsidTr="00447836">
        <w:trPr>
          <w:trHeight w:val="870"/>
        </w:trPr>
        <w:tc>
          <w:tcPr>
            <w:tcW w:w="2960"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01D50EED" w14:textId="77777777" w:rsidR="001D3955" w:rsidRPr="001D3955" w:rsidRDefault="001D3955" w:rsidP="001D3955">
            <w:pPr>
              <w:spacing w:after="0" w:line="240" w:lineRule="auto"/>
              <w:jc w:val="center"/>
              <w:rPr>
                <w:rFonts w:ascii="Aptos Narrow" w:eastAsia="Times New Roman" w:hAnsi="Aptos Narrow" w:cs="Times New Roman"/>
                <w:b/>
                <w:bCs/>
                <w:color w:val="000000"/>
                <w:kern w:val="0"/>
                <w:lang w:eastAsia="en-AU"/>
                <w14:ligatures w14:val="none"/>
              </w:rPr>
            </w:pPr>
            <w:r w:rsidRPr="001D3955">
              <w:rPr>
                <w:rFonts w:ascii="Aptos Narrow" w:eastAsia="Times New Roman" w:hAnsi="Aptos Narrow" w:cs="Times New Roman"/>
                <w:b/>
                <w:bCs/>
                <w:color w:val="000000"/>
                <w:kern w:val="0"/>
                <w:lang w:eastAsia="en-AU"/>
                <w14:ligatures w14:val="none"/>
              </w:rPr>
              <w:t>Method tested</w:t>
            </w:r>
          </w:p>
        </w:tc>
        <w:tc>
          <w:tcPr>
            <w:tcW w:w="2920" w:type="dxa"/>
            <w:tcBorders>
              <w:top w:val="single" w:sz="4" w:space="0" w:color="auto"/>
              <w:left w:val="nil"/>
              <w:bottom w:val="single" w:sz="4" w:space="0" w:color="auto"/>
              <w:right w:val="single" w:sz="4" w:space="0" w:color="auto"/>
            </w:tcBorders>
            <w:shd w:val="clear" w:color="000000" w:fill="E8E8E8"/>
            <w:vAlign w:val="center"/>
            <w:hideMark/>
          </w:tcPr>
          <w:p w14:paraId="65AA5AE9" w14:textId="77777777" w:rsidR="001D3955" w:rsidRPr="001D3955" w:rsidRDefault="001D3955" w:rsidP="001D3955">
            <w:pPr>
              <w:spacing w:after="0" w:line="240" w:lineRule="auto"/>
              <w:jc w:val="center"/>
              <w:rPr>
                <w:rFonts w:ascii="Aptos Narrow" w:eastAsia="Times New Roman" w:hAnsi="Aptos Narrow" w:cs="Times New Roman"/>
                <w:b/>
                <w:bCs/>
                <w:color w:val="000000"/>
                <w:kern w:val="0"/>
                <w:lang w:eastAsia="en-AU"/>
                <w14:ligatures w14:val="none"/>
              </w:rPr>
            </w:pPr>
            <w:r w:rsidRPr="001D3955">
              <w:rPr>
                <w:rFonts w:ascii="Aptos Narrow" w:eastAsia="Times New Roman" w:hAnsi="Aptos Narrow" w:cs="Times New Roman"/>
                <w:b/>
                <w:bCs/>
                <w:color w:val="000000"/>
                <w:kern w:val="0"/>
                <w:lang w:eastAsia="en-AU"/>
                <w14:ligatures w14:val="none"/>
              </w:rPr>
              <w:t>Allocation fractions</w:t>
            </w:r>
          </w:p>
        </w:tc>
        <w:tc>
          <w:tcPr>
            <w:tcW w:w="2762" w:type="dxa"/>
            <w:tcBorders>
              <w:top w:val="single" w:sz="4" w:space="0" w:color="auto"/>
              <w:left w:val="nil"/>
              <w:bottom w:val="single" w:sz="4" w:space="0" w:color="auto"/>
              <w:right w:val="single" w:sz="4" w:space="0" w:color="auto"/>
            </w:tcBorders>
            <w:shd w:val="clear" w:color="000000" w:fill="E8E8E8"/>
            <w:vAlign w:val="center"/>
            <w:hideMark/>
          </w:tcPr>
          <w:p w14:paraId="536E7B0E" w14:textId="77777777" w:rsidR="001D3955" w:rsidRPr="001D3955" w:rsidRDefault="001D3955" w:rsidP="001D3955">
            <w:pPr>
              <w:spacing w:after="0" w:line="240" w:lineRule="auto"/>
              <w:jc w:val="center"/>
              <w:rPr>
                <w:rFonts w:ascii="Aptos Narrow" w:eastAsia="Times New Roman" w:hAnsi="Aptos Narrow" w:cs="Times New Roman"/>
                <w:b/>
                <w:bCs/>
                <w:color w:val="000000"/>
                <w:kern w:val="0"/>
                <w:lang w:eastAsia="en-AU"/>
                <w14:ligatures w14:val="none"/>
              </w:rPr>
            </w:pPr>
            <w:r w:rsidRPr="001D3955">
              <w:rPr>
                <w:rFonts w:ascii="Aptos Narrow" w:eastAsia="Times New Roman" w:hAnsi="Aptos Narrow" w:cs="Times New Roman"/>
                <w:b/>
                <w:bCs/>
                <w:color w:val="000000"/>
                <w:kern w:val="0"/>
                <w:lang w:eastAsia="en-AU"/>
                <w14:ligatures w14:val="none"/>
              </w:rPr>
              <w:t>Emissions per declared unit change (%)</w:t>
            </w:r>
          </w:p>
        </w:tc>
        <w:tc>
          <w:tcPr>
            <w:tcW w:w="4218" w:type="dxa"/>
            <w:tcBorders>
              <w:top w:val="single" w:sz="4" w:space="0" w:color="auto"/>
              <w:left w:val="nil"/>
              <w:bottom w:val="single" w:sz="4" w:space="0" w:color="auto"/>
              <w:right w:val="single" w:sz="4" w:space="0" w:color="auto"/>
            </w:tcBorders>
            <w:shd w:val="clear" w:color="000000" w:fill="E8E8E8"/>
            <w:vAlign w:val="center"/>
            <w:hideMark/>
          </w:tcPr>
          <w:p w14:paraId="5073B3D5" w14:textId="77777777" w:rsidR="001D3955" w:rsidRPr="001D3955" w:rsidRDefault="001D3955" w:rsidP="001D3955">
            <w:pPr>
              <w:spacing w:after="0" w:line="240" w:lineRule="auto"/>
              <w:jc w:val="center"/>
              <w:rPr>
                <w:rFonts w:ascii="Aptos Narrow" w:eastAsia="Times New Roman" w:hAnsi="Aptos Narrow" w:cs="Times New Roman"/>
                <w:b/>
                <w:bCs/>
                <w:color w:val="000000"/>
                <w:kern w:val="0"/>
                <w:lang w:eastAsia="en-AU"/>
                <w14:ligatures w14:val="none"/>
              </w:rPr>
            </w:pPr>
            <w:r w:rsidRPr="001D3955">
              <w:rPr>
                <w:rFonts w:ascii="Aptos Narrow" w:eastAsia="Times New Roman" w:hAnsi="Aptos Narrow" w:cs="Times New Roman"/>
                <w:b/>
                <w:bCs/>
                <w:color w:val="000000"/>
                <w:kern w:val="0"/>
                <w:lang w:eastAsia="en-AU"/>
                <w14:ligatures w14:val="none"/>
              </w:rPr>
              <w:t>Comment</w:t>
            </w:r>
          </w:p>
        </w:tc>
      </w:tr>
      <w:tr w:rsidR="001D3955" w:rsidRPr="001D3955" w14:paraId="1D9FC9BE" w14:textId="77777777" w:rsidTr="00447836">
        <w:trPr>
          <w:trHeight w:val="290"/>
        </w:trPr>
        <w:tc>
          <w:tcPr>
            <w:tcW w:w="2960" w:type="dxa"/>
            <w:tcBorders>
              <w:top w:val="nil"/>
              <w:left w:val="single" w:sz="4" w:space="0" w:color="auto"/>
              <w:bottom w:val="single" w:sz="4" w:space="0" w:color="auto"/>
              <w:right w:val="single" w:sz="4" w:space="0" w:color="auto"/>
            </w:tcBorders>
            <w:vAlign w:val="center"/>
            <w:hideMark/>
          </w:tcPr>
          <w:p w14:paraId="43BA84D3" w14:textId="77777777" w:rsidR="001D3955" w:rsidRPr="001D3955" w:rsidRDefault="001D3955" w:rsidP="001D3955">
            <w:pPr>
              <w:spacing w:after="0" w:line="240" w:lineRule="auto"/>
              <w:rPr>
                <w:rFonts w:ascii="Aptos Narrow" w:eastAsia="Times New Roman" w:hAnsi="Aptos Narrow" w:cs="Times New Roman"/>
                <w:i/>
                <w:iCs/>
                <w:color w:val="156082"/>
                <w:kern w:val="0"/>
                <w:lang w:eastAsia="en-AU"/>
                <w14:ligatures w14:val="none"/>
              </w:rPr>
            </w:pPr>
            <w:r w:rsidRPr="001D3955">
              <w:rPr>
                <w:rFonts w:ascii="Aptos Narrow" w:eastAsia="Times New Roman" w:hAnsi="Aptos Narrow" w:cs="Times New Roman"/>
                <w:i/>
                <w:iCs/>
                <w:color w:val="156082"/>
                <w:kern w:val="0"/>
                <w:lang w:eastAsia="en-AU"/>
                <w14:ligatures w14:val="none"/>
              </w:rPr>
              <w:t>Base method</w:t>
            </w:r>
          </w:p>
        </w:tc>
        <w:tc>
          <w:tcPr>
            <w:tcW w:w="2920" w:type="dxa"/>
            <w:tcBorders>
              <w:top w:val="nil"/>
              <w:left w:val="nil"/>
              <w:bottom w:val="single" w:sz="4" w:space="0" w:color="auto"/>
              <w:right w:val="single" w:sz="4" w:space="0" w:color="auto"/>
            </w:tcBorders>
            <w:vAlign w:val="center"/>
            <w:hideMark/>
          </w:tcPr>
          <w:p w14:paraId="65866DB1" w14:textId="77777777" w:rsidR="001D3955" w:rsidRPr="001D3955" w:rsidRDefault="001D3955" w:rsidP="001D3955">
            <w:pPr>
              <w:spacing w:after="0" w:line="240" w:lineRule="auto"/>
              <w:rPr>
                <w:rFonts w:ascii="Aptos Narrow" w:eastAsia="Times New Roman" w:hAnsi="Aptos Narrow" w:cs="Times New Roman"/>
                <w:color w:val="000000"/>
                <w:kern w:val="0"/>
                <w:lang w:eastAsia="en-AU"/>
                <w14:ligatures w14:val="none"/>
              </w:rPr>
            </w:pPr>
            <w:r w:rsidRPr="001D3955">
              <w:rPr>
                <w:rFonts w:ascii="Aptos Narrow" w:eastAsia="Times New Roman" w:hAnsi="Aptos Narrow" w:cs="Times New Roman"/>
                <w:color w:val="000000"/>
                <w:kern w:val="0"/>
                <w:lang w:eastAsia="en-AU"/>
                <w14:ligatures w14:val="none"/>
              </w:rPr>
              <w:t> </w:t>
            </w:r>
          </w:p>
        </w:tc>
        <w:tc>
          <w:tcPr>
            <w:tcW w:w="2762" w:type="dxa"/>
            <w:tcBorders>
              <w:top w:val="nil"/>
              <w:left w:val="nil"/>
              <w:bottom w:val="single" w:sz="4" w:space="0" w:color="auto"/>
              <w:right w:val="single" w:sz="4" w:space="0" w:color="auto"/>
            </w:tcBorders>
            <w:vAlign w:val="center"/>
            <w:hideMark/>
          </w:tcPr>
          <w:p w14:paraId="712B0460" w14:textId="77777777" w:rsidR="001D3955" w:rsidRPr="001D3955" w:rsidRDefault="001D3955" w:rsidP="001D3955">
            <w:pPr>
              <w:spacing w:after="0" w:line="240" w:lineRule="auto"/>
              <w:rPr>
                <w:rFonts w:ascii="Aptos Narrow" w:eastAsia="Times New Roman" w:hAnsi="Aptos Narrow" w:cs="Times New Roman"/>
                <w:color w:val="000000"/>
                <w:kern w:val="0"/>
                <w:lang w:eastAsia="en-AU"/>
                <w14:ligatures w14:val="none"/>
              </w:rPr>
            </w:pPr>
            <w:r w:rsidRPr="001D3955">
              <w:rPr>
                <w:rFonts w:ascii="Aptos Narrow" w:eastAsia="Times New Roman" w:hAnsi="Aptos Narrow" w:cs="Times New Roman"/>
                <w:color w:val="000000"/>
                <w:kern w:val="0"/>
                <w:lang w:eastAsia="en-AU"/>
                <w14:ligatures w14:val="none"/>
              </w:rPr>
              <w:t> </w:t>
            </w:r>
          </w:p>
        </w:tc>
        <w:tc>
          <w:tcPr>
            <w:tcW w:w="4218" w:type="dxa"/>
            <w:tcBorders>
              <w:top w:val="nil"/>
              <w:left w:val="nil"/>
              <w:bottom w:val="single" w:sz="4" w:space="0" w:color="auto"/>
              <w:right w:val="single" w:sz="4" w:space="0" w:color="auto"/>
            </w:tcBorders>
            <w:vAlign w:val="center"/>
            <w:hideMark/>
          </w:tcPr>
          <w:p w14:paraId="1A53D85B" w14:textId="77777777" w:rsidR="001D3955" w:rsidRPr="001D3955" w:rsidRDefault="001D3955" w:rsidP="001D3955">
            <w:pPr>
              <w:spacing w:after="0" w:line="240" w:lineRule="auto"/>
              <w:rPr>
                <w:rFonts w:ascii="Aptos Narrow" w:eastAsia="Times New Roman" w:hAnsi="Aptos Narrow" w:cs="Times New Roman"/>
                <w:color w:val="000000"/>
                <w:kern w:val="0"/>
                <w:lang w:eastAsia="en-AU"/>
                <w14:ligatures w14:val="none"/>
              </w:rPr>
            </w:pPr>
            <w:r w:rsidRPr="001D3955">
              <w:rPr>
                <w:rFonts w:ascii="Aptos Narrow" w:eastAsia="Times New Roman" w:hAnsi="Aptos Narrow" w:cs="Times New Roman"/>
                <w:color w:val="000000"/>
                <w:kern w:val="0"/>
                <w:lang w:eastAsia="en-AU"/>
                <w14:ligatures w14:val="none"/>
              </w:rPr>
              <w:t> </w:t>
            </w:r>
          </w:p>
        </w:tc>
      </w:tr>
      <w:tr w:rsidR="001D3955" w:rsidRPr="001D3955" w14:paraId="36880BD3" w14:textId="77777777" w:rsidTr="00447836">
        <w:trPr>
          <w:trHeight w:val="290"/>
        </w:trPr>
        <w:tc>
          <w:tcPr>
            <w:tcW w:w="2960" w:type="dxa"/>
            <w:tcBorders>
              <w:top w:val="nil"/>
              <w:left w:val="single" w:sz="4" w:space="0" w:color="auto"/>
              <w:bottom w:val="single" w:sz="4" w:space="0" w:color="auto"/>
              <w:right w:val="single" w:sz="4" w:space="0" w:color="auto"/>
            </w:tcBorders>
            <w:vAlign w:val="center"/>
            <w:hideMark/>
          </w:tcPr>
          <w:p w14:paraId="160B37B9" w14:textId="77777777" w:rsidR="001D3955" w:rsidRPr="001D3955" w:rsidRDefault="001D3955" w:rsidP="001D3955">
            <w:pPr>
              <w:spacing w:after="0" w:line="240" w:lineRule="auto"/>
              <w:rPr>
                <w:rFonts w:ascii="Aptos Narrow" w:eastAsia="Times New Roman" w:hAnsi="Aptos Narrow" w:cs="Times New Roman"/>
                <w:i/>
                <w:iCs/>
                <w:color w:val="156082"/>
                <w:kern w:val="0"/>
                <w:lang w:eastAsia="en-AU"/>
                <w14:ligatures w14:val="none"/>
              </w:rPr>
            </w:pPr>
            <w:r w:rsidRPr="001D3955">
              <w:rPr>
                <w:rFonts w:ascii="Aptos Narrow" w:eastAsia="Times New Roman" w:hAnsi="Aptos Narrow" w:cs="Times New Roman"/>
                <w:i/>
                <w:iCs/>
                <w:color w:val="156082"/>
                <w:kern w:val="0"/>
                <w:lang w:eastAsia="en-AU"/>
                <w14:ligatures w14:val="none"/>
              </w:rPr>
              <w:t>Alternative 1</w:t>
            </w:r>
          </w:p>
        </w:tc>
        <w:tc>
          <w:tcPr>
            <w:tcW w:w="2920" w:type="dxa"/>
            <w:tcBorders>
              <w:top w:val="nil"/>
              <w:left w:val="nil"/>
              <w:bottom w:val="single" w:sz="4" w:space="0" w:color="auto"/>
              <w:right w:val="single" w:sz="4" w:space="0" w:color="auto"/>
            </w:tcBorders>
            <w:vAlign w:val="center"/>
            <w:hideMark/>
          </w:tcPr>
          <w:p w14:paraId="47656270" w14:textId="77777777" w:rsidR="001D3955" w:rsidRPr="001D3955" w:rsidRDefault="001D3955" w:rsidP="001D3955">
            <w:pPr>
              <w:spacing w:after="0" w:line="240" w:lineRule="auto"/>
              <w:rPr>
                <w:rFonts w:ascii="Aptos Narrow" w:eastAsia="Times New Roman" w:hAnsi="Aptos Narrow" w:cs="Times New Roman"/>
                <w:color w:val="000000"/>
                <w:kern w:val="0"/>
                <w:lang w:eastAsia="en-AU"/>
                <w14:ligatures w14:val="none"/>
              </w:rPr>
            </w:pPr>
            <w:r w:rsidRPr="001D3955">
              <w:rPr>
                <w:rFonts w:ascii="Aptos Narrow" w:eastAsia="Times New Roman" w:hAnsi="Aptos Narrow" w:cs="Times New Roman"/>
                <w:color w:val="000000"/>
                <w:kern w:val="0"/>
                <w:lang w:eastAsia="en-AU"/>
                <w14:ligatures w14:val="none"/>
              </w:rPr>
              <w:t> </w:t>
            </w:r>
          </w:p>
        </w:tc>
        <w:tc>
          <w:tcPr>
            <w:tcW w:w="2762" w:type="dxa"/>
            <w:tcBorders>
              <w:top w:val="nil"/>
              <w:left w:val="nil"/>
              <w:bottom w:val="single" w:sz="4" w:space="0" w:color="auto"/>
              <w:right w:val="single" w:sz="4" w:space="0" w:color="auto"/>
            </w:tcBorders>
            <w:vAlign w:val="center"/>
            <w:hideMark/>
          </w:tcPr>
          <w:p w14:paraId="177E3F4D" w14:textId="77777777" w:rsidR="001D3955" w:rsidRPr="001D3955" w:rsidRDefault="001D3955" w:rsidP="001D3955">
            <w:pPr>
              <w:spacing w:after="0" w:line="240" w:lineRule="auto"/>
              <w:rPr>
                <w:rFonts w:ascii="Aptos Narrow" w:eastAsia="Times New Roman" w:hAnsi="Aptos Narrow" w:cs="Times New Roman"/>
                <w:color w:val="000000"/>
                <w:kern w:val="0"/>
                <w:lang w:eastAsia="en-AU"/>
                <w14:ligatures w14:val="none"/>
              </w:rPr>
            </w:pPr>
            <w:r w:rsidRPr="001D3955">
              <w:rPr>
                <w:rFonts w:ascii="Aptos Narrow" w:eastAsia="Times New Roman" w:hAnsi="Aptos Narrow" w:cs="Times New Roman"/>
                <w:color w:val="000000"/>
                <w:kern w:val="0"/>
                <w:lang w:eastAsia="en-AU"/>
                <w14:ligatures w14:val="none"/>
              </w:rPr>
              <w:t> </w:t>
            </w:r>
          </w:p>
        </w:tc>
        <w:tc>
          <w:tcPr>
            <w:tcW w:w="4218" w:type="dxa"/>
            <w:tcBorders>
              <w:top w:val="nil"/>
              <w:left w:val="nil"/>
              <w:bottom w:val="single" w:sz="4" w:space="0" w:color="auto"/>
              <w:right w:val="single" w:sz="4" w:space="0" w:color="auto"/>
            </w:tcBorders>
            <w:vAlign w:val="center"/>
            <w:hideMark/>
          </w:tcPr>
          <w:p w14:paraId="614F33EE" w14:textId="77777777" w:rsidR="001D3955" w:rsidRPr="001D3955" w:rsidRDefault="001D3955" w:rsidP="001D3955">
            <w:pPr>
              <w:spacing w:after="0" w:line="240" w:lineRule="auto"/>
              <w:rPr>
                <w:rFonts w:ascii="Aptos Narrow" w:eastAsia="Times New Roman" w:hAnsi="Aptos Narrow" w:cs="Times New Roman"/>
                <w:color w:val="000000"/>
                <w:kern w:val="0"/>
                <w:lang w:eastAsia="en-AU"/>
                <w14:ligatures w14:val="none"/>
              </w:rPr>
            </w:pPr>
            <w:r w:rsidRPr="001D3955">
              <w:rPr>
                <w:rFonts w:ascii="Aptos Narrow" w:eastAsia="Times New Roman" w:hAnsi="Aptos Narrow" w:cs="Times New Roman"/>
                <w:color w:val="000000"/>
                <w:kern w:val="0"/>
                <w:lang w:eastAsia="en-AU"/>
                <w14:ligatures w14:val="none"/>
              </w:rPr>
              <w:t> </w:t>
            </w:r>
          </w:p>
        </w:tc>
      </w:tr>
      <w:tr w:rsidR="001D3955" w:rsidRPr="001D3955" w14:paraId="77BCCBA2" w14:textId="77777777" w:rsidTr="00447836">
        <w:trPr>
          <w:trHeight w:val="290"/>
        </w:trPr>
        <w:tc>
          <w:tcPr>
            <w:tcW w:w="2960" w:type="dxa"/>
            <w:tcBorders>
              <w:top w:val="nil"/>
              <w:left w:val="single" w:sz="4" w:space="0" w:color="auto"/>
              <w:bottom w:val="single" w:sz="4" w:space="0" w:color="auto"/>
              <w:right w:val="single" w:sz="4" w:space="0" w:color="auto"/>
            </w:tcBorders>
            <w:vAlign w:val="center"/>
            <w:hideMark/>
          </w:tcPr>
          <w:p w14:paraId="1C3A79BE" w14:textId="77777777" w:rsidR="001D3955" w:rsidRPr="001D3955" w:rsidRDefault="001D3955" w:rsidP="001D3955">
            <w:pPr>
              <w:spacing w:after="0" w:line="240" w:lineRule="auto"/>
              <w:rPr>
                <w:rFonts w:ascii="Aptos Narrow" w:eastAsia="Times New Roman" w:hAnsi="Aptos Narrow" w:cs="Times New Roman"/>
                <w:i/>
                <w:iCs/>
                <w:color w:val="156082"/>
                <w:kern w:val="0"/>
                <w:lang w:eastAsia="en-AU"/>
                <w14:ligatures w14:val="none"/>
              </w:rPr>
            </w:pPr>
            <w:r w:rsidRPr="001D3955">
              <w:rPr>
                <w:rFonts w:ascii="Aptos Narrow" w:eastAsia="Times New Roman" w:hAnsi="Aptos Narrow" w:cs="Times New Roman"/>
                <w:i/>
                <w:iCs/>
                <w:color w:val="156082"/>
                <w:kern w:val="0"/>
                <w:lang w:eastAsia="en-AU"/>
                <w14:ligatures w14:val="none"/>
              </w:rPr>
              <w:t>Alternative 2</w:t>
            </w:r>
          </w:p>
        </w:tc>
        <w:tc>
          <w:tcPr>
            <w:tcW w:w="2920" w:type="dxa"/>
            <w:tcBorders>
              <w:top w:val="nil"/>
              <w:left w:val="nil"/>
              <w:bottom w:val="single" w:sz="4" w:space="0" w:color="auto"/>
              <w:right w:val="single" w:sz="4" w:space="0" w:color="auto"/>
            </w:tcBorders>
            <w:vAlign w:val="center"/>
            <w:hideMark/>
          </w:tcPr>
          <w:p w14:paraId="0A5D2A92" w14:textId="77777777" w:rsidR="001D3955" w:rsidRPr="001D3955" w:rsidRDefault="001D3955" w:rsidP="001D3955">
            <w:pPr>
              <w:spacing w:after="0" w:line="240" w:lineRule="auto"/>
              <w:rPr>
                <w:rFonts w:ascii="Aptos Narrow" w:eastAsia="Times New Roman" w:hAnsi="Aptos Narrow" w:cs="Times New Roman"/>
                <w:color w:val="000000"/>
                <w:kern w:val="0"/>
                <w:lang w:eastAsia="en-AU"/>
                <w14:ligatures w14:val="none"/>
              </w:rPr>
            </w:pPr>
            <w:r w:rsidRPr="001D3955">
              <w:rPr>
                <w:rFonts w:ascii="Aptos Narrow" w:eastAsia="Times New Roman" w:hAnsi="Aptos Narrow" w:cs="Times New Roman"/>
                <w:color w:val="000000"/>
                <w:kern w:val="0"/>
                <w:lang w:eastAsia="en-AU"/>
                <w14:ligatures w14:val="none"/>
              </w:rPr>
              <w:t> </w:t>
            </w:r>
          </w:p>
        </w:tc>
        <w:tc>
          <w:tcPr>
            <w:tcW w:w="2762" w:type="dxa"/>
            <w:tcBorders>
              <w:top w:val="nil"/>
              <w:left w:val="nil"/>
              <w:bottom w:val="single" w:sz="4" w:space="0" w:color="auto"/>
              <w:right w:val="single" w:sz="4" w:space="0" w:color="auto"/>
            </w:tcBorders>
            <w:vAlign w:val="center"/>
            <w:hideMark/>
          </w:tcPr>
          <w:p w14:paraId="3336CD86" w14:textId="77777777" w:rsidR="001D3955" w:rsidRPr="001D3955" w:rsidRDefault="001D3955" w:rsidP="001D3955">
            <w:pPr>
              <w:spacing w:after="0" w:line="240" w:lineRule="auto"/>
              <w:rPr>
                <w:rFonts w:ascii="Aptos Narrow" w:eastAsia="Times New Roman" w:hAnsi="Aptos Narrow" w:cs="Times New Roman"/>
                <w:color w:val="000000"/>
                <w:kern w:val="0"/>
                <w:lang w:eastAsia="en-AU"/>
                <w14:ligatures w14:val="none"/>
              </w:rPr>
            </w:pPr>
            <w:r w:rsidRPr="001D3955">
              <w:rPr>
                <w:rFonts w:ascii="Aptos Narrow" w:eastAsia="Times New Roman" w:hAnsi="Aptos Narrow" w:cs="Times New Roman"/>
                <w:color w:val="000000"/>
                <w:kern w:val="0"/>
                <w:lang w:eastAsia="en-AU"/>
                <w14:ligatures w14:val="none"/>
              </w:rPr>
              <w:t> </w:t>
            </w:r>
          </w:p>
        </w:tc>
        <w:tc>
          <w:tcPr>
            <w:tcW w:w="4218" w:type="dxa"/>
            <w:tcBorders>
              <w:top w:val="nil"/>
              <w:left w:val="nil"/>
              <w:bottom w:val="single" w:sz="4" w:space="0" w:color="auto"/>
              <w:right w:val="single" w:sz="4" w:space="0" w:color="auto"/>
            </w:tcBorders>
            <w:vAlign w:val="center"/>
            <w:hideMark/>
          </w:tcPr>
          <w:p w14:paraId="58776725" w14:textId="77777777" w:rsidR="001D3955" w:rsidRPr="001D3955" w:rsidRDefault="001D3955" w:rsidP="001D3955">
            <w:pPr>
              <w:spacing w:after="0" w:line="240" w:lineRule="auto"/>
              <w:rPr>
                <w:rFonts w:ascii="Aptos Narrow" w:eastAsia="Times New Roman" w:hAnsi="Aptos Narrow" w:cs="Times New Roman"/>
                <w:color w:val="000000"/>
                <w:kern w:val="0"/>
                <w:lang w:eastAsia="en-AU"/>
                <w14:ligatures w14:val="none"/>
              </w:rPr>
            </w:pPr>
            <w:r w:rsidRPr="001D3955">
              <w:rPr>
                <w:rFonts w:ascii="Aptos Narrow" w:eastAsia="Times New Roman" w:hAnsi="Aptos Narrow" w:cs="Times New Roman"/>
                <w:color w:val="000000"/>
                <w:kern w:val="0"/>
                <w:lang w:eastAsia="en-AU"/>
                <w14:ligatures w14:val="none"/>
              </w:rPr>
              <w:t> </w:t>
            </w:r>
          </w:p>
        </w:tc>
      </w:tr>
    </w:tbl>
    <w:p w14:paraId="199EAD0D" w14:textId="77777777" w:rsidR="00E6717C" w:rsidRDefault="00E6717C" w:rsidP="00E22CCE"/>
    <w:tbl>
      <w:tblPr>
        <w:tblStyle w:val="TableGrid"/>
        <w:tblW w:w="0" w:type="auto"/>
        <w:tblInd w:w="0" w:type="dxa"/>
        <w:tblBorders>
          <w:top w:val="single" w:sz="4" w:space="0" w:color="auto"/>
          <w:left w:val="single" w:sz="4" w:space="0" w:color="auto"/>
          <w:bottom w:val="single" w:sz="4" w:space="0" w:color="auto"/>
          <w:right w:val="single" w:sz="4" w:space="0" w:color="auto"/>
        </w:tblBorders>
        <w:shd w:val="clear" w:color="auto" w:fill="D9F2D0" w:themeFill="accent6" w:themeFillTint="33"/>
        <w:tblLook w:val="04A0" w:firstRow="1" w:lastRow="0" w:firstColumn="1" w:lastColumn="0" w:noHBand="0" w:noVBand="1"/>
      </w:tblPr>
      <w:tblGrid>
        <w:gridCol w:w="13948"/>
      </w:tblGrid>
      <w:tr w:rsidR="00EF318B" w14:paraId="649AC204" w14:textId="77777777" w:rsidTr="00353651">
        <w:tc>
          <w:tcPr>
            <w:tcW w:w="13958" w:type="dxa"/>
            <w:shd w:val="clear" w:color="auto" w:fill="D9F2D0" w:themeFill="accent6" w:themeFillTint="33"/>
          </w:tcPr>
          <w:p w14:paraId="5834803F" w14:textId="1FDEAD74" w:rsidR="00EF318B" w:rsidRPr="00353651" w:rsidRDefault="00EF318B" w:rsidP="00EF318B">
            <w:pPr>
              <w:tabs>
                <w:tab w:val="left" w:pos="1890"/>
              </w:tabs>
              <w:rPr>
                <w:b/>
              </w:rPr>
            </w:pPr>
            <w:r w:rsidRPr="00353651">
              <w:rPr>
                <w:b/>
              </w:rPr>
              <w:t>Question</w:t>
            </w:r>
            <w:r w:rsidR="00451890">
              <w:rPr>
                <w:b/>
              </w:rPr>
              <w:t xml:space="preserve">s: </w:t>
            </w:r>
            <w:r w:rsidRPr="00353651">
              <w:rPr>
                <w:b/>
              </w:rPr>
              <w:t xml:space="preserve">Reporting </w:t>
            </w:r>
            <w:r w:rsidR="001255E9">
              <w:rPr>
                <w:b/>
              </w:rPr>
              <w:t>t</w:t>
            </w:r>
            <w:r w:rsidRPr="00353651">
              <w:rPr>
                <w:b/>
              </w:rPr>
              <w:t xml:space="preserve">emplates </w:t>
            </w:r>
          </w:p>
          <w:p w14:paraId="7A1F06A9" w14:textId="77777777" w:rsidR="00E77936" w:rsidRDefault="00E77936" w:rsidP="00EF318B">
            <w:pPr>
              <w:tabs>
                <w:tab w:val="left" w:pos="1890"/>
              </w:tabs>
            </w:pPr>
          </w:p>
          <w:p w14:paraId="5D144865" w14:textId="1DAC0A53" w:rsidR="00EF318B" w:rsidRDefault="009217C9" w:rsidP="00EF318B">
            <w:pPr>
              <w:tabs>
                <w:tab w:val="left" w:pos="1890"/>
              </w:tabs>
            </w:pPr>
            <w:r>
              <w:rPr>
                <w:b/>
                <w:bCs/>
              </w:rPr>
              <w:t>A</w:t>
            </w:r>
            <w:r w:rsidR="00E77936" w:rsidRPr="00E77936">
              <w:rPr>
                <w:b/>
                <w:bCs/>
              </w:rPr>
              <w:t>F1</w:t>
            </w:r>
            <w:r w:rsidR="00E77936">
              <w:t xml:space="preserve"> </w:t>
            </w:r>
            <w:r w:rsidR="00FB0CCB">
              <w:t xml:space="preserve">Do </w:t>
            </w:r>
            <w:r w:rsidR="00EF318B">
              <w:t xml:space="preserve">the reporting templates at Appendix E and </w:t>
            </w:r>
            <w:r w:rsidR="00FB0CCB">
              <w:t xml:space="preserve">Appendix </w:t>
            </w:r>
            <w:r w:rsidR="00EF318B">
              <w:t xml:space="preserve">F </w:t>
            </w:r>
            <w:r w:rsidR="00FB0CCB">
              <w:t>capture t</w:t>
            </w:r>
            <w:r w:rsidR="00C82FFA">
              <w:t xml:space="preserve">he right GHG emissions information for Australian production systems? </w:t>
            </w:r>
          </w:p>
          <w:p w14:paraId="0DB1446D" w14:textId="7CD2D048" w:rsidR="00EF318B" w:rsidRDefault="009217C9" w:rsidP="00EF318B">
            <w:pPr>
              <w:tabs>
                <w:tab w:val="left" w:pos="1890"/>
              </w:tabs>
            </w:pPr>
            <w:proofErr w:type="gramStart"/>
            <w:r>
              <w:rPr>
                <w:b/>
                <w:bCs/>
              </w:rPr>
              <w:t>A</w:t>
            </w:r>
            <w:r w:rsidR="00E77936" w:rsidRPr="00E77936">
              <w:rPr>
                <w:b/>
                <w:bCs/>
              </w:rPr>
              <w:t>F2</w:t>
            </w:r>
            <w:proofErr w:type="gramEnd"/>
            <w:r w:rsidR="00E77936">
              <w:t xml:space="preserve"> </w:t>
            </w:r>
            <w:r w:rsidR="00C82FFA">
              <w:t xml:space="preserve">Do you have suggestions for improvement? Please </w:t>
            </w:r>
            <w:r w:rsidR="00E03E02">
              <w:t xml:space="preserve">state the name of the table when making suggestions. </w:t>
            </w:r>
          </w:p>
        </w:tc>
      </w:tr>
    </w:tbl>
    <w:p w14:paraId="4299BFC8" w14:textId="77777777" w:rsidR="009217C9" w:rsidRDefault="009217C9" w:rsidP="00D42139">
      <w:pPr>
        <w:pStyle w:val="Heading1"/>
        <w:numPr>
          <w:ilvl w:val="0"/>
          <w:numId w:val="0"/>
        </w:numPr>
        <w:sectPr w:rsidR="009217C9" w:rsidSect="00451890">
          <w:headerReference w:type="even" r:id="rId76"/>
          <w:headerReference w:type="default" r:id="rId77"/>
          <w:footerReference w:type="even" r:id="rId78"/>
          <w:footerReference w:type="default" r:id="rId79"/>
          <w:headerReference w:type="first" r:id="rId80"/>
          <w:footerReference w:type="first" r:id="rId81"/>
          <w:pgSz w:w="16838" w:h="11906" w:orient="landscape"/>
          <w:pgMar w:top="1440" w:right="1440" w:bottom="1440" w:left="1440" w:header="708" w:footer="708" w:gutter="0"/>
          <w:cols w:space="708"/>
          <w:docGrid w:linePitch="360"/>
        </w:sectPr>
      </w:pPr>
      <w:bookmarkStart w:id="114" w:name="_Toc225269988"/>
    </w:p>
    <w:p w14:paraId="62643F2C" w14:textId="10716F56" w:rsidR="001E62B2" w:rsidRDefault="00366A2E" w:rsidP="00D42139">
      <w:pPr>
        <w:pStyle w:val="Heading1"/>
        <w:numPr>
          <w:ilvl w:val="0"/>
          <w:numId w:val="0"/>
        </w:numPr>
      </w:pPr>
      <w:r>
        <w:lastRenderedPageBreak/>
        <w:t xml:space="preserve">Appendix </w:t>
      </w:r>
      <w:r w:rsidR="00E6717C">
        <w:t>G</w:t>
      </w:r>
      <w:r w:rsidR="00A416F0">
        <w:t xml:space="preserve">- </w:t>
      </w:r>
      <w:r w:rsidR="001E62B2">
        <w:t>Key terms</w:t>
      </w:r>
      <w:bookmarkEnd w:id="114"/>
      <w:r w:rsidR="001E62B2">
        <w:t xml:space="preserve"> </w:t>
      </w:r>
    </w:p>
    <w:p w14:paraId="6A1EABD9" w14:textId="13FFC5D5" w:rsidR="00D42139" w:rsidRPr="00933EA1" w:rsidRDefault="00933EA1" w:rsidP="005C7887">
      <w:r>
        <w:t xml:space="preserve">Note: </w:t>
      </w:r>
      <w:r w:rsidR="00FE3189">
        <w:t>Key t</w:t>
      </w:r>
      <w:r w:rsidR="00285FC0" w:rsidRPr="00285FC0">
        <w:t>erms</w:t>
      </w:r>
      <w:r w:rsidR="00FE3189">
        <w:t xml:space="preserve"> can</w:t>
      </w:r>
      <w:r w:rsidR="00285FC0" w:rsidRPr="00285FC0">
        <w:t xml:space="preserve"> be defined differently across standards and frameworks. Users of these Guidelines should verify definitions against the specific requirements applicable to their reporting </w:t>
      </w:r>
      <w:r w:rsidR="00285FC0">
        <w:t xml:space="preserve">needs. </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753"/>
      </w:tblGrid>
      <w:tr w:rsidR="001E62B2" w14:paraId="74BB60A2" w14:textId="77777777">
        <w:trPr>
          <w:tblHeader/>
        </w:trPr>
        <w:tc>
          <w:tcPr>
            <w:tcW w:w="2263" w:type="dxa"/>
            <w:shd w:val="clear" w:color="auto" w:fill="E8E8E8" w:themeFill="background2"/>
          </w:tcPr>
          <w:p w14:paraId="3AD874F8" w14:textId="77777777" w:rsidR="001E62B2" w:rsidRPr="0048274F" w:rsidRDefault="001E62B2">
            <w:pPr>
              <w:rPr>
                <w:b/>
                <w:bCs/>
              </w:rPr>
            </w:pPr>
            <w:r w:rsidRPr="0048274F">
              <w:rPr>
                <w:b/>
                <w:bCs/>
              </w:rPr>
              <w:t>Term</w:t>
            </w:r>
          </w:p>
        </w:tc>
        <w:tc>
          <w:tcPr>
            <w:tcW w:w="6753" w:type="dxa"/>
            <w:shd w:val="clear" w:color="auto" w:fill="E8E8E8" w:themeFill="background2"/>
          </w:tcPr>
          <w:p w14:paraId="1D0C1CD9" w14:textId="77777777" w:rsidR="001E62B2" w:rsidRPr="0048274F" w:rsidRDefault="001E62B2">
            <w:pPr>
              <w:rPr>
                <w:b/>
                <w:bCs/>
              </w:rPr>
            </w:pPr>
            <w:r w:rsidRPr="0048274F">
              <w:rPr>
                <w:b/>
                <w:bCs/>
              </w:rPr>
              <w:t xml:space="preserve">Definition </w:t>
            </w:r>
          </w:p>
        </w:tc>
      </w:tr>
      <w:tr w:rsidR="001E62B2" w14:paraId="158A2D02" w14:textId="77777777">
        <w:tc>
          <w:tcPr>
            <w:tcW w:w="2263" w:type="dxa"/>
          </w:tcPr>
          <w:p w14:paraId="537722B5" w14:textId="77777777" w:rsidR="001E62B2" w:rsidRPr="0048274F" w:rsidRDefault="001E62B2">
            <w:pPr>
              <w:rPr>
                <w:b/>
                <w:bCs/>
              </w:rPr>
            </w:pPr>
            <w:r w:rsidRPr="0048274F">
              <w:rPr>
                <w:b/>
                <w:bCs/>
              </w:rPr>
              <w:t>Activity data</w:t>
            </w:r>
          </w:p>
        </w:tc>
        <w:tc>
          <w:tcPr>
            <w:tcW w:w="6753" w:type="dxa"/>
          </w:tcPr>
          <w:p w14:paraId="1C7B5D56" w14:textId="77777777" w:rsidR="001E62B2" w:rsidRPr="0048274F" w:rsidRDefault="001E62B2">
            <w:pPr>
              <w:pStyle w:val="TableText"/>
              <w:rPr>
                <w:rFonts w:asciiTheme="minorHAnsi" w:hAnsiTheme="minorHAnsi"/>
                <w:sz w:val="22"/>
              </w:rPr>
            </w:pPr>
            <w:r w:rsidRPr="0048274F">
              <w:rPr>
                <w:rFonts w:asciiTheme="minorHAnsi" w:hAnsiTheme="minorHAnsi" w:cstheme="minorHAnsi"/>
                <w:sz w:val="22"/>
              </w:rPr>
              <w:t xml:space="preserve">Quantitative measure of an activity </w:t>
            </w:r>
            <w:r w:rsidRPr="0048274F">
              <w:rPr>
                <w:rFonts w:asciiTheme="minorHAnsi" w:hAnsiTheme="minorHAnsi"/>
                <w:sz w:val="22"/>
              </w:rPr>
              <w:t>over a specified period,</w:t>
            </w:r>
            <w:r w:rsidRPr="0048274F">
              <w:rPr>
                <w:rFonts w:asciiTheme="minorHAnsi" w:hAnsiTheme="minorHAnsi" w:cstheme="minorHAnsi"/>
                <w:sz w:val="22"/>
              </w:rPr>
              <w:t xml:space="preserve"> that results in </w:t>
            </w:r>
            <w:r w:rsidRPr="0048274F">
              <w:rPr>
                <w:rFonts w:asciiTheme="minorHAnsi" w:hAnsiTheme="minorHAnsi" w:cstheme="minorHAnsi"/>
                <w:i/>
                <w:iCs/>
                <w:sz w:val="22"/>
              </w:rPr>
              <w:t>GHG emissions</w:t>
            </w:r>
            <w:r w:rsidRPr="0048274F">
              <w:rPr>
                <w:rFonts w:asciiTheme="minorHAnsi" w:hAnsiTheme="minorHAnsi" w:cstheme="minorHAnsi"/>
                <w:sz w:val="22"/>
              </w:rPr>
              <w:t xml:space="preserve"> or</w:t>
            </w:r>
            <w:r w:rsidRPr="0048274F">
              <w:rPr>
                <w:rFonts w:asciiTheme="minorHAnsi" w:hAnsiTheme="minorHAnsi" w:cstheme="minorHAnsi"/>
                <w:i/>
                <w:iCs/>
                <w:sz w:val="22"/>
              </w:rPr>
              <w:t xml:space="preserve"> removals.</w:t>
            </w:r>
            <w:r w:rsidRPr="0048274F">
              <w:rPr>
                <w:rFonts w:asciiTheme="minorHAnsi" w:hAnsiTheme="minorHAnsi" w:cstheme="minorHAnsi"/>
                <w:sz w:val="22"/>
              </w:rPr>
              <w:t xml:space="preserve"> </w:t>
            </w:r>
            <w:r w:rsidRPr="0048274F">
              <w:rPr>
                <w:rFonts w:asciiTheme="minorHAnsi" w:hAnsiTheme="minorHAnsi"/>
                <w:sz w:val="22"/>
              </w:rPr>
              <w:t xml:space="preserve"> </w:t>
            </w:r>
          </w:p>
          <w:p w14:paraId="43B86F14" w14:textId="77777777" w:rsidR="001E62B2" w:rsidRPr="0048274F" w:rsidRDefault="001E62B2">
            <w:pPr>
              <w:rPr>
                <w:b/>
                <w:bCs/>
              </w:rPr>
            </w:pPr>
            <w:r w:rsidRPr="0048274F">
              <w:rPr>
                <w:rFonts w:cstheme="minorHAnsi"/>
              </w:rPr>
              <w:t>Examples: numbers of livestock and their liveweight gain; tonnes of fertiliser applied; litres of fuel used.</w:t>
            </w:r>
          </w:p>
        </w:tc>
      </w:tr>
      <w:tr w:rsidR="001E62B2" w14:paraId="364E260A" w14:textId="77777777">
        <w:tc>
          <w:tcPr>
            <w:tcW w:w="2263" w:type="dxa"/>
          </w:tcPr>
          <w:p w14:paraId="70ED57ED" w14:textId="77777777" w:rsidR="001E62B2" w:rsidRPr="0048274F" w:rsidRDefault="001E62B2">
            <w:pPr>
              <w:rPr>
                <w:b/>
                <w:bCs/>
              </w:rPr>
            </w:pPr>
            <w:r w:rsidRPr="0048274F">
              <w:rPr>
                <w:rFonts w:cstheme="minorHAnsi"/>
                <w:b/>
                <w:bCs/>
              </w:rPr>
              <w:t>Anthropogenic</w:t>
            </w:r>
          </w:p>
        </w:tc>
        <w:tc>
          <w:tcPr>
            <w:tcW w:w="6753" w:type="dxa"/>
          </w:tcPr>
          <w:p w14:paraId="5C5313C2" w14:textId="77777777" w:rsidR="001E62B2" w:rsidRDefault="001E62B2">
            <w:pPr>
              <w:pStyle w:val="TableText"/>
              <w:rPr>
                <w:rFonts w:asciiTheme="minorHAnsi" w:hAnsiTheme="minorHAnsi" w:cstheme="minorHAnsi"/>
                <w:sz w:val="22"/>
              </w:rPr>
            </w:pPr>
            <w:r>
              <w:rPr>
                <w:rFonts w:asciiTheme="minorHAnsi" w:hAnsiTheme="minorHAnsi" w:cstheme="minorHAnsi"/>
                <w:sz w:val="22"/>
              </w:rPr>
              <w:t>C</w:t>
            </w:r>
            <w:r w:rsidRPr="0048274F">
              <w:rPr>
                <w:rFonts w:asciiTheme="minorHAnsi" w:hAnsiTheme="minorHAnsi" w:cstheme="minorHAnsi"/>
                <w:sz w:val="22"/>
              </w:rPr>
              <w:t>aused or influenced by people, either directly or indirectly</w:t>
            </w:r>
          </w:p>
          <w:p w14:paraId="7A29F2A2" w14:textId="77777777" w:rsidR="001E62B2" w:rsidRPr="0048274F" w:rsidRDefault="001E62B2">
            <w:pPr>
              <w:pStyle w:val="TableText"/>
              <w:rPr>
                <w:rFonts w:asciiTheme="minorHAnsi" w:hAnsiTheme="minorHAnsi" w:cstheme="minorHAnsi"/>
                <w:i/>
                <w:iCs/>
                <w:sz w:val="22"/>
              </w:rPr>
            </w:pPr>
            <w:r w:rsidRPr="0048274F">
              <w:rPr>
                <w:rFonts w:asciiTheme="minorHAnsi" w:hAnsiTheme="minorHAnsi" w:cstheme="minorHAnsi"/>
                <w:i/>
                <w:iCs/>
                <w:sz w:val="22"/>
              </w:rPr>
              <w:t>(as opposed to non-anthropogenic</w:t>
            </w:r>
            <w:r>
              <w:rPr>
                <w:rFonts w:asciiTheme="minorHAnsi" w:hAnsiTheme="minorHAnsi" w:cstheme="minorHAnsi"/>
                <w:i/>
                <w:iCs/>
                <w:sz w:val="22"/>
              </w:rPr>
              <w:t xml:space="preserve"> or natural processes</w:t>
            </w:r>
            <w:r w:rsidRPr="0048274F">
              <w:rPr>
                <w:rFonts w:asciiTheme="minorHAnsi" w:hAnsiTheme="minorHAnsi" w:cstheme="minorHAnsi"/>
                <w:i/>
                <w:iCs/>
                <w:sz w:val="22"/>
              </w:rPr>
              <w:t xml:space="preserve">) </w:t>
            </w:r>
          </w:p>
        </w:tc>
      </w:tr>
      <w:tr w:rsidR="001E62B2" w14:paraId="2DBF1338" w14:textId="77777777">
        <w:tc>
          <w:tcPr>
            <w:tcW w:w="2263" w:type="dxa"/>
          </w:tcPr>
          <w:p w14:paraId="6F162AC4" w14:textId="77777777" w:rsidR="001E62B2" w:rsidRPr="0048274F" w:rsidRDefault="001E62B2">
            <w:pPr>
              <w:rPr>
                <w:rFonts w:cstheme="minorHAnsi"/>
                <w:b/>
                <w:bCs/>
              </w:rPr>
            </w:pPr>
            <w:r>
              <w:rPr>
                <w:rFonts w:cstheme="minorHAnsi"/>
                <w:b/>
                <w:bCs/>
              </w:rPr>
              <w:t>Biogenic carbon</w:t>
            </w:r>
          </w:p>
        </w:tc>
        <w:tc>
          <w:tcPr>
            <w:tcW w:w="6753" w:type="dxa"/>
          </w:tcPr>
          <w:p w14:paraId="407398F0" w14:textId="70EE7FF9" w:rsidR="001E62B2" w:rsidRPr="001007FF" w:rsidRDefault="001E62B2">
            <w:pPr>
              <w:pStyle w:val="TableText"/>
              <w:rPr>
                <w:rFonts w:asciiTheme="minorHAnsi" w:hAnsiTheme="minorHAnsi" w:cstheme="minorHAnsi"/>
                <w:sz w:val="22"/>
              </w:rPr>
            </w:pPr>
            <w:r w:rsidRPr="00E851D7">
              <w:rPr>
                <w:rFonts w:asciiTheme="minorHAnsi" w:hAnsiTheme="minorHAnsi" w:cstheme="minorHAnsi"/>
                <w:sz w:val="22"/>
              </w:rPr>
              <w:t>Carbon that is contained in or derived from biomass</w:t>
            </w:r>
            <w:r>
              <w:rPr>
                <w:rFonts w:asciiTheme="minorHAnsi" w:hAnsiTheme="minorHAnsi" w:cstheme="minorHAnsi"/>
                <w:sz w:val="22"/>
              </w:rPr>
              <w:t>. B</w:t>
            </w:r>
            <w:r w:rsidRPr="00BE07BA">
              <w:rPr>
                <w:rFonts w:asciiTheme="minorHAnsi" w:hAnsiTheme="minorHAnsi" w:cstheme="minorHAnsi"/>
                <w:sz w:val="22"/>
              </w:rPr>
              <w:t xml:space="preserve">iogenic carbon </w:t>
            </w:r>
            <w:r w:rsidR="00184BC5">
              <w:rPr>
                <w:rFonts w:asciiTheme="minorHAnsi" w:hAnsiTheme="minorHAnsi" w:cstheme="minorHAnsi"/>
                <w:sz w:val="22"/>
              </w:rPr>
              <w:t xml:space="preserve">is </w:t>
            </w:r>
            <w:r w:rsidRPr="007F2C35">
              <w:rPr>
                <w:rFonts w:asciiTheme="minorHAnsi" w:hAnsiTheme="minorHAnsi" w:cstheme="minorHAnsi"/>
                <w:sz w:val="22"/>
              </w:rPr>
              <w:t>quantified and disclosed separately</w:t>
            </w:r>
            <w:r w:rsidRPr="00BE07BA">
              <w:rPr>
                <w:rFonts w:asciiTheme="minorHAnsi" w:hAnsiTheme="minorHAnsi" w:cstheme="minorHAnsi"/>
                <w:sz w:val="22"/>
              </w:rPr>
              <w:t xml:space="preserve"> from </w:t>
            </w:r>
            <w:r w:rsidR="00CF7E0C">
              <w:rPr>
                <w:rFonts w:asciiTheme="minorHAnsi" w:hAnsiTheme="minorHAnsi" w:cstheme="minorHAnsi"/>
                <w:sz w:val="22"/>
              </w:rPr>
              <w:t>non-biogenic</w:t>
            </w:r>
            <w:r>
              <w:rPr>
                <w:rFonts w:asciiTheme="minorHAnsi" w:hAnsiTheme="minorHAnsi" w:cstheme="minorHAnsi"/>
                <w:sz w:val="22"/>
              </w:rPr>
              <w:t xml:space="preserve"> carbon emissions.</w:t>
            </w:r>
          </w:p>
        </w:tc>
      </w:tr>
      <w:tr w:rsidR="00D42139" w14:paraId="375E1B97" w14:textId="77777777">
        <w:tc>
          <w:tcPr>
            <w:tcW w:w="2263" w:type="dxa"/>
          </w:tcPr>
          <w:p w14:paraId="29D5934B" w14:textId="5F28E9EA" w:rsidR="00D42139" w:rsidRDefault="00D42139">
            <w:pPr>
              <w:rPr>
                <w:rFonts w:cstheme="minorHAnsi"/>
                <w:b/>
                <w:bCs/>
              </w:rPr>
            </w:pPr>
            <w:r w:rsidRPr="000F4D1A">
              <w:rPr>
                <w:b/>
                <w:bCs/>
              </w:rPr>
              <w:t>By-product</w:t>
            </w:r>
          </w:p>
        </w:tc>
        <w:tc>
          <w:tcPr>
            <w:tcW w:w="6753" w:type="dxa"/>
          </w:tcPr>
          <w:p w14:paraId="0180703A" w14:textId="17113D4D" w:rsidR="00D42139" w:rsidRPr="00E851D7" w:rsidRDefault="00D42139">
            <w:pPr>
              <w:pStyle w:val="TableText"/>
              <w:rPr>
                <w:rFonts w:asciiTheme="minorHAnsi" w:hAnsiTheme="minorHAnsi" w:cstheme="minorHAnsi"/>
                <w:sz w:val="22"/>
              </w:rPr>
            </w:pPr>
            <w:r w:rsidRPr="00D42139">
              <w:rPr>
                <w:rFonts w:asciiTheme="minorHAnsi" w:hAnsiTheme="minorHAnsi" w:cstheme="minorHAnsi"/>
                <w:sz w:val="22"/>
              </w:rPr>
              <w:t>An output that has economic value but is not the primary product that the entity seeks to produce e.g. surplus calves from a dairy or culled-for-age ewes</w:t>
            </w:r>
          </w:p>
        </w:tc>
      </w:tr>
      <w:tr w:rsidR="001E62B2" w14:paraId="7F457C4F" w14:textId="77777777">
        <w:tc>
          <w:tcPr>
            <w:tcW w:w="2263" w:type="dxa"/>
          </w:tcPr>
          <w:p w14:paraId="165111A1" w14:textId="77777777" w:rsidR="001E62B2" w:rsidRPr="0048274F" w:rsidRDefault="001E62B2">
            <w:pPr>
              <w:rPr>
                <w:b/>
                <w:bCs/>
              </w:rPr>
            </w:pPr>
            <w:r w:rsidRPr="0048274F">
              <w:rPr>
                <w:rFonts w:cstheme="minorHAnsi"/>
                <w:b/>
                <w:bCs/>
              </w:rPr>
              <w:t>Carbon credit</w:t>
            </w:r>
          </w:p>
        </w:tc>
        <w:tc>
          <w:tcPr>
            <w:tcW w:w="6753" w:type="dxa"/>
          </w:tcPr>
          <w:p w14:paraId="3F1E0F80" w14:textId="77777777" w:rsidR="001E62B2" w:rsidRPr="0048274F" w:rsidRDefault="001E62B2">
            <w:pPr>
              <w:pStyle w:val="TableText"/>
              <w:rPr>
                <w:rFonts w:asciiTheme="minorHAnsi" w:hAnsiTheme="minorHAnsi" w:cstheme="minorHAnsi"/>
                <w:sz w:val="22"/>
              </w:rPr>
            </w:pPr>
            <w:r w:rsidRPr="0048274F">
              <w:rPr>
                <w:rFonts w:asciiTheme="minorHAnsi" w:hAnsiTheme="minorHAnsi" w:cstheme="minorHAnsi"/>
                <w:sz w:val="22"/>
              </w:rPr>
              <w:t xml:space="preserve">A tradeable instrument (certificate) representing a reduction, removal or avoidance of one metric tonne of </w:t>
            </w:r>
            <w:r w:rsidRPr="0048274F">
              <w:rPr>
                <w:rFonts w:asciiTheme="minorHAnsi" w:hAnsiTheme="minorHAnsi" w:cstheme="minorHAnsi"/>
                <w:i/>
                <w:iCs/>
                <w:sz w:val="22"/>
              </w:rPr>
              <w:t>carbon dioxide equivalents</w:t>
            </w:r>
            <w:r w:rsidRPr="0048274F">
              <w:rPr>
                <w:rFonts w:asciiTheme="minorHAnsi" w:hAnsiTheme="minorHAnsi" w:cstheme="minorHAnsi"/>
                <w:sz w:val="22"/>
              </w:rPr>
              <w:t xml:space="preserve"> </w:t>
            </w:r>
            <w:r w:rsidRPr="0048274F">
              <w:rPr>
                <w:rFonts w:asciiTheme="minorHAnsi" w:hAnsiTheme="minorHAnsi" w:cstheme="minorHAnsi"/>
                <w:i/>
                <w:iCs/>
                <w:sz w:val="22"/>
              </w:rPr>
              <w:t>(tCO</w:t>
            </w:r>
            <w:r w:rsidRPr="0048274F">
              <w:rPr>
                <w:rFonts w:asciiTheme="minorHAnsi" w:hAnsiTheme="minorHAnsi" w:cstheme="minorHAnsi"/>
                <w:i/>
                <w:iCs/>
                <w:sz w:val="22"/>
                <w:vertAlign w:val="subscript"/>
              </w:rPr>
              <w:t>2</w:t>
            </w:r>
            <w:r w:rsidRPr="007866F6">
              <w:rPr>
                <w:rFonts w:asciiTheme="minorHAnsi" w:hAnsiTheme="minorHAnsi" w:cstheme="minorHAnsi"/>
                <w:i/>
                <w:iCs/>
                <w:sz w:val="22"/>
              </w:rPr>
              <w:t>-</w:t>
            </w:r>
            <w:r w:rsidRPr="0048274F">
              <w:rPr>
                <w:rFonts w:asciiTheme="minorHAnsi" w:hAnsiTheme="minorHAnsi" w:cstheme="minorHAnsi"/>
                <w:i/>
                <w:iCs/>
                <w:sz w:val="22"/>
              </w:rPr>
              <w:t xml:space="preserve">e) </w:t>
            </w:r>
            <w:r w:rsidRPr="0048274F">
              <w:rPr>
                <w:rFonts w:asciiTheme="minorHAnsi" w:hAnsiTheme="minorHAnsi" w:cstheme="minorHAnsi"/>
                <w:sz w:val="22"/>
              </w:rPr>
              <w:t>that has been achieved relative to a baseline.</w:t>
            </w:r>
            <w:r w:rsidRPr="0048274F">
              <w:rPr>
                <w:rFonts w:asciiTheme="minorHAnsi" w:hAnsiTheme="minorHAnsi" w:cstheme="minorHAnsi"/>
                <w:i/>
                <w:iCs/>
                <w:sz w:val="22"/>
              </w:rPr>
              <w:t xml:space="preserve"> </w:t>
            </w:r>
          </w:p>
        </w:tc>
      </w:tr>
      <w:tr w:rsidR="001E62B2" w14:paraId="027C8ECF" w14:textId="77777777">
        <w:tc>
          <w:tcPr>
            <w:tcW w:w="2263" w:type="dxa"/>
          </w:tcPr>
          <w:p w14:paraId="27BEE899" w14:textId="77777777" w:rsidR="001E62B2" w:rsidRPr="0048274F" w:rsidRDefault="001E62B2">
            <w:pPr>
              <w:rPr>
                <w:rFonts w:cstheme="minorHAnsi"/>
                <w:b/>
                <w:bCs/>
              </w:rPr>
            </w:pPr>
            <w:r w:rsidRPr="0048274F">
              <w:rPr>
                <w:rFonts w:cstheme="minorHAnsi"/>
                <w:b/>
                <w:bCs/>
              </w:rPr>
              <w:t>Carbon dioxide equivalent</w:t>
            </w:r>
            <w:r w:rsidRPr="0048274F">
              <w:rPr>
                <w:rFonts w:cstheme="minorHAnsi"/>
                <w:b/>
                <w:bCs/>
              </w:rPr>
              <w:br/>
              <w:t>(CO</w:t>
            </w:r>
            <w:r w:rsidRPr="0048274F">
              <w:rPr>
                <w:rFonts w:cstheme="minorHAnsi"/>
                <w:b/>
                <w:bCs/>
                <w:vertAlign w:val="subscript"/>
              </w:rPr>
              <w:t>2</w:t>
            </w:r>
            <w:r w:rsidRPr="007866F6">
              <w:rPr>
                <w:rFonts w:cstheme="minorHAnsi"/>
                <w:b/>
                <w:bCs/>
                <w:i/>
                <w:iCs/>
              </w:rPr>
              <w:t>-</w:t>
            </w:r>
            <w:r w:rsidRPr="0048274F">
              <w:rPr>
                <w:rFonts w:cstheme="minorHAnsi"/>
                <w:b/>
                <w:bCs/>
              </w:rPr>
              <w:t>e)</w:t>
            </w:r>
          </w:p>
        </w:tc>
        <w:tc>
          <w:tcPr>
            <w:tcW w:w="6753" w:type="dxa"/>
          </w:tcPr>
          <w:p w14:paraId="61EDFFD6" w14:textId="77777777" w:rsidR="001E62B2" w:rsidRPr="0048274F" w:rsidRDefault="001E62B2">
            <w:pPr>
              <w:pStyle w:val="TableText"/>
              <w:rPr>
                <w:rFonts w:asciiTheme="minorHAnsi" w:hAnsiTheme="minorHAnsi" w:cstheme="minorHAnsi"/>
                <w:sz w:val="22"/>
              </w:rPr>
            </w:pPr>
            <w:r w:rsidRPr="0048274F">
              <w:rPr>
                <w:rFonts w:asciiTheme="minorHAnsi" w:hAnsiTheme="minorHAnsi" w:cstheme="minorHAnsi"/>
                <w:sz w:val="22"/>
              </w:rPr>
              <w:t>A standard unit for comparing emissions of different greenhouse gases by expressing them as the amount of CO₂ that would have the same warming effect over a set period (usually 100 years).</w:t>
            </w:r>
          </w:p>
        </w:tc>
      </w:tr>
      <w:tr w:rsidR="001E62B2" w14:paraId="67918FFD" w14:textId="77777777">
        <w:tc>
          <w:tcPr>
            <w:tcW w:w="2263" w:type="dxa"/>
          </w:tcPr>
          <w:p w14:paraId="7F7F5B69" w14:textId="77777777" w:rsidR="001E62B2" w:rsidRPr="0048274F" w:rsidRDefault="001E62B2">
            <w:pPr>
              <w:rPr>
                <w:rFonts w:cstheme="minorHAnsi"/>
                <w:b/>
                <w:bCs/>
              </w:rPr>
            </w:pPr>
            <w:r w:rsidRPr="0048274F">
              <w:rPr>
                <w:rFonts w:cstheme="minorHAnsi"/>
                <w:b/>
                <w:bCs/>
              </w:rPr>
              <w:t>Emission factor</w:t>
            </w:r>
          </w:p>
        </w:tc>
        <w:tc>
          <w:tcPr>
            <w:tcW w:w="6753" w:type="dxa"/>
          </w:tcPr>
          <w:p w14:paraId="53E2BE89" w14:textId="77777777" w:rsidR="001E62B2" w:rsidRPr="0048274F" w:rsidRDefault="001E62B2">
            <w:pPr>
              <w:pStyle w:val="TableText"/>
              <w:rPr>
                <w:rFonts w:asciiTheme="minorHAnsi" w:hAnsiTheme="minorHAnsi" w:cstheme="minorHAnsi"/>
                <w:sz w:val="22"/>
              </w:rPr>
            </w:pPr>
            <w:r w:rsidRPr="0048274F">
              <w:rPr>
                <w:rFonts w:asciiTheme="minorHAnsi" w:hAnsiTheme="minorHAnsi" w:cstheme="minorHAnsi"/>
                <w:sz w:val="22"/>
              </w:rPr>
              <w:t xml:space="preserve">A representative value that quantifies the GHG </w:t>
            </w:r>
            <w:r w:rsidRPr="0048274F">
              <w:rPr>
                <w:rFonts w:asciiTheme="minorHAnsi" w:hAnsiTheme="minorHAnsi" w:cstheme="minorHAnsi"/>
                <w:i/>
                <w:iCs/>
                <w:sz w:val="22"/>
              </w:rPr>
              <w:t>emissions</w:t>
            </w:r>
            <w:r w:rsidRPr="0048274F">
              <w:rPr>
                <w:rFonts w:asciiTheme="minorHAnsi" w:hAnsiTheme="minorHAnsi" w:cstheme="minorHAnsi"/>
                <w:sz w:val="22"/>
              </w:rPr>
              <w:t xml:space="preserve"> or </w:t>
            </w:r>
            <w:r w:rsidRPr="0048274F">
              <w:rPr>
                <w:rFonts w:asciiTheme="minorHAnsi" w:hAnsiTheme="minorHAnsi" w:cstheme="minorHAnsi"/>
                <w:i/>
                <w:iCs/>
                <w:sz w:val="22"/>
              </w:rPr>
              <w:t>removals</w:t>
            </w:r>
            <w:r w:rsidRPr="0048274F">
              <w:rPr>
                <w:rFonts w:asciiTheme="minorHAnsi" w:hAnsiTheme="minorHAnsi" w:cstheme="minorHAnsi"/>
                <w:sz w:val="22"/>
              </w:rPr>
              <w:t xml:space="preserve"> per unit of an activity. </w:t>
            </w:r>
          </w:p>
          <w:p w14:paraId="3CB47432" w14:textId="77777777" w:rsidR="001E62B2" w:rsidRPr="0048274F" w:rsidRDefault="001E62B2">
            <w:pPr>
              <w:pStyle w:val="TableText"/>
              <w:rPr>
                <w:rFonts w:asciiTheme="minorHAnsi" w:hAnsiTheme="minorHAnsi" w:cstheme="minorHAnsi"/>
                <w:sz w:val="22"/>
              </w:rPr>
            </w:pPr>
            <w:r w:rsidRPr="0048274F">
              <w:rPr>
                <w:rFonts w:asciiTheme="minorHAnsi" w:hAnsiTheme="minorHAnsi" w:cstheme="minorHAnsi"/>
                <w:sz w:val="22"/>
              </w:rPr>
              <w:t>Emission factors are often based on a sample of measurement data, averaged to develop a representative rate of emission for a given activity level under a given set of operating conditions.</w:t>
            </w:r>
          </w:p>
          <w:p w14:paraId="71DA879D" w14:textId="77777777" w:rsidR="001E62B2" w:rsidRPr="0048274F" w:rsidRDefault="001E62B2">
            <w:pPr>
              <w:pStyle w:val="TableText"/>
              <w:rPr>
                <w:rFonts w:asciiTheme="minorHAnsi" w:hAnsiTheme="minorHAnsi" w:cstheme="minorHAnsi"/>
                <w:sz w:val="22"/>
              </w:rPr>
            </w:pPr>
            <w:r w:rsidRPr="0048274F">
              <w:rPr>
                <w:rFonts w:asciiTheme="minorHAnsi" w:hAnsiTheme="minorHAnsi" w:cstheme="minorHAnsi"/>
                <w:sz w:val="22"/>
              </w:rPr>
              <w:t>Example: kg methane (CH₄) per animal per day.</w:t>
            </w:r>
          </w:p>
        </w:tc>
      </w:tr>
      <w:tr w:rsidR="001E62B2" w14:paraId="13A03207" w14:textId="77777777">
        <w:tc>
          <w:tcPr>
            <w:tcW w:w="2263" w:type="dxa"/>
          </w:tcPr>
          <w:p w14:paraId="564DC3C9" w14:textId="77777777" w:rsidR="001E62B2" w:rsidRPr="0048274F" w:rsidRDefault="001E62B2">
            <w:pPr>
              <w:rPr>
                <w:rFonts w:cstheme="minorHAnsi"/>
                <w:b/>
                <w:bCs/>
              </w:rPr>
            </w:pPr>
            <w:r w:rsidRPr="0048274F">
              <w:rPr>
                <w:rFonts w:cstheme="minorHAnsi"/>
                <w:b/>
                <w:bCs/>
              </w:rPr>
              <w:t>Emissions intensity</w:t>
            </w:r>
          </w:p>
        </w:tc>
        <w:tc>
          <w:tcPr>
            <w:tcW w:w="6753" w:type="dxa"/>
          </w:tcPr>
          <w:p w14:paraId="005CDEEC" w14:textId="77777777" w:rsidR="001E62B2" w:rsidRPr="0048274F" w:rsidRDefault="001E62B2">
            <w:pPr>
              <w:pStyle w:val="TableText"/>
              <w:rPr>
                <w:rFonts w:asciiTheme="minorHAnsi" w:hAnsiTheme="minorHAnsi" w:cstheme="minorHAnsi"/>
                <w:sz w:val="22"/>
              </w:rPr>
            </w:pPr>
            <w:r w:rsidRPr="0048274F">
              <w:rPr>
                <w:rFonts w:asciiTheme="minorHAnsi" w:hAnsiTheme="minorHAnsi" w:cstheme="minorHAnsi"/>
                <w:sz w:val="22"/>
              </w:rPr>
              <w:t xml:space="preserve">The quantity of </w:t>
            </w:r>
            <w:r w:rsidRPr="0048274F">
              <w:rPr>
                <w:rFonts w:asciiTheme="minorHAnsi" w:hAnsiTheme="minorHAnsi" w:cstheme="minorHAnsi"/>
                <w:i/>
                <w:iCs/>
                <w:sz w:val="22"/>
              </w:rPr>
              <w:t>emissions</w:t>
            </w:r>
            <w:r w:rsidRPr="0048274F">
              <w:rPr>
                <w:rFonts w:asciiTheme="minorHAnsi" w:hAnsiTheme="minorHAnsi" w:cstheme="minorHAnsi"/>
                <w:sz w:val="22"/>
              </w:rPr>
              <w:t xml:space="preserve"> per unit of product. </w:t>
            </w:r>
          </w:p>
          <w:p w14:paraId="05E0C29A" w14:textId="77777777" w:rsidR="001E62B2" w:rsidRPr="0048274F" w:rsidRDefault="001E62B2">
            <w:pPr>
              <w:pStyle w:val="TableText"/>
              <w:rPr>
                <w:rFonts w:asciiTheme="minorHAnsi" w:hAnsiTheme="minorHAnsi" w:cstheme="minorHAnsi"/>
                <w:sz w:val="22"/>
              </w:rPr>
            </w:pPr>
            <w:r w:rsidRPr="0048274F">
              <w:rPr>
                <w:rFonts w:asciiTheme="minorHAnsi" w:hAnsiTheme="minorHAnsi" w:cstheme="minorHAnsi"/>
                <w:sz w:val="22"/>
              </w:rPr>
              <w:t xml:space="preserve">Emissions intensity can be expressed per unit of total mass, mass of protein or energy, or </w:t>
            </w:r>
            <w:r>
              <w:rPr>
                <w:rFonts w:asciiTheme="minorHAnsi" w:hAnsiTheme="minorHAnsi" w:cstheme="minorHAnsi"/>
                <w:sz w:val="22"/>
              </w:rPr>
              <w:t xml:space="preserve">economic </w:t>
            </w:r>
            <w:r w:rsidRPr="0048274F">
              <w:rPr>
                <w:rFonts w:asciiTheme="minorHAnsi" w:hAnsiTheme="minorHAnsi" w:cstheme="minorHAnsi"/>
                <w:sz w:val="22"/>
              </w:rPr>
              <w:t xml:space="preserve">value of production. </w:t>
            </w:r>
          </w:p>
          <w:p w14:paraId="1A9650A3" w14:textId="77777777" w:rsidR="001E62B2" w:rsidRPr="0048274F" w:rsidRDefault="001E62B2">
            <w:pPr>
              <w:pStyle w:val="TableText"/>
              <w:rPr>
                <w:rFonts w:asciiTheme="minorHAnsi" w:hAnsiTheme="minorHAnsi" w:cstheme="minorHAnsi"/>
                <w:sz w:val="22"/>
              </w:rPr>
            </w:pPr>
            <w:r w:rsidRPr="0048274F">
              <w:rPr>
                <w:rFonts w:asciiTheme="minorHAnsi" w:hAnsiTheme="minorHAnsi" w:cstheme="minorHAnsi"/>
                <w:sz w:val="22"/>
              </w:rPr>
              <w:t>Example: kg CO₂</w:t>
            </w:r>
            <w:r w:rsidRPr="007866F6">
              <w:rPr>
                <w:rFonts w:asciiTheme="minorHAnsi" w:hAnsiTheme="minorHAnsi" w:cstheme="minorHAnsi"/>
                <w:i/>
                <w:iCs/>
                <w:sz w:val="22"/>
              </w:rPr>
              <w:t>-</w:t>
            </w:r>
            <w:r w:rsidRPr="0048274F">
              <w:rPr>
                <w:rFonts w:asciiTheme="minorHAnsi" w:hAnsiTheme="minorHAnsi" w:cstheme="minorHAnsi"/>
                <w:sz w:val="22"/>
              </w:rPr>
              <w:t>e per kg meat</w:t>
            </w:r>
          </w:p>
        </w:tc>
      </w:tr>
      <w:tr w:rsidR="00800315" w14:paraId="2966AA65" w14:textId="77777777">
        <w:tc>
          <w:tcPr>
            <w:tcW w:w="2263" w:type="dxa"/>
          </w:tcPr>
          <w:p w14:paraId="358F2F9C" w14:textId="36635E3C" w:rsidR="00800315" w:rsidRPr="0048274F" w:rsidRDefault="00800315">
            <w:pPr>
              <w:rPr>
                <w:rFonts w:cstheme="minorHAnsi"/>
                <w:b/>
                <w:bCs/>
              </w:rPr>
            </w:pPr>
            <w:r>
              <w:rPr>
                <w:rFonts w:cstheme="minorHAnsi"/>
                <w:b/>
                <w:bCs/>
              </w:rPr>
              <w:t xml:space="preserve">Entity </w:t>
            </w:r>
          </w:p>
        </w:tc>
        <w:tc>
          <w:tcPr>
            <w:tcW w:w="6753" w:type="dxa"/>
          </w:tcPr>
          <w:p w14:paraId="51223C0D" w14:textId="1A890F06" w:rsidR="00800315" w:rsidRPr="0048274F" w:rsidRDefault="009F7FE0">
            <w:pPr>
              <w:pStyle w:val="TableText"/>
              <w:rPr>
                <w:rFonts w:asciiTheme="minorHAnsi" w:hAnsiTheme="minorHAnsi" w:cstheme="minorHAnsi"/>
                <w:sz w:val="22"/>
              </w:rPr>
            </w:pPr>
            <w:r>
              <w:rPr>
                <w:rFonts w:asciiTheme="minorHAnsi" w:hAnsiTheme="minorHAnsi" w:cstheme="minorHAnsi"/>
                <w:sz w:val="22"/>
              </w:rPr>
              <w:t>A</w:t>
            </w:r>
            <w:r w:rsidRPr="009F7FE0">
              <w:rPr>
                <w:rFonts w:asciiTheme="minorHAnsi" w:hAnsiTheme="minorHAnsi" w:cstheme="minorHAnsi"/>
                <w:sz w:val="22"/>
              </w:rPr>
              <w:t xml:space="preserve"> defined organisation or operational unit that is responsible for, and reports, greenhouse gas emissions</w:t>
            </w:r>
            <w:r>
              <w:rPr>
                <w:rFonts w:asciiTheme="minorHAnsi" w:hAnsiTheme="minorHAnsi" w:cstheme="minorHAnsi"/>
                <w:sz w:val="22"/>
              </w:rPr>
              <w:t xml:space="preserve"> (as defined by the operational boundary). </w:t>
            </w:r>
          </w:p>
        </w:tc>
      </w:tr>
      <w:tr w:rsidR="001E62B2" w14:paraId="44E32F6A" w14:textId="77777777">
        <w:tc>
          <w:tcPr>
            <w:tcW w:w="2263" w:type="dxa"/>
          </w:tcPr>
          <w:p w14:paraId="03ABFBAB" w14:textId="77777777" w:rsidR="001E62B2" w:rsidRPr="0048274F" w:rsidRDefault="001E62B2">
            <w:pPr>
              <w:rPr>
                <w:rFonts w:cstheme="minorHAnsi"/>
                <w:b/>
                <w:bCs/>
              </w:rPr>
            </w:pPr>
            <w:r w:rsidRPr="0048274F">
              <w:rPr>
                <w:rFonts w:cstheme="minorHAnsi"/>
                <w:b/>
                <w:bCs/>
              </w:rPr>
              <w:t>Global warming potential</w:t>
            </w:r>
            <w:r>
              <w:rPr>
                <w:rFonts w:cstheme="minorHAnsi"/>
                <w:b/>
                <w:bCs/>
              </w:rPr>
              <w:t xml:space="preserve"> (</w:t>
            </w:r>
            <w:r w:rsidRPr="0048274F">
              <w:rPr>
                <w:rFonts w:cstheme="minorHAnsi"/>
                <w:b/>
                <w:bCs/>
              </w:rPr>
              <w:t>GWP</w:t>
            </w:r>
            <w:r>
              <w:rPr>
                <w:rFonts w:cstheme="minorHAnsi"/>
                <w:b/>
                <w:bCs/>
              </w:rPr>
              <w:t>)</w:t>
            </w:r>
          </w:p>
        </w:tc>
        <w:tc>
          <w:tcPr>
            <w:tcW w:w="6753" w:type="dxa"/>
          </w:tcPr>
          <w:p w14:paraId="77E28507" w14:textId="77777777" w:rsidR="001E62B2" w:rsidRPr="0048274F" w:rsidRDefault="001E62B2">
            <w:pPr>
              <w:pStyle w:val="TableText"/>
              <w:rPr>
                <w:rFonts w:asciiTheme="minorHAnsi" w:hAnsiTheme="minorHAnsi" w:cstheme="minorHAnsi"/>
                <w:sz w:val="22"/>
              </w:rPr>
            </w:pPr>
            <w:r w:rsidRPr="0048274F">
              <w:rPr>
                <w:rFonts w:asciiTheme="minorHAnsi" w:hAnsiTheme="minorHAnsi" w:cstheme="minorHAnsi"/>
                <w:sz w:val="22"/>
              </w:rPr>
              <w:t>A factor describing the radiative forcing impact</w:t>
            </w:r>
            <w:r>
              <w:rPr>
                <w:rFonts w:asciiTheme="minorHAnsi" w:hAnsiTheme="minorHAnsi" w:cstheme="minorHAnsi"/>
                <w:sz w:val="22"/>
              </w:rPr>
              <w:t xml:space="preserve"> (on the atmosphere) </w:t>
            </w:r>
            <w:r w:rsidRPr="0048274F">
              <w:rPr>
                <w:rFonts w:asciiTheme="minorHAnsi" w:hAnsiTheme="minorHAnsi" w:cstheme="minorHAnsi"/>
                <w:sz w:val="22"/>
              </w:rPr>
              <w:t>of one unit of a given GHG relative to one unit of CO2.</w:t>
            </w:r>
          </w:p>
          <w:p w14:paraId="4816650D" w14:textId="77777777" w:rsidR="001E62B2" w:rsidRDefault="001E62B2">
            <w:pPr>
              <w:pStyle w:val="TableText"/>
              <w:rPr>
                <w:rFonts w:asciiTheme="minorHAnsi" w:hAnsiTheme="minorHAnsi" w:cstheme="minorHAnsi"/>
                <w:sz w:val="22"/>
              </w:rPr>
            </w:pPr>
            <w:r w:rsidRPr="0048274F">
              <w:rPr>
                <w:rFonts w:asciiTheme="minorHAnsi" w:hAnsiTheme="minorHAnsi" w:cstheme="minorHAnsi"/>
                <w:sz w:val="22"/>
              </w:rPr>
              <w:t xml:space="preserve">The GWP represents the </w:t>
            </w:r>
            <w:r w:rsidRPr="0048274F">
              <w:rPr>
                <w:rFonts w:asciiTheme="minorHAnsi" w:hAnsiTheme="minorHAnsi" w:cstheme="minorHAnsi"/>
                <w:i/>
                <w:iCs/>
                <w:sz w:val="22"/>
              </w:rPr>
              <w:t>combined effect</w:t>
            </w:r>
            <w:r w:rsidRPr="0048274F">
              <w:rPr>
                <w:rFonts w:asciiTheme="minorHAnsi" w:hAnsiTheme="minorHAnsi" w:cstheme="minorHAnsi"/>
                <w:sz w:val="22"/>
              </w:rPr>
              <w:t xml:space="preserve"> of</w:t>
            </w:r>
            <w:r>
              <w:rPr>
                <w:rFonts w:asciiTheme="minorHAnsi" w:hAnsiTheme="minorHAnsi" w:cstheme="minorHAnsi"/>
                <w:sz w:val="22"/>
              </w:rPr>
              <w:t>:</w:t>
            </w:r>
          </w:p>
          <w:p w14:paraId="1E2F7D90" w14:textId="77777777" w:rsidR="001E62B2" w:rsidRDefault="001E62B2" w:rsidP="00076B9B">
            <w:pPr>
              <w:pStyle w:val="TableText"/>
              <w:numPr>
                <w:ilvl w:val="0"/>
                <w:numId w:val="14"/>
              </w:numPr>
              <w:rPr>
                <w:rFonts w:asciiTheme="minorHAnsi" w:hAnsiTheme="minorHAnsi" w:cstheme="minorHAnsi"/>
                <w:sz w:val="22"/>
              </w:rPr>
            </w:pPr>
            <w:r w:rsidRPr="0048274F">
              <w:rPr>
                <w:rFonts w:asciiTheme="minorHAnsi" w:hAnsiTheme="minorHAnsi" w:cstheme="minorHAnsi"/>
                <w:sz w:val="22"/>
              </w:rPr>
              <w:t xml:space="preserve">the differing times that GHGs remain in the atmosphere </w:t>
            </w:r>
          </w:p>
          <w:p w14:paraId="1EF0CEFD" w14:textId="77777777" w:rsidR="001E62B2" w:rsidRPr="0048274F" w:rsidRDefault="001E62B2" w:rsidP="00076B9B">
            <w:pPr>
              <w:pStyle w:val="TableText"/>
              <w:numPr>
                <w:ilvl w:val="0"/>
                <w:numId w:val="14"/>
              </w:numPr>
              <w:rPr>
                <w:rFonts w:asciiTheme="minorHAnsi" w:hAnsiTheme="minorHAnsi" w:cstheme="minorHAnsi"/>
                <w:sz w:val="22"/>
              </w:rPr>
            </w:pPr>
            <w:r>
              <w:rPr>
                <w:rFonts w:asciiTheme="minorHAnsi" w:hAnsiTheme="minorHAnsi" w:cstheme="minorHAnsi"/>
                <w:sz w:val="22"/>
              </w:rPr>
              <w:t xml:space="preserve">and </w:t>
            </w:r>
            <w:r w:rsidRPr="0048274F">
              <w:rPr>
                <w:rFonts w:asciiTheme="minorHAnsi" w:hAnsiTheme="minorHAnsi" w:cstheme="minorHAnsi"/>
                <w:sz w:val="22"/>
              </w:rPr>
              <w:t>their different effectiveness in causing radiative forcing (that is, in heating the Earth’s atmosphere).</w:t>
            </w:r>
          </w:p>
          <w:p w14:paraId="174172F0" w14:textId="77777777" w:rsidR="001E62B2" w:rsidRPr="0048274F" w:rsidRDefault="001E62B2">
            <w:pPr>
              <w:pStyle w:val="TableText"/>
              <w:rPr>
                <w:rFonts w:asciiTheme="minorHAnsi" w:hAnsiTheme="minorHAnsi" w:cstheme="minorHAnsi"/>
                <w:sz w:val="22"/>
              </w:rPr>
            </w:pPr>
            <w:r w:rsidRPr="0048274F">
              <w:rPr>
                <w:rFonts w:asciiTheme="minorHAnsi" w:hAnsiTheme="minorHAnsi" w:cstheme="minorHAnsi"/>
                <w:sz w:val="22"/>
              </w:rPr>
              <w:lastRenderedPageBreak/>
              <w:t>GWP is measured in units of carbon dioxide equivalents (CO</w:t>
            </w:r>
            <w:r w:rsidRPr="0048274F">
              <w:rPr>
                <w:rFonts w:asciiTheme="minorHAnsi" w:hAnsiTheme="minorHAnsi" w:cstheme="minorHAnsi"/>
                <w:sz w:val="22"/>
                <w:vertAlign w:val="subscript"/>
              </w:rPr>
              <w:t>2</w:t>
            </w:r>
            <w:r w:rsidRPr="007866F6">
              <w:rPr>
                <w:rFonts w:asciiTheme="minorHAnsi" w:hAnsiTheme="minorHAnsi" w:cstheme="minorHAnsi"/>
                <w:i/>
                <w:iCs/>
                <w:sz w:val="22"/>
              </w:rPr>
              <w:t>-</w:t>
            </w:r>
            <w:r w:rsidRPr="0048274F">
              <w:rPr>
                <w:rFonts w:asciiTheme="minorHAnsi" w:hAnsiTheme="minorHAnsi" w:cstheme="minorHAnsi"/>
                <w:sz w:val="22"/>
              </w:rPr>
              <w:t xml:space="preserve">e). The most common time horizon is 100 years (GWP100). </w:t>
            </w:r>
          </w:p>
        </w:tc>
      </w:tr>
      <w:tr w:rsidR="001E62B2" w14:paraId="5394EA38" w14:textId="77777777">
        <w:tc>
          <w:tcPr>
            <w:tcW w:w="2263" w:type="dxa"/>
          </w:tcPr>
          <w:p w14:paraId="5A9EC142" w14:textId="77777777" w:rsidR="001E62B2" w:rsidRPr="0048274F" w:rsidRDefault="001E62B2">
            <w:pPr>
              <w:rPr>
                <w:rFonts w:cstheme="minorHAnsi"/>
                <w:b/>
                <w:bCs/>
              </w:rPr>
            </w:pPr>
            <w:r w:rsidRPr="0048274F">
              <w:rPr>
                <w:rFonts w:cstheme="minorHAnsi"/>
                <w:b/>
                <w:bCs/>
              </w:rPr>
              <w:lastRenderedPageBreak/>
              <w:t>Greenhouse gas (GHG)</w:t>
            </w:r>
          </w:p>
        </w:tc>
        <w:tc>
          <w:tcPr>
            <w:tcW w:w="6753" w:type="dxa"/>
          </w:tcPr>
          <w:p w14:paraId="304B4B4F" w14:textId="22DE5BF0" w:rsidR="001E62B2" w:rsidRPr="0048274F" w:rsidRDefault="001E62B2">
            <w:pPr>
              <w:pStyle w:val="TableText"/>
              <w:rPr>
                <w:rFonts w:asciiTheme="minorHAnsi" w:hAnsiTheme="minorHAnsi" w:cstheme="minorHAnsi"/>
                <w:sz w:val="22"/>
              </w:rPr>
            </w:pPr>
            <w:r w:rsidRPr="0048274F">
              <w:rPr>
                <w:rFonts w:asciiTheme="minorHAnsi" w:hAnsiTheme="minorHAnsi" w:cstheme="minorHAnsi"/>
                <w:sz w:val="22"/>
              </w:rPr>
              <w:t xml:space="preserve">Gases that absorb and emit radiation causing the greenhouse effect. These gases include </w:t>
            </w:r>
            <w:r w:rsidR="00134FA5">
              <w:rPr>
                <w:rFonts w:asciiTheme="minorHAnsi" w:hAnsiTheme="minorHAnsi" w:cstheme="minorHAnsi"/>
                <w:sz w:val="22"/>
              </w:rPr>
              <w:t>t</w:t>
            </w:r>
            <w:r w:rsidR="00134FA5" w:rsidRPr="00134FA5">
              <w:rPr>
                <w:rFonts w:asciiTheme="minorHAnsi" w:hAnsiTheme="minorHAnsi" w:cstheme="minorHAnsi"/>
                <w:sz w:val="22"/>
              </w:rPr>
              <w:t xml:space="preserve">he </w:t>
            </w:r>
            <w:r w:rsidR="003229B2">
              <w:rPr>
                <w:rFonts w:asciiTheme="minorHAnsi" w:hAnsiTheme="minorHAnsi" w:cstheme="minorHAnsi"/>
                <w:sz w:val="22"/>
              </w:rPr>
              <w:t>7</w:t>
            </w:r>
            <w:r w:rsidR="00134FA5" w:rsidRPr="00134FA5">
              <w:rPr>
                <w:rFonts w:asciiTheme="minorHAnsi" w:hAnsiTheme="minorHAnsi" w:cstheme="minorHAnsi"/>
                <w:sz w:val="22"/>
              </w:rPr>
              <w:t xml:space="preserve"> greenhouse gases listed in the Kyoto Protocol—carbon dioxide (CO</w:t>
            </w:r>
            <w:r w:rsidR="00134FA5" w:rsidRPr="00134FA5">
              <w:rPr>
                <w:rFonts w:asciiTheme="minorHAnsi" w:hAnsiTheme="minorHAnsi" w:cstheme="minorHAnsi"/>
                <w:sz w:val="22"/>
                <w:vertAlign w:val="subscript"/>
              </w:rPr>
              <w:t>2</w:t>
            </w:r>
            <w:r w:rsidR="00134FA5" w:rsidRPr="00134FA5">
              <w:rPr>
                <w:rFonts w:asciiTheme="minorHAnsi" w:hAnsiTheme="minorHAnsi" w:cstheme="minorHAnsi"/>
                <w:sz w:val="22"/>
              </w:rPr>
              <w:t>); methane (CH</w:t>
            </w:r>
            <w:r w:rsidR="00134FA5" w:rsidRPr="00134FA5">
              <w:rPr>
                <w:rFonts w:asciiTheme="minorHAnsi" w:hAnsiTheme="minorHAnsi" w:cstheme="minorHAnsi"/>
                <w:sz w:val="22"/>
                <w:vertAlign w:val="subscript"/>
              </w:rPr>
              <w:t>4</w:t>
            </w:r>
            <w:r w:rsidR="00134FA5" w:rsidRPr="00134FA5">
              <w:rPr>
                <w:rFonts w:asciiTheme="minorHAnsi" w:hAnsiTheme="minorHAnsi" w:cstheme="minorHAnsi"/>
                <w:sz w:val="22"/>
              </w:rPr>
              <w:t>); nitrous oxide (N</w:t>
            </w:r>
            <w:r w:rsidR="00134FA5" w:rsidRPr="00134FA5">
              <w:rPr>
                <w:rFonts w:asciiTheme="minorHAnsi" w:hAnsiTheme="minorHAnsi" w:cstheme="minorHAnsi"/>
                <w:sz w:val="22"/>
                <w:vertAlign w:val="subscript"/>
              </w:rPr>
              <w:t>2</w:t>
            </w:r>
            <w:r w:rsidR="00134FA5" w:rsidRPr="00134FA5">
              <w:rPr>
                <w:rFonts w:asciiTheme="minorHAnsi" w:hAnsiTheme="minorHAnsi" w:cstheme="minorHAnsi"/>
                <w:sz w:val="22"/>
              </w:rPr>
              <w:t>O); hydrofluorocarbons (HFCs); nitrogen trifluoride (NF</w:t>
            </w:r>
            <w:r w:rsidR="00134FA5" w:rsidRPr="00134FA5">
              <w:rPr>
                <w:rFonts w:asciiTheme="minorHAnsi" w:hAnsiTheme="minorHAnsi" w:cstheme="minorHAnsi"/>
                <w:sz w:val="22"/>
                <w:vertAlign w:val="subscript"/>
              </w:rPr>
              <w:t>3</w:t>
            </w:r>
            <w:r w:rsidR="00134FA5" w:rsidRPr="00134FA5">
              <w:rPr>
                <w:rFonts w:asciiTheme="minorHAnsi" w:hAnsiTheme="minorHAnsi" w:cstheme="minorHAnsi"/>
                <w:sz w:val="22"/>
              </w:rPr>
              <w:t>); perfluorocarbons (PFCs) and sulphur hexafluoride (SF</w:t>
            </w:r>
            <w:r w:rsidR="00134FA5" w:rsidRPr="00134FA5">
              <w:rPr>
                <w:rFonts w:asciiTheme="minorHAnsi" w:hAnsiTheme="minorHAnsi" w:cstheme="minorHAnsi"/>
                <w:sz w:val="22"/>
                <w:vertAlign w:val="subscript"/>
              </w:rPr>
              <w:t>6</w:t>
            </w:r>
            <w:r w:rsidR="00134FA5" w:rsidRPr="00134FA5">
              <w:rPr>
                <w:rFonts w:asciiTheme="minorHAnsi" w:hAnsiTheme="minorHAnsi" w:cstheme="minorHAnsi"/>
                <w:sz w:val="22"/>
              </w:rPr>
              <w:t>).</w:t>
            </w:r>
            <w:r w:rsidR="00D3221B">
              <w:rPr>
                <w:rFonts w:asciiTheme="minorHAnsi" w:hAnsiTheme="minorHAnsi" w:cstheme="minorHAnsi"/>
                <w:sz w:val="22"/>
              </w:rPr>
              <w:t xml:space="preserve"> </w:t>
            </w:r>
            <w:r w:rsidRPr="0048274F">
              <w:rPr>
                <w:rFonts w:asciiTheme="minorHAnsi" w:hAnsiTheme="minorHAnsi" w:cstheme="minorHAnsi"/>
                <w:sz w:val="22"/>
              </w:rPr>
              <w:t xml:space="preserve">GHGs differ in their potency as a GHG and their atmospheric lifetime. </w:t>
            </w:r>
          </w:p>
        </w:tc>
      </w:tr>
      <w:tr w:rsidR="001E62B2" w14:paraId="4FCD7AE6" w14:textId="77777777">
        <w:tc>
          <w:tcPr>
            <w:tcW w:w="2263" w:type="dxa"/>
          </w:tcPr>
          <w:p w14:paraId="12EA3BFD" w14:textId="77777777" w:rsidR="001E62B2" w:rsidRPr="00890397" w:rsidRDefault="001E62B2">
            <w:pPr>
              <w:rPr>
                <w:rFonts w:cstheme="minorHAnsi"/>
                <w:b/>
                <w:bCs/>
              </w:rPr>
            </w:pPr>
            <w:r w:rsidRPr="00890397">
              <w:rPr>
                <w:b/>
                <w:bCs/>
              </w:rPr>
              <w:t>Land use, land use change and forestry (LULUCF)</w:t>
            </w:r>
          </w:p>
        </w:tc>
        <w:tc>
          <w:tcPr>
            <w:tcW w:w="6753" w:type="dxa"/>
          </w:tcPr>
          <w:p w14:paraId="3F0C23FD" w14:textId="77777777" w:rsidR="001E62B2" w:rsidRPr="00890397" w:rsidRDefault="001E62B2">
            <w:pPr>
              <w:pStyle w:val="TableText"/>
              <w:rPr>
                <w:rFonts w:asciiTheme="minorHAnsi" w:hAnsiTheme="minorHAnsi" w:cstheme="minorHAnsi"/>
                <w:sz w:val="22"/>
              </w:rPr>
            </w:pPr>
            <w:r>
              <w:rPr>
                <w:rFonts w:asciiTheme="minorHAnsi" w:hAnsiTheme="minorHAnsi" w:cstheme="minorBidi"/>
                <w:sz w:val="22"/>
              </w:rPr>
              <w:t>GHG inventory sector encompassing e</w:t>
            </w:r>
            <w:r w:rsidRPr="00890397">
              <w:rPr>
                <w:rFonts w:asciiTheme="minorHAnsi" w:hAnsiTheme="minorHAnsi" w:cstheme="minorBidi"/>
                <w:sz w:val="22"/>
              </w:rPr>
              <w:t>missions and removals of greenhouse gases resulting from direct human-induced land use, land-use change, and forestry activities. This includes activities such as afforestation, reforestation, deforestation, forest management, land management.</w:t>
            </w:r>
          </w:p>
        </w:tc>
      </w:tr>
      <w:tr w:rsidR="00D42139" w14:paraId="1653BF7F" w14:textId="77777777">
        <w:tc>
          <w:tcPr>
            <w:tcW w:w="2263" w:type="dxa"/>
          </w:tcPr>
          <w:p w14:paraId="696F95AE" w14:textId="5FA96251" w:rsidR="00D42139" w:rsidRPr="00890397" w:rsidRDefault="00D42139">
            <w:pPr>
              <w:rPr>
                <w:b/>
                <w:bCs/>
              </w:rPr>
            </w:pPr>
            <w:r>
              <w:rPr>
                <w:b/>
                <w:bCs/>
              </w:rPr>
              <w:t xml:space="preserve">Main product </w:t>
            </w:r>
          </w:p>
        </w:tc>
        <w:tc>
          <w:tcPr>
            <w:tcW w:w="6753" w:type="dxa"/>
          </w:tcPr>
          <w:p w14:paraId="78CE1DA2" w14:textId="08ADA284" w:rsidR="00D42139" w:rsidRDefault="00D42139" w:rsidP="00D42139">
            <w:r>
              <w:t xml:space="preserve">An </w:t>
            </w:r>
            <w:r w:rsidRPr="004275AA">
              <w:t xml:space="preserve">output with economic value that is the primary product the entity seeks to produce </w:t>
            </w:r>
            <w:r>
              <w:t xml:space="preserve">e.g. milk from a dairy </w:t>
            </w:r>
          </w:p>
        </w:tc>
      </w:tr>
      <w:tr w:rsidR="001E62B2" w14:paraId="1FEF41C2" w14:textId="77777777">
        <w:tc>
          <w:tcPr>
            <w:tcW w:w="2263" w:type="dxa"/>
          </w:tcPr>
          <w:p w14:paraId="18F0A92A" w14:textId="77777777" w:rsidR="001E62B2" w:rsidRPr="00627746" w:rsidRDefault="001E62B2">
            <w:pPr>
              <w:rPr>
                <w:b/>
                <w:bCs/>
              </w:rPr>
            </w:pPr>
            <w:r w:rsidRPr="00627746">
              <w:rPr>
                <w:rFonts w:cstheme="minorHAnsi"/>
                <w:b/>
                <w:bCs/>
              </w:rPr>
              <w:t>Method</w:t>
            </w:r>
          </w:p>
        </w:tc>
        <w:tc>
          <w:tcPr>
            <w:tcW w:w="6753" w:type="dxa"/>
          </w:tcPr>
          <w:p w14:paraId="63968167" w14:textId="77777777" w:rsidR="001E62B2" w:rsidRPr="00627746" w:rsidRDefault="001E62B2">
            <w:pPr>
              <w:pStyle w:val="TableText"/>
              <w:rPr>
                <w:rFonts w:asciiTheme="minorHAnsi" w:hAnsiTheme="minorHAnsi" w:cstheme="minorHAnsi"/>
                <w:sz w:val="22"/>
              </w:rPr>
            </w:pPr>
            <w:r>
              <w:rPr>
                <w:rFonts w:asciiTheme="minorHAnsi" w:hAnsiTheme="minorHAnsi" w:cstheme="minorHAnsi"/>
                <w:sz w:val="22"/>
              </w:rPr>
              <w:t>The</w:t>
            </w:r>
            <w:r w:rsidRPr="00627746">
              <w:rPr>
                <w:rFonts w:asciiTheme="minorHAnsi" w:hAnsiTheme="minorHAnsi" w:cstheme="minorHAnsi"/>
                <w:sz w:val="22"/>
              </w:rPr>
              <w:t xml:space="preserve"> procedures for measurement and estimation of </w:t>
            </w:r>
            <w:r w:rsidRPr="00627746">
              <w:rPr>
                <w:rFonts w:asciiTheme="minorHAnsi" w:hAnsiTheme="minorHAnsi" w:cstheme="minorHAnsi"/>
                <w:i/>
                <w:iCs/>
                <w:sz w:val="22"/>
              </w:rPr>
              <w:t>GHG emissions</w:t>
            </w:r>
            <w:r w:rsidRPr="00627746">
              <w:rPr>
                <w:rFonts w:asciiTheme="minorHAnsi" w:hAnsiTheme="minorHAnsi" w:cstheme="minorHAnsi"/>
                <w:sz w:val="22"/>
              </w:rPr>
              <w:t xml:space="preserve"> and </w:t>
            </w:r>
            <w:r w:rsidRPr="00627746">
              <w:rPr>
                <w:rFonts w:asciiTheme="minorHAnsi" w:hAnsiTheme="minorHAnsi" w:cstheme="minorHAnsi"/>
                <w:i/>
                <w:iCs/>
                <w:sz w:val="22"/>
              </w:rPr>
              <w:t>removals</w:t>
            </w:r>
            <w:r w:rsidRPr="00627746">
              <w:rPr>
                <w:rFonts w:asciiTheme="minorHAnsi" w:hAnsiTheme="minorHAnsi" w:cstheme="minorHAnsi"/>
                <w:sz w:val="22"/>
              </w:rPr>
              <w:t xml:space="preserve">. </w:t>
            </w:r>
          </w:p>
        </w:tc>
      </w:tr>
      <w:tr w:rsidR="001E62B2" w14:paraId="2689854E" w14:textId="77777777">
        <w:tc>
          <w:tcPr>
            <w:tcW w:w="2263" w:type="dxa"/>
          </w:tcPr>
          <w:p w14:paraId="38BA7430" w14:textId="77777777" w:rsidR="001E62B2" w:rsidRPr="008D4831" w:rsidRDefault="001E62B2">
            <w:pPr>
              <w:rPr>
                <w:rFonts w:cstheme="minorHAnsi"/>
                <w:b/>
                <w:bCs/>
              </w:rPr>
            </w:pPr>
            <w:r w:rsidRPr="008D4831">
              <w:rPr>
                <w:rFonts w:cstheme="minorHAnsi"/>
                <w:b/>
                <w:bCs/>
              </w:rPr>
              <w:t>Mitigation</w:t>
            </w:r>
          </w:p>
        </w:tc>
        <w:tc>
          <w:tcPr>
            <w:tcW w:w="6753" w:type="dxa"/>
          </w:tcPr>
          <w:p w14:paraId="64081E91" w14:textId="77777777" w:rsidR="001E62B2" w:rsidRPr="008D4831" w:rsidRDefault="001E62B2">
            <w:pPr>
              <w:pStyle w:val="TableText"/>
              <w:rPr>
                <w:rFonts w:asciiTheme="minorHAnsi" w:hAnsiTheme="minorHAnsi" w:cstheme="minorHAnsi"/>
                <w:sz w:val="22"/>
              </w:rPr>
            </w:pPr>
            <w:r w:rsidRPr="008D4831">
              <w:rPr>
                <w:rFonts w:asciiTheme="minorHAnsi" w:hAnsiTheme="minorHAnsi" w:cstheme="minorHAnsi"/>
                <w:sz w:val="22"/>
              </w:rPr>
              <w:t>Human intervention to reduce the sources or enhance the sinks of greenhouse gases.</w:t>
            </w:r>
          </w:p>
        </w:tc>
      </w:tr>
      <w:tr w:rsidR="001E62B2" w14:paraId="044CDD61" w14:textId="77777777">
        <w:tc>
          <w:tcPr>
            <w:tcW w:w="2263" w:type="dxa"/>
          </w:tcPr>
          <w:p w14:paraId="04CBD902" w14:textId="77777777" w:rsidR="001E62B2" w:rsidRPr="008D4831" w:rsidRDefault="001E62B2">
            <w:pPr>
              <w:rPr>
                <w:rFonts w:cstheme="minorHAnsi"/>
                <w:b/>
                <w:bCs/>
              </w:rPr>
            </w:pPr>
            <w:r w:rsidRPr="008D4831">
              <w:rPr>
                <w:rFonts w:cstheme="minorHAnsi"/>
                <w:b/>
                <w:bCs/>
              </w:rPr>
              <w:t xml:space="preserve">National Greenhouse Accounts (NGA) </w:t>
            </w:r>
          </w:p>
        </w:tc>
        <w:tc>
          <w:tcPr>
            <w:tcW w:w="6753" w:type="dxa"/>
          </w:tcPr>
          <w:p w14:paraId="1B50C2C6" w14:textId="77777777" w:rsidR="001E62B2" w:rsidRPr="008D4831" w:rsidRDefault="001E62B2">
            <w:pPr>
              <w:pStyle w:val="TableText"/>
              <w:rPr>
                <w:rFonts w:asciiTheme="minorHAnsi" w:hAnsiTheme="minorHAnsi" w:cstheme="minorHAnsi"/>
                <w:sz w:val="22"/>
              </w:rPr>
            </w:pPr>
            <w:r w:rsidRPr="008D4831">
              <w:rPr>
                <w:rFonts w:asciiTheme="minorHAnsi" w:hAnsiTheme="minorHAnsi" w:cstheme="minorHAnsi"/>
                <w:sz w:val="22"/>
              </w:rPr>
              <w:t>Australia's National Greenhouse Accounts provide detailed estimates of the nation's greenhouse gas (GHG) emissions, including where they come from and how they change over time. </w:t>
            </w:r>
            <w:r>
              <w:rPr>
                <w:rFonts w:asciiTheme="minorHAnsi" w:hAnsiTheme="minorHAnsi" w:cstheme="minorHAnsi"/>
                <w:sz w:val="22"/>
              </w:rPr>
              <w:t xml:space="preserve">The NGA methods for estimating GHG emissions and removals provide the foundation for these Guidelines. </w:t>
            </w:r>
            <w:r w:rsidRPr="00344AD3">
              <w:rPr>
                <w:rFonts w:asciiTheme="minorHAnsi" w:hAnsiTheme="minorHAnsi" w:cstheme="minorHAnsi"/>
                <w:sz w:val="22"/>
              </w:rPr>
              <w:t>Published by the Department of Climate Change, Energy, the Environment and Water (DCCEEW).</w:t>
            </w:r>
          </w:p>
        </w:tc>
      </w:tr>
      <w:tr w:rsidR="001E62B2" w14:paraId="5193E803" w14:textId="77777777">
        <w:tc>
          <w:tcPr>
            <w:tcW w:w="2263" w:type="dxa"/>
            <w:vAlign w:val="center"/>
          </w:tcPr>
          <w:p w14:paraId="13D5959A" w14:textId="4C8867D7" w:rsidR="001E62B2" w:rsidRPr="008D4831" w:rsidRDefault="001E62B2">
            <w:pPr>
              <w:pStyle w:val="TableText"/>
              <w:rPr>
                <w:rFonts w:asciiTheme="minorHAnsi" w:hAnsiTheme="minorHAnsi" w:cstheme="minorHAnsi"/>
                <w:b/>
                <w:bCs/>
                <w:sz w:val="22"/>
              </w:rPr>
            </w:pPr>
            <w:r w:rsidRPr="008D4831">
              <w:rPr>
                <w:rFonts w:asciiTheme="minorHAnsi" w:hAnsiTheme="minorHAnsi" w:cstheme="minorHAnsi"/>
                <w:b/>
                <w:bCs/>
                <w:sz w:val="22"/>
              </w:rPr>
              <w:t>National Greenhouse and Energy Reporting (NGER)</w:t>
            </w:r>
            <w:r>
              <w:rPr>
                <w:rFonts w:asciiTheme="minorHAnsi" w:hAnsiTheme="minorHAnsi" w:cstheme="minorHAnsi"/>
                <w:b/>
                <w:bCs/>
                <w:sz w:val="22"/>
              </w:rPr>
              <w:t xml:space="preserve"> </w:t>
            </w:r>
            <w:r w:rsidR="00C56E00">
              <w:rPr>
                <w:rFonts w:asciiTheme="minorHAnsi" w:hAnsiTheme="minorHAnsi" w:cstheme="minorHAnsi"/>
                <w:b/>
                <w:bCs/>
                <w:sz w:val="22"/>
              </w:rPr>
              <w:t>s</w:t>
            </w:r>
            <w:r w:rsidR="00C56E00" w:rsidRPr="008D4831">
              <w:rPr>
                <w:rFonts w:asciiTheme="minorHAnsi" w:hAnsiTheme="minorHAnsi" w:cstheme="minorHAnsi"/>
                <w:b/>
                <w:bCs/>
                <w:sz w:val="22"/>
              </w:rPr>
              <w:t>cheme</w:t>
            </w:r>
          </w:p>
        </w:tc>
        <w:tc>
          <w:tcPr>
            <w:tcW w:w="6753" w:type="dxa"/>
          </w:tcPr>
          <w:p w14:paraId="03D8F3BD" w14:textId="0F7B81E4" w:rsidR="001E62B2" w:rsidRPr="00DC251B" w:rsidRDefault="001E62B2">
            <w:pPr>
              <w:pStyle w:val="TableText"/>
              <w:rPr>
                <w:rFonts w:asciiTheme="minorHAnsi" w:hAnsiTheme="minorHAnsi" w:cstheme="minorHAnsi"/>
                <w:sz w:val="22"/>
              </w:rPr>
            </w:pPr>
            <w:r w:rsidRPr="00DC251B">
              <w:rPr>
                <w:rFonts w:asciiTheme="minorHAnsi" w:hAnsiTheme="minorHAnsi" w:cstheme="minorHAnsi"/>
                <w:sz w:val="22"/>
              </w:rPr>
              <w:t xml:space="preserve">The National Greenhouse and Energy Reporting (NGER) </w:t>
            </w:r>
            <w:r w:rsidR="00C56E00">
              <w:rPr>
                <w:rFonts w:asciiTheme="minorHAnsi" w:hAnsiTheme="minorHAnsi" w:cstheme="minorHAnsi"/>
                <w:sz w:val="22"/>
              </w:rPr>
              <w:t>s</w:t>
            </w:r>
            <w:r w:rsidR="00C56E00" w:rsidRPr="00DC251B">
              <w:rPr>
                <w:rFonts w:asciiTheme="minorHAnsi" w:hAnsiTheme="minorHAnsi" w:cstheme="minorHAnsi"/>
                <w:sz w:val="22"/>
              </w:rPr>
              <w:t xml:space="preserve">cheme </w:t>
            </w:r>
            <w:r w:rsidRPr="00DC251B">
              <w:rPr>
                <w:rFonts w:asciiTheme="minorHAnsi" w:hAnsiTheme="minorHAnsi" w:cstheme="minorHAnsi"/>
                <w:sz w:val="22"/>
              </w:rPr>
              <w:t xml:space="preserve">is a single national framework for reporting </w:t>
            </w:r>
            <w:r>
              <w:rPr>
                <w:rFonts w:asciiTheme="minorHAnsi" w:hAnsiTheme="minorHAnsi" w:cstheme="minorHAnsi"/>
                <w:sz w:val="22"/>
              </w:rPr>
              <w:t>company</w:t>
            </w:r>
            <w:r w:rsidRPr="00DC251B">
              <w:rPr>
                <w:rFonts w:asciiTheme="minorHAnsi" w:hAnsiTheme="minorHAnsi" w:cstheme="minorHAnsi"/>
                <w:sz w:val="22"/>
              </w:rPr>
              <w:t xml:space="preserve"> information about:</w:t>
            </w:r>
          </w:p>
          <w:p w14:paraId="350B5561" w14:textId="77777777" w:rsidR="001E62B2" w:rsidRPr="00DC251B" w:rsidRDefault="001E62B2" w:rsidP="00076B9B">
            <w:pPr>
              <w:pStyle w:val="TableText"/>
              <w:numPr>
                <w:ilvl w:val="0"/>
                <w:numId w:val="15"/>
              </w:numPr>
              <w:rPr>
                <w:rFonts w:asciiTheme="minorHAnsi" w:hAnsiTheme="minorHAnsi" w:cstheme="minorHAnsi"/>
                <w:sz w:val="22"/>
              </w:rPr>
            </w:pPr>
            <w:r w:rsidRPr="00DC251B">
              <w:rPr>
                <w:rFonts w:asciiTheme="minorHAnsi" w:hAnsiTheme="minorHAnsi" w:cstheme="minorHAnsi"/>
                <w:sz w:val="22"/>
              </w:rPr>
              <w:t>greenhouse gas emissions</w:t>
            </w:r>
          </w:p>
          <w:p w14:paraId="0ED73B2A" w14:textId="77777777" w:rsidR="001E62B2" w:rsidRPr="00DC251B" w:rsidRDefault="001E62B2" w:rsidP="00076B9B">
            <w:pPr>
              <w:pStyle w:val="TableText"/>
              <w:numPr>
                <w:ilvl w:val="0"/>
                <w:numId w:val="15"/>
              </w:numPr>
              <w:rPr>
                <w:rFonts w:asciiTheme="minorHAnsi" w:hAnsiTheme="minorHAnsi" w:cstheme="minorHAnsi"/>
                <w:sz w:val="22"/>
              </w:rPr>
            </w:pPr>
            <w:r w:rsidRPr="00DC251B">
              <w:rPr>
                <w:rFonts w:asciiTheme="minorHAnsi" w:hAnsiTheme="minorHAnsi" w:cstheme="minorHAnsi"/>
                <w:sz w:val="22"/>
              </w:rPr>
              <w:t>energy production</w:t>
            </w:r>
          </w:p>
          <w:p w14:paraId="72057453" w14:textId="77777777" w:rsidR="001E62B2" w:rsidRDefault="001E62B2" w:rsidP="00076B9B">
            <w:pPr>
              <w:pStyle w:val="TableText"/>
              <w:numPr>
                <w:ilvl w:val="0"/>
                <w:numId w:val="15"/>
              </w:numPr>
              <w:rPr>
                <w:rFonts w:asciiTheme="minorHAnsi" w:hAnsiTheme="minorHAnsi" w:cstheme="minorHAnsi"/>
                <w:sz w:val="22"/>
              </w:rPr>
            </w:pPr>
            <w:r w:rsidRPr="00DC251B">
              <w:rPr>
                <w:rFonts w:asciiTheme="minorHAnsi" w:hAnsiTheme="minorHAnsi" w:cstheme="minorHAnsi"/>
                <w:sz w:val="22"/>
              </w:rPr>
              <w:t>energy consumption</w:t>
            </w:r>
            <w:r>
              <w:rPr>
                <w:rFonts w:asciiTheme="minorHAnsi" w:hAnsiTheme="minorHAnsi" w:cstheme="minorHAnsi"/>
                <w:sz w:val="22"/>
              </w:rPr>
              <w:t>.</w:t>
            </w:r>
          </w:p>
          <w:p w14:paraId="564C8B96" w14:textId="77777777" w:rsidR="001E62B2" w:rsidRPr="0016456C" w:rsidRDefault="001E62B2">
            <w:pPr>
              <w:pStyle w:val="TableText"/>
              <w:rPr>
                <w:rFonts w:asciiTheme="minorHAnsi" w:hAnsiTheme="minorHAnsi" w:cstheme="minorHAnsi"/>
                <w:sz w:val="22"/>
              </w:rPr>
            </w:pPr>
            <w:r w:rsidRPr="00CB5731">
              <w:rPr>
                <w:rFonts w:ascii="Aptos" w:hAnsi="Aptos" w:cstheme="minorHAnsi"/>
                <w:sz w:val="22"/>
              </w:rPr>
              <w:t>Facilities producing annual emissions over 25 kt CO</w:t>
            </w:r>
            <w:r w:rsidRPr="00CB5731">
              <w:rPr>
                <w:rFonts w:ascii="Aptos" w:hAnsi="Aptos" w:cstheme="minorHAnsi"/>
                <w:sz w:val="22"/>
                <w:vertAlign w:val="subscript"/>
              </w:rPr>
              <w:t>2</w:t>
            </w:r>
            <w:r w:rsidRPr="007866F6">
              <w:rPr>
                <w:rFonts w:asciiTheme="minorHAnsi" w:hAnsiTheme="minorHAnsi" w:cstheme="minorHAnsi"/>
                <w:i/>
                <w:iCs/>
                <w:sz w:val="22"/>
              </w:rPr>
              <w:t>-</w:t>
            </w:r>
            <w:r w:rsidRPr="00CB5731">
              <w:rPr>
                <w:rFonts w:ascii="Aptos" w:hAnsi="Aptos" w:cstheme="minorHAnsi"/>
                <w:sz w:val="22"/>
              </w:rPr>
              <w:t>e, or corporate groups with emissions over 50 kt CO</w:t>
            </w:r>
            <w:r w:rsidRPr="00CB5731">
              <w:rPr>
                <w:rFonts w:ascii="Aptos" w:hAnsi="Aptos" w:cstheme="minorHAnsi"/>
                <w:sz w:val="22"/>
                <w:vertAlign w:val="subscript"/>
              </w:rPr>
              <w:t>2</w:t>
            </w:r>
            <w:r w:rsidRPr="007866F6">
              <w:rPr>
                <w:rFonts w:asciiTheme="minorHAnsi" w:hAnsiTheme="minorHAnsi" w:cstheme="minorHAnsi"/>
                <w:i/>
                <w:iCs/>
                <w:sz w:val="22"/>
              </w:rPr>
              <w:t>-</w:t>
            </w:r>
            <w:r w:rsidRPr="00CB5731">
              <w:rPr>
                <w:rFonts w:ascii="Aptos" w:hAnsi="Aptos" w:cstheme="minorHAnsi"/>
                <w:sz w:val="22"/>
              </w:rPr>
              <w:t>e, are required to undertake NGER reporting</w:t>
            </w:r>
            <w:r w:rsidRPr="00122D96">
              <w:rPr>
                <w:rFonts w:cstheme="minorHAnsi"/>
                <w:sz w:val="20"/>
                <w:szCs w:val="20"/>
              </w:rPr>
              <w:t>.</w:t>
            </w:r>
          </w:p>
        </w:tc>
      </w:tr>
      <w:tr w:rsidR="001E62B2" w14:paraId="24803C3A" w14:textId="77777777">
        <w:tc>
          <w:tcPr>
            <w:tcW w:w="2263" w:type="dxa"/>
          </w:tcPr>
          <w:p w14:paraId="323891DC" w14:textId="77777777" w:rsidR="001E62B2" w:rsidRPr="008D4831" w:rsidRDefault="001E62B2">
            <w:pPr>
              <w:pStyle w:val="TableText"/>
              <w:rPr>
                <w:rFonts w:asciiTheme="minorHAnsi" w:hAnsiTheme="minorHAnsi" w:cstheme="minorHAnsi"/>
                <w:b/>
                <w:bCs/>
                <w:sz w:val="22"/>
              </w:rPr>
            </w:pPr>
            <w:r>
              <w:rPr>
                <w:rFonts w:asciiTheme="minorHAnsi" w:hAnsiTheme="minorHAnsi" w:cstheme="minorHAnsi"/>
                <w:b/>
                <w:bCs/>
                <w:sz w:val="22"/>
              </w:rPr>
              <w:t xml:space="preserve">Removal </w:t>
            </w:r>
          </w:p>
        </w:tc>
        <w:tc>
          <w:tcPr>
            <w:tcW w:w="6753" w:type="dxa"/>
          </w:tcPr>
          <w:p w14:paraId="3F40656F" w14:textId="3370529F" w:rsidR="001E62B2" w:rsidRPr="00DC251B" w:rsidRDefault="001E62B2">
            <w:pPr>
              <w:pStyle w:val="TableText"/>
              <w:rPr>
                <w:rFonts w:asciiTheme="minorHAnsi" w:hAnsiTheme="minorHAnsi" w:cstheme="minorHAnsi"/>
                <w:sz w:val="22"/>
              </w:rPr>
            </w:pPr>
            <w:r w:rsidRPr="002A6061">
              <w:rPr>
                <w:rFonts w:asciiTheme="minorHAnsi" w:hAnsiTheme="minorHAnsi" w:cstheme="minorHAnsi"/>
                <w:sz w:val="22"/>
              </w:rPr>
              <w:t>Removal of greenhouse gases and/or their precursors from the atmosphere by a sink</w:t>
            </w:r>
            <w:r>
              <w:rPr>
                <w:rFonts w:asciiTheme="minorHAnsi" w:hAnsiTheme="minorHAnsi" w:cstheme="minorHAnsi"/>
                <w:sz w:val="22"/>
              </w:rPr>
              <w:t xml:space="preserve"> (</w:t>
            </w:r>
            <w:r w:rsidRPr="00BA093A">
              <w:rPr>
                <w:rFonts w:asciiTheme="minorHAnsi" w:hAnsiTheme="minorHAnsi" w:cstheme="minorHAnsi"/>
                <w:sz w:val="22"/>
              </w:rPr>
              <w:t>storing them in plants, soils, oceans, or engineered systems (like carbon capture and storage)</w:t>
            </w:r>
            <w:r w:rsidR="001C5070">
              <w:rPr>
                <w:rFonts w:asciiTheme="minorHAnsi" w:hAnsiTheme="minorHAnsi" w:cstheme="minorHAnsi"/>
                <w:sz w:val="22"/>
              </w:rPr>
              <w:t>.</w:t>
            </w:r>
          </w:p>
        </w:tc>
      </w:tr>
      <w:tr w:rsidR="00D42139" w14:paraId="593E9956" w14:textId="77777777">
        <w:tc>
          <w:tcPr>
            <w:tcW w:w="2263" w:type="dxa"/>
          </w:tcPr>
          <w:p w14:paraId="2A17C9F2" w14:textId="51C719CA" w:rsidR="00D42139" w:rsidRPr="00D42139" w:rsidRDefault="00D42139">
            <w:pPr>
              <w:pStyle w:val="TableText"/>
              <w:rPr>
                <w:rFonts w:asciiTheme="minorHAnsi" w:hAnsiTheme="minorHAnsi" w:cstheme="minorHAnsi"/>
                <w:b/>
                <w:bCs/>
                <w:sz w:val="22"/>
              </w:rPr>
            </w:pPr>
            <w:r w:rsidRPr="00D42139">
              <w:rPr>
                <w:rFonts w:asciiTheme="minorHAnsi" w:hAnsiTheme="minorHAnsi" w:cstheme="minorHAnsi"/>
                <w:b/>
                <w:bCs/>
                <w:sz w:val="22"/>
              </w:rPr>
              <w:t>Residual output</w:t>
            </w:r>
          </w:p>
        </w:tc>
        <w:tc>
          <w:tcPr>
            <w:tcW w:w="6753" w:type="dxa"/>
          </w:tcPr>
          <w:p w14:paraId="6DAB21DA" w14:textId="658691B5" w:rsidR="00D42139" w:rsidRPr="002A6061" w:rsidRDefault="00D42139">
            <w:pPr>
              <w:pStyle w:val="TableText"/>
              <w:rPr>
                <w:rFonts w:asciiTheme="minorHAnsi" w:hAnsiTheme="minorHAnsi" w:cstheme="minorHAnsi"/>
                <w:sz w:val="22"/>
              </w:rPr>
            </w:pPr>
            <w:r w:rsidRPr="00D42139">
              <w:rPr>
                <w:rFonts w:asciiTheme="minorHAnsi" w:hAnsiTheme="minorHAnsi" w:cstheme="minorHAnsi"/>
                <w:sz w:val="22"/>
              </w:rPr>
              <w:t>An output with no economic value, but which has a subsequent use and that is not intentionally managed as part of the production process. E</w:t>
            </w:r>
            <w:r w:rsidR="004F6AE4">
              <w:rPr>
                <w:rFonts w:asciiTheme="minorHAnsi" w:hAnsiTheme="minorHAnsi" w:cstheme="minorHAnsi"/>
                <w:sz w:val="22"/>
              </w:rPr>
              <w:t>.</w:t>
            </w:r>
            <w:r w:rsidRPr="00D42139">
              <w:rPr>
                <w:rFonts w:asciiTheme="minorHAnsi" w:hAnsiTheme="minorHAnsi" w:cstheme="minorHAnsi"/>
                <w:sz w:val="22"/>
              </w:rPr>
              <w:t>g</w:t>
            </w:r>
            <w:r w:rsidR="004F6AE4">
              <w:rPr>
                <w:rFonts w:asciiTheme="minorHAnsi" w:hAnsiTheme="minorHAnsi" w:cstheme="minorHAnsi"/>
                <w:sz w:val="22"/>
              </w:rPr>
              <w:t>.</w:t>
            </w:r>
            <w:r w:rsidRPr="00D42139">
              <w:rPr>
                <w:rFonts w:asciiTheme="minorHAnsi" w:hAnsiTheme="minorHAnsi" w:cstheme="minorHAnsi"/>
                <w:sz w:val="22"/>
              </w:rPr>
              <w:t xml:space="preserve"> feedlot manure, poultry litter, crop stubble. Residual outputs become </w:t>
            </w:r>
            <w:r w:rsidR="007C7EBA">
              <w:rPr>
                <w:rFonts w:asciiTheme="minorHAnsi" w:hAnsiTheme="minorHAnsi" w:cstheme="minorHAnsi"/>
                <w:sz w:val="22"/>
              </w:rPr>
              <w:t>by</w:t>
            </w:r>
            <w:r w:rsidRPr="00D42139">
              <w:rPr>
                <w:rFonts w:asciiTheme="minorHAnsi" w:hAnsiTheme="minorHAnsi" w:cstheme="minorHAnsi"/>
                <w:sz w:val="22"/>
              </w:rPr>
              <w:t>-products if they are sold</w:t>
            </w:r>
            <w:r w:rsidR="004F6AE4">
              <w:rPr>
                <w:rFonts w:asciiTheme="minorHAnsi" w:hAnsiTheme="minorHAnsi" w:cstheme="minorHAnsi"/>
                <w:sz w:val="22"/>
              </w:rPr>
              <w:t>.</w:t>
            </w:r>
          </w:p>
        </w:tc>
      </w:tr>
      <w:tr w:rsidR="001E62B2" w14:paraId="787FE62C" w14:textId="77777777">
        <w:tc>
          <w:tcPr>
            <w:tcW w:w="2263" w:type="dxa"/>
          </w:tcPr>
          <w:p w14:paraId="66933BEF" w14:textId="77777777" w:rsidR="001E62B2" w:rsidRPr="00344980" w:rsidRDefault="001E62B2">
            <w:pPr>
              <w:pStyle w:val="TableText"/>
              <w:rPr>
                <w:rFonts w:asciiTheme="minorHAnsi" w:hAnsiTheme="minorHAnsi" w:cstheme="minorHAnsi"/>
                <w:b/>
                <w:bCs/>
                <w:sz w:val="22"/>
              </w:rPr>
            </w:pPr>
            <w:r w:rsidRPr="00344980">
              <w:rPr>
                <w:rFonts w:asciiTheme="minorHAnsi" w:hAnsiTheme="minorHAnsi" w:cstheme="minorHAnsi"/>
                <w:b/>
                <w:bCs/>
                <w:sz w:val="22"/>
              </w:rPr>
              <w:t>Science-based targets initiative (SBTi)</w:t>
            </w:r>
          </w:p>
        </w:tc>
        <w:tc>
          <w:tcPr>
            <w:tcW w:w="6753" w:type="dxa"/>
          </w:tcPr>
          <w:p w14:paraId="396F28E0" w14:textId="77777777" w:rsidR="001E62B2" w:rsidRPr="00344980" w:rsidRDefault="001E62B2">
            <w:pPr>
              <w:pStyle w:val="TableText"/>
              <w:rPr>
                <w:rFonts w:asciiTheme="minorHAnsi" w:hAnsiTheme="minorHAnsi" w:cstheme="minorHAnsi"/>
                <w:sz w:val="22"/>
              </w:rPr>
            </w:pPr>
            <w:r>
              <w:rPr>
                <w:rFonts w:asciiTheme="minorHAnsi" w:hAnsiTheme="minorHAnsi" w:cstheme="minorHAnsi"/>
                <w:sz w:val="22"/>
              </w:rPr>
              <w:t>An i</w:t>
            </w:r>
            <w:r w:rsidRPr="00344980">
              <w:rPr>
                <w:rFonts w:asciiTheme="minorHAnsi" w:hAnsiTheme="minorHAnsi" w:cstheme="minorHAnsi"/>
                <w:sz w:val="22"/>
              </w:rPr>
              <w:t xml:space="preserve">nitiative that aims to support companies to set </w:t>
            </w:r>
            <w:r w:rsidRPr="00344980">
              <w:rPr>
                <w:rFonts w:asciiTheme="minorHAnsi" w:hAnsiTheme="minorHAnsi" w:cstheme="minorHAnsi"/>
                <w:i/>
                <w:iCs/>
                <w:sz w:val="22"/>
              </w:rPr>
              <w:t>GHG emission</w:t>
            </w:r>
            <w:r w:rsidRPr="00344980">
              <w:rPr>
                <w:rFonts w:asciiTheme="minorHAnsi" w:hAnsiTheme="minorHAnsi" w:cstheme="minorHAnsi"/>
                <w:sz w:val="22"/>
              </w:rPr>
              <w:t xml:space="preserve"> reduction and </w:t>
            </w:r>
            <w:r w:rsidRPr="00344980">
              <w:rPr>
                <w:rFonts w:asciiTheme="minorHAnsi" w:hAnsiTheme="minorHAnsi" w:cstheme="minorHAnsi"/>
                <w:i/>
                <w:iCs/>
                <w:sz w:val="22"/>
              </w:rPr>
              <w:t>net zero</w:t>
            </w:r>
            <w:r w:rsidRPr="00344980">
              <w:rPr>
                <w:rFonts w:asciiTheme="minorHAnsi" w:hAnsiTheme="minorHAnsi" w:cstheme="minorHAnsi"/>
                <w:sz w:val="22"/>
              </w:rPr>
              <w:t xml:space="preserve"> targets in line with climate science and </w:t>
            </w:r>
            <w:r w:rsidRPr="00344980">
              <w:rPr>
                <w:rFonts w:asciiTheme="minorHAnsi" w:hAnsiTheme="minorHAnsi" w:cstheme="minorHAnsi"/>
                <w:i/>
                <w:iCs/>
                <w:sz w:val="22"/>
              </w:rPr>
              <w:t>Paris Agreement</w:t>
            </w:r>
            <w:r w:rsidRPr="00344980">
              <w:rPr>
                <w:rFonts w:asciiTheme="minorHAnsi" w:hAnsiTheme="minorHAnsi" w:cstheme="minorHAnsi"/>
                <w:sz w:val="22"/>
              </w:rPr>
              <w:t xml:space="preserve"> goals.</w:t>
            </w:r>
            <w:r>
              <w:rPr>
                <w:rFonts w:asciiTheme="minorHAnsi" w:hAnsiTheme="minorHAnsi" w:cstheme="minorHAnsi"/>
                <w:sz w:val="22"/>
              </w:rPr>
              <w:t xml:space="preserve"> </w:t>
            </w:r>
          </w:p>
        </w:tc>
      </w:tr>
      <w:tr w:rsidR="001E62B2" w14:paraId="73267064" w14:textId="77777777">
        <w:tc>
          <w:tcPr>
            <w:tcW w:w="2263" w:type="dxa"/>
          </w:tcPr>
          <w:p w14:paraId="5DAE2D27" w14:textId="77777777" w:rsidR="001E62B2" w:rsidRPr="005563B4" w:rsidRDefault="001E62B2">
            <w:pPr>
              <w:pStyle w:val="TableText"/>
              <w:rPr>
                <w:rFonts w:asciiTheme="minorHAnsi" w:hAnsiTheme="minorHAnsi" w:cstheme="minorHAnsi"/>
                <w:b/>
                <w:bCs/>
                <w:sz w:val="22"/>
              </w:rPr>
            </w:pPr>
            <w:r w:rsidRPr="005563B4">
              <w:rPr>
                <w:rFonts w:asciiTheme="minorHAnsi" w:hAnsiTheme="minorHAnsi" w:cstheme="minorHAnsi"/>
                <w:b/>
                <w:bCs/>
                <w:sz w:val="22"/>
              </w:rPr>
              <w:lastRenderedPageBreak/>
              <w:t>Sink</w:t>
            </w:r>
          </w:p>
        </w:tc>
        <w:tc>
          <w:tcPr>
            <w:tcW w:w="6753" w:type="dxa"/>
          </w:tcPr>
          <w:p w14:paraId="7E072514" w14:textId="77777777" w:rsidR="001E62B2" w:rsidRPr="005563B4" w:rsidRDefault="001E62B2">
            <w:pPr>
              <w:pStyle w:val="TableText"/>
              <w:rPr>
                <w:rFonts w:asciiTheme="minorHAnsi" w:hAnsiTheme="minorHAnsi" w:cstheme="minorHAnsi"/>
                <w:sz w:val="22"/>
              </w:rPr>
            </w:pPr>
            <w:r w:rsidRPr="00211FAD">
              <w:rPr>
                <w:rFonts w:asciiTheme="minorHAnsi" w:hAnsiTheme="minorHAnsi" w:cstheme="minorHAnsi"/>
                <w:sz w:val="22"/>
              </w:rPr>
              <w:t>A reservoir, process, or mechanism that removes a greenhouse gas, an aerosol, or a precursor of a greenhouse gas from the atmosphere</w:t>
            </w:r>
            <w:r>
              <w:rPr>
                <w:rFonts w:asciiTheme="minorHAnsi" w:hAnsiTheme="minorHAnsi" w:cstheme="minorHAnsi"/>
                <w:sz w:val="22"/>
              </w:rPr>
              <w:t>.</w:t>
            </w:r>
          </w:p>
        </w:tc>
      </w:tr>
      <w:tr w:rsidR="001E62B2" w14:paraId="13349BBF" w14:textId="77777777">
        <w:tc>
          <w:tcPr>
            <w:tcW w:w="2263" w:type="dxa"/>
          </w:tcPr>
          <w:p w14:paraId="24B29D8C" w14:textId="77777777" w:rsidR="001E62B2" w:rsidRPr="00E54956" w:rsidRDefault="001E62B2">
            <w:pPr>
              <w:pStyle w:val="TableText"/>
              <w:rPr>
                <w:rFonts w:asciiTheme="minorHAnsi" w:hAnsiTheme="minorHAnsi" w:cstheme="minorHAnsi"/>
                <w:b/>
                <w:bCs/>
                <w:sz w:val="22"/>
              </w:rPr>
            </w:pPr>
            <w:r w:rsidRPr="00E54956">
              <w:rPr>
                <w:rFonts w:asciiTheme="minorHAnsi" w:hAnsiTheme="minorHAnsi" w:cstheme="minorHAnsi"/>
                <w:b/>
                <w:bCs/>
                <w:sz w:val="22"/>
              </w:rPr>
              <w:t>Soil carbon</w:t>
            </w:r>
          </w:p>
          <w:p w14:paraId="7352C904" w14:textId="77777777" w:rsidR="001E62B2" w:rsidRPr="000A2236" w:rsidRDefault="001E62B2">
            <w:pPr>
              <w:pStyle w:val="TableText"/>
              <w:rPr>
                <w:rFonts w:asciiTheme="minorHAnsi" w:hAnsiTheme="minorHAnsi" w:cstheme="minorHAnsi"/>
                <w:b/>
                <w:bCs/>
                <w:sz w:val="22"/>
              </w:rPr>
            </w:pPr>
            <w:r w:rsidRPr="00E54956">
              <w:rPr>
                <w:rFonts w:asciiTheme="minorHAnsi" w:hAnsiTheme="minorHAnsi" w:cstheme="minorHAnsi"/>
                <w:b/>
                <w:bCs/>
                <w:sz w:val="22"/>
              </w:rPr>
              <w:t>Soil organic carbon</w:t>
            </w:r>
          </w:p>
        </w:tc>
        <w:tc>
          <w:tcPr>
            <w:tcW w:w="6753" w:type="dxa"/>
          </w:tcPr>
          <w:p w14:paraId="49F69165" w14:textId="77777777" w:rsidR="001E62B2" w:rsidRPr="00E54956" w:rsidRDefault="001E62B2">
            <w:pPr>
              <w:pStyle w:val="TableText"/>
              <w:rPr>
                <w:rFonts w:asciiTheme="minorHAnsi" w:hAnsiTheme="minorHAnsi" w:cstheme="minorHAnsi"/>
                <w:i/>
                <w:iCs/>
                <w:sz w:val="22"/>
              </w:rPr>
            </w:pPr>
            <w:r w:rsidRPr="000A2236">
              <w:rPr>
                <w:rFonts w:asciiTheme="minorHAnsi" w:hAnsiTheme="minorHAnsi" w:cstheme="minorHAnsi"/>
                <w:i/>
                <w:iCs/>
                <w:sz w:val="22"/>
              </w:rPr>
              <w:t>Carbon</w:t>
            </w:r>
            <w:r w:rsidRPr="000A2236">
              <w:rPr>
                <w:rFonts w:asciiTheme="minorHAnsi" w:hAnsiTheme="minorHAnsi" w:cstheme="minorHAnsi"/>
                <w:sz w:val="22"/>
              </w:rPr>
              <w:t xml:space="preserve"> present in the soil carbon pool. Soil carbon usually refers to soil organic carbon. Soil organic carbon is derived from </w:t>
            </w:r>
            <w:r w:rsidRPr="000A2236">
              <w:rPr>
                <w:rFonts w:asciiTheme="minorHAnsi" w:hAnsiTheme="minorHAnsi" w:cstheme="minorHAnsi"/>
                <w:i/>
                <w:iCs/>
                <w:sz w:val="22"/>
              </w:rPr>
              <w:t>biomass</w:t>
            </w:r>
            <w:r w:rsidRPr="000A2236">
              <w:rPr>
                <w:rFonts w:asciiTheme="minorHAnsi" w:hAnsiTheme="minorHAnsi" w:cstheme="minorHAnsi"/>
                <w:sz w:val="22"/>
              </w:rPr>
              <w:t>, such as leaf litter, dead roots and manure. Carbon constitutes about 50% of the dry mass of soil organic matter.</w:t>
            </w:r>
            <w:r>
              <w:rPr>
                <w:rFonts w:asciiTheme="minorHAnsi" w:hAnsiTheme="minorHAnsi" w:cstheme="minorHAnsi"/>
                <w:sz w:val="22"/>
              </w:rPr>
              <w:t xml:space="preserve"> </w:t>
            </w:r>
            <w:r w:rsidRPr="000A2236">
              <w:rPr>
                <w:rFonts w:asciiTheme="minorHAnsi" w:hAnsiTheme="minorHAnsi" w:cstheme="minorHAnsi"/>
                <w:sz w:val="22"/>
              </w:rPr>
              <w:t>In alkaline soils, carbon can also be present as soil inorganic carbon, e.g., as carbonate.</w:t>
            </w:r>
          </w:p>
        </w:tc>
      </w:tr>
      <w:tr w:rsidR="001E62B2" w14:paraId="16E525F3" w14:textId="77777777">
        <w:tc>
          <w:tcPr>
            <w:tcW w:w="2263" w:type="dxa"/>
          </w:tcPr>
          <w:p w14:paraId="6447AFDF" w14:textId="77777777" w:rsidR="001E62B2" w:rsidRPr="00432C5A" w:rsidRDefault="001E62B2">
            <w:pPr>
              <w:pStyle w:val="TableText"/>
              <w:rPr>
                <w:rFonts w:asciiTheme="minorHAnsi" w:hAnsiTheme="minorHAnsi" w:cstheme="minorHAnsi"/>
                <w:b/>
                <w:bCs/>
                <w:sz w:val="22"/>
              </w:rPr>
            </w:pPr>
            <w:r w:rsidRPr="00432C5A">
              <w:rPr>
                <w:rFonts w:asciiTheme="minorHAnsi" w:hAnsiTheme="minorHAnsi" w:cstheme="minorHAnsi"/>
                <w:b/>
                <w:bCs/>
                <w:sz w:val="22"/>
              </w:rPr>
              <w:t>Source</w:t>
            </w:r>
          </w:p>
        </w:tc>
        <w:tc>
          <w:tcPr>
            <w:tcW w:w="6753" w:type="dxa"/>
          </w:tcPr>
          <w:p w14:paraId="2D32F4C6" w14:textId="77777777" w:rsidR="001E62B2" w:rsidRPr="00432C5A" w:rsidRDefault="001E62B2">
            <w:pPr>
              <w:pStyle w:val="TableText"/>
              <w:rPr>
                <w:rFonts w:asciiTheme="minorHAnsi" w:hAnsiTheme="minorHAnsi" w:cstheme="minorHAnsi"/>
                <w:sz w:val="22"/>
              </w:rPr>
            </w:pPr>
            <w:r w:rsidRPr="00432C5A">
              <w:rPr>
                <w:rFonts w:asciiTheme="minorHAnsi" w:hAnsiTheme="minorHAnsi" w:cstheme="minorHAnsi"/>
                <w:sz w:val="22"/>
              </w:rPr>
              <w:t xml:space="preserve">A process, activity or mechanism that releases a </w:t>
            </w:r>
            <w:r w:rsidRPr="00432C5A">
              <w:rPr>
                <w:rFonts w:asciiTheme="minorHAnsi" w:hAnsiTheme="minorHAnsi" w:cstheme="minorHAnsi"/>
                <w:i/>
                <w:iCs/>
                <w:sz w:val="22"/>
              </w:rPr>
              <w:t>GHG</w:t>
            </w:r>
            <w:r w:rsidRPr="00432C5A">
              <w:rPr>
                <w:rFonts w:asciiTheme="minorHAnsi" w:hAnsiTheme="minorHAnsi" w:cstheme="minorHAnsi"/>
                <w:sz w:val="22"/>
              </w:rPr>
              <w:t>, an aerosol or a precursor to a GHG into the atmosphere.</w:t>
            </w:r>
          </w:p>
        </w:tc>
      </w:tr>
      <w:tr w:rsidR="00D42139" w14:paraId="6E00E1D8" w14:textId="77777777">
        <w:tc>
          <w:tcPr>
            <w:tcW w:w="2263" w:type="dxa"/>
          </w:tcPr>
          <w:p w14:paraId="27CC0438" w14:textId="7DB05A78" w:rsidR="00D42139" w:rsidRPr="00432C5A" w:rsidRDefault="00D42139">
            <w:pPr>
              <w:pStyle w:val="TableText"/>
              <w:rPr>
                <w:rFonts w:asciiTheme="minorHAnsi" w:hAnsiTheme="minorHAnsi" w:cstheme="minorHAnsi"/>
                <w:b/>
                <w:bCs/>
                <w:sz w:val="22"/>
              </w:rPr>
            </w:pPr>
            <w:r>
              <w:rPr>
                <w:rFonts w:asciiTheme="minorHAnsi" w:hAnsiTheme="minorHAnsi" w:cstheme="minorHAnsi"/>
                <w:b/>
                <w:bCs/>
                <w:sz w:val="22"/>
              </w:rPr>
              <w:t xml:space="preserve">Waste </w:t>
            </w:r>
          </w:p>
        </w:tc>
        <w:tc>
          <w:tcPr>
            <w:tcW w:w="6753" w:type="dxa"/>
          </w:tcPr>
          <w:p w14:paraId="58CA8FF0" w14:textId="08BBF984" w:rsidR="00D42139" w:rsidRPr="00432C5A" w:rsidRDefault="00D42139">
            <w:pPr>
              <w:pStyle w:val="TableText"/>
              <w:rPr>
                <w:rFonts w:asciiTheme="minorHAnsi" w:hAnsiTheme="minorHAnsi" w:cstheme="minorHAnsi"/>
                <w:sz w:val="22"/>
              </w:rPr>
            </w:pPr>
            <w:r>
              <w:rPr>
                <w:rFonts w:asciiTheme="minorHAnsi" w:hAnsiTheme="minorHAnsi" w:cstheme="minorHAnsi"/>
                <w:sz w:val="22"/>
              </w:rPr>
              <w:t xml:space="preserve">An </w:t>
            </w:r>
            <w:r w:rsidRPr="001C5070">
              <w:rPr>
                <w:rFonts w:asciiTheme="minorHAnsi" w:hAnsiTheme="minorHAnsi" w:cstheme="minorHAnsi"/>
                <w:sz w:val="22"/>
              </w:rPr>
              <w:t>output that requires disposal, such as silage wrap</w:t>
            </w:r>
            <w:r w:rsidR="001C5070">
              <w:rPr>
                <w:rFonts w:asciiTheme="minorHAnsi" w:hAnsiTheme="minorHAnsi" w:cstheme="minorHAnsi"/>
                <w:sz w:val="22"/>
              </w:rPr>
              <w:t>.</w:t>
            </w:r>
          </w:p>
        </w:tc>
      </w:tr>
    </w:tbl>
    <w:p w14:paraId="3A73C5AC" w14:textId="165228FE" w:rsidR="00444CD2" w:rsidRPr="000F1DE5" w:rsidRDefault="00444CD2" w:rsidP="00444CD2">
      <w:pPr>
        <w:rPr>
          <w:rFonts w:ascii="Aptos" w:hAnsi="Aptos"/>
        </w:rPr>
      </w:pPr>
    </w:p>
    <w:sectPr w:rsidR="00444CD2" w:rsidRPr="000F1DE5" w:rsidSect="009217C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F8B88" w14:textId="77777777" w:rsidR="005210CB" w:rsidRDefault="005210CB" w:rsidP="00D732E1">
      <w:pPr>
        <w:spacing w:after="0" w:line="240" w:lineRule="auto"/>
      </w:pPr>
      <w:r>
        <w:separator/>
      </w:r>
    </w:p>
  </w:endnote>
  <w:endnote w:type="continuationSeparator" w:id="0">
    <w:p w14:paraId="75B24485" w14:textId="77777777" w:rsidR="005210CB" w:rsidRDefault="005210CB" w:rsidP="00D732E1">
      <w:pPr>
        <w:spacing w:after="0" w:line="240" w:lineRule="auto"/>
      </w:pPr>
      <w:r>
        <w:continuationSeparator/>
      </w:r>
    </w:p>
  </w:endnote>
  <w:endnote w:type="continuationNotice" w:id="1">
    <w:p w14:paraId="18ADF00D" w14:textId="77777777" w:rsidR="005210CB" w:rsidRDefault="005210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Fabriga Light">
    <w:altName w:val="Calibri"/>
    <w:charset w:val="00"/>
    <w:family w:val="swiss"/>
    <w:pitch w:val="variable"/>
    <w:sig w:usb0="A00000EF" w:usb1="5000606B" w:usb2="0000001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7A669" w14:textId="6EACB662" w:rsidR="0030023E" w:rsidRDefault="0030023E">
    <w:pPr>
      <w:pStyle w:val="Footer"/>
    </w:pPr>
    <w:r>
      <w:rPr>
        <w:noProof/>
      </w:rPr>
      <mc:AlternateContent>
        <mc:Choice Requires="wps">
          <w:drawing>
            <wp:anchor distT="0" distB="0" distL="0" distR="0" simplePos="0" relativeHeight="251658260" behindDoc="0" locked="0" layoutInCell="1" allowOverlap="1" wp14:anchorId="72DDC0B0" wp14:editId="6631EDF2">
              <wp:simplePos x="635" y="635"/>
              <wp:positionH relativeFrom="page">
                <wp:align>center</wp:align>
              </wp:positionH>
              <wp:positionV relativeFrom="page">
                <wp:align>bottom</wp:align>
              </wp:positionV>
              <wp:extent cx="622300" cy="391160"/>
              <wp:effectExtent l="0" t="0" r="6350" b="0"/>
              <wp:wrapNone/>
              <wp:docPr id="398489047"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77BD6D2" w14:textId="64ED3D02"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DDC0B0" id="_x0000_t202" coordsize="21600,21600" o:spt="202" path="m,l,21600r21600,l21600,xe">
              <v:stroke joinstyle="miter"/>
              <v:path gradientshapeok="t" o:connecttype="rect"/>
            </v:shapetype>
            <v:shape id="Text Box 42" o:spid="_x0000_s1028" type="#_x0000_t202" alt="OFFICIAL" style="position:absolute;margin-left:0;margin-top:0;width:49pt;height:30.8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GaDgIAAB0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1p+uk4/hbqI22FcCLcO7lqqfda+PAskBimcUm1&#10;4YkObaCvOJwtzhrAn3/zx3wCnqKc9aSYiluSNGfmuyVCorhGA0djm4ziNv8c8bH77h5IhwU9CSeT&#10;SV4MZjQ1QvdKel7GRhQSVlK7im9H8z6cpEvvQarlMiWRjpwIa7txMpaOeEUwX4ZXge6MeCCqHmGU&#10;kyjfAX/KjTe9W+4DwZ9YidiegDxDThpMZJ3fSxT52/+UdX3Vi18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ZRlGaDgIAAB0E&#10;AAAOAAAAAAAAAAAAAAAAAC4CAABkcnMvZTJvRG9jLnhtbFBLAQItABQABgAIAAAAIQCCUZTX2gAA&#10;AAMBAAAPAAAAAAAAAAAAAAAAAGgEAABkcnMvZG93bnJldi54bWxQSwUGAAAAAAQABADzAAAAbwUA&#10;AAAA&#10;" filled="f" stroked="f">
              <v:fill o:detectmouseclick="t"/>
              <v:textbox style="mso-fit-shape-to-text:t" inset="0,0,0,15pt">
                <w:txbxContent>
                  <w:p w14:paraId="777BD6D2" w14:textId="64ED3D02"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B85E3" w14:textId="3618F225" w:rsidR="00D762A0" w:rsidRPr="00D15654" w:rsidRDefault="0030023E" w:rsidP="00D15654">
    <w:pPr>
      <w:pStyle w:val="Footer"/>
      <w:jc w:val="center"/>
      <w:rPr>
        <w:sz w:val="18"/>
        <w:szCs w:val="18"/>
      </w:rPr>
    </w:pPr>
    <w:r>
      <w:rPr>
        <w:noProof/>
        <w:sz w:val="18"/>
        <w:szCs w:val="18"/>
      </w:rPr>
      <mc:AlternateContent>
        <mc:Choice Requires="wps">
          <w:drawing>
            <wp:anchor distT="0" distB="0" distL="0" distR="0" simplePos="0" relativeHeight="251658254" behindDoc="0" locked="0" layoutInCell="1" allowOverlap="1" wp14:anchorId="760E3833" wp14:editId="41584878">
              <wp:simplePos x="914400" y="9810750"/>
              <wp:positionH relativeFrom="page">
                <wp:align>center</wp:align>
              </wp:positionH>
              <wp:positionV relativeFrom="page">
                <wp:align>bottom</wp:align>
              </wp:positionV>
              <wp:extent cx="622300" cy="391160"/>
              <wp:effectExtent l="0" t="0" r="6350" b="0"/>
              <wp:wrapNone/>
              <wp:docPr id="467080404"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9998E3A" w14:textId="695450E0" w:rsidR="0030023E" w:rsidRPr="0030023E" w:rsidRDefault="0030023E" w:rsidP="0030023E">
                          <w:pPr>
                            <w:spacing w:after="0"/>
                            <w:rPr>
                              <w:rFonts w:ascii="Aptos" w:eastAsia="Aptos" w:hAnsi="Aptos" w:cs="Aptos"/>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0E3833" id="_x0000_t202" coordsize="21600,21600" o:spt="202" path="m,l,21600r21600,l21600,xe">
              <v:stroke joinstyle="miter"/>
              <v:path gradientshapeok="t" o:connecttype="rect"/>
            </v:shapetype>
            <v:shape id="Text Box 43" o:spid="_x0000_s1029" type="#_x0000_t202" alt="OFFICIAL" style="position:absolute;left:0;text-align:left;margin-left:0;margin-top:0;width:49pt;height:30.8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D0+eOnDgIAAB0E&#10;AAAOAAAAAAAAAAAAAAAAAC4CAABkcnMvZTJvRG9jLnhtbFBLAQItABQABgAIAAAAIQCCUZTX2gAA&#10;AAMBAAAPAAAAAAAAAAAAAAAAAGgEAABkcnMvZG93bnJldi54bWxQSwUGAAAAAAQABADzAAAAbwUA&#10;AAAA&#10;" filled="f" stroked="f">
              <v:fill o:detectmouseclick="t"/>
              <v:textbox style="mso-fit-shape-to-text:t" inset="0,0,0,15pt">
                <w:txbxContent>
                  <w:p w14:paraId="79998E3A" w14:textId="695450E0" w:rsidR="0030023E" w:rsidRPr="0030023E" w:rsidRDefault="0030023E" w:rsidP="0030023E">
                    <w:pPr>
                      <w:spacing w:after="0"/>
                      <w:rPr>
                        <w:rFonts w:ascii="Aptos" w:eastAsia="Aptos" w:hAnsi="Aptos" w:cs="Aptos"/>
                        <w:noProof/>
                        <w:color w:val="FF0000"/>
                        <w:sz w:val="24"/>
                        <w:szCs w:val="24"/>
                      </w:rPr>
                    </w:pPr>
                  </w:p>
                </w:txbxContent>
              </v:textbox>
              <w10:wrap anchorx="page" anchory="page"/>
            </v:shape>
          </w:pict>
        </mc:Fallback>
      </mc:AlternateContent>
    </w:r>
    <w:r w:rsidR="00D762A0" w:rsidRPr="00D15654">
      <w:rPr>
        <w:sz w:val="18"/>
        <w:szCs w:val="18"/>
      </w:rPr>
      <w:t>Draft Greenhouse Gas Emissions Estimation and Reporting Guidelines for Agriculture, Fisheries and Forestry</w:t>
    </w:r>
  </w:p>
  <w:sdt>
    <w:sdtPr>
      <w:id w:val="34394718"/>
      <w:docPartObj>
        <w:docPartGallery w:val="Page Numbers (Bottom of Page)"/>
        <w:docPartUnique/>
      </w:docPartObj>
    </w:sdtPr>
    <w:sdtEndPr>
      <w:rPr>
        <w:noProof/>
      </w:rPr>
    </w:sdtEndPr>
    <w:sdtContent>
      <w:p w14:paraId="642B4107" w14:textId="16817F88" w:rsidR="002A0314" w:rsidRDefault="002A0314" w:rsidP="00D156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FD3257" w14:textId="17604B08" w:rsidR="007257B3" w:rsidRPr="00200C9B" w:rsidRDefault="007257B3" w:rsidP="003F3E9D">
    <w:pPr>
      <w:pStyle w:val="Footer"/>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1CDF2" w14:textId="456FA0B0" w:rsidR="0030023E" w:rsidRDefault="0030023E">
    <w:pPr>
      <w:pStyle w:val="Footer"/>
    </w:pPr>
    <w:r>
      <w:rPr>
        <w:noProof/>
      </w:rPr>
      <mc:AlternateContent>
        <mc:Choice Requires="wps">
          <w:drawing>
            <wp:anchor distT="0" distB="0" distL="0" distR="0" simplePos="0" relativeHeight="251658262" behindDoc="0" locked="0" layoutInCell="1" allowOverlap="1" wp14:anchorId="667464F0" wp14:editId="28F755AF">
              <wp:simplePos x="635" y="635"/>
              <wp:positionH relativeFrom="page">
                <wp:align>center</wp:align>
              </wp:positionH>
              <wp:positionV relativeFrom="page">
                <wp:align>bottom</wp:align>
              </wp:positionV>
              <wp:extent cx="622300" cy="391160"/>
              <wp:effectExtent l="0" t="0" r="6350" b="0"/>
              <wp:wrapNone/>
              <wp:docPr id="14435215"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AEB96D4" w14:textId="7B0622B2"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7464F0" id="_x0000_t202" coordsize="21600,21600" o:spt="202" path="m,l,21600r21600,l21600,xe">
              <v:stroke joinstyle="miter"/>
              <v:path gradientshapeok="t" o:connecttype="rect"/>
            </v:shapetype>
            <v:shape id="Text Box 41" o:spid="_x0000_s1031" type="#_x0000_t202" alt="OFFICIAL" style="position:absolute;margin-left:0;margin-top:0;width:49pt;height:30.8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4bcDQIAAB0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1p+sv4W6iPtBXCiXDv5Kql3mvhw7NAYpjGJdWG&#10;Jzq0gb7icLY4awB//s0f8wl4inLWk2IqbknSnJnvlgiJ4hoNHI1tMorb/HPEx+67eyAdFvQknEwm&#10;eTGY0dQI3SvpeRkbUUhYSe0qvh3N+3CSLr0HqZbLlEQ6ciKs7cbJWDriFcF8GV4FujPigah6hFFO&#10;onwH/Ck33vRuuQ8Ef2IlYnsC8gw5aTCRdX4vUeRv/1PW9VUvfgE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C6HhtwNAgAAHQQA&#10;AA4AAAAAAAAAAAAAAAAALgIAAGRycy9lMm9Eb2MueG1sUEsBAi0AFAAGAAgAAAAhAIJRlNfaAAAA&#10;AwEAAA8AAAAAAAAAAAAAAAAAZwQAAGRycy9kb3ducmV2LnhtbFBLBQYAAAAABAAEAPMAAABuBQAA&#10;AAA=&#10;" filled="f" stroked="f">
              <v:fill o:detectmouseclick="t"/>
              <v:textbox style="mso-fit-shape-to-text:t" inset="0,0,0,15pt">
                <w:txbxContent>
                  <w:p w14:paraId="3AEB96D4" w14:textId="7B0622B2"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C4606" w14:textId="7D37F857" w:rsidR="00D732E1" w:rsidRDefault="0030023E">
    <w:pPr>
      <w:pStyle w:val="Footer"/>
    </w:pPr>
    <w:r>
      <w:rPr>
        <w:noProof/>
      </w:rPr>
      <mc:AlternateContent>
        <mc:Choice Requires="wps">
          <w:drawing>
            <wp:anchor distT="0" distB="0" distL="0" distR="0" simplePos="0" relativeHeight="251658256" behindDoc="0" locked="0" layoutInCell="1" allowOverlap="1" wp14:anchorId="673F2015" wp14:editId="44D58EDD">
              <wp:simplePos x="635" y="635"/>
              <wp:positionH relativeFrom="page">
                <wp:align>center</wp:align>
              </wp:positionH>
              <wp:positionV relativeFrom="page">
                <wp:align>bottom</wp:align>
              </wp:positionV>
              <wp:extent cx="622300" cy="391160"/>
              <wp:effectExtent l="0" t="0" r="6350" b="0"/>
              <wp:wrapNone/>
              <wp:docPr id="1807789177"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E7967EA" w14:textId="72946820"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3F2015" id="_x0000_t202" coordsize="21600,21600" o:spt="202" path="m,l,21600r21600,l21600,xe">
              <v:stroke joinstyle="miter"/>
              <v:path gradientshapeok="t" o:connecttype="rect"/>
            </v:shapetype>
            <v:shape id="Text Box 45" o:spid="_x0000_s1045" type="#_x0000_t202" alt="OFFICIAL" style="position:absolute;margin-left:0;margin-top:0;width:49pt;height:30.8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5tsDgIAAB0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1p+tk4/hbqI22FcCLcO7lqqfda+PAskBimcUm1&#10;4YkObaCvOJwtzhrAn3/zx3wCnqKc9aSYiluSNGfmuyVCorhGA0djm4ziNv8c8bH77h5IhwU9CSeT&#10;SV4MZjQ1QvdKel7GRhQSVlK7im9H8z6cpEvvQarlMiWRjpwIa7txMpaOeEUwX4ZXge6MeCCqHmGU&#10;kyjfAX/KjTe9W+4DwZ9YidiegDxDThpMZJ3fSxT52/+UdX3Vi18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Atu5tsDgIAAB0E&#10;AAAOAAAAAAAAAAAAAAAAAC4CAABkcnMvZTJvRG9jLnhtbFBLAQItABQABgAIAAAAIQCCUZTX2gAA&#10;AAMBAAAPAAAAAAAAAAAAAAAAAGgEAABkcnMvZG93bnJldi54bWxQSwUGAAAAAAQABADzAAAAbwUA&#10;AAAA&#10;" filled="f" stroked="f">
              <v:fill o:detectmouseclick="t"/>
              <v:textbox style="mso-fit-shape-to-text:t" inset="0,0,0,15pt">
                <w:txbxContent>
                  <w:p w14:paraId="5E7967EA" w14:textId="72946820"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737B0" w14:textId="73E960E0" w:rsidR="00D732E1" w:rsidRDefault="0030023E">
    <w:pPr>
      <w:pStyle w:val="Footer"/>
    </w:pPr>
    <w:r>
      <w:rPr>
        <w:noProof/>
      </w:rPr>
      <mc:AlternateContent>
        <mc:Choice Requires="wps">
          <w:drawing>
            <wp:anchor distT="0" distB="0" distL="0" distR="0" simplePos="0" relativeHeight="251658257" behindDoc="0" locked="0" layoutInCell="1" allowOverlap="1" wp14:anchorId="5B36557A" wp14:editId="0BF99BF7">
              <wp:simplePos x="635" y="635"/>
              <wp:positionH relativeFrom="page">
                <wp:align>center</wp:align>
              </wp:positionH>
              <wp:positionV relativeFrom="page">
                <wp:align>bottom</wp:align>
              </wp:positionV>
              <wp:extent cx="622300" cy="391160"/>
              <wp:effectExtent l="0" t="0" r="6350" b="0"/>
              <wp:wrapNone/>
              <wp:docPr id="687556804"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DB4E114" w14:textId="5F2B9774"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36557A" id="_x0000_t202" coordsize="21600,21600" o:spt="202" path="m,l,21600r21600,l21600,xe">
              <v:stroke joinstyle="miter"/>
              <v:path gradientshapeok="t" o:connecttype="rect"/>
            </v:shapetype>
            <v:shape id="Text Box 46" o:spid="_x0000_s1046" type="#_x0000_t202" alt="OFFICIAL" style="position:absolute;margin-left:0;margin-top:0;width:49pt;height:30.8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D3xf4XDgIAAB0E&#10;AAAOAAAAAAAAAAAAAAAAAC4CAABkcnMvZTJvRG9jLnhtbFBLAQItABQABgAIAAAAIQCCUZTX2gAA&#10;AAMBAAAPAAAAAAAAAAAAAAAAAGgEAABkcnMvZG93bnJldi54bWxQSwUGAAAAAAQABADzAAAAbwUA&#10;AAAA&#10;" filled="f" stroked="f">
              <v:fill o:detectmouseclick="t"/>
              <v:textbox style="mso-fit-shape-to-text:t" inset="0,0,0,15pt">
                <w:txbxContent>
                  <w:p w14:paraId="3DB4E114" w14:textId="5F2B9774"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7BBB2" w14:textId="3E9AC3A6" w:rsidR="00D732E1" w:rsidRDefault="0030023E">
    <w:pPr>
      <w:pStyle w:val="Footer"/>
    </w:pPr>
    <w:r>
      <w:rPr>
        <w:noProof/>
      </w:rPr>
      <mc:AlternateContent>
        <mc:Choice Requires="wps">
          <w:drawing>
            <wp:anchor distT="0" distB="0" distL="0" distR="0" simplePos="0" relativeHeight="251658255" behindDoc="0" locked="0" layoutInCell="1" allowOverlap="1" wp14:anchorId="52508EBF" wp14:editId="0A955CB0">
              <wp:simplePos x="635" y="635"/>
              <wp:positionH relativeFrom="page">
                <wp:align>center</wp:align>
              </wp:positionH>
              <wp:positionV relativeFrom="page">
                <wp:align>bottom</wp:align>
              </wp:positionV>
              <wp:extent cx="622300" cy="391160"/>
              <wp:effectExtent l="0" t="0" r="6350" b="0"/>
              <wp:wrapNone/>
              <wp:docPr id="1926010703"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D0C976D" w14:textId="5719F2E8"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08EBF" id="_x0000_t202" coordsize="21600,21600" o:spt="202" path="m,l,21600r21600,l21600,xe">
              <v:stroke joinstyle="miter"/>
              <v:path gradientshapeok="t" o:connecttype="rect"/>
            </v:shapetype>
            <v:shape id="Text Box 44" o:spid="_x0000_s1048" type="#_x0000_t202" alt="OFFICIAL" style="position:absolute;margin-left:0;margin-top:0;width:49pt;height:30.8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wqDgIAAB0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1p+ttx/C3UR9oK4US4d3LVUu+18OFFIDFM45Jq&#10;wzMd2kBfcThbnDWAP/7mj/kEPEU560kxFbckac7MN0uERHGNBo7GNhnFXX4b8bH77gFIhwU9CSeT&#10;SV4MZjQ1QvdGel7GRhQSVlK7im9H8yGcpEvvQarlMiWRjpwIa7txMpaOeEUwX4c3ge6MeCCqnmCU&#10;kyjfAX/KjTe9W+4DwZ9YidiegDxDThpMZJ3fSxT5r/8p6/qqFz8B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aekwqDgIAAB0E&#10;AAAOAAAAAAAAAAAAAAAAAC4CAABkcnMvZTJvRG9jLnhtbFBLAQItABQABgAIAAAAIQCCUZTX2gAA&#10;AAMBAAAPAAAAAAAAAAAAAAAAAGgEAABkcnMvZG93bnJldi54bWxQSwUGAAAAAAQABADzAAAAbwUA&#10;AAAA&#10;" filled="f" stroked="f">
              <v:fill o:detectmouseclick="t"/>
              <v:textbox style="mso-fit-shape-to-text:t" inset="0,0,0,15pt">
                <w:txbxContent>
                  <w:p w14:paraId="2D0C976D" w14:textId="5719F2E8"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5BE12" w14:textId="77777777" w:rsidR="005210CB" w:rsidRDefault="005210CB" w:rsidP="00D732E1">
      <w:pPr>
        <w:spacing w:after="0" w:line="240" w:lineRule="auto"/>
      </w:pPr>
      <w:r>
        <w:separator/>
      </w:r>
    </w:p>
  </w:footnote>
  <w:footnote w:type="continuationSeparator" w:id="0">
    <w:p w14:paraId="5EC18A44" w14:textId="77777777" w:rsidR="005210CB" w:rsidRDefault="005210CB" w:rsidP="00D732E1">
      <w:pPr>
        <w:spacing w:after="0" w:line="240" w:lineRule="auto"/>
      </w:pPr>
      <w:r>
        <w:continuationSeparator/>
      </w:r>
    </w:p>
  </w:footnote>
  <w:footnote w:type="continuationNotice" w:id="1">
    <w:p w14:paraId="21C46944" w14:textId="77777777" w:rsidR="005210CB" w:rsidRDefault="005210CB">
      <w:pPr>
        <w:spacing w:after="0" w:line="240" w:lineRule="auto"/>
      </w:pPr>
    </w:p>
  </w:footnote>
  <w:footnote w:id="2">
    <w:p w14:paraId="3DD81249" w14:textId="7356247F" w:rsidR="004051DE" w:rsidRPr="008577B5" w:rsidRDefault="004051DE">
      <w:pPr>
        <w:pStyle w:val="FootnoteText"/>
        <w:rPr>
          <w:sz w:val="16"/>
          <w:szCs w:val="16"/>
        </w:rPr>
      </w:pPr>
      <w:r w:rsidRPr="008577B5">
        <w:rPr>
          <w:rStyle w:val="FootnoteReference"/>
          <w:sz w:val="16"/>
          <w:szCs w:val="16"/>
        </w:rPr>
        <w:footnoteRef/>
      </w:r>
      <w:r w:rsidRPr="008577B5">
        <w:rPr>
          <w:sz w:val="16"/>
          <w:szCs w:val="16"/>
        </w:rPr>
        <w:t xml:space="preserve"> Note, </w:t>
      </w:r>
      <w:r w:rsidR="002B1830" w:rsidRPr="008577B5">
        <w:rPr>
          <w:sz w:val="16"/>
          <w:szCs w:val="16"/>
        </w:rPr>
        <w:t xml:space="preserve">the GHG Protocol does not provide </w:t>
      </w:r>
      <w:r w:rsidR="00AC3485">
        <w:rPr>
          <w:sz w:val="16"/>
          <w:szCs w:val="16"/>
        </w:rPr>
        <w:t>’</w:t>
      </w:r>
      <w:r w:rsidR="002B1830" w:rsidRPr="008577B5">
        <w:rPr>
          <w:sz w:val="16"/>
          <w:szCs w:val="16"/>
        </w:rPr>
        <w:t>physical measurement methods</w:t>
      </w:r>
      <w:r w:rsidR="00AC3485">
        <w:rPr>
          <w:sz w:val="16"/>
          <w:szCs w:val="16"/>
        </w:rPr>
        <w:t>’</w:t>
      </w:r>
      <w:r w:rsidR="002B1830" w:rsidRPr="008577B5">
        <w:rPr>
          <w:sz w:val="16"/>
          <w:szCs w:val="16"/>
        </w:rPr>
        <w:t xml:space="preserve"> but </w:t>
      </w:r>
      <w:r w:rsidR="00A91AB5" w:rsidRPr="008577B5">
        <w:rPr>
          <w:sz w:val="16"/>
          <w:szCs w:val="16"/>
        </w:rPr>
        <w:t xml:space="preserve">generic </w:t>
      </w:r>
      <w:r w:rsidR="002B1830" w:rsidRPr="008577B5">
        <w:rPr>
          <w:sz w:val="16"/>
          <w:szCs w:val="16"/>
        </w:rPr>
        <w:t xml:space="preserve">accounting </w:t>
      </w:r>
      <w:r w:rsidR="00CA73D4" w:rsidRPr="008577B5">
        <w:rPr>
          <w:sz w:val="16"/>
          <w:szCs w:val="16"/>
        </w:rPr>
        <w:t xml:space="preserve">and reporting </w:t>
      </w:r>
      <w:r w:rsidR="002B1830" w:rsidRPr="008577B5">
        <w:rPr>
          <w:sz w:val="16"/>
          <w:szCs w:val="16"/>
        </w:rPr>
        <w:t xml:space="preserve">rules. </w:t>
      </w:r>
      <w:r w:rsidR="00A91AB5" w:rsidRPr="008577B5">
        <w:rPr>
          <w:sz w:val="16"/>
          <w:szCs w:val="16"/>
        </w:rPr>
        <w:t xml:space="preserve"> </w:t>
      </w:r>
    </w:p>
  </w:footnote>
  <w:footnote w:id="3">
    <w:p w14:paraId="56BFB9D7" w14:textId="3CE35A29" w:rsidR="002907EB" w:rsidRDefault="002907EB">
      <w:pPr>
        <w:pStyle w:val="FootnoteText"/>
      </w:pPr>
      <w:r w:rsidRPr="002907EB">
        <w:rPr>
          <w:rStyle w:val="FootnoteReference"/>
          <w:sz w:val="16"/>
          <w:szCs w:val="16"/>
        </w:rPr>
        <w:footnoteRef/>
      </w:r>
      <w:r w:rsidRPr="002907EB">
        <w:rPr>
          <w:sz w:val="16"/>
          <w:szCs w:val="16"/>
        </w:rPr>
        <w:t xml:space="preserve"> Sevenster M., Renouf M., Islam N., Cowie A., Eckard R., Hall M., Hirlam K., Laing A., Longbottom M., Longworth E., Ridoutt B., Wiedemann S. (2023). A Common Approach to Sector-Level GHG Accounting for Australian Agriculture; Methods and data guidance. CSIRO, Australia</w:t>
      </w:r>
      <w:r w:rsidRPr="002907EB">
        <w:t>.</w:t>
      </w:r>
    </w:p>
  </w:footnote>
  <w:footnote w:id="4">
    <w:p w14:paraId="5273FA41" w14:textId="77777777" w:rsidR="001E62B2" w:rsidRPr="00435275" w:rsidRDefault="001E62B2" w:rsidP="001E62B2">
      <w:pPr>
        <w:spacing w:after="0"/>
        <w:rPr>
          <w:sz w:val="18"/>
          <w:szCs w:val="18"/>
        </w:rPr>
      </w:pPr>
      <w:r>
        <w:rPr>
          <w:rStyle w:val="FootnoteReference"/>
        </w:rPr>
        <w:footnoteRef/>
      </w:r>
      <w:r>
        <w:t xml:space="preserve"> </w:t>
      </w:r>
      <w:r w:rsidRPr="00435275">
        <w:rPr>
          <w:sz w:val="18"/>
          <w:szCs w:val="18"/>
        </w:rPr>
        <w:t xml:space="preserve">Note, the </w:t>
      </w:r>
      <w:hyperlink r:id="rId1" w:history="1">
        <w:r w:rsidRPr="00435275">
          <w:rPr>
            <w:rStyle w:val="Hyperlink"/>
            <w:sz w:val="18"/>
            <w:szCs w:val="18"/>
          </w:rPr>
          <w:t>International Standards Organization</w:t>
        </w:r>
      </w:hyperlink>
      <w:r w:rsidRPr="00435275">
        <w:rPr>
          <w:sz w:val="18"/>
          <w:szCs w:val="18"/>
        </w:rPr>
        <w:t xml:space="preserve"> </w:t>
      </w:r>
      <w:r>
        <w:rPr>
          <w:sz w:val="18"/>
          <w:szCs w:val="18"/>
        </w:rPr>
        <w:t>does not use ‘Scopes’</w:t>
      </w:r>
      <w:r w:rsidRPr="00435275">
        <w:rPr>
          <w:sz w:val="18"/>
          <w:szCs w:val="18"/>
        </w:rPr>
        <w:t xml:space="preserve"> </w:t>
      </w:r>
      <w:r>
        <w:rPr>
          <w:sz w:val="18"/>
          <w:szCs w:val="18"/>
        </w:rPr>
        <w:t xml:space="preserve">terminology and has </w:t>
      </w:r>
      <w:r w:rsidRPr="00435275">
        <w:rPr>
          <w:sz w:val="18"/>
          <w:szCs w:val="18"/>
        </w:rPr>
        <w:t>different categories for indirect and direct emissions. This</w:t>
      </w:r>
      <w:hyperlink r:id="rId2" w:history="1">
        <w:r w:rsidRPr="00435275">
          <w:rPr>
            <w:rStyle w:val="Hyperlink"/>
            <w:sz w:val="18"/>
            <w:szCs w:val="18"/>
          </w:rPr>
          <w:t xml:space="preserve"> website</w:t>
        </w:r>
      </w:hyperlink>
      <w:r w:rsidRPr="00435275">
        <w:rPr>
          <w:sz w:val="18"/>
          <w:szCs w:val="18"/>
        </w:rPr>
        <w:t xml:space="preserve"> explains the differences. </w:t>
      </w:r>
    </w:p>
    <w:p w14:paraId="46548374" w14:textId="77777777" w:rsidR="001E62B2" w:rsidRDefault="001E62B2" w:rsidP="001E62B2">
      <w:pPr>
        <w:pStyle w:val="FootnoteText"/>
      </w:pPr>
    </w:p>
  </w:footnote>
  <w:footnote w:id="5">
    <w:p w14:paraId="50190E4E" w14:textId="219DB3D5" w:rsidR="008C3050" w:rsidRDefault="008C3050">
      <w:pPr>
        <w:pStyle w:val="FootnoteText"/>
      </w:pPr>
      <w:r>
        <w:rPr>
          <w:rStyle w:val="FootnoteReference"/>
        </w:rPr>
        <w:footnoteRef/>
      </w:r>
      <w:r>
        <w:t xml:space="preserve"> </w:t>
      </w:r>
      <w:r w:rsidR="00045EEE" w:rsidRPr="00045EEE">
        <w:rPr>
          <w:sz w:val="16"/>
          <w:szCs w:val="16"/>
        </w:rPr>
        <w:t>Supplier-provided life-cycle emission factors that have been third-party verified as conforming either to ISO 14067:2018 (carbon footprints of products) or the GHG Protocol Product Life Cycle Accounting and Reporting Standard</w:t>
      </w:r>
      <w:r w:rsidR="00351EFA">
        <w:rPr>
          <w:sz w:val="16"/>
          <w:szCs w:val="16"/>
        </w:rPr>
        <w:t xml:space="preserve">. </w:t>
      </w:r>
    </w:p>
  </w:footnote>
  <w:footnote w:id="6">
    <w:p w14:paraId="126A27F8" w14:textId="6EF2CA64" w:rsidR="007513E7" w:rsidRPr="00BF761E" w:rsidRDefault="007513E7" w:rsidP="00BF761E">
      <w:pPr>
        <w:rPr>
          <w:sz w:val="16"/>
          <w:szCs w:val="16"/>
        </w:rPr>
      </w:pPr>
      <w:r w:rsidRPr="00BF761E">
        <w:rPr>
          <w:rStyle w:val="FootnoteReference"/>
          <w:sz w:val="16"/>
          <w:szCs w:val="16"/>
        </w:rPr>
        <w:footnoteRef/>
      </w:r>
      <w:r w:rsidRPr="00BF761E">
        <w:rPr>
          <w:sz w:val="16"/>
          <w:szCs w:val="16"/>
        </w:rPr>
        <w:t xml:space="preserve"> Includes upstream scope 3 emissions from third-party transportation and distribution services related to: 1) inbound logistics – moving purchased goods from suppliers to the entity’s operations; 2) internal transfers – transporting products between the entity’s facilities; or 3) outbound logistics – delivering product to the distribution centre or customer when transport is paid for by the entity</w:t>
      </w:r>
      <w:r w:rsidR="008D409E">
        <w:rPr>
          <w:sz w:val="16"/>
          <w:szCs w:val="16"/>
        </w:rPr>
        <w:t>.</w:t>
      </w:r>
    </w:p>
  </w:footnote>
  <w:footnote w:id="7">
    <w:p w14:paraId="0F998985" w14:textId="55684965" w:rsidR="000D2FAA" w:rsidRDefault="000D2FAA" w:rsidP="00E467C2">
      <w:r w:rsidRPr="00BF761E">
        <w:rPr>
          <w:rStyle w:val="FootnoteReference"/>
          <w:sz w:val="16"/>
          <w:szCs w:val="16"/>
        </w:rPr>
        <w:footnoteRef/>
      </w:r>
      <w:r w:rsidRPr="00BF761E">
        <w:rPr>
          <w:rFonts w:ascii="Aptos" w:eastAsia="Aptos" w:hAnsi="Aptos" w:cs="Aptos"/>
          <w:sz w:val="16"/>
          <w:szCs w:val="16"/>
        </w:rPr>
        <w:t xml:space="preserve">Appendix B provides guidance on </w:t>
      </w:r>
      <w:r w:rsidR="003310D6">
        <w:rPr>
          <w:rFonts w:ascii="Aptos" w:eastAsia="Aptos" w:hAnsi="Aptos" w:cs="Aptos"/>
          <w:sz w:val="16"/>
          <w:szCs w:val="16"/>
        </w:rPr>
        <w:t>determining S</w:t>
      </w:r>
      <w:r w:rsidRPr="00BF761E">
        <w:rPr>
          <w:rFonts w:ascii="Aptos" w:eastAsia="Aptos" w:hAnsi="Aptos" w:cs="Aptos"/>
          <w:sz w:val="16"/>
          <w:szCs w:val="16"/>
        </w:rPr>
        <w:t xml:space="preserve">cope 1 and </w:t>
      </w:r>
      <w:r w:rsidR="003310D6">
        <w:rPr>
          <w:rFonts w:ascii="Aptos" w:eastAsia="Aptos" w:hAnsi="Aptos" w:cs="Aptos"/>
          <w:sz w:val="16"/>
          <w:szCs w:val="16"/>
        </w:rPr>
        <w:t>Scope</w:t>
      </w:r>
      <w:r w:rsidR="0011508F">
        <w:rPr>
          <w:rFonts w:ascii="Aptos" w:eastAsia="Aptos" w:hAnsi="Aptos" w:cs="Aptos"/>
          <w:sz w:val="16"/>
          <w:szCs w:val="16"/>
        </w:rPr>
        <w:t xml:space="preserve"> </w:t>
      </w:r>
      <w:r w:rsidRPr="00BF761E">
        <w:rPr>
          <w:rFonts w:ascii="Aptos" w:eastAsia="Aptos" w:hAnsi="Aptos" w:cs="Aptos"/>
          <w:sz w:val="16"/>
          <w:szCs w:val="16"/>
        </w:rPr>
        <w:t xml:space="preserve">3 emissions </w:t>
      </w:r>
      <w:r w:rsidR="003310D6">
        <w:rPr>
          <w:rFonts w:ascii="Aptos" w:eastAsia="Aptos" w:hAnsi="Aptos" w:cs="Aptos"/>
          <w:sz w:val="16"/>
          <w:szCs w:val="16"/>
        </w:rPr>
        <w:t xml:space="preserve">reporting responsibilities </w:t>
      </w:r>
      <w:r w:rsidRPr="00BF761E">
        <w:rPr>
          <w:rFonts w:ascii="Aptos" w:eastAsia="Aptos" w:hAnsi="Aptos" w:cs="Aptos"/>
          <w:sz w:val="16"/>
          <w:szCs w:val="16"/>
        </w:rPr>
        <w:t xml:space="preserve">for </w:t>
      </w:r>
      <w:r w:rsidRPr="00BF761E">
        <w:rPr>
          <w:rFonts w:ascii="Aptos" w:eastAsia="Aptos" w:hAnsi="Aptos" w:cs="Aptos"/>
          <w:i/>
          <w:sz w:val="16"/>
          <w:szCs w:val="16"/>
        </w:rPr>
        <w:t>leased land</w:t>
      </w:r>
      <w:r w:rsidRPr="00BF761E">
        <w:rPr>
          <w:rFonts w:ascii="Aptos" w:eastAsia="Aptos" w:hAnsi="Aptos" w:cs="Aptos"/>
          <w:sz w:val="16"/>
          <w:szCs w:val="16"/>
        </w:rPr>
        <w:t xml:space="preserve"> assets</w:t>
      </w:r>
      <w:r w:rsidR="003310D6">
        <w:rPr>
          <w:rFonts w:ascii="Aptos" w:eastAsia="Aptos" w:hAnsi="Aptos" w:cs="Aptos"/>
          <w:sz w:val="16"/>
          <w:szCs w:val="16"/>
        </w:rPr>
        <w:t xml:space="preserve">. </w:t>
      </w:r>
      <w:r w:rsidR="0011508F">
        <w:rPr>
          <w:rFonts w:ascii="Aptos" w:eastAsia="Aptos" w:hAnsi="Aptos" w:cs="Aptos"/>
          <w:sz w:val="16"/>
          <w:szCs w:val="16"/>
        </w:rPr>
        <w:t xml:space="preserve">Entities should obtain </w:t>
      </w:r>
      <w:r w:rsidR="00EA345A">
        <w:rPr>
          <w:rFonts w:ascii="Aptos" w:eastAsia="Aptos" w:hAnsi="Aptos" w:cs="Aptos"/>
          <w:sz w:val="16"/>
          <w:szCs w:val="16"/>
        </w:rPr>
        <w:t xml:space="preserve">any relevant </w:t>
      </w:r>
      <w:r w:rsidRPr="00BF761E">
        <w:rPr>
          <w:rFonts w:ascii="Aptos" w:eastAsia="Aptos" w:hAnsi="Aptos" w:cs="Aptos"/>
          <w:sz w:val="16"/>
          <w:szCs w:val="16"/>
        </w:rPr>
        <w:t>Scope 3 emissions</w:t>
      </w:r>
      <w:r w:rsidR="00EA345A">
        <w:rPr>
          <w:rFonts w:ascii="Aptos" w:eastAsia="Aptos" w:hAnsi="Aptos" w:cs="Aptos"/>
          <w:sz w:val="16"/>
          <w:szCs w:val="16"/>
        </w:rPr>
        <w:t xml:space="preserve"> </w:t>
      </w:r>
      <w:r w:rsidR="00145FCA">
        <w:rPr>
          <w:rFonts w:ascii="Aptos" w:eastAsia="Aptos" w:hAnsi="Aptos" w:cs="Aptos"/>
          <w:sz w:val="16"/>
          <w:szCs w:val="16"/>
        </w:rPr>
        <w:t>data</w:t>
      </w:r>
      <w:r w:rsidR="00A83A33">
        <w:rPr>
          <w:rFonts w:ascii="Aptos" w:eastAsia="Aptos" w:hAnsi="Aptos" w:cs="Aptos"/>
          <w:sz w:val="16"/>
          <w:szCs w:val="16"/>
        </w:rPr>
        <w:t xml:space="preserve"> </w:t>
      </w:r>
      <w:r w:rsidR="0011508F">
        <w:rPr>
          <w:rFonts w:ascii="Aptos" w:eastAsia="Aptos" w:hAnsi="Aptos" w:cs="Aptos"/>
          <w:sz w:val="16"/>
          <w:szCs w:val="16"/>
        </w:rPr>
        <w:t xml:space="preserve">from the lessor or lessee (depending on the leasing arrangement).  </w:t>
      </w:r>
    </w:p>
  </w:footnote>
  <w:footnote w:id="8">
    <w:p w14:paraId="3343CBF0" w14:textId="57E26BBD" w:rsidR="001E62B2" w:rsidRPr="005450C2" w:rsidRDefault="001E62B2" w:rsidP="001E62B2">
      <w:pPr>
        <w:rPr>
          <w:sz w:val="18"/>
          <w:szCs w:val="18"/>
        </w:rPr>
      </w:pPr>
      <w:r w:rsidRPr="005450C2">
        <w:rPr>
          <w:rStyle w:val="FootnoteReference"/>
          <w:sz w:val="18"/>
          <w:szCs w:val="18"/>
        </w:rPr>
        <w:footnoteRef/>
      </w:r>
      <w:r w:rsidRPr="005450C2">
        <w:rPr>
          <w:sz w:val="18"/>
          <w:szCs w:val="18"/>
        </w:rPr>
        <w:t xml:space="preserve"> Note, the </w:t>
      </w:r>
      <w:r w:rsidRPr="005450C2">
        <w:rPr>
          <w:i/>
          <w:iCs/>
          <w:sz w:val="18"/>
          <w:szCs w:val="18"/>
        </w:rPr>
        <w:t>reporting boundary</w:t>
      </w:r>
      <w:r w:rsidRPr="005450C2">
        <w:rPr>
          <w:sz w:val="18"/>
          <w:szCs w:val="18"/>
        </w:rPr>
        <w:t xml:space="preserve"> is termed the “</w:t>
      </w:r>
      <w:r w:rsidRPr="005450C2">
        <w:rPr>
          <w:i/>
          <w:iCs/>
          <w:sz w:val="18"/>
          <w:szCs w:val="18"/>
        </w:rPr>
        <w:t>Operational Boundary</w:t>
      </w:r>
      <w:r w:rsidRPr="005450C2">
        <w:rPr>
          <w:sz w:val="18"/>
          <w:szCs w:val="18"/>
        </w:rPr>
        <w:t xml:space="preserve">” under the GHG Protocol.   </w:t>
      </w:r>
    </w:p>
  </w:footnote>
  <w:footnote w:id="9">
    <w:p w14:paraId="752A9BF3" w14:textId="10E9925B" w:rsidR="007441DA" w:rsidRPr="009843DC" w:rsidRDefault="007441DA">
      <w:pPr>
        <w:pStyle w:val="FootnoteText"/>
        <w:rPr>
          <w:sz w:val="16"/>
          <w:szCs w:val="16"/>
        </w:rPr>
      </w:pPr>
      <w:r w:rsidRPr="009843DC">
        <w:rPr>
          <w:rStyle w:val="FootnoteReference"/>
          <w:sz w:val="16"/>
          <w:szCs w:val="16"/>
        </w:rPr>
        <w:footnoteRef/>
      </w:r>
      <w:r w:rsidRPr="009843DC">
        <w:rPr>
          <w:sz w:val="16"/>
          <w:szCs w:val="16"/>
        </w:rPr>
        <w:t xml:space="preserve"> Note. The Method Levels in the Guidelines are not</w:t>
      </w:r>
      <w:r w:rsidR="00523D38">
        <w:rPr>
          <w:sz w:val="16"/>
          <w:szCs w:val="16"/>
        </w:rPr>
        <w:t xml:space="preserve"> equivalent to</w:t>
      </w:r>
      <w:r w:rsidR="00E41513">
        <w:rPr>
          <w:sz w:val="16"/>
          <w:szCs w:val="16"/>
        </w:rPr>
        <w:t xml:space="preserve"> </w:t>
      </w:r>
      <w:r w:rsidR="00D75123">
        <w:rPr>
          <w:sz w:val="16"/>
          <w:szCs w:val="16"/>
        </w:rPr>
        <w:t xml:space="preserve">IPCC </w:t>
      </w:r>
      <w:r w:rsidR="00B9516F">
        <w:rPr>
          <w:sz w:val="16"/>
          <w:szCs w:val="16"/>
        </w:rPr>
        <w:t>’</w:t>
      </w:r>
      <w:r w:rsidR="00E41513" w:rsidRPr="009843DC">
        <w:rPr>
          <w:sz w:val="16"/>
          <w:szCs w:val="16"/>
        </w:rPr>
        <w:t>Tiers</w:t>
      </w:r>
      <w:r w:rsidR="00B9516F">
        <w:rPr>
          <w:sz w:val="16"/>
          <w:szCs w:val="16"/>
        </w:rPr>
        <w:t>’</w:t>
      </w:r>
      <w:r w:rsidR="00D75123">
        <w:rPr>
          <w:sz w:val="16"/>
          <w:szCs w:val="16"/>
        </w:rPr>
        <w:t>,</w:t>
      </w:r>
      <w:r w:rsidR="00D75123" w:rsidRPr="00D75123">
        <w:rPr>
          <w:sz w:val="16"/>
          <w:szCs w:val="16"/>
        </w:rPr>
        <w:t xml:space="preserve"> </w:t>
      </w:r>
      <w:r w:rsidR="00D75123">
        <w:rPr>
          <w:sz w:val="16"/>
          <w:szCs w:val="16"/>
        </w:rPr>
        <w:t xml:space="preserve">as </w:t>
      </w:r>
      <w:r w:rsidR="00D75123" w:rsidRPr="00D75123">
        <w:rPr>
          <w:sz w:val="16"/>
          <w:szCs w:val="16"/>
        </w:rPr>
        <w:t>used in the IPCC Guidelines for National Greenhouse Gas Inventories</w:t>
      </w:r>
      <w:r w:rsidR="003F7A86">
        <w:rPr>
          <w:sz w:val="16"/>
          <w:szCs w:val="16"/>
        </w:rPr>
        <w:t xml:space="preserve">. </w:t>
      </w:r>
    </w:p>
  </w:footnote>
  <w:footnote w:id="10">
    <w:p w14:paraId="769722E6" w14:textId="77777777" w:rsidR="00A813C9" w:rsidRPr="007378FF" w:rsidRDefault="00A813C9" w:rsidP="00A813C9">
      <w:pPr>
        <w:pStyle w:val="FootnoteText"/>
        <w:rPr>
          <w:sz w:val="16"/>
          <w:szCs w:val="16"/>
        </w:rPr>
      </w:pPr>
      <w:r w:rsidRPr="007378FF">
        <w:rPr>
          <w:rStyle w:val="FootnoteReference"/>
          <w:sz w:val="16"/>
          <w:szCs w:val="16"/>
        </w:rPr>
        <w:footnoteRef/>
      </w:r>
      <w:r w:rsidRPr="007378FF">
        <w:rPr>
          <w:sz w:val="16"/>
          <w:szCs w:val="16"/>
        </w:rPr>
        <w:t xml:space="preserve"> Note, in some frameworks this is referred to as ‘co-product’</w:t>
      </w:r>
      <w:r>
        <w:rPr>
          <w:sz w:val="16"/>
          <w:szCs w:val="16"/>
        </w:rPr>
        <w:t>.</w:t>
      </w:r>
    </w:p>
  </w:footnote>
  <w:footnote w:id="11">
    <w:p w14:paraId="09B6FD7A" w14:textId="77777777" w:rsidR="00600B77" w:rsidRPr="008B68EA" w:rsidRDefault="00600B77" w:rsidP="00600B77">
      <w:pPr>
        <w:pStyle w:val="FootnoteText"/>
        <w:rPr>
          <w:sz w:val="16"/>
          <w:szCs w:val="16"/>
        </w:rPr>
      </w:pPr>
      <w:r w:rsidRPr="00A70E85">
        <w:rPr>
          <w:rStyle w:val="FootnoteReference"/>
          <w:sz w:val="16"/>
          <w:szCs w:val="16"/>
        </w:rPr>
        <w:footnoteRef/>
      </w:r>
      <w:r w:rsidRPr="00A70E85">
        <w:rPr>
          <w:sz w:val="16"/>
          <w:szCs w:val="16"/>
        </w:rPr>
        <w:t xml:space="preserve"> Also refer to https://www.frdc.com.au/fish-vol-30-2/calculating-seafoods-carbon-footprint</w:t>
      </w:r>
    </w:p>
  </w:footnote>
  <w:footnote w:id="12">
    <w:p w14:paraId="6391421A" w14:textId="77777777" w:rsidR="007E75C0" w:rsidRPr="003D579B" w:rsidRDefault="007E75C0" w:rsidP="007E75C0">
      <w:pPr>
        <w:rPr>
          <w:sz w:val="18"/>
          <w:szCs w:val="18"/>
        </w:rPr>
      </w:pPr>
      <w:r w:rsidRPr="003D579B">
        <w:rPr>
          <w:rStyle w:val="FootnoteReference"/>
          <w:sz w:val="18"/>
          <w:szCs w:val="18"/>
        </w:rPr>
        <w:footnoteRef/>
      </w:r>
      <w:r w:rsidRPr="003D579B">
        <w:rPr>
          <w:sz w:val="18"/>
          <w:szCs w:val="18"/>
        </w:rPr>
        <w:t xml:space="preserve"> Using economic or energy-based allocation </w:t>
      </w:r>
      <w:r w:rsidRPr="00F204FF">
        <w:rPr>
          <w:sz w:val="18"/>
          <w:szCs w:val="18"/>
        </w:rPr>
        <w:t>create</w:t>
      </w:r>
      <w:r>
        <w:rPr>
          <w:sz w:val="18"/>
          <w:szCs w:val="18"/>
        </w:rPr>
        <w:t>s</w:t>
      </w:r>
      <w:r w:rsidRPr="00F204FF">
        <w:rPr>
          <w:sz w:val="18"/>
          <w:szCs w:val="18"/>
        </w:rPr>
        <w:t xml:space="preserve"> a disconnect between the </w:t>
      </w:r>
      <w:r w:rsidRPr="00F204FF">
        <w:rPr>
          <w:i/>
          <w:iCs/>
          <w:sz w:val="18"/>
          <w:szCs w:val="18"/>
        </w:rPr>
        <w:t>actual physical flow</w:t>
      </w:r>
      <w:r w:rsidRPr="00F204FF">
        <w:rPr>
          <w:sz w:val="18"/>
          <w:szCs w:val="18"/>
        </w:rPr>
        <w:t xml:space="preserve"> of materials and </w:t>
      </w:r>
      <w:r w:rsidRPr="00C93828">
        <w:rPr>
          <w:i/>
          <w:iCs/>
          <w:sz w:val="18"/>
          <w:szCs w:val="18"/>
        </w:rPr>
        <w:t>the </w:t>
      </w:r>
      <w:r w:rsidRPr="008E15FE">
        <w:rPr>
          <w:i/>
          <w:iCs/>
          <w:sz w:val="18"/>
          <w:szCs w:val="18"/>
        </w:rPr>
        <w:t>attributed environmental burden.</w:t>
      </w:r>
      <w:r w:rsidRPr="003D579B">
        <w:rPr>
          <w:sz w:val="18"/>
          <w:szCs w:val="18"/>
        </w:rPr>
        <w:t xml:space="preserve"> </w:t>
      </w:r>
    </w:p>
    <w:p w14:paraId="56A1BB62" w14:textId="77777777" w:rsidR="007E75C0" w:rsidRDefault="007E75C0" w:rsidP="007E75C0">
      <w:pPr>
        <w:pStyle w:val="FootnoteText"/>
      </w:pPr>
    </w:p>
  </w:footnote>
  <w:footnote w:id="13">
    <w:p w14:paraId="40D4AED3" w14:textId="77777777" w:rsidR="00600B77" w:rsidRDefault="00600B77" w:rsidP="00600B77">
      <w:pPr>
        <w:pStyle w:val="FootnoteText"/>
      </w:pPr>
      <w:r w:rsidRPr="007F609A">
        <w:rPr>
          <w:rStyle w:val="FootnoteReference"/>
          <w:sz w:val="16"/>
          <w:szCs w:val="16"/>
        </w:rPr>
        <w:footnoteRef/>
      </w:r>
      <w:r w:rsidRPr="007F609A">
        <w:rPr>
          <w:sz w:val="16"/>
          <w:szCs w:val="16"/>
        </w:rPr>
        <w:t xml:space="preserve"> Wiedemann, S.G., Ledgard, S.F., Henry, B.K., Yan, M.J., Mao, N. and Russell, S.J., 2015. Application of life cycle assessment to sheep production systems: investigating co-production of wool and meat using case studies from major global producers. </w:t>
      </w:r>
      <w:r w:rsidRPr="007F609A">
        <w:rPr>
          <w:i/>
          <w:iCs/>
          <w:sz w:val="16"/>
          <w:szCs w:val="16"/>
        </w:rPr>
        <w:t>The International Journal of Life Cycle Assessment</w:t>
      </w:r>
      <w:r w:rsidRPr="007F609A">
        <w:rPr>
          <w:sz w:val="16"/>
          <w:szCs w:val="16"/>
        </w:rPr>
        <w:t>, 20(4), pp.463-</w:t>
      </w:r>
      <w:r w:rsidRPr="006878B5">
        <w:t>476.</w:t>
      </w:r>
    </w:p>
  </w:footnote>
  <w:footnote w:id="14">
    <w:p w14:paraId="4E792CC0" w14:textId="67A4AF70" w:rsidR="00600B77" w:rsidRPr="009912B6" w:rsidRDefault="00600B77" w:rsidP="00600B77">
      <w:pPr>
        <w:pStyle w:val="FootnoteText"/>
        <w:rPr>
          <w:rFonts w:eastAsiaTheme="minorEastAsia"/>
          <w:sz w:val="16"/>
          <w:szCs w:val="16"/>
        </w:rPr>
      </w:pPr>
      <w:r w:rsidRPr="009912B6">
        <w:rPr>
          <w:sz w:val="22"/>
          <w:szCs w:val="22"/>
        </w:rPr>
        <w:t xml:space="preserve"> </w:t>
      </w:r>
      <w:r w:rsidRPr="009912B6">
        <w:rPr>
          <w:rStyle w:val="FootnoteReference"/>
          <w:sz w:val="22"/>
          <w:szCs w:val="22"/>
        </w:rPr>
        <w:footnoteRef/>
      </w:r>
      <w:r w:rsidRPr="009912B6">
        <w:rPr>
          <w:rFonts w:eastAsiaTheme="minorEastAsia"/>
          <w:sz w:val="16"/>
          <w:szCs w:val="16"/>
        </w:rPr>
        <w:t xml:space="preserve">IDF. 2022. The IDF global Carbon Footprint standard for the dairy sector. In: Bulletin of the IDF No. 520/2022. International Dairy Federation (ed.), Brussels. </w:t>
      </w:r>
    </w:p>
  </w:footnote>
  <w:footnote w:id="15">
    <w:p w14:paraId="0F4A8CB6" w14:textId="1B2B9ADF" w:rsidR="00600B77" w:rsidRPr="00A70E85" w:rsidRDefault="00600B77" w:rsidP="00600B77">
      <w:pPr>
        <w:pStyle w:val="FootnoteText"/>
      </w:pPr>
      <w:r w:rsidRPr="007F609A">
        <w:rPr>
          <w:rStyle w:val="FootnoteReference"/>
          <w:sz w:val="16"/>
          <w:szCs w:val="16"/>
        </w:rPr>
        <w:footnoteRef/>
      </w:r>
      <w:r w:rsidRPr="007F609A">
        <w:rPr>
          <w:rStyle w:val="FootnoteReference"/>
          <w:sz w:val="16"/>
          <w:szCs w:val="16"/>
        </w:rPr>
        <w:t xml:space="preserve"> </w:t>
      </w:r>
      <w:r w:rsidRPr="009912B6">
        <w:rPr>
          <w:sz w:val="16"/>
          <w:szCs w:val="16"/>
        </w:rPr>
        <w:t>Nemecek</w:t>
      </w:r>
      <w:r>
        <w:rPr>
          <w:sz w:val="16"/>
          <w:szCs w:val="16"/>
        </w:rPr>
        <w:t xml:space="preserve">, T. and </w:t>
      </w:r>
      <w:r w:rsidRPr="009912B6">
        <w:rPr>
          <w:sz w:val="16"/>
          <w:szCs w:val="16"/>
        </w:rPr>
        <w:t>Thoma, G. 2020. Allocation between milk and meat in dairy LCA critical discussion of the IDF's standard methodology Proceedings 12th International. Conference on Life Cycle Assessment of Food LCAFood2020. p 83-89, 13-16 October, Berlin, Germany.</w:t>
      </w:r>
    </w:p>
  </w:footnote>
  <w:footnote w:id="16">
    <w:p w14:paraId="64BFAE31" w14:textId="29136FBC" w:rsidR="00600B77" w:rsidRPr="00A70E85" w:rsidRDefault="00600B77" w:rsidP="00600B77">
      <w:pPr>
        <w:pStyle w:val="FootnoteText"/>
        <w:rPr>
          <w:sz w:val="16"/>
          <w:szCs w:val="16"/>
        </w:rPr>
      </w:pPr>
      <w:r>
        <w:rPr>
          <w:rStyle w:val="FootnoteReference"/>
        </w:rPr>
        <w:footnoteRef/>
      </w:r>
      <w:r>
        <w:t xml:space="preserve"> </w:t>
      </w:r>
      <w:r w:rsidRPr="00024149">
        <w:rPr>
          <w:sz w:val="16"/>
          <w:szCs w:val="16"/>
        </w:rPr>
        <w:t>Ineichen,S., Schenker, U., Nemecek, T. and Reidy, B 2022. Allocation of environmental burdens in dairy systems: Expanding a biophysical approach for application to larger meat-to-milk ratios, Livestock Science</w:t>
      </w:r>
      <w:r>
        <w:rPr>
          <w:sz w:val="16"/>
          <w:szCs w:val="16"/>
        </w:rPr>
        <w:t>,</w:t>
      </w:r>
      <w:r w:rsidRPr="00024149">
        <w:rPr>
          <w:sz w:val="16"/>
          <w:szCs w:val="16"/>
        </w:rPr>
        <w:t xml:space="preserve"> 261</w:t>
      </w:r>
      <w:r>
        <w:rPr>
          <w:sz w:val="16"/>
          <w:szCs w:val="16"/>
        </w:rPr>
        <w:t xml:space="preserve">, </w:t>
      </w:r>
      <w:r w:rsidRPr="00815568">
        <w:rPr>
          <w:sz w:val="16"/>
          <w:szCs w:val="16"/>
        </w:rPr>
        <w:t>104955</w:t>
      </w:r>
      <w:r w:rsidRPr="00024149">
        <w:rPr>
          <w:sz w:val="16"/>
          <w:szCs w:val="16"/>
        </w:rPr>
        <w:t>.</w:t>
      </w:r>
    </w:p>
  </w:footnote>
  <w:footnote w:id="17">
    <w:p w14:paraId="39D7C14B" w14:textId="7C9B31EC" w:rsidR="00A70E85" w:rsidRPr="00725C06" w:rsidRDefault="00600B77" w:rsidP="00600B77">
      <w:pPr>
        <w:pStyle w:val="FootnoteText"/>
        <w:rPr>
          <w:rFonts w:eastAsiaTheme="minorEastAsia"/>
          <w:sz w:val="16"/>
          <w:szCs w:val="16"/>
        </w:rPr>
      </w:pPr>
      <w:r w:rsidRPr="00725C06">
        <w:rPr>
          <w:rStyle w:val="FootnoteReference"/>
          <w:sz w:val="16"/>
          <w:szCs w:val="16"/>
        </w:rPr>
        <w:footnoteRef/>
      </w:r>
      <w:r w:rsidRPr="00725C06">
        <w:rPr>
          <w:sz w:val="16"/>
          <w:szCs w:val="16"/>
        </w:rPr>
        <w:t xml:space="preserve"> </w:t>
      </w:r>
      <w:r w:rsidRPr="00725C06">
        <w:rPr>
          <w:rFonts w:eastAsiaTheme="minorEastAsia"/>
          <w:sz w:val="16"/>
          <w:szCs w:val="16"/>
        </w:rPr>
        <w:t>FAO. 2016. Environmental performance of large ruminant supply chains: Guidelines for assessment.</w:t>
      </w:r>
      <w:r w:rsidR="00A70E85">
        <w:rPr>
          <w:rFonts w:eastAsiaTheme="minorEastAsia"/>
          <w:sz w:val="16"/>
          <w:szCs w:val="16"/>
        </w:rPr>
        <w:t xml:space="preserve"> </w:t>
      </w:r>
      <w:r w:rsidRPr="00725C06">
        <w:rPr>
          <w:rFonts w:eastAsiaTheme="minorEastAsia"/>
          <w:sz w:val="16"/>
          <w:szCs w:val="16"/>
        </w:rPr>
        <w:t>Livestock Environmental Assessment and Performance Partnership. FAO, Rome, Italy.</w:t>
      </w:r>
    </w:p>
  </w:footnote>
  <w:footnote w:id="18">
    <w:p w14:paraId="7F4A4A69" w14:textId="77777777" w:rsidR="00600B77" w:rsidRPr="00DE3BEB" w:rsidRDefault="00600B77" w:rsidP="00600B77">
      <w:pPr>
        <w:pStyle w:val="FootnoteText"/>
        <w:rPr>
          <w:sz w:val="16"/>
          <w:szCs w:val="16"/>
        </w:rPr>
      </w:pPr>
      <w:r w:rsidRPr="00513092">
        <w:rPr>
          <w:rStyle w:val="FootnoteReference"/>
          <w:sz w:val="16"/>
          <w:szCs w:val="16"/>
        </w:rPr>
        <w:footnoteRef/>
      </w:r>
      <w:r w:rsidRPr="00513092">
        <w:rPr>
          <w:sz w:val="16"/>
          <w:szCs w:val="16"/>
        </w:rPr>
        <w:t xml:space="preserve"> Cascale (2024) Industry Aligned LCA Methodology and Requirements for creating Cotton Fiber Datasets for the Higg Product Tools. 2024, Version: 1.0, Cascale (formerly Sustainable Apparel Coalition).</w:t>
      </w:r>
    </w:p>
  </w:footnote>
  <w:footnote w:id="19">
    <w:p w14:paraId="7B42A139" w14:textId="76C4B81F" w:rsidR="001E62B2" w:rsidRPr="0078795E" w:rsidRDefault="001E62B2" w:rsidP="001E62B2">
      <w:pPr>
        <w:pStyle w:val="FootnoteText"/>
        <w:rPr>
          <w:sz w:val="18"/>
          <w:szCs w:val="18"/>
        </w:rPr>
      </w:pPr>
      <w:r w:rsidRPr="0078795E">
        <w:rPr>
          <w:rStyle w:val="FootnoteReference"/>
          <w:sz w:val="18"/>
          <w:szCs w:val="18"/>
        </w:rPr>
        <w:footnoteRef/>
      </w:r>
      <w:r w:rsidRPr="0078795E">
        <w:rPr>
          <w:sz w:val="18"/>
          <w:szCs w:val="18"/>
        </w:rPr>
        <w:t xml:space="preserve"> </w:t>
      </w:r>
      <w:r>
        <w:rPr>
          <w:sz w:val="18"/>
          <w:szCs w:val="18"/>
        </w:rPr>
        <w:t>A s</w:t>
      </w:r>
      <w:r w:rsidRPr="0078795E">
        <w:rPr>
          <w:sz w:val="18"/>
          <w:szCs w:val="18"/>
        </w:rPr>
        <w:t xml:space="preserve">cientific </w:t>
      </w:r>
      <w:r>
        <w:rPr>
          <w:sz w:val="18"/>
          <w:szCs w:val="18"/>
        </w:rPr>
        <w:t>j</w:t>
      </w:r>
      <w:r w:rsidRPr="0078795E">
        <w:rPr>
          <w:sz w:val="18"/>
          <w:szCs w:val="18"/>
        </w:rPr>
        <w:t xml:space="preserve">ournal shall be classified as a level 1 or 2 journal on the Norwegian Register For Scientific Journals, Series and Publishers </w:t>
      </w:r>
      <w:r w:rsidRPr="0078795E" w:rsidDel="00C33170">
        <w:rPr>
          <w:sz w:val="18"/>
          <w:szCs w:val="18"/>
        </w:rPr>
        <w:t>(</w:t>
      </w:r>
      <w:hyperlink r:id="rId3" w:history="1">
        <w:r w:rsidR="00C33170" w:rsidRPr="00C33170">
          <w:rPr>
            <w:rStyle w:val="Hyperlink"/>
            <w:sz w:val="18"/>
            <w:szCs w:val="18"/>
          </w:rPr>
          <w:t>kanalregister.hkdir.no/en</w:t>
        </w:r>
      </w:hyperlink>
      <w:r w:rsidR="00C33170">
        <w:rPr>
          <w:sz w:val="18"/>
          <w:szCs w:val="18"/>
        </w:rPr>
        <w:t>)</w:t>
      </w:r>
      <w:r w:rsidR="00C33170" w:rsidRPr="00C33170">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8AA41" w14:textId="157AB3F0" w:rsidR="0030023E" w:rsidRDefault="0030023E">
    <w:pPr>
      <w:pStyle w:val="Header"/>
    </w:pPr>
    <w:r>
      <w:rPr>
        <w:noProof/>
      </w:rPr>
      <mc:AlternateContent>
        <mc:Choice Requires="wps">
          <w:drawing>
            <wp:anchor distT="0" distB="0" distL="0" distR="0" simplePos="0" relativeHeight="251658258" behindDoc="0" locked="0" layoutInCell="1" allowOverlap="1" wp14:anchorId="1F55CD50" wp14:editId="4812C01C">
              <wp:simplePos x="635" y="635"/>
              <wp:positionH relativeFrom="page">
                <wp:align>center</wp:align>
              </wp:positionH>
              <wp:positionV relativeFrom="page">
                <wp:align>top</wp:align>
              </wp:positionV>
              <wp:extent cx="622300" cy="391160"/>
              <wp:effectExtent l="0" t="0" r="6350" b="8890"/>
              <wp:wrapNone/>
              <wp:docPr id="190515385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79C2F02" w14:textId="0DC41EBF"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55CD50" id="_x0000_t202" coordsize="21600,21600" o:spt="202" path="m,l,21600r21600,l21600,xe">
              <v:stroke joinstyle="miter"/>
              <v:path gradientshapeok="t" o:connecttype="rect"/>
            </v:shapetype>
            <v:shape id="Text Box 25" o:spid="_x0000_s1026" type="#_x0000_t202" alt="OFFICIAL" style="position:absolute;margin-left:0;margin-top:0;width:49pt;height:30.8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NeDQIAAB0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vT9Lfj+Fuoj7SVhxPhwclVS73XIuCz8MQwjUuq&#10;xSc6tIG+4nC2OGvA//ybP+YT8BTlrCfFVNySpDkz3y0REsWVjOI2/xzR8KN7Oxp2390D6bCgJ+Fk&#10;MmMemtHUHrpX0vMyNqKQsJLaVRxH8x5P0qX3INVymZJIR07g2m6cjKUjXhHMl+FVeHdGHImqRxjl&#10;JMp3wJ9y483glnsk+BMrEdsTkGfISYOJrPN7iSJ/+5+yrq968Qs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CZvTNeDQIAAB0EAAAO&#10;AAAAAAAAAAAAAAAAAC4CAABkcnMvZTJvRG9jLnhtbFBLAQItABQABgAIAAAAIQBhokho2AAAAAMB&#10;AAAPAAAAAAAAAAAAAAAAAGcEAABkcnMvZG93bnJldi54bWxQSwUGAAAAAAQABADzAAAAbAUAAAAA&#10;" filled="f" stroked="f">
              <v:fill o:detectmouseclick="t"/>
              <v:textbox style="mso-fit-shape-to-text:t" inset="0,15pt,0,0">
                <w:txbxContent>
                  <w:p w14:paraId="079C2F02" w14:textId="0DC41EBF"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1C633B2" w14:paraId="4E786947" w14:textId="77777777" w:rsidTr="11C633B2">
      <w:trPr>
        <w:trHeight w:val="300"/>
      </w:trPr>
      <w:tc>
        <w:tcPr>
          <w:tcW w:w="3005" w:type="dxa"/>
        </w:tcPr>
        <w:p w14:paraId="3A7F2A74" w14:textId="2A8B0CBF" w:rsidR="11C633B2" w:rsidRDefault="0030023E" w:rsidP="11C633B2">
          <w:pPr>
            <w:pStyle w:val="Header"/>
            <w:ind w:left="-115"/>
          </w:pPr>
          <w:r>
            <w:rPr>
              <w:noProof/>
            </w:rPr>
            <mc:AlternateContent>
              <mc:Choice Requires="wps">
                <w:drawing>
                  <wp:anchor distT="0" distB="0" distL="0" distR="0" simplePos="0" relativeHeight="251658246" behindDoc="0" locked="0" layoutInCell="1" allowOverlap="1" wp14:anchorId="3374D06E" wp14:editId="34CFC392">
                    <wp:simplePos x="635" y="635"/>
                    <wp:positionH relativeFrom="page">
                      <wp:align>center</wp:align>
                    </wp:positionH>
                    <wp:positionV relativeFrom="page">
                      <wp:align>top</wp:align>
                    </wp:positionV>
                    <wp:extent cx="622300" cy="391160"/>
                    <wp:effectExtent l="0" t="0" r="6350" b="8890"/>
                    <wp:wrapNone/>
                    <wp:docPr id="322240606"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4A7506A" w14:textId="41C4A8C2"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74D06E" id="_x0000_t202" coordsize="21600,21600" o:spt="202" path="m,l,21600r21600,l21600,xe">
                    <v:stroke joinstyle="miter"/>
                    <v:path gradientshapeok="t" o:connecttype="rect"/>
                  </v:shapetype>
                  <v:shape id="Text Box 33" o:spid="_x0000_s1038" type="#_x0000_t202" alt="OFFICIAL" style="position:absolute;left:0;text-align:left;margin-left:0;margin-top:0;width:49pt;height:30.8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TaDA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tT83H6LdRHWsrDie/g5Kql1msR8Fl4IpimJdHi&#10;Ex3aQF9xOFucNeB//s0f8wl3inLWk2AqbknRnJnvlviI2kpGcZt/jmD40b0dDbvv7oFkWNCLcDKZ&#10;MQ/NaGoP3SvJeRkbUUhYSe0qjqN5jyfl0nOQarlMSSQjJ3BtN07G0hGuiOXL8Cq8OwOOxNQjjGoS&#10;5TvcT7nxZnDLPRL6iZQI7QnIM+IkwcTV+blEjb/9T1nXR734BQ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El0FNoMAgAAHAQAAA4A&#10;AAAAAAAAAAAAAAAALgIAAGRycy9lMm9Eb2MueG1sUEsBAi0AFAAGAAgAAAAhAGGiSGjYAAAAAwEA&#10;AA8AAAAAAAAAAAAAAAAAZgQAAGRycy9kb3ducmV2LnhtbFBLBQYAAAAABAAEAPMAAABrBQAAAAA=&#10;" filled="f" stroked="f">
                    <v:fill o:detectmouseclick="t"/>
                    <v:textbox style="mso-fit-shape-to-text:t" inset="0,15pt,0,0">
                      <w:txbxContent>
                        <w:p w14:paraId="24A7506A" w14:textId="41C4A8C2"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v:textbox>
                    <w10:wrap anchorx="page" anchory="page"/>
                  </v:shape>
                </w:pict>
              </mc:Fallback>
            </mc:AlternateContent>
          </w:r>
        </w:p>
      </w:tc>
      <w:tc>
        <w:tcPr>
          <w:tcW w:w="3005" w:type="dxa"/>
        </w:tcPr>
        <w:p w14:paraId="356E6C87" w14:textId="128CCC04" w:rsidR="11C633B2" w:rsidRDefault="11C633B2" w:rsidP="11C633B2">
          <w:pPr>
            <w:pStyle w:val="Header"/>
            <w:jc w:val="center"/>
          </w:pPr>
        </w:p>
      </w:tc>
      <w:tc>
        <w:tcPr>
          <w:tcW w:w="3005" w:type="dxa"/>
        </w:tcPr>
        <w:p w14:paraId="5BF3069E" w14:textId="43CF0E82" w:rsidR="11C633B2" w:rsidRDefault="11C633B2" w:rsidP="11C633B2">
          <w:pPr>
            <w:pStyle w:val="Header"/>
            <w:ind w:right="-115"/>
            <w:jc w:val="right"/>
          </w:pPr>
        </w:p>
      </w:tc>
    </w:tr>
  </w:tbl>
  <w:p w14:paraId="40221845" w14:textId="612055FB" w:rsidR="00FD4589" w:rsidRDefault="00FD458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16"/>
      <w:gridCol w:w="3017"/>
      <w:gridCol w:w="3017"/>
    </w:tblGrid>
    <w:tr w:rsidR="11C633B2" w14:paraId="606DBE8F" w14:textId="77777777" w:rsidTr="11C633B2">
      <w:trPr>
        <w:trHeight w:val="300"/>
      </w:trPr>
      <w:tc>
        <w:tcPr>
          <w:tcW w:w="4650" w:type="dxa"/>
        </w:tcPr>
        <w:p w14:paraId="290D7824" w14:textId="74D2BE2B" w:rsidR="11C633B2" w:rsidRDefault="0030023E" w:rsidP="11C633B2">
          <w:pPr>
            <w:pStyle w:val="Header"/>
            <w:ind w:left="-115"/>
          </w:pPr>
          <w:r>
            <w:rPr>
              <w:noProof/>
            </w:rPr>
            <mc:AlternateContent>
              <mc:Choice Requires="wps">
                <w:drawing>
                  <wp:anchor distT="0" distB="0" distL="0" distR="0" simplePos="0" relativeHeight="251658247" behindDoc="0" locked="0" layoutInCell="1" allowOverlap="1" wp14:anchorId="53D66218" wp14:editId="711EDAED">
                    <wp:simplePos x="635" y="635"/>
                    <wp:positionH relativeFrom="page">
                      <wp:align>center</wp:align>
                    </wp:positionH>
                    <wp:positionV relativeFrom="page">
                      <wp:align>top</wp:align>
                    </wp:positionV>
                    <wp:extent cx="622300" cy="391160"/>
                    <wp:effectExtent l="0" t="0" r="6350" b="8890"/>
                    <wp:wrapNone/>
                    <wp:docPr id="501636523"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95B541F" w14:textId="5FB6F9CF"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D66218" id="_x0000_t202" coordsize="21600,21600" o:spt="202" path="m,l,21600r21600,l21600,xe">
                    <v:stroke joinstyle="miter"/>
                    <v:path gradientshapeok="t" o:connecttype="rect"/>
                  </v:shapetype>
                  <v:shape id="Text Box 34" o:spid="_x0000_s1039" type="#_x0000_t202" alt="OFFICIAL" style="position:absolute;left:0;text-align:left;margin-left:0;margin-top:0;width:49pt;height:30.8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fill o:detectmouseclick="t"/>
                    <v:textbox style="mso-fit-shape-to-text:t" inset="0,15pt,0,0">
                      <w:txbxContent>
                        <w:p w14:paraId="195B541F" w14:textId="5FB6F9CF"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v:textbox>
                    <w10:wrap anchorx="page" anchory="page"/>
                  </v:shape>
                </w:pict>
              </mc:Fallback>
            </mc:AlternateContent>
          </w:r>
        </w:p>
      </w:tc>
      <w:tc>
        <w:tcPr>
          <w:tcW w:w="4650" w:type="dxa"/>
        </w:tcPr>
        <w:p w14:paraId="25C07CF5" w14:textId="6858AE60" w:rsidR="11C633B2" w:rsidRDefault="11C633B2" w:rsidP="11C633B2">
          <w:pPr>
            <w:pStyle w:val="Header"/>
            <w:jc w:val="center"/>
          </w:pPr>
        </w:p>
      </w:tc>
      <w:tc>
        <w:tcPr>
          <w:tcW w:w="4650" w:type="dxa"/>
        </w:tcPr>
        <w:p w14:paraId="18CAC74F" w14:textId="7749F36F" w:rsidR="11C633B2" w:rsidRDefault="11C633B2" w:rsidP="11C633B2">
          <w:pPr>
            <w:pStyle w:val="Header"/>
            <w:ind w:right="-115"/>
            <w:jc w:val="right"/>
          </w:pPr>
        </w:p>
      </w:tc>
    </w:tr>
  </w:tbl>
  <w:p w14:paraId="63616974" w14:textId="25B94EBA" w:rsidR="00FD4589" w:rsidRDefault="00FD458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1C633B2" w14:paraId="55163385" w14:textId="77777777" w:rsidTr="11C633B2">
      <w:trPr>
        <w:trHeight w:val="300"/>
      </w:trPr>
      <w:tc>
        <w:tcPr>
          <w:tcW w:w="3005" w:type="dxa"/>
        </w:tcPr>
        <w:p w14:paraId="49CF0185" w14:textId="6C50872B" w:rsidR="11C633B2" w:rsidRDefault="0030023E" w:rsidP="11C633B2">
          <w:pPr>
            <w:pStyle w:val="Header"/>
            <w:ind w:left="-115"/>
          </w:pPr>
          <w:r>
            <w:rPr>
              <w:noProof/>
            </w:rPr>
            <mc:AlternateContent>
              <mc:Choice Requires="wps">
                <w:drawing>
                  <wp:anchor distT="0" distB="0" distL="0" distR="0" simplePos="0" relativeHeight="251658248" behindDoc="0" locked="0" layoutInCell="1" allowOverlap="1" wp14:anchorId="685E6392" wp14:editId="345D7F5D">
                    <wp:simplePos x="635" y="635"/>
                    <wp:positionH relativeFrom="page">
                      <wp:align>center</wp:align>
                    </wp:positionH>
                    <wp:positionV relativeFrom="page">
                      <wp:align>top</wp:align>
                    </wp:positionV>
                    <wp:extent cx="622300" cy="391160"/>
                    <wp:effectExtent l="0" t="0" r="6350" b="8890"/>
                    <wp:wrapNone/>
                    <wp:docPr id="699646999"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FEDB022" w14:textId="7C8AC32B"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5E6392" id="_x0000_t202" coordsize="21600,21600" o:spt="202" path="m,l,21600r21600,l21600,xe">
                    <v:stroke joinstyle="miter"/>
                    <v:path gradientshapeok="t" o:connecttype="rect"/>
                  </v:shapetype>
                  <v:shape id="Text Box 35" o:spid="_x0000_s1040" type="#_x0000_t202" alt="OFFICIAL" style="position:absolute;left:0;text-align:left;margin-left:0;margin-top:0;width:49pt;height:30.8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An97tXDQIAABwEAAAO&#10;AAAAAAAAAAAAAAAAAC4CAABkcnMvZTJvRG9jLnhtbFBLAQItABQABgAIAAAAIQBhokho2AAAAAMB&#10;AAAPAAAAAAAAAAAAAAAAAGcEAABkcnMvZG93bnJldi54bWxQSwUGAAAAAAQABADzAAAAbAUAAAAA&#10;" filled="f" stroked="f">
                    <v:fill o:detectmouseclick="t"/>
                    <v:textbox style="mso-fit-shape-to-text:t" inset="0,15pt,0,0">
                      <w:txbxContent>
                        <w:p w14:paraId="1FEDB022" w14:textId="7C8AC32B"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v:textbox>
                    <w10:wrap anchorx="page" anchory="page"/>
                  </v:shape>
                </w:pict>
              </mc:Fallback>
            </mc:AlternateContent>
          </w:r>
        </w:p>
      </w:tc>
      <w:tc>
        <w:tcPr>
          <w:tcW w:w="3005" w:type="dxa"/>
        </w:tcPr>
        <w:p w14:paraId="75566B14" w14:textId="480C8D45" w:rsidR="11C633B2" w:rsidRDefault="11C633B2" w:rsidP="11C633B2">
          <w:pPr>
            <w:pStyle w:val="Header"/>
            <w:jc w:val="center"/>
          </w:pPr>
        </w:p>
      </w:tc>
      <w:tc>
        <w:tcPr>
          <w:tcW w:w="3005" w:type="dxa"/>
        </w:tcPr>
        <w:p w14:paraId="25F51298" w14:textId="51428B9C" w:rsidR="11C633B2" w:rsidRDefault="11C633B2" w:rsidP="11C633B2">
          <w:pPr>
            <w:pStyle w:val="Header"/>
            <w:ind w:right="-115"/>
            <w:jc w:val="right"/>
          </w:pPr>
        </w:p>
      </w:tc>
    </w:tr>
  </w:tbl>
  <w:p w14:paraId="72BF9232" w14:textId="6A8A8AC3" w:rsidR="00FD4589" w:rsidRDefault="00FD458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16"/>
      <w:gridCol w:w="3017"/>
      <w:gridCol w:w="3017"/>
    </w:tblGrid>
    <w:tr w:rsidR="11C633B2" w14:paraId="3602016F" w14:textId="77777777" w:rsidTr="11C633B2">
      <w:trPr>
        <w:trHeight w:val="300"/>
      </w:trPr>
      <w:tc>
        <w:tcPr>
          <w:tcW w:w="4650" w:type="dxa"/>
        </w:tcPr>
        <w:p w14:paraId="742C2B2B" w14:textId="52B669BC" w:rsidR="11C633B2" w:rsidRDefault="0030023E" w:rsidP="11C633B2">
          <w:pPr>
            <w:pStyle w:val="Header"/>
            <w:ind w:left="-115"/>
          </w:pPr>
          <w:r>
            <w:rPr>
              <w:noProof/>
            </w:rPr>
            <mc:AlternateContent>
              <mc:Choice Requires="wps">
                <w:drawing>
                  <wp:anchor distT="0" distB="0" distL="0" distR="0" simplePos="0" relativeHeight="251658249" behindDoc="0" locked="0" layoutInCell="1" allowOverlap="1" wp14:anchorId="3B034224" wp14:editId="1805F6BA">
                    <wp:simplePos x="635" y="635"/>
                    <wp:positionH relativeFrom="page">
                      <wp:align>center</wp:align>
                    </wp:positionH>
                    <wp:positionV relativeFrom="page">
                      <wp:align>top</wp:align>
                    </wp:positionV>
                    <wp:extent cx="622300" cy="391160"/>
                    <wp:effectExtent l="0" t="0" r="6350" b="8890"/>
                    <wp:wrapNone/>
                    <wp:docPr id="1207916244"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22AB716" w14:textId="5BBE95F7"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034224" id="_x0000_t202" coordsize="21600,21600" o:spt="202" path="m,l,21600r21600,l21600,xe">
                    <v:stroke joinstyle="miter"/>
                    <v:path gradientshapeok="t" o:connecttype="rect"/>
                  </v:shapetype>
                  <v:shape id="Text Box 36" o:spid="_x0000_s1041" type="#_x0000_t202" alt="OFFICIAL" style="position:absolute;left:0;text-align:left;margin-left:0;margin-top:0;width:49pt;height:30.8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wRDA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vTIOP0W6iPtJSHE9/ByVVLrdci4LPwRDBNS6LF&#10;Jzq0gb7icLY4a8D//Js/5hPuFOWsJ8FU3JKiOTPfLfERtZWM4jb/HMHwo3s7Gnbf3QPJsKAX4WQy&#10;Yx6a0dQeuleS8zI2opCwktpVHEfzHk/Kpecg1XKZkkhGTuDabpyMpSNcEcuX4VV4dwYcialHGNUk&#10;yne4n3LjzeCWeyT0EykR2hOQZ8RJgomr83OJGn/7n7Kuj3rxCw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JA2bBEMAgAAHAQAAA4A&#10;AAAAAAAAAAAAAAAALgIAAGRycy9lMm9Eb2MueG1sUEsBAi0AFAAGAAgAAAAhAGGiSGjYAAAAAwEA&#10;AA8AAAAAAAAAAAAAAAAAZgQAAGRycy9kb3ducmV2LnhtbFBLBQYAAAAABAAEAPMAAABrBQAAAAA=&#10;" filled="f" stroked="f">
                    <v:fill o:detectmouseclick="t"/>
                    <v:textbox style="mso-fit-shape-to-text:t" inset="0,15pt,0,0">
                      <w:txbxContent>
                        <w:p w14:paraId="222AB716" w14:textId="5BBE95F7"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v:textbox>
                    <w10:wrap anchorx="page" anchory="page"/>
                  </v:shape>
                </w:pict>
              </mc:Fallback>
            </mc:AlternateContent>
          </w:r>
        </w:p>
      </w:tc>
      <w:tc>
        <w:tcPr>
          <w:tcW w:w="4650" w:type="dxa"/>
        </w:tcPr>
        <w:p w14:paraId="0FCAA1A2" w14:textId="120EEA42" w:rsidR="11C633B2" w:rsidRDefault="11C633B2" w:rsidP="11C633B2">
          <w:pPr>
            <w:pStyle w:val="Header"/>
            <w:jc w:val="center"/>
          </w:pPr>
        </w:p>
      </w:tc>
      <w:tc>
        <w:tcPr>
          <w:tcW w:w="4650" w:type="dxa"/>
        </w:tcPr>
        <w:p w14:paraId="64F962E5" w14:textId="1C22FADA" w:rsidR="11C633B2" w:rsidRDefault="11C633B2" w:rsidP="11C633B2">
          <w:pPr>
            <w:pStyle w:val="Header"/>
            <w:ind w:right="-115"/>
            <w:jc w:val="right"/>
          </w:pPr>
        </w:p>
      </w:tc>
    </w:tr>
  </w:tbl>
  <w:p w14:paraId="1DE1676B" w14:textId="438B22C9" w:rsidR="00FD4589" w:rsidRDefault="00FD458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1C633B2" w14:paraId="4DBF73E3" w14:textId="77777777" w:rsidTr="11C633B2">
      <w:trPr>
        <w:trHeight w:val="300"/>
      </w:trPr>
      <w:tc>
        <w:tcPr>
          <w:tcW w:w="3005" w:type="dxa"/>
        </w:tcPr>
        <w:p w14:paraId="2BF53754" w14:textId="4F56E396" w:rsidR="11C633B2" w:rsidRDefault="0030023E" w:rsidP="11C633B2">
          <w:pPr>
            <w:pStyle w:val="Header"/>
            <w:ind w:left="-115"/>
          </w:pPr>
          <w:r>
            <w:rPr>
              <w:noProof/>
            </w:rPr>
            <mc:AlternateContent>
              <mc:Choice Requires="wps">
                <w:drawing>
                  <wp:anchor distT="0" distB="0" distL="0" distR="0" simplePos="0" relativeHeight="251658250" behindDoc="0" locked="0" layoutInCell="1" allowOverlap="1" wp14:anchorId="5365D3F2" wp14:editId="1CB0EFDB">
                    <wp:simplePos x="635" y="635"/>
                    <wp:positionH relativeFrom="page">
                      <wp:align>center</wp:align>
                    </wp:positionH>
                    <wp:positionV relativeFrom="page">
                      <wp:align>top</wp:align>
                    </wp:positionV>
                    <wp:extent cx="622300" cy="391160"/>
                    <wp:effectExtent l="0" t="0" r="6350" b="8890"/>
                    <wp:wrapNone/>
                    <wp:docPr id="1791290007"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EEB8509" w14:textId="0C5BA395"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65D3F2" id="_x0000_t202" coordsize="21600,21600" o:spt="202" path="m,l,21600r21600,l21600,xe">
                    <v:stroke joinstyle="miter"/>
                    <v:path gradientshapeok="t" o:connecttype="rect"/>
                  </v:shapetype>
                  <v:shape id="Text Box 37" o:spid="_x0000_s1042" type="#_x0000_t202" alt="OFFICIAL" style="position:absolute;left:0;text-align:left;margin-left:0;margin-top:0;width:49pt;height:30.8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d4sDQIAABwEAAAOAAAAZHJzL2Uyb0RvYy54bWysU01v2zAMvQ/YfxB0X2ynWLY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mmcfgv1kZbycOI7OLlqqfVaBHwWngimaUm0&#10;+ESH7qCvOJwtzhrwP/7mj/mEO0U560kwFbekaM66b5b4iNpKRnGbf4x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D9id4sDQIAABwEAAAO&#10;AAAAAAAAAAAAAAAAAC4CAABkcnMvZTJvRG9jLnhtbFBLAQItABQABgAIAAAAIQBhokho2AAAAAMB&#10;AAAPAAAAAAAAAAAAAAAAAGcEAABkcnMvZG93bnJldi54bWxQSwUGAAAAAAQABADzAAAAbAUAAAAA&#10;" filled="f" stroked="f">
                    <v:fill o:detectmouseclick="t"/>
                    <v:textbox style="mso-fit-shape-to-text:t" inset="0,15pt,0,0">
                      <w:txbxContent>
                        <w:p w14:paraId="5EEB8509" w14:textId="0C5BA395"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v:textbox>
                    <w10:wrap anchorx="page" anchory="page"/>
                  </v:shape>
                </w:pict>
              </mc:Fallback>
            </mc:AlternateContent>
          </w:r>
        </w:p>
      </w:tc>
      <w:tc>
        <w:tcPr>
          <w:tcW w:w="3005" w:type="dxa"/>
        </w:tcPr>
        <w:p w14:paraId="11BDA2CC" w14:textId="7212B40F" w:rsidR="11C633B2" w:rsidRDefault="11C633B2" w:rsidP="11C633B2">
          <w:pPr>
            <w:pStyle w:val="Header"/>
            <w:jc w:val="center"/>
          </w:pPr>
        </w:p>
      </w:tc>
      <w:tc>
        <w:tcPr>
          <w:tcW w:w="3005" w:type="dxa"/>
        </w:tcPr>
        <w:p w14:paraId="3605E95A" w14:textId="7459DE6D" w:rsidR="11C633B2" w:rsidRDefault="11C633B2" w:rsidP="11C633B2">
          <w:pPr>
            <w:pStyle w:val="Header"/>
            <w:ind w:right="-115"/>
            <w:jc w:val="right"/>
          </w:pPr>
        </w:p>
      </w:tc>
    </w:tr>
  </w:tbl>
  <w:p w14:paraId="5ABDB3C0" w14:textId="6AE34E7F" w:rsidR="00FD4589" w:rsidRDefault="00FD458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27A22" w14:textId="71AC650A" w:rsidR="00D732E1" w:rsidRDefault="0030023E">
    <w:pPr>
      <w:pStyle w:val="Header"/>
    </w:pPr>
    <w:r>
      <w:rPr>
        <w:noProof/>
      </w:rPr>
      <mc:AlternateContent>
        <mc:Choice Requires="wps">
          <w:drawing>
            <wp:anchor distT="0" distB="0" distL="0" distR="0" simplePos="0" relativeHeight="251658252" behindDoc="0" locked="0" layoutInCell="1" allowOverlap="1" wp14:anchorId="7DAD34BA" wp14:editId="74C8C780">
              <wp:simplePos x="635" y="635"/>
              <wp:positionH relativeFrom="page">
                <wp:align>center</wp:align>
              </wp:positionH>
              <wp:positionV relativeFrom="page">
                <wp:align>top</wp:align>
              </wp:positionV>
              <wp:extent cx="622300" cy="391160"/>
              <wp:effectExtent l="0" t="0" r="6350" b="8890"/>
              <wp:wrapNone/>
              <wp:docPr id="976990816"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3D84528" w14:textId="7AE1F428"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AD34BA" id="_x0000_t202" coordsize="21600,21600" o:spt="202" path="m,l,21600r21600,l21600,xe">
              <v:stroke joinstyle="miter"/>
              <v:path gradientshapeok="t" o:connecttype="rect"/>
            </v:shapetype>
            <v:shape id="Text Box 39" o:spid="_x0000_s1043" type="#_x0000_t202" alt="OFFICIAL" style="position:absolute;margin-left:0;margin-top:0;width:49pt;height:30.8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5WXDQ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tX/Hacfgv1kZbycOI7OLlqqfVaBHwWngimaUm0&#10;+ESHNtBXHM4WZw34n3/zx3zCnaKc9SSYiltSNGfmuyU+oraSUdzmnyMYfnRvR8Puu3sgGRb0IpxM&#10;ZsxDM5raQ/dKcl7GRhQSVlK7iuNo3uNJufQcpFouUxLJyAlc242TsXSEK2L5MrwK786AIzH1CKOa&#10;RPkO91NuvBncco+EfiIlQnsC8ow4STBxdX4uUeNv/1PW9VEvfgE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C695WXDQIAABwEAAAO&#10;AAAAAAAAAAAAAAAAAC4CAABkcnMvZTJvRG9jLnhtbFBLAQItABQABgAIAAAAIQBhokho2AAAAAMB&#10;AAAPAAAAAAAAAAAAAAAAAGcEAABkcnMvZG93bnJldi54bWxQSwUGAAAAAAQABADzAAAAbAUAAAAA&#10;" filled="f" stroked="f">
              <v:fill o:detectmouseclick="t"/>
              <v:textbox style="mso-fit-shape-to-text:t" inset="0,15pt,0,0">
                <w:txbxContent>
                  <w:p w14:paraId="63D84528" w14:textId="7AE1F428"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41A29" w14:textId="20787485" w:rsidR="00D732E1" w:rsidRDefault="0030023E">
    <w:pPr>
      <w:pStyle w:val="Header"/>
    </w:pPr>
    <w:r>
      <w:rPr>
        <w:noProof/>
      </w:rPr>
      <mc:AlternateContent>
        <mc:Choice Requires="wps">
          <w:drawing>
            <wp:anchor distT="0" distB="0" distL="0" distR="0" simplePos="0" relativeHeight="251658253" behindDoc="0" locked="0" layoutInCell="1" allowOverlap="1" wp14:anchorId="481ACE1C" wp14:editId="5FE819B7">
              <wp:simplePos x="635" y="635"/>
              <wp:positionH relativeFrom="page">
                <wp:align>center</wp:align>
              </wp:positionH>
              <wp:positionV relativeFrom="page">
                <wp:align>top</wp:align>
              </wp:positionV>
              <wp:extent cx="622300" cy="391160"/>
              <wp:effectExtent l="0" t="0" r="6350" b="8890"/>
              <wp:wrapNone/>
              <wp:docPr id="1734259130"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0DDA221" w14:textId="21A17713"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1ACE1C" id="_x0000_t202" coordsize="21600,21600" o:spt="202" path="m,l,21600r21600,l21600,xe">
              <v:stroke joinstyle="miter"/>
              <v:path gradientshapeok="t" o:connecttype="rect"/>
            </v:shapetype>
            <v:shape id="Text Box 40" o:spid="_x0000_s1044" type="#_x0000_t202" alt="OFFICIAL" style="position:absolute;margin-left:0;margin-top:0;width:49pt;height:30.8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VVDAIAAB0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1p+tQ4urZQH2krDyfCg5OrlnqvRcBn4YlhGpdU&#10;i0906A76isPZ4qwB//Nv/phPwFOUs54UU3FLkuas+26JkCiuZBS3+eeIhh/d29Gwe3MPpMOCnoST&#10;yYx52I2m9mBeSc/L2IhCwkpqV3EczXs8SZfeg1TLZUoiHTmBa7txMpaOeEUwX4ZX4d0ZcSSqHmGU&#10;kyjfAX/KjTeDW+6R4E+sXIE8Q04aTGSd30sU+dv/lHV91YtfAA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N3/ZVUMAgAAHQQAAA4A&#10;AAAAAAAAAAAAAAAALgIAAGRycy9lMm9Eb2MueG1sUEsBAi0AFAAGAAgAAAAhAGGiSGjYAAAAAwEA&#10;AA8AAAAAAAAAAAAAAAAAZgQAAGRycy9kb3ducmV2LnhtbFBLBQYAAAAABAAEAPMAAABrBQAAAAA=&#10;" filled="f" stroked="f">
              <v:fill o:detectmouseclick="t"/>
              <v:textbox style="mso-fit-shape-to-text:t" inset="0,15pt,0,0">
                <w:txbxContent>
                  <w:p w14:paraId="10DDA221" w14:textId="21A17713"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016CF" w14:textId="35357D1F" w:rsidR="00D732E1" w:rsidRDefault="0030023E">
    <w:pPr>
      <w:pStyle w:val="Header"/>
    </w:pPr>
    <w:r>
      <w:rPr>
        <w:noProof/>
      </w:rPr>
      <mc:AlternateContent>
        <mc:Choice Requires="wps">
          <w:drawing>
            <wp:anchor distT="0" distB="0" distL="0" distR="0" simplePos="0" relativeHeight="251658251" behindDoc="0" locked="0" layoutInCell="1" allowOverlap="1" wp14:anchorId="600DEE05" wp14:editId="3E2A32EE">
              <wp:simplePos x="635" y="635"/>
              <wp:positionH relativeFrom="page">
                <wp:align>center</wp:align>
              </wp:positionH>
              <wp:positionV relativeFrom="page">
                <wp:align>top</wp:align>
              </wp:positionV>
              <wp:extent cx="622300" cy="391160"/>
              <wp:effectExtent l="0" t="0" r="6350" b="8890"/>
              <wp:wrapNone/>
              <wp:docPr id="1531203722"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A3BA8A7" w14:textId="1DC1D421"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0DEE05" id="_x0000_t202" coordsize="21600,21600" o:spt="202" path="m,l,21600r21600,l21600,xe">
              <v:stroke joinstyle="miter"/>
              <v:path gradientshapeok="t" o:connecttype="rect"/>
            </v:shapetype>
            <v:shape id="Text Box 38" o:spid="_x0000_s1047" type="#_x0000_t202" alt="OFFICIAL" style="position:absolute;margin-left:0;margin-top:0;width:49pt;height:30.8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DXSCeqDQIAABwEAAAO&#10;AAAAAAAAAAAAAAAAAC4CAABkcnMvZTJvRG9jLnhtbFBLAQItABQABgAIAAAAIQBhokho2AAAAAMB&#10;AAAPAAAAAAAAAAAAAAAAAGcEAABkcnMvZG93bnJldi54bWxQSwUGAAAAAAQABADzAAAAbAUAAAAA&#10;" filled="f" stroked="f">
              <v:fill o:detectmouseclick="t"/>
              <v:textbox style="mso-fit-shape-to-text:t" inset="0,15pt,0,0">
                <w:txbxContent>
                  <w:p w14:paraId="3A3BA8A7" w14:textId="1DC1D421"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424A" w14:textId="2784F4FF" w:rsidR="0030023E" w:rsidRDefault="0030023E">
    <w:pPr>
      <w:pStyle w:val="Header"/>
    </w:pPr>
    <w:r>
      <w:rPr>
        <w:noProof/>
      </w:rPr>
      <mc:AlternateContent>
        <mc:Choice Requires="wps">
          <w:drawing>
            <wp:anchor distT="0" distB="0" distL="0" distR="0" simplePos="0" relativeHeight="251658259" behindDoc="0" locked="0" layoutInCell="1" allowOverlap="1" wp14:anchorId="32B79648" wp14:editId="58B500A8">
              <wp:simplePos x="914400" y="450850"/>
              <wp:positionH relativeFrom="page">
                <wp:align>center</wp:align>
              </wp:positionH>
              <wp:positionV relativeFrom="page">
                <wp:align>top</wp:align>
              </wp:positionV>
              <wp:extent cx="622300" cy="391160"/>
              <wp:effectExtent l="0" t="0" r="6350" b="8890"/>
              <wp:wrapNone/>
              <wp:docPr id="1142745911"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87CA0BA" w14:textId="202ED045"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B79648" id="_x0000_t202" coordsize="21600,21600" o:spt="202" path="m,l,21600r21600,l21600,xe">
              <v:stroke joinstyle="miter"/>
              <v:path gradientshapeok="t" o:connecttype="rect"/>
            </v:shapetype>
            <v:shape id="Text Box 26" o:spid="_x0000_s1027" type="#_x0000_t202" alt="OFFICIAL" style="position:absolute;margin-left:0;margin-top:0;width:49pt;height:30.8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3jlDgIAAB0EAAAOAAAAZHJzL2Uyb0RvYy54bWysU01v2zAMvQ/YfxB0X2ynWLY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" filled="f" stroked="f">
              <v:fill o:detectmouseclick="t"/>
              <v:textbox style="mso-fit-shape-to-text:t" inset="0,15pt,0,0">
                <w:txbxContent>
                  <w:p w14:paraId="387CA0BA" w14:textId="202ED045"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22883" w14:textId="279CD177" w:rsidR="0030023E" w:rsidRDefault="0030023E">
    <w:pPr>
      <w:pStyle w:val="Header"/>
    </w:pPr>
    <w:r>
      <w:rPr>
        <w:noProof/>
      </w:rPr>
      <mc:AlternateContent>
        <mc:Choice Requires="wps">
          <w:drawing>
            <wp:anchor distT="0" distB="0" distL="0" distR="0" simplePos="0" relativeHeight="251658261" behindDoc="0" locked="0" layoutInCell="1" allowOverlap="1" wp14:anchorId="461C8345" wp14:editId="4DD5D81A">
              <wp:simplePos x="635" y="635"/>
              <wp:positionH relativeFrom="page">
                <wp:align>center</wp:align>
              </wp:positionH>
              <wp:positionV relativeFrom="page">
                <wp:align>top</wp:align>
              </wp:positionV>
              <wp:extent cx="622300" cy="391160"/>
              <wp:effectExtent l="0" t="0" r="6350" b="8890"/>
              <wp:wrapNone/>
              <wp:docPr id="1377228047"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7E77733" w14:textId="45D4A4D6"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1C8345" id="_x0000_t202" coordsize="21600,21600" o:spt="202" path="m,l,21600r21600,l21600,xe">
              <v:stroke joinstyle="miter"/>
              <v:path gradientshapeok="t" o:connecttype="rect"/>
            </v:shapetype>
            <v:shape id="Text Box 24" o:spid="_x0000_s1030" type="#_x0000_t202" alt="OFFICIAL" style="position:absolute;margin-left:0;margin-top:0;width:49pt;height:30.8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D0AoFjDQIAAB0EAAAO&#10;AAAAAAAAAAAAAAAAAC4CAABkcnMvZTJvRG9jLnhtbFBLAQItABQABgAIAAAAIQBhokho2AAAAAMB&#10;AAAPAAAAAAAAAAAAAAAAAGcEAABkcnMvZG93bnJldi54bWxQSwUGAAAAAAQABADzAAAAbAUAAAAA&#10;" filled="f" stroked="f">
              <v:fill o:detectmouseclick="t"/>
              <v:textbox style="mso-fit-shape-to-text:t" inset="0,15pt,0,0">
                <w:txbxContent>
                  <w:p w14:paraId="37E77733" w14:textId="45D4A4D6"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7AA9A" w14:textId="2EA25A53" w:rsidR="00FD4589" w:rsidRPr="0038675F" w:rsidRDefault="0030023E" w:rsidP="0030023E">
    <w:pPr>
      <w:pStyle w:val="Header"/>
      <w:rPr>
        <w:color w:val="FF0000"/>
      </w:rPr>
    </w:pPr>
    <w:r>
      <w:rPr>
        <w:noProof/>
        <w:color w:val="FF0000"/>
      </w:rPr>
      <mc:AlternateContent>
        <mc:Choice Requires="wps">
          <w:drawing>
            <wp:anchor distT="0" distB="0" distL="0" distR="0" simplePos="0" relativeHeight="251658240" behindDoc="0" locked="0" layoutInCell="1" allowOverlap="1" wp14:anchorId="54DECCD6" wp14:editId="6C2A0B5A">
              <wp:simplePos x="635" y="635"/>
              <wp:positionH relativeFrom="page">
                <wp:align>center</wp:align>
              </wp:positionH>
              <wp:positionV relativeFrom="page">
                <wp:align>top</wp:align>
              </wp:positionV>
              <wp:extent cx="622300" cy="391160"/>
              <wp:effectExtent l="0" t="0" r="6350" b="8890"/>
              <wp:wrapNone/>
              <wp:docPr id="10102264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8D81130" w14:textId="14184432"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DECCD6" id="_x0000_t202" coordsize="21600,21600" o:spt="202" path="m,l,21600r21600,l21600,xe">
              <v:stroke joinstyle="miter"/>
              <v:path gradientshapeok="t" o:connecttype="rect"/>
            </v:shapetype>
            <v:shape id="Text Box 27" o:spid="_x0000_s1032" type="#_x0000_t202" alt="OFFICIAL" style="position:absolute;margin-left:0;margin-top:0;width:49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Q9DQIAAB0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tXfHoZfwv1kbbycCI8OLlqqfdaBHwWnhimcUm1&#10;+ESHNtBXHM4WZw34n3/zx3wCnqKc9aSYiluSNGfmuyVCoriSUdzmnyMafnRvR8Puu3sgHRb0JJxM&#10;ZsxDM5raQ/dKel7GRhQSVlK7iuNo3uNJuvQepFouUxLpyAlc242TsXTEK4L5MrwK786II1H1CKOc&#10;RPkO+FNuvBncco8Ef2IlYnsC8gw5aTCRdX4vUeRv/1PW9VUvfgE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esZQ9DQIAAB0EAAAO&#10;AAAAAAAAAAAAAAAAAC4CAABkcnMvZTJvRG9jLnhtbFBLAQItABQABgAIAAAAIQBhokho2AAAAAMB&#10;AAAPAAAAAAAAAAAAAAAAAGcEAABkcnMvZG93bnJldi54bWxQSwUGAAAAAAQABADzAAAAbAUAAAAA&#10;" filled="f" stroked="f">
              <v:fill o:detectmouseclick="t"/>
              <v:textbox style="mso-fit-shape-to-text:t" inset="0,15pt,0,0">
                <w:txbxContent>
                  <w:p w14:paraId="78D81130" w14:textId="14184432"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74281" w14:textId="0DE4FD7A" w:rsidR="00FD4589" w:rsidRDefault="0030023E">
    <w:pPr>
      <w:pStyle w:val="Header"/>
    </w:pPr>
    <w:r>
      <w:rPr>
        <w:noProof/>
      </w:rPr>
      <mc:AlternateContent>
        <mc:Choice Requires="wps">
          <w:drawing>
            <wp:anchor distT="0" distB="0" distL="0" distR="0" simplePos="0" relativeHeight="251658241" behindDoc="0" locked="0" layoutInCell="1" allowOverlap="1" wp14:anchorId="24DCF6B5" wp14:editId="226C98C2">
              <wp:simplePos x="635" y="635"/>
              <wp:positionH relativeFrom="page">
                <wp:align>center</wp:align>
              </wp:positionH>
              <wp:positionV relativeFrom="page">
                <wp:align>top</wp:align>
              </wp:positionV>
              <wp:extent cx="622300" cy="391160"/>
              <wp:effectExtent l="0" t="0" r="6350" b="8890"/>
              <wp:wrapNone/>
              <wp:docPr id="1572532050"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01FA8EB" w14:textId="599FF40B"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DCF6B5" id="_x0000_t202" coordsize="21600,21600" o:spt="202" path="m,l,21600r21600,l21600,xe">
              <v:stroke joinstyle="miter"/>
              <v:path gradientshapeok="t" o:connecttype="rect"/>
            </v:shapetype>
            <v:shape id="Text Box 28" o:spid="_x0000_s1033" type="#_x0000_t202" alt="OFFICIAL" style="position:absolute;margin-left:0;margin-top:0;width:49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" filled="f" stroked="f">
              <v:fill o:detectmouseclick="t"/>
              <v:textbox style="mso-fit-shape-to-text:t" inset="0,15pt,0,0">
                <w:txbxContent>
                  <w:p w14:paraId="001FA8EB" w14:textId="599FF40B"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C409D" w14:textId="4A5BF130" w:rsidR="00FD4589" w:rsidRDefault="0030023E">
    <w:pPr>
      <w:pStyle w:val="Header"/>
    </w:pPr>
    <w:r>
      <w:rPr>
        <w:noProof/>
      </w:rPr>
      <mc:AlternateContent>
        <mc:Choice Requires="wps">
          <w:drawing>
            <wp:anchor distT="0" distB="0" distL="0" distR="0" simplePos="0" relativeHeight="251658242" behindDoc="0" locked="0" layoutInCell="1" allowOverlap="1" wp14:anchorId="4440A35E" wp14:editId="24D31E10">
              <wp:simplePos x="635" y="635"/>
              <wp:positionH relativeFrom="page">
                <wp:align>center</wp:align>
              </wp:positionH>
              <wp:positionV relativeFrom="page">
                <wp:align>top</wp:align>
              </wp:positionV>
              <wp:extent cx="622300" cy="391160"/>
              <wp:effectExtent l="0" t="0" r="6350" b="8890"/>
              <wp:wrapNone/>
              <wp:docPr id="908604837"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DA6BF70" w14:textId="610B0B12"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40A35E" id="_x0000_t202" coordsize="21600,21600" o:spt="202" path="m,l,21600r21600,l21600,xe">
              <v:stroke joinstyle="miter"/>
              <v:path gradientshapeok="t" o:connecttype="rect"/>
            </v:shapetype>
            <v:shape id="Text Box 29" o:spid="_x0000_s1034" type="#_x0000_t202" alt="OFFICIAL" style="position:absolute;margin-left:0;margin-top:0;width:49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iYADAIAAB0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tXfJoaR9cW6iNt5eFEeHBy1VLvtQj4LDwxTOOS&#10;avGJDm2grzicLc4a8D//5o/5BDxFOetJMRW3JGnOzHdLhERxJaO4zT9HNPzo3o6G3Xf3QDos6Ek4&#10;mcyYh2Y0tYfulfS8jI0oJKykdhXH0bzHk3TpPUi1XKYk0pETuLYbJ2PpiFcE82V4Fd6dEUei6hFG&#10;OYnyHfCn3HgzuOUeCf7EyhXIM+SkwUTW+b1Ekb/9T1nXV734BQ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DMOJgAMAgAAHQQAAA4A&#10;AAAAAAAAAAAAAAAALgIAAGRycy9lMm9Eb2MueG1sUEsBAi0AFAAGAAgAAAAhAGGiSGjYAAAAAwEA&#10;AA8AAAAAAAAAAAAAAAAAZgQAAGRycy9kb3ducmV2LnhtbFBLBQYAAAAABAAEAPMAAABrBQAAAAA=&#10;" filled="f" stroked="f">
              <v:fill o:detectmouseclick="t"/>
              <v:textbox style="mso-fit-shape-to-text:t" inset="0,15pt,0,0">
                <w:txbxContent>
                  <w:p w14:paraId="5DA6BF70" w14:textId="610B0B12"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BE975" w14:textId="5AD2D645" w:rsidR="00FD4589" w:rsidRDefault="0030023E">
    <w:pPr>
      <w:pStyle w:val="Header"/>
    </w:pPr>
    <w:r>
      <w:rPr>
        <w:noProof/>
      </w:rPr>
      <mc:AlternateContent>
        <mc:Choice Requires="wps">
          <w:drawing>
            <wp:anchor distT="0" distB="0" distL="0" distR="0" simplePos="0" relativeHeight="251658243" behindDoc="0" locked="0" layoutInCell="1" allowOverlap="1" wp14:anchorId="65730AED" wp14:editId="722B75C2">
              <wp:simplePos x="635" y="635"/>
              <wp:positionH relativeFrom="page">
                <wp:align>center</wp:align>
              </wp:positionH>
              <wp:positionV relativeFrom="page">
                <wp:align>top</wp:align>
              </wp:positionV>
              <wp:extent cx="622300" cy="391160"/>
              <wp:effectExtent l="0" t="0" r="6350" b="8890"/>
              <wp:wrapNone/>
              <wp:docPr id="1483200522"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96A1C24" w14:textId="36C651F8"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730AED" id="_x0000_t202" coordsize="21600,21600" o:spt="202" path="m,l,21600r21600,l21600,xe">
              <v:stroke joinstyle="miter"/>
              <v:path gradientshapeok="t" o:connecttype="rect"/>
            </v:shapetype>
            <v:shape id="Text Box 30" o:spid="_x0000_s1035" type="#_x0000_t202" alt="OFFICIAL" style="position:absolute;margin-left:0;margin-top:0;width:49pt;height:3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fill o:detectmouseclick="t"/>
              <v:textbox style="mso-fit-shape-to-text:t" inset="0,15pt,0,0">
                <w:txbxContent>
                  <w:p w14:paraId="396A1C24" w14:textId="36C651F8"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1C633B2" w14:paraId="3C144B57" w14:textId="77777777" w:rsidTr="11C633B2">
      <w:trPr>
        <w:trHeight w:val="300"/>
      </w:trPr>
      <w:tc>
        <w:tcPr>
          <w:tcW w:w="3005" w:type="dxa"/>
        </w:tcPr>
        <w:p w14:paraId="31853A88" w14:textId="3AE65F9E" w:rsidR="11C633B2" w:rsidRDefault="0030023E" w:rsidP="11C633B2">
          <w:pPr>
            <w:pStyle w:val="Header"/>
            <w:ind w:left="-115"/>
          </w:pPr>
          <w:r>
            <w:rPr>
              <w:noProof/>
            </w:rPr>
            <mc:AlternateContent>
              <mc:Choice Requires="wps">
                <w:drawing>
                  <wp:anchor distT="0" distB="0" distL="0" distR="0" simplePos="0" relativeHeight="251658244" behindDoc="0" locked="0" layoutInCell="1" allowOverlap="1" wp14:anchorId="32EEF6FB" wp14:editId="7707892F">
                    <wp:simplePos x="635" y="635"/>
                    <wp:positionH relativeFrom="page">
                      <wp:align>center</wp:align>
                    </wp:positionH>
                    <wp:positionV relativeFrom="page">
                      <wp:align>top</wp:align>
                    </wp:positionV>
                    <wp:extent cx="622300" cy="391160"/>
                    <wp:effectExtent l="0" t="0" r="6350" b="8890"/>
                    <wp:wrapNone/>
                    <wp:docPr id="1188735141"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DE551DE" w14:textId="118292AF"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EEF6FB" id="_x0000_t202" coordsize="21600,21600" o:spt="202" path="m,l,21600r21600,l21600,xe">
                    <v:stroke joinstyle="miter"/>
                    <v:path gradientshapeok="t" o:connecttype="rect"/>
                  </v:shapetype>
                  <v:shape id="Text Box 31" o:spid="_x0000_s1036" type="#_x0000_t202" alt="OFFICIAL" style="position:absolute;left:0;text-align:left;margin-left:0;margin-top:0;width:49pt;height:30.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bnDQ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tXfDpOv4X6SEt5OPEdnFy11HotAj4LTwTTtCRa&#10;fKJDG+grDmeLswb8z7/5Yz7hTlHOehJMxS0pmjPz3RIfUVvJKG7zzxEMP7q3o2H33T2QDAt6EU4m&#10;M+ahGU3toXslOS9jIwoJK6ldxXE07/GkXHoOUi2XKYlk5ASu7cbJWDrCFbF8GV6Fd2fAkZh6hFFN&#10;onyH+yk33gxuuUdCP5ESoT0BeUacJJi4Oj+XqPG3/ynr+qgXvwA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Aky6bnDQIAABwEAAAO&#10;AAAAAAAAAAAAAAAAAC4CAABkcnMvZTJvRG9jLnhtbFBLAQItABQABgAIAAAAIQBhokho2AAAAAMB&#10;AAAPAAAAAAAAAAAAAAAAAGcEAABkcnMvZG93bnJldi54bWxQSwUGAAAAAAQABADzAAAAbAUAAAAA&#10;" filled="f" stroked="f">
                    <v:fill o:detectmouseclick="t"/>
                    <v:textbox style="mso-fit-shape-to-text:t" inset="0,15pt,0,0">
                      <w:txbxContent>
                        <w:p w14:paraId="6DE551DE" w14:textId="118292AF"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v:textbox>
                    <w10:wrap anchorx="page" anchory="page"/>
                  </v:shape>
                </w:pict>
              </mc:Fallback>
            </mc:AlternateContent>
          </w:r>
        </w:p>
      </w:tc>
      <w:tc>
        <w:tcPr>
          <w:tcW w:w="3005" w:type="dxa"/>
        </w:tcPr>
        <w:p w14:paraId="7F9EAC66" w14:textId="266775C0" w:rsidR="11C633B2" w:rsidRDefault="11C633B2" w:rsidP="11C633B2">
          <w:pPr>
            <w:pStyle w:val="Header"/>
            <w:jc w:val="center"/>
          </w:pPr>
        </w:p>
      </w:tc>
      <w:tc>
        <w:tcPr>
          <w:tcW w:w="3005" w:type="dxa"/>
        </w:tcPr>
        <w:p w14:paraId="5FD0250E" w14:textId="364200EC" w:rsidR="11C633B2" w:rsidRDefault="11C633B2" w:rsidP="11C633B2">
          <w:pPr>
            <w:pStyle w:val="Header"/>
            <w:ind w:right="-115"/>
            <w:jc w:val="right"/>
          </w:pPr>
        </w:p>
      </w:tc>
    </w:tr>
  </w:tbl>
  <w:p w14:paraId="7F1558C8" w14:textId="16F367FA" w:rsidR="00FD4589" w:rsidRDefault="00FD458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1C633B2" w14:paraId="3F358B72" w14:textId="77777777" w:rsidTr="11C633B2">
      <w:trPr>
        <w:trHeight w:val="300"/>
      </w:trPr>
      <w:tc>
        <w:tcPr>
          <w:tcW w:w="3005" w:type="dxa"/>
        </w:tcPr>
        <w:p w14:paraId="380E20B4" w14:textId="2630CFA1" w:rsidR="11C633B2" w:rsidRDefault="0030023E" w:rsidP="11C633B2">
          <w:pPr>
            <w:pStyle w:val="Header"/>
            <w:ind w:left="-115"/>
          </w:pPr>
          <w:r>
            <w:rPr>
              <w:noProof/>
            </w:rPr>
            <mc:AlternateContent>
              <mc:Choice Requires="wps">
                <w:drawing>
                  <wp:anchor distT="0" distB="0" distL="0" distR="0" simplePos="0" relativeHeight="251658245" behindDoc="0" locked="0" layoutInCell="1" allowOverlap="1" wp14:anchorId="399A1C18" wp14:editId="492D4D6E">
                    <wp:simplePos x="635" y="635"/>
                    <wp:positionH relativeFrom="page">
                      <wp:align>center</wp:align>
                    </wp:positionH>
                    <wp:positionV relativeFrom="page">
                      <wp:align>top</wp:align>
                    </wp:positionV>
                    <wp:extent cx="622300" cy="391160"/>
                    <wp:effectExtent l="0" t="0" r="6350" b="8890"/>
                    <wp:wrapNone/>
                    <wp:docPr id="1277374587"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5C204F9" w14:textId="3F45AF9B"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9A1C18" id="_x0000_t202" coordsize="21600,21600" o:spt="202" path="m,l,21600r21600,l21600,xe">
                    <v:stroke joinstyle="miter"/>
                    <v:path gradientshapeok="t" o:connecttype="rect"/>
                  </v:shapetype>
                  <v:shape id="Text Box 32" o:spid="_x0000_s1037" type="#_x0000_t202" alt="OFFICIAL" style="position:absolute;left:0;text-align:left;margin-left:0;margin-top:0;width:49pt;height:30.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fill o:detectmouseclick="t"/>
                    <v:textbox style="mso-fit-shape-to-text:t" inset="0,15pt,0,0">
                      <w:txbxContent>
                        <w:p w14:paraId="45C204F9" w14:textId="3F45AF9B" w:rsidR="0030023E" w:rsidRPr="0030023E" w:rsidRDefault="0030023E" w:rsidP="0030023E">
                          <w:pPr>
                            <w:spacing w:after="0"/>
                            <w:rPr>
                              <w:rFonts w:ascii="Aptos" w:eastAsia="Aptos" w:hAnsi="Aptos" w:cs="Aptos"/>
                              <w:noProof/>
                              <w:color w:val="FF0000"/>
                              <w:sz w:val="24"/>
                              <w:szCs w:val="24"/>
                            </w:rPr>
                          </w:pPr>
                          <w:r w:rsidRPr="0030023E">
                            <w:rPr>
                              <w:rFonts w:ascii="Aptos" w:eastAsia="Aptos" w:hAnsi="Aptos" w:cs="Aptos"/>
                              <w:noProof/>
                              <w:color w:val="FF0000"/>
                              <w:sz w:val="24"/>
                              <w:szCs w:val="24"/>
                            </w:rPr>
                            <w:t>OFFICIAL</w:t>
                          </w:r>
                        </w:p>
                      </w:txbxContent>
                    </v:textbox>
                    <w10:wrap anchorx="page" anchory="page"/>
                  </v:shape>
                </w:pict>
              </mc:Fallback>
            </mc:AlternateContent>
          </w:r>
        </w:p>
      </w:tc>
      <w:tc>
        <w:tcPr>
          <w:tcW w:w="3005" w:type="dxa"/>
        </w:tcPr>
        <w:p w14:paraId="232E397D" w14:textId="156FEA75" w:rsidR="11C633B2" w:rsidRDefault="11C633B2" w:rsidP="11C633B2">
          <w:pPr>
            <w:pStyle w:val="Header"/>
            <w:jc w:val="center"/>
          </w:pPr>
        </w:p>
      </w:tc>
      <w:tc>
        <w:tcPr>
          <w:tcW w:w="3005" w:type="dxa"/>
        </w:tcPr>
        <w:p w14:paraId="38C835FC" w14:textId="33E26379" w:rsidR="11C633B2" w:rsidRDefault="11C633B2" w:rsidP="11C633B2">
          <w:pPr>
            <w:pStyle w:val="Header"/>
            <w:ind w:right="-115"/>
            <w:jc w:val="right"/>
          </w:pPr>
        </w:p>
      </w:tc>
    </w:tr>
  </w:tbl>
  <w:p w14:paraId="288E8CF4" w14:textId="470DD022" w:rsidR="00FD4589" w:rsidRDefault="00FD45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3E9"/>
    <w:multiLevelType w:val="multilevel"/>
    <w:tmpl w:val="80DE3D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eastAsiaTheme="minorHAnsi" w:hAnsiTheme="minorHAnsi" w:cstheme="minorBidi"/>
      </w:rPr>
    </w:lvl>
    <w:lvl w:ilvl="2">
      <w:start w:val="10"/>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04FB0"/>
    <w:multiLevelType w:val="hybridMultilevel"/>
    <w:tmpl w:val="9662D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25357F"/>
    <w:multiLevelType w:val="hybridMultilevel"/>
    <w:tmpl w:val="E0A4B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3B08D9"/>
    <w:multiLevelType w:val="hybridMultilevel"/>
    <w:tmpl w:val="50A6525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9844177"/>
    <w:multiLevelType w:val="multilevel"/>
    <w:tmpl w:val="642ED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BB662F"/>
    <w:multiLevelType w:val="hybridMultilevel"/>
    <w:tmpl w:val="E6501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F46615"/>
    <w:multiLevelType w:val="multilevel"/>
    <w:tmpl w:val="63729E74"/>
    <w:lvl w:ilvl="0">
      <w:start w:val="1"/>
      <w:numFmt w:val="decimal"/>
      <w:lvlText w:val="%1."/>
      <w:lvlJc w:val="left"/>
      <w:pPr>
        <w:ind w:left="720" w:hanging="360"/>
      </w:p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B3E6CF6"/>
    <w:multiLevelType w:val="hybridMultilevel"/>
    <w:tmpl w:val="D3EA6A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C001438"/>
    <w:multiLevelType w:val="hybridMultilevel"/>
    <w:tmpl w:val="735C0D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D007258"/>
    <w:multiLevelType w:val="hybridMultilevel"/>
    <w:tmpl w:val="76F2C2A4"/>
    <w:lvl w:ilvl="0" w:tplc="FFFFFFFF">
      <w:start w:val="1"/>
      <w:numFmt w:val="lowerLetter"/>
      <w:lvlText w:val="%1)"/>
      <w:lvlJc w:val="left"/>
      <w:pPr>
        <w:ind w:left="2160" w:hanging="720"/>
      </w:pPr>
      <w:rPr>
        <w:rFonts w:hint="default"/>
      </w:rPr>
    </w:lvl>
    <w:lvl w:ilvl="1" w:tplc="0C090001">
      <w:start w:val="1"/>
      <w:numFmt w:val="bullet"/>
      <w:lvlText w:val=""/>
      <w:lvlJc w:val="left"/>
      <w:pPr>
        <w:ind w:left="720" w:hanging="360"/>
      </w:pPr>
      <w:rPr>
        <w:rFonts w:ascii="Symbol" w:hAnsi="Symbol" w:hint="default"/>
      </w:rPr>
    </w:lvl>
    <w:lvl w:ilvl="2" w:tplc="FFFFFFFF">
      <w:start w:val="1"/>
      <w:numFmt w:val="lowerRoman"/>
      <w:lvlText w:val="%3."/>
      <w:lvlJc w:val="right"/>
      <w:pPr>
        <w:ind w:left="3240" w:hanging="180"/>
      </w:pPr>
    </w:lvl>
    <w:lvl w:ilvl="3" w:tplc="C8D89194">
      <w:start w:val="1"/>
      <w:numFmt w:val="lowerLetter"/>
      <w:lvlText w:val="(%4)"/>
      <w:lvlJc w:val="left"/>
      <w:pPr>
        <w:ind w:left="3960" w:hanging="360"/>
      </w:pPr>
      <w:rPr>
        <w:rFonts w:hint="default"/>
      </w:r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 w15:restartNumberingAfterBreak="0">
    <w:nsid w:val="0D256EF0"/>
    <w:multiLevelType w:val="hybridMultilevel"/>
    <w:tmpl w:val="93767886"/>
    <w:lvl w:ilvl="0" w:tplc="7772B636">
      <w:numFmt w:val="bullet"/>
      <w:pStyle w:val="ListContinue1"/>
      <w:lvlText w:val="—"/>
      <w:lvlJc w:val="left"/>
      <w:pPr>
        <w:ind w:left="360" w:hanging="360"/>
      </w:pPr>
      <w:rPr>
        <w:rFonts w:ascii="Cambria" w:hAnsi="Cambria" w:hint="default"/>
      </w:rPr>
    </w:lvl>
    <w:lvl w:ilvl="1" w:tplc="A96AB8F2" w:tentative="1">
      <w:start w:val="1"/>
      <w:numFmt w:val="bullet"/>
      <w:lvlText w:val="o"/>
      <w:lvlJc w:val="left"/>
      <w:pPr>
        <w:ind w:left="1440" w:hanging="360"/>
      </w:pPr>
      <w:rPr>
        <w:rFonts w:ascii="Cambria" w:hAnsi="Cambria" w:hint="default"/>
      </w:rPr>
    </w:lvl>
    <w:lvl w:ilvl="2" w:tplc="C2A02870" w:tentative="1">
      <w:start w:val="1"/>
      <w:numFmt w:val="bullet"/>
      <w:lvlText w:val=""/>
      <w:lvlJc w:val="left"/>
      <w:pPr>
        <w:ind w:left="2160" w:hanging="360"/>
      </w:pPr>
      <w:rPr>
        <w:rFonts w:ascii="Cambria" w:hAnsi="Cambria" w:hint="default"/>
      </w:rPr>
    </w:lvl>
    <w:lvl w:ilvl="3" w:tplc="A5A4F17C" w:tentative="1">
      <w:start w:val="1"/>
      <w:numFmt w:val="bullet"/>
      <w:lvlText w:val=""/>
      <w:lvlJc w:val="left"/>
      <w:pPr>
        <w:ind w:left="2880" w:hanging="360"/>
      </w:pPr>
      <w:rPr>
        <w:rFonts w:ascii="Cambria" w:hAnsi="Cambria" w:hint="default"/>
      </w:rPr>
    </w:lvl>
    <w:lvl w:ilvl="4" w:tplc="BBD45E36" w:tentative="1">
      <w:start w:val="1"/>
      <w:numFmt w:val="bullet"/>
      <w:lvlText w:val="o"/>
      <w:lvlJc w:val="left"/>
      <w:pPr>
        <w:ind w:left="3600" w:hanging="360"/>
      </w:pPr>
      <w:rPr>
        <w:rFonts w:ascii="Cambria" w:hAnsi="Cambria" w:hint="default"/>
      </w:rPr>
    </w:lvl>
    <w:lvl w:ilvl="5" w:tplc="A5C8552C" w:tentative="1">
      <w:start w:val="1"/>
      <w:numFmt w:val="bullet"/>
      <w:lvlText w:val=""/>
      <w:lvlJc w:val="left"/>
      <w:pPr>
        <w:ind w:left="4320" w:hanging="360"/>
      </w:pPr>
      <w:rPr>
        <w:rFonts w:ascii="Cambria" w:hAnsi="Cambria" w:hint="default"/>
      </w:rPr>
    </w:lvl>
    <w:lvl w:ilvl="6" w:tplc="CA90A848" w:tentative="1">
      <w:start w:val="1"/>
      <w:numFmt w:val="bullet"/>
      <w:lvlText w:val=""/>
      <w:lvlJc w:val="left"/>
      <w:pPr>
        <w:ind w:left="5040" w:hanging="360"/>
      </w:pPr>
      <w:rPr>
        <w:rFonts w:ascii="Cambria" w:hAnsi="Cambria" w:hint="default"/>
      </w:rPr>
    </w:lvl>
    <w:lvl w:ilvl="7" w:tplc="71CE4EA4" w:tentative="1">
      <w:start w:val="1"/>
      <w:numFmt w:val="bullet"/>
      <w:lvlText w:val="o"/>
      <w:lvlJc w:val="left"/>
      <w:pPr>
        <w:ind w:left="5760" w:hanging="360"/>
      </w:pPr>
      <w:rPr>
        <w:rFonts w:ascii="Cambria" w:hAnsi="Cambria" w:hint="default"/>
      </w:rPr>
    </w:lvl>
    <w:lvl w:ilvl="8" w:tplc="6F1C290A" w:tentative="1">
      <w:start w:val="1"/>
      <w:numFmt w:val="bullet"/>
      <w:lvlText w:val=""/>
      <w:lvlJc w:val="left"/>
      <w:pPr>
        <w:ind w:left="6480" w:hanging="360"/>
      </w:pPr>
      <w:rPr>
        <w:rFonts w:ascii="Cambria" w:hAnsi="Cambria" w:hint="default"/>
      </w:rPr>
    </w:lvl>
  </w:abstractNum>
  <w:abstractNum w:abstractNumId="11" w15:restartNumberingAfterBreak="0">
    <w:nsid w:val="0D5D5792"/>
    <w:multiLevelType w:val="multilevel"/>
    <w:tmpl w:val="807E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362731"/>
    <w:multiLevelType w:val="multilevel"/>
    <w:tmpl w:val="84041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E30211"/>
    <w:multiLevelType w:val="hybridMultilevel"/>
    <w:tmpl w:val="96C212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EAC05672">
      <w:start w:val="5"/>
      <w:numFmt w:val="bullet"/>
      <w:lvlText w:val="-"/>
      <w:lvlJc w:val="left"/>
      <w:pPr>
        <w:ind w:left="2160" w:hanging="360"/>
      </w:pPr>
      <w:rPr>
        <w:rFonts w:ascii="Aptos" w:eastAsiaTheme="minorHAnsi" w:hAnsi="Aptos"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EE1A31"/>
    <w:multiLevelType w:val="hybridMultilevel"/>
    <w:tmpl w:val="01A0A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696E44"/>
    <w:multiLevelType w:val="multilevel"/>
    <w:tmpl w:val="EBBE6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F00BE6"/>
    <w:multiLevelType w:val="hybridMultilevel"/>
    <w:tmpl w:val="0302D61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A9448F2"/>
    <w:multiLevelType w:val="hybridMultilevel"/>
    <w:tmpl w:val="5BC4C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084C26"/>
    <w:multiLevelType w:val="multilevel"/>
    <w:tmpl w:val="9ADEB678"/>
    <w:lvl w:ilvl="0">
      <w:start w:val="1"/>
      <w:numFmt w:val="decimal"/>
      <w:pStyle w:val="Heading1"/>
      <w:lvlText w:val="%1."/>
      <w:lvlJc w:val="left"/>
      <w:pPr>
        <w:ind w:left="1000" w:hanging="432"/>
      </w:pPr>
    </w:lvl>
    <w:lvl w:ilvl="1">
      <w:start w:val="1"/>
      <w:numFmt w:val="decimal"/>
      <w:pStyle w:val="Heading2"/>
      <w:lvlText w:val="%1.%2"/>
      <w:lvlJc w:val="left"/>
      <w:pPr>
        <w:ind w:left="568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1E9564C5"/>
    <w:multiLevelType w:val="hybridMultilevel"/>
    <w:tmpl w:val="12280DC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ED8087C"/>
    <w:multiLevelType w:val="hybridMultilevel"/>
    <w:tmpl w:val="629C853A"/>
    <w:lvl w:ilvl="0" w:tplc="92205E76">
      <w:numFmt w:val="bullet"/>
      <w:lvlText w:val=""/>
      <w:lvlJc w:val="left"/>
      <w:pPr>
        <w:ind w:left="720" w:hanging="360"/>
      </w:pPr>
      <w:rPr>
        <w:rFonts w:ascii="Symbol" w:eastAsia="Calibr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F5A7565"/>
    <w:multiLevelType w:val="hybridMultilevel"/>
    <w:tmpl w:val="04ACA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03A7F5E"/>
    <w:multiLevelType w:val="multilevel"/>
    <w:tmpl w:val="468E382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asciiTheme="minorHAnsi" w:eastAsiaTheme="minorHAnsi" w:hAnsiTheme="minorHAnsi" w:cstheme="minorBid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1A192F"/>
    <w:multiLevelType w:val="hybridMultilevel"/>
    <w:tmpl w:val="7B8883C0"/>
    <w:lvl w:ilvl="0" w:tplc="D4F8D694">
      <w:start w:val="1"/>
      <w:numFmt w:val="lowerLetter"/>
      <w:lvlText w:val="%1)"/>
      <w:lvlJc w:val="left"/>
      <w:pPr>
        <w:ind w:left="2160" w:hanging="720"/>
      </w:pPr>
      <w:rPr>
        <w:rFonts w:hint="default"/>
      </w:r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4" w15:restartNumberingAfterBreak="0">
    <w:nsid w:val="264C7CEF"/>
    <w:multiLevelType w:val="hybridMultilevel"/>
    <w:tmpl w:val="83CA7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8F1FB2E"/>
    <w:multiLevelType w:val="hybridMultilevel"/>
    <w:tmpl w:val="FFFFFFFF"/>
    <w:lvl w:ilvl="0" w:tplc="32845F9E">
      <w:start w:val="1"/>
      <w:numFmt w:val="bullet"/>
      <w:lvlText w:val=""/>
      <w:lvlJc w:val="left"/>
      <w:pPr>
        <w:ind w:left="720" w:hanging="360"/>
      </w:pPr>
      <w:rPr>
        <w:rFonts w:ascii="Symbol" w:hAnsi="Symbol" w:hint="default"/>
      </w:rPr>
    </w:lvl>
    <w:lvl w:ilvl="1" w:tplc="917487D2">
      <w:start w:val="1"/>
      <w:numFmt w:val="bullet"/>
      <w:lvlText w:val="o"/>
      <w:lvlJc w:val="left"/>
      <w:pPr>
        <w:ind w:left="1440" w:hanging="360"/>
      </w:pPr>
      <w:rPr>
        <w:rFonts w:ascii="Courier New" w:hAnsi="Courier New" w:hint="default"/>
      </w:rPr>
    </w:lvl>
    <w:lvl w:ilvl="2" w:tplc="F0744A0C">
      <w:start w:val="1"/>
      <w:numFmt w:val="bullet"/>
      <w:lvlText w:val=""/>
      <w:lvlJc w:val="left"/>
      <w:pPr>
        <w:ind w:left="2160" w:hanging="360"/>
      </w:pPr>
      <w:rPr>
        <w:rFonts w:ascii="Wingdings" w:hAnsi="Wingdings" w:hint="default"/>
      </w:rPr>
    </w:lvl>
    <w:lvl w:ilvl="3" w:tplc="1E3678E6">
      <w:start w:val="1"/>
      <w:numFmt w:val="bullet"/>
      <w:lvlText w:val=""/>
      <w:lvlJc w:val="left"/>
      <w:pPr>
        <w:ind w:left="2880" w:hanging="360"/>
      </w:pPr>
      <w:rPr>
        <w:rFonts w:ascii="Symbol" w:hAnsi="Symbol" w:hint="default"/>
      </w:rPr>
    </w:lvl>
    <w:lvl w:ilvl="4" w:tplc="924E5616">
      <w:start w:val="1"/>
      <w:numFmt w:val="bullet"/>
      <w:lvlText w:val="o"/>
      <w:lvlJc w:val="left"/>
      <w:pPr>
        <w:ind w:left="3600" w:hanging="360"/>
      </w:pPr>
      <w:rPr>
        <w:rFonts w:ascii="Courier New" w:hAnsi="Courier New" w:hint="default"/>
      </w:rPr>
    </w:lvl>
    <w:lvl w:ilvl="5" w:tplc="003E89CE">
      <w:start w:val="1"/>
      <w:numFmt w:val="bullet"/>
      <w:lvlText w:val=""/>
      <w:lvlJc w:val="left"/>
      <w:pPr>
        <w:ind w:left="4320" w:hanging="360"/>
      </w:pPr>
      <w:rPr>
        <w:rFonts w:ascii="Wingdings" w:hAnsi="Wingdings" w:hint="default"/>
      </w:rPr>
    </w:lvl>
    <w:lvl w:ilvl="6" w:tplc="3A80C4EE">
      <w:start w:val="1"/>
      <w:numFmt w:val="bullet"/>
      <w:lvlText w:val=""/>
      <w:lvlJc w:val="left"/>
      <w:pPr>
        <w:ind w:left="5040" w:hanging="360"/>
      </w:pPr>
      <w:rPr>
        <w:rFonts w:ascii="Symbol" w:hAnsi="Symbol" w:hint="default"/>
      </w:rPr>
    </w:lvl>
    <w:lvl w:ilvl="7" w:tplc="7C80AF8E">
      <w:start w:val="1"/>
      <w:numFmt w:val="bullet"/>
      <w:lvlText w:val="o"/>
      <w:lvlJc w:val="left"/>
      <w:pPr>
        <w:ind w:left="5760" w:hanging="360"/>
      </w:pPr>
      <w:rPr>
        <w:rFonts w:ascii="Courier New" w:hAnsi="Courier New" w:hint="default"/>
      </w:rPr>
    </w:lvl>
    <w:lvl w:ilvl="8" w:tplc="619E617A">
      <w:start w:val="1"/>
      <w:numFmt w:val="bullet"/>
      <w:lvlText w:val=""/>
      <w:lvlJc w:val="left"/>
      <w:pPr>
        <w:ind w:left="6480" w:hanging="360"/>
      </w:pPr>
      <w:rPr>
        <w:rFonts w:ascii="Wingdings" w:hAnsi="Wingdings" w:hint="default"/>
      </w:rPr>
    </w:lvl>
  </w:abstractNum>
  <w:abstractNum w:abstractNumId="26" w15:restartNumberingAfterBreak="0">
    <w:nsid w:val="29043F78"/>
    <w:multiLevelType w:val="hybridMultilevel"/>
    <w:tmpl w:val="CA444CC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9C516F0"/>
    <w:multiLevelType w:val="hybridMultilevel"/>
    <w:tmpl w:val="1B3AE0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C4B629F"/>
    <w:multiLevelType w:val="hybridMultilevel"/>
    <w:tmpl w:val="75A6BEC0"/>
    <w:lvl w:ilvl="0" w:tplc="1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2D4F63DA"/>
    <w:multiLevelType w:val="hybridMultilevel"/>
    <w:tmpl w:val="C2B8C8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03F2F64"/>
    <w:multiLevelType w:val="multilevel"/>
    <w:tmpl w:val="7D5A566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31704760"/>
    <w:multiLevelType w:val="hybridMultilevel"/>
    <w:tmpl w:val="FD8EF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345139A"/>
    <w:multiLevelType w:val="hybridMultilevel"/>
    <w:tmpl w:val="6308C00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3" w15:restartNumberingAfterBreak="0">
    <w:nsid w:val="33725D8E"/>
    <w:multiLevelType w:val="hybridMultilevel"/>
    <w:tmpl w:val="D40C8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3A03C7C"/>
    <w:multiLevelType w:val="multilevel"/>
    <w:tmpl w:val="7D3CFA46"/>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3C2483F"/>
    <w:multiLevelType w:val="hybridMultilevel"/>
    <w:tmpl w:val="EEF4A4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3DB0ABF"/>
    <w:multiLevelType w:val="hybridMultilevel"/>
    <w:tmpl w:val="06985D44"/>
    <w:lvl w:ilvl="0" w:tplc="CA501512">
      <w:start w:val="1"/>
      <w:numFmt w:val="bullet"/>
      <w:lvlText w:val=""/>
      <w:lvlJc w:val="left"/>
      <w:pPr>
        <w:ind w:left="720" w:hanging="360"/>
      </w:pPr>
      <w:rPr>
        <w:rFonts w:ascii="Symbol" w:hAnsi="Symbol" w:hint="default"/>
      </w:rPr>
    </w:lvl>
    <w:lvl w:ilvl="1" w:tplc="D9D2DE96">
      <w:start w:val="1"/>
      <w:numFmt w:val="bullet"/>
      <w:lvlText w:val="o"/>
      <w:lvlJc w:val="left"/>
      <w:pPr>
        <w:ind w:left="1440" w:hanging="360"/>
      </w:pPr>
      <w:rPr>
        <w:rFonts w:ascii="Courier New" w:hAnsi="Courier New" w:hint="default"/>
      </w:rPr>
    </w:lvl>
    <w:lvl w:ilvl="2" w:tplc="B074E246" w:tentative="1">
      <w:start w:val="1"/>
      <w:numFmt w:val="bullet"/>
      <w:lvlText w:val=""/>
      <w:lvlJc w:val="left"/>
      <w:pPr>
        <w:ind w:left="2160" w:hanging="360"/>
      </w:pPr>
      <w:rPr>
        <w:rFonts w:ascii="Wingdings" w:hAnsi="Wingdings" w:hint="default"/>
      </w:rPr>
    </w:lvl>
    <w:lvl w:ilvl="3" w:tplc="28CC851E" w:tentative="1">
      <w:start w:val="1"/>
      <w:numFmt w:val="bullet"/>
      <w:lvlText w:val=""/>
      <w:lvlJc w:val="left"/>
      <w:pPr>
        <w:ind w:left="2880" w:hanging="360"/>
      </w:pPr>
      <w:rPr>
        <w:rFonts w:ascii="Symbol" w:hAnsi="Symbol" w:hint="default"/>
      </w:rPr>
    </w:lvl>
    <w:lvl w:ilvl="4" w:tplc="76D8A336" w:tentative="1">
      <w:start w:val="1"/>
      <w:numFmt w:val="bullet"/>
      <w:lvlText w:val="o"/>
      <w:lvlJc w:val="left"/>
      <w:pPr>
        <w:ind w:left="3600" w:hanging="360"/>
      </w:pPr>
      <w:rPr>
        <w:rFonts w:ascii="Courier New" w:hAnsi="Courier New" w:hint="default"/>
      </w:rPr>
    </w:lvl>
    <w:lvl w:ilvl="5" w:tplc="C7405734" w:tentative="1">
      <w:start w:val="1"/>
      <w:numFmt w:val="bullet"/>
      <w:lvlText w:val=""/>
      <w:lvlJc w:val="left"/>
      <w:pPr>
        <w:ind w:left="4320" w:hanging="360"/>
      </w:pPr>
      <w:rPr>
        <w:rFonts w:ascii="Wingdings" w:hAnsi="Wingdings" w:hint="default"/>
      </w:rPr>
    </w:lvl>
    <w:lvl w:ilvl="6" w:tplc="E888666C" w:tentative="1">
      <w:start w:val="1"/>
      <w:numFmt w:val="bullet"/>
      <w:lvlText w:val=""/>
      <w:lvlJc w:val="left"/>
      <w:pPr>
        <w:ind w:left="5040" w:hanging="360"/>
      </w:pPr>
      <w:rPr>
        <w:rFonts w:ascii="Symbol" w:hAnsi="Symbol" w:hint="default"/>
      </w:rPr>
    </w:lvl>
    <w:lvl w:ilvl="7" w:tplc="C9C41D28" w:tentative="1">
      <w:start w:val="1"/>
      <w:numFmt w:val="bullet"/>
      <w:lvlText w:val="o"/>
      <w:lvlJc w:val="left"/>
      <w:pPr>
        <w:ind w:left="5760" w:hanging="360"/>
      </w:pPr>
      <w:rPr>
        <w:rFonts w:ascii="Courier New" w:hAnsi="Courier New" w:hint="default"/>
      </w:rPr>
    </w:lvl>
    <w:lvl w:ilvl="8" w:tplc="F5DECA8C" w:tentative="1">
      <w:start w:val="1"/>
      <w:numFmt w:val="bullet"/>
      <w:lvlText w:val=""/>
      <w:lvlJc w:val="left"/>
      <w:pPr>
        <w:ind w:left="6480" w:hanging="360"/>
      </w:pPr>
      <w:rPr>
        <w:rFonts w:ascii="Wingdings" w:hAnsi="Wingdings" w:hint="default"/>
      </w:rPr>
    </w:lvl>
  </w:abstractNum>
  <w:abstractNum w:abstractNumId="37" w15:restartNumberingAfterBreak="0">
    <w:nsid w:val="354C5581"/>
    <w:multiLevelType w:val="multilevel"/>
    <w:tmpl w:val="EA9262D6"/>
    <w:lvl w:ilvl="0">
      <w:start w:val="1"/>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385C4E9A"/>
    <w:multiLevelType w:val="hybridMultilevel"/>
    <w:tmpl w:val="69DCA984"/>
    <w:lvl w:ilvl="0" w:tplc="6CA8FA98">
      <w:start w:val="1"/>
      <w:numFmt w:val="bullet"/>
      <w:lvlText w:val=""/>
      <w:lvlJc w:val="left"/>
      <w:pPr>
        <w:ind w:left="720" w:hanging="360"/>
      </w:pPr>
      <w:rPr>
        <w:rFonts w:ascii="Symbol" w:hAnsi="Symbol" w:hint="default"/>
      </w:rPr>
    </w:lvl>
    <w:lvl w:ilvl="1" w:tplc="5CB054EE">
      <w:start w:val="1"/>
      <w:numFmt w:val="bullet"/>
      <w:lvlText w:val="o"/>
      <w:lvlJc w:val="left"/>
      <w:pPr>
        <w:ind w:left="1440" w:hanging="360"/>
      </w:pPr>
      <w:rPr>
        <w:rFonts w:ascii="Courier New" w:hAnsi="Courier New" w:hint="default"/>
      </w:rPr>
    </w:lvl>
    <w:lvl w:ilvl="2" w:tplc="A6C8BB1E" w:tentative="1">
      <w:start w:val="1"/>
      <w:numFmt w:val="bullet"/>
      <w:lvlText w:val=""/>
      <w:lvlJc w:val="left"/>
      <w:pPr>
        <w:ind w:left="2160" w:hanging="360"/>
      </w:pPr>
      <w:rPr>
        <w:rFonts w:ascii="Wingdings" w:hAnsi="Wingdings" w:hint="default"/>
      </w:rPr>
    </w:lvl>
    <w:lvl w:ilvl="3" w:tplc="E1449DC6" w:tentative="1">
      <w:start w:val="1"/>
      <w:numFmt w:val="bullet"/>
      <w:lvlText w:val=""/>
      <w:lvlJc w:val="left"/>
      <w:pPr>
        <w:ind w:left="2880" w:hanging="360"/>
      </w:pPr>
      <w:rPr>
        <w:rFonts w:ascii="Symbol" w:hAnsi="Symbol" w:hint="default"/>
      </w:rPr>
    </w:lvl>
    <w:lvl w:ilvl="4" w:tplc="5D3E8760" w:tentative="1">
      <w:start w:val="1"/>
      <w:numFmt w:val="bullet"/>
      <w:lvlText w:val="o"/>
      <w:lvlJc w:val="left"/>
      <w:pPr>
        <w:ind w:left="3600" w:hanging="360"/>
      </w:pPr>
      <w:rPr>
        <w:rFonts w:ascii="Courier New" w:hAnsi="Courier New" w:hint="default"/>
      </w:rPr>
    </w:lvl>
    <w:lvl w:ilvl="5" w:tplc="0F3CF80E" w:tentative="1">
      <w:start w:val="1"/>
      <w:numFmt w:val="bullet"/>
      <w:lvlText w:val=""/>
      <w:lvlJc w:val="left"/>
      <w:pPr>
        <w:ind w:left="4320" w:hanging="360"/>
      </w:pPr>
      <w:rPr>
        <w:rFonts w:ascii="Wingdings" w:hAnsi="Wingdings" w:hint="default"/>
      </w:rPr>
    </w:lvl>
    <w:lvl w:ilvl="6" w:tplc="F4E81DC4" w:tentative="1">
      <w:start w:val="1"/>
      <w:numFmt w:val="bullet"/>
      <w:lvlText w:val=""/>
      <w:lvlJc w:val="left"/>
      <w:pPr>
        <w:ind w:left="5040" w:hanging="360"/>
      </w:pPr>
      <w:rPr>
        <w:rFonts w:ascii="Symbol" w:hAnsi="Symbol" w:hint="default"/>
      </w:rPr>
    </w:lvl>
    <w:lvl w:ilvl="7" w:tplc="2D14AF22" w:tentative="1">
      <w:start w:val="1"/>
      <w:numFmt w:val="bullet"/>
      <w:lvlText w:val="o"/>
      <w:lvlJc w:val="left"/>
      <w:pPr>
        <w:ind w:left="5760" w:hanging="360"/>
      </w:pPr>
      <w:rPr>
        <w:rFonts w:ascii="Courier New" w:hAnsi="Courier New" w:hint="default"/>
      </w:rPr>
    </w:lvl>
    <w:lvl w:ilvl="8" w:tplc="2F98429E" w:tentative="1">
      <w:start w:val="1"/>
      <w:numFmt w:val="bullet"/>
      <w:lvlText w:val=""/>
      <w:lvlJc w:val="left"/>
      <w:pPr>
        <w:ind w:left="6480" w:hanging="360"/>
      </w:pPr>
      <w:rPr>
        <w:rFonts w:ascii="Wingdings" w:hAnsi="Wingdings" w:hint="default"/>
      </w:rPr>
    </w:lvl>
  </w:abstractNum>
  <w:abstractNum w:abstractNumId="39" w15:restartNumberingAfterBreak="0">
    <w:nsid w:val="3A422DC5"/>
    <w:multiLevelType w:val="hybridMultilevel"/>
    <w:tmpl w:val="6EAAD2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BFF617B"/>
    <w:multiLevelType w:val="hybridMultilevel"/>
    <w:tmpl w:val="CD5E1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D72751E"/>
    <w:multiLevelType w:val="multilevel"/>
    <w:tmpl w:val="81B44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D856013"/>
    <w:multiLevelType w:val="hybridMultilevel"/>
    <w:tmpl w:val="FC04E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F4F082E"/>
    <w:multiLevelType w:val="multilevel"/>
    <w:tmpl w:val="E2C0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08E4230"/>
    <w:multiLevelType w:val="hybridMultilevel"/>
    <w:tmpl w:val="E4D0841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0960A15"/>
    <w:multiLevelType w:val="multilevel"/>
    <w:tmpl w:val="0BE49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1133A74"/>
    <w:multiLevelType w:val="hybridMultilevel"/>
    <w:tmpl w:val="65722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3677CDD"/>
    <w:multiLevelType w:val="multilevel"/>
    <w:tmpl w:val="1A069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61B308C"/>
    <w:multiLevelType w:val="hybridMultilevel"/>
    <w:tmpl w:val="41467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7932589"/>
    <w:multiLevelType w:val="hybridMultilevel"/>
    <w:tmpl w:val="50FE6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0576DE9"/>
    <w:multiLevelType w:val="multilevel"/>
    <w:tmpl w:val="C450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1711055"/>
    <w:multiLevelType w:val="hybridMultilevel"/>
    <w:tmpl w:val="318E8A02"/>
    <w:lvl w:ilvl="0" w:tplc="0C090001">
      <w:start w:val="1"/>
      <w:numFmt w:val="bullet"/>
      <w:lvlText w:val=""/>
      <w:lvlJc w:val="left"/>
      <w:pPr>
        <w:ind w:left="720" w:hanging="360"/>
      </w:pPr>
      <w:rPr>
        <w:rFonts w:ascii="Symbol" w:hAnsi="Symbol" w:hint="default"/>
      </w:rPr>
    </w:lvl>
    <w:lvl w:ilvl="1" w:tplc="54D03D10">
      <w:numFmt w:val="bullet"/>
      <w:lvlText w:val="•"/>
      <w:lvlJc w:val="left"/>
      <w:pPr>
        <w:ind w:left="1800" w:hanging="720"/>
      </w:pPr>
      <w:rPr>
        <w:rFonts w:ascii="Aptos" w:eastAsiaTheme="minorHAnsi" w:hAnsi="Aptos"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4D83915"/>
    <w:multiLevelType w:val="hybridMultilevel"/>
    <w:tmpl w:val="735C0D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56A1CBD"/>
    <w:multiLevelType w:val="hybridMultilevel"/>
    <w:tmpl w:val="477A8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5851F8A"/>
    <w:multiLevelType w:val="hybridMultilevel"/>
    <w:tmpl w:val="30D0F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81D2131"/>
    <w:multiLevelType w:val="hybridMultilevel"/>
    <w:tmpl w:val="069870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95B50E9"/>
    <w:multiLevelType w:val="hybridMultilevel"/>
    <w:tmpl w:val="79FEA4AE"/>
    <w:lvl w:ilvl="0" w:tplc="187E14B4">
      <w:start w:val="1"/>
      <w:numFmt w:val="bullet"/>
      <w:lvlText w:val=""/>
      <w:lvlJc w:val="left"/>
      <w:pPr>
        <w:ind w:left="720" w:hanging="360"/>
      </w:pPr>
      <w:rPr>
        <w:rFonts w:ascii="Symbol" w:hAnsi="Symbol" w:hint="default"/>
      </w:rPr>
    </w:lvl>
    <w:lvl w:ilvl="1" w:tplc="8A0C5B0E" w:tentative="1">
      <w:start w:val="1"/>
      <w:numFmt w:val="bullet"/>
      <w:lvlText w:val="o"/>
      <w:lvlJc w:val="left"/>
      <w:pPr>
        <w:ind w:left="1440" w:hanging="360"/>
      </w:pPr>
      <w:rPr>
        <w:rFonts w:ascii="Courier New" w:hAnsi="Courier New" w:hint="default"/>
      </w:rPr>
    </w:lvl>
    <w:lvl w:ilvl="2" w:tplc="B92ED11E" w:tentative="1">
      <w:start w:val="1"/>
      <w:numFmt w:val="bullet"/>
      <w:lvlText w:val=""/>
      <w:lvlJc w:val="left"/>
      <w:pPr>
        <w:ind w:left="2160" w:hanging="360"/>
      </w:pPr>
      <w:rPr>
        <w:rFonts w:ascii="Wingdings" w:hAnsi="Wingdings" w:hint="default"/>
      </w:rPr>
    </w:lvl>
    <w:lvl w:ilvl="3" w:tplc="17E279C0" w:tentative="1">
      <w:start w:val="1"/>
      <w:numFmt w:val="bullet"/>
      <w:lvlText w:val=""/>
      <w:lvlJc w:val="left"/>
      <w:pPr>
        <w:ind w:left="2880" w:hanging="360"/>
      </w:pPr>
      <w:rPr>
        <w:rFonts w:ascii="Symbol" w:hAnsi="Symbol" w:hint="default"/>
      </w:rPr>
    </w:lvl>
    <w:lvl w:ilvl="4" w:tplc="43E046DE" w:tentative="1">
      <w:start w:val="1"/>
      <w:numFmt w:val="bullet"/>
      <w:lvlText w:val="o"/>
      <w:lvlJc w:val="left"/>
      <w:pPr>
        <w:ind w:left="3600" w:hanging="360"/>
      </w:pPr>
      <w:rPr>
        <w:rFonts w:ascii="Courier New" w:hAnsi="Courier New" w:hint="default"/>
      </w:rPr>
    </w:lvl>
    <w:lvl w:ilvl="5" w:tplc="1318FA0C" w:tentative="1">
      <w:start w:val="1"/>
      <w:numFmt w:val="bullet"/>
      <w:lvlText w:val=""/>
      <w:lvlJc w:val="left"/>
      <w:pPr>
        <w:ind w:left="4320" w:hanging="360"/>
      </w:pPr>
      <w:rPr>
        <w:rFonts w:ascii="Wingdings" w:hAnsi="Wingdings" w:hint="default"/>
      </w:rPr>
    </w:lvl>
    <w:lvl w:ilvl="6" w:tplc="68C81FBE" w:tentative="1">
      <w:start w:val="1"/>
      <w:numFmt w:val="bullet"/>
      <w:lvlText w:val=""/>
      <w:lvlJc w:val="left"/>
      <w:pPr>
        <w:ind w:left="5040" w:hanging="360"/>
      </w:pPr>
      <w:rPr>
        <w:rFonts w:ascii="Symbol" w:hAnsi="Symbol" w:hint="default"/>
      </w:rPr>
    </w:lvl>
    <w:lvl w:ilvl="7" w:tplc="FF2AAA74" w:tentative="1">
      <w:start w:val="1"/>
      <w:numFmt w:val="bullet"/>
      <w:lvlText w:val="o"/>
      <w:lvlJc w:val="left"/>
      <w:pPr>
        <w:ind w:left="5760" w:hanging="360"/>
      </w:pPr>
      <w:rPr>
        <w:rFonts w:ascii="Courier New" w:hAnsi="Courier New" w:hint="default"/>
      </w:rPr>
    </w:lvl>
    <w:lvl w:ilvl="8" w:tplc="D0004ADA" w:tentative="1">
      <w:start w:val="1"/>
      <w:numFmt w:val="bullet"/>
      <w:lvlText w:val=""/>
      <w:lvlJc w:val="left"/>
      <w:pPr>
        <w:ind w:left="6480" w:hanging="360"/>
      </w:pPr>
      <w:rPr>
        <w:rFonts w:ascii="Wingdings" w:hAnsi="Wingdings" w:hint="default"/>
      </w:rPr>
    </w:lvl>
  </w:abstractNum>
  <w:abstractNum w:abstractNumId="57" w15:restartNumberingAfterBreak="0">
    <w:nsid w:val="5AD90194"/>
    <w:multiLevelType w:val="multilevel"/>
    <w:tmpl w:val="81AAEC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60B5435D"/>
    <w:multiLevelType w:val="hybridMultilevel"/>
    <w:tmpl w:val="59BCEC8A"/>
    <w:lvl w:ilvl="0" w:tplc="EEACC9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2617B67"/>
    <w:multiLevelType w:val="multilevel"/>
    <w:tmpl w:val="06B49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7864965"/>
    <w:multiLevelType w:val="hybridMultilevel"/>
    <w:tmpl w:val="12280DC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A410BCF"/>
    <w:multiLevelType w:val="multilevel"/>
    <w:tmpl w:val="46F47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C04371E"/>
    <w:multiLevelType w:val="hybridMultilevel"/>
    <w:tmpl w:val="BFE67E0E"/>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CC101D8"/>
    <w:multiLevelType w:val="hybridMultilevel"/>
    <w:tmpl w:val="7B8883C0"/>
    <w:lvl w:ilvl="0" w:tplc="FFFFFFFF">
      <w:start w:val="1"/>
      <w:numFmt w:val="lowerLetter"/>
      <w:lvlText w:val="%1)"/>
      <w:lvlJc w:val="left"/>
      <w:pPr>
        <w:ind w:left="2160" w:hanging="720"/>
      </w:pPr>
      <w:rPr>
        <w:rFonts w:hint="default"/>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4" w15:restartNumberingAfterBreak="0">
    <w:nsid w:val="6E9E69BE"/>
    <w:multiLevelType w:val="multilevel"/>
    <w:tmpl w:val="C81A3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149597B"/>
    <w:multiLevelType w:val="hybridMultilevel"/>
    <w:tmpl w:val="F500908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3B71443"/>
    <w:multiLevelType w:val="hybridMultilevel"/>
    <w:tmpl w:val="12280DC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BBC2E78"/>
    <w:multiLevelType w:val="hybridMultilevel"/>
    <w:tmpl w:val="CC6CFB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FE42ADA"/>
    <w:multiLevelType w:val="hybridMultilevel"/>
    <w:tmpl w:val="59021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04108831">
    <w:abstractNumId w:val="18"/>
  </w:num>
  <w:num w:numId="2" w16cid:durableId="1084182082">
    <w:abstractNumId w:val="36"/>
  </w:num>
  <w:num w:numId="3" w16cid:durableId="195899320">
    <w:abstractNumId w:val="56"/>
  </w:num>
  <w:num w:numId="4" w16cid:durableId="48237419">
    <w:abstractNumId w:val="38"/>
  </w:num>
  <w:num w:numId="5" w16cid:durableId="606735682">
    <w:abstractNumId w:val="10"/>
  </w:num>
  <w:num w:numId="6" w16cid:durableId="2034184379">
    <w:abstractNumId w:val="26"/>
  </w:num>
  <w:num w:numId="7" w16cid:durableId="1766458445">
    <w:abstractNumId w:val="62"/>
  </w:num>
  <w:num w:numId="8" w16cid:durableId="422919581">
    <w:abstractNumId w:val="65"/>
  </w:num>
  <w:num w:numId="9" w16cid:durableId="526606722">
    <w:abstractNumId w:val="25"/>
  </w:num>
  <w:num w:numId="10" w16cid:durableId="187793197">
    <w:abstractNumId w:val="27"/>
  </w:num>
  <w:num w:numId="11" w16cid:durableId="412944323">
    <w:abstractNumId w:val="34"/>
  </w:num>
  <w:num w:numId="12" w16cid:durableId="1474060229">
    <w:abstractNumId w:val="44"/>
  </w:num>
  <w:num w:numId="13" w16cid:durableId="2087998137">
    <w:abstractNumId w:val="53"/>
  </w:num>
  <w:num w:numId="14" w16cid:durableId="99227097">
    <w:abstractNumId w:val="20"/>
  </w:num>
  <w:num w:numId="15" w16cid:durableId="2143841889">
    <w:abstractNumId w:val="43"/>
  </w:num>
  <w:num w:numId="16" w16cid:durableId="1650208985">
    <w:abstractNumId w:val="24"/>
  </w:num>
  <w:num w:numId="17" w16cid:durableId="1051228221">
    <w:abstractNumId w:val="3"/>
  </w:num>
  <w:num w:numId="18" w16cid:durableId="579827465">
    <w:abstractNumId w:val="55"/>
  </w:num>
  <w:num w:numId="19" w16cid:durableId="857735274">
    <w:abstractNumId w:val="1"/>
  </w:num>
  <w:num w:numId="20" w16cid:durableId="1009328463">
    <w:abstractNumId w:val="13"/>
  </w:num>
  <w:num w:numId="21" w16cid:durableId="1739398107">
    <w:abstractNumId w:val="54"/>
  </w:num>
  <w:num w:numId="22" w16cid:durableId="1514949974">
    <w:abstractNumId w:val="31"/>
  </w:num>
  <w:num w:numId="23" w16cid:durableId="1504972256">
    <w:abstractNumId w:val="0"/>
  </w:num>
  <w:num w:numId="24" w16cid:durableId="2073458430">
    <w:abstractNumId w:val="60"/>
  </w:num>
  <w:num w:numId="25" w16cid:durableId="532886189">
    <w:abstractNumId w:val="19"/>
  </w:num>
  <w:num w:numId="26" w16cid:durableId="1909342239">
    <w:abstractNumId w:val="66"/>
  </w:num>
  <w:num w:numId="27" w16cid:durableId="1953126685">
    <w:abstractNumId w:val="50"/>
  </w:num>
  <w:num w:numId="28" w16cid:durableId="1382948834">
    <w:abstractNumId w:val="4"/>
  </w:num>
  <w:num w:numId="29" w16cid:durableId="189993167">
    <w:abstractNumId w:val="58"/>
  </w:num>
  <w:num w:numId="30" w16cid:durableId="643046576">
    <w:abstractNumId w:val="51"/>
  </w:num>
  <w:num w:numId="31" w16cid:durableId="86075861">
    <w:abstractNumId w:val="22"/>
  </w:num>
  <w:num w:numId="32" w16cid:durableId="1587109976">
    <w:abstractNumId w:val="23"/>
  </w:num>
  <w:num w:numId="33" w16cid:durableId="839320445">
    <w:abstractNumId w:val="2"/>
  </w:num>
  <w:num w:numId="34" w16cid:durableId="5085626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39471501">
    <w:abstractNumId w:val="49"/>
  </w:num>
  <w:num w:numId="36" w16cid:durableId="1021737669">
    <w:abstractNumId w:val="42"/>
  </w:num>
  <w:num w:numId="37" w16cid:durableId="1502431956">
    <w:abstractNumId w:val="9"/>
  </w:num>
  <w:num w:numId="38" w16cid:durableId="1961304579">
    <w:abstractNumId w:val="63"/>
  </w:num>
  <w:num w:numId="39" w16cid:durableId="1744523167">
    <w:abstractNumId w:val="52"/>
  </w:num>
  <w:num w:numId="40" w16cid:durableId="1093402757">
    <w:abstractNumId w:val="21"/>
  </w:num>
  <w:num w:numId="41" w16cid:durableId="780494806">
    <w:abstractNumId w:val="64"/>
  </w:num>
  <w:num w:numId="42" w16cid:durableId="857623695">
    <w:abstractNumId w:val="47"/>
  </w:num>
  <w:num w:numId="43" w16cid:durableId="521671044">
    <w:abstractNumId w:val="29"/>
  </w:num>
  <w:num w:numId="44" w16cid:durableId="184289508">
    <w:abstractNumId w:val="16"/>
  </w:num>
  <w:num w:numId="45" w16cid:durableId="1068113918">
    <w:abstractNumId w:val="6"/>
  </w:num>
  <w:num w:numId="46" w16cid:durableId="1263995315">
    <w:abstractNumId w:val="45"/>
  </w:num>
  <w:num w:numId="47" w16cid:durableId="481195836">
    <w:abstractNumId w:val="59"/>
  </w:num>
  <w:num w:numId="48" w16cid:durableId="790629887">
    <w:abstractNumId w:val="15"/>
  </w:num>
  <w:num w:numId="49" w16cid:durableId="467162597">
    <w:abstractNumId w:val="67"/>
  </w:num>
  <w:num w:numId="50" w16cid:durableId="274869776">
    <w:abstractNumId w:val="12"/>
  </w:num>
  <w:num w:numId="51" w16cid:durableId="89083386">
    <w:abstractNumId w:val="18"/>
  </w:num>
  <w:num w:numId="52" w16cid:durableId="300035274">
    <w:abstractNumId w:val="18"/>
  </w:num>
  <w:num w:numId="53" w16cid:durableId="78911764">
    <w:abstractNumId w:val="18"/>
  </w:num>
  <w:num w:numId="54" w16cid:durableId="457066682">
    <w:abstractNumId w:val="18"/>
  </w:num>
  <w:num w:numId="55" w16cid:durableId="2023629623">
    <w:abstractNumId w:val="32"/>
  </w:num>
  <w:num w:numId="56" w16cid:durableId="1973169195">
    <w:abstractNumId w:val="17"/>
  </w:num>
  <w:num w:numId="57" w16cid:durableId="1809930614">
    <w:abstractNumId w:val="8"/>
  </w:num>
  <w:num w:numId="58" w16cid:durableId="963342004">
    <w:abstractNumId w:val="33"/>
  </w:num>
  <w:num w:numId="59" w16cid:durableId="633562275">
    <w:abstractNumId w:val="14"/>
  </w:num>
  <w:num w:numId="60" w16cid:durableId="411006718">
    <w:abstractNumId w:val="39"/>
  </w:num>
  <w:num w:numId="61" w16cid:durableId="1944804903">
    <w:abstractNumId w:val="61"/>
  </w:num>
  <w:num w:numId="62" w16cid:durableId="511801061">
    <w:abstractNumId w:val="41"/>
  </w:num>
  <w:num w:numId="63" w16cid:durableId="935864541">
    <w:abstractNumId w:val="11"/>
  </w:num>
  <w:num w:numId="64" w16cid:durableId="54744941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764837782">
    <w:abstractNumId w:val="3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086850449">
    <w:abstractNumId w:val="48"/>
  </w:num>
  <w:num w:numId="67" w16cid:durableId="299458003">
    <w:abstractNumId w:val="35"/>
  </w:num>
  <w:num w:numId="68" w16cid:durableId="1914050744">
    <w:abstractNumId w:val="5"/>
  </w:num>
  <w:num w:numId="69" w16cid:durableId="2106654964">
    <w:abstractNumId w:val="40"/>
  </w:num>
  <w:num w:numId="70" w16cid:durableId="1051153656">
    <w:abstractNumId w:val="68"/>
  </w:num>
  <w:num w:numId="71" w16cid:durableId="994920911">
    <w:abstractNumId w:val="68"/>
  </w:num>
  <w:num w:numId="72" w16cid:durableId="382027245">
    <w:abstractNumId w:val="18"/>
  </w:num>
  <w:num w:numId="73" w16cid:durableId="1360742174">
    <w:abstractNumId w:val="18"/>
  </w:num>
  <w:num w:numId="74" w16cid:durableId="1280601478">
    <w:abstractNumId w:val="18"/>
  </w:num>
  <w:num w:numId="75" w16cid:durableId="2117558521">
    <w:abstractNumId w:val="7"/>
  </w:num>
  <w:num w:numId="76" w16cid:durableId="2061198978">
    <w:abstractNumId w:val="18"/>
  </w:num>
  <w:num w:numId="77" w16cid:durableId="1914121579">
    <w:abstractNumId w:val="18"/>
  </w:num>
  <w:num w:numId="78" w16cid:durableId="990519109">
    <w:abstractNumId w:val="18"/>
  </w:num>
  <w:num w:numId="79" w16cid:durableId="590705670">
    <w:abstractNumId w:val="18"/>
  </w:num>
  <w:num w:numId="80" w16cid:durableId="593320841">
    <w:abstractNumId w:val="18"/>
  </w:num>
  <w:num w:numId="81" w16cid:durableId="1151748030">
    <w:abstractNumId w:val="18"/>
  </w:num>
  <w:num w:numId="82" w16cid:durableId="1829980547">
    <w:abstractNumId w:val="18"/>
  </w:num>
  <w:num w:numId="83" w16cid:durableId="1953780091">
    <w:abstractNumId w:val="18"/>
  </w:num>
  <w:num w:numId="84" w16cid:durableId="1403865326">
    <w:abstractNumId w:val="18"/>
  </w:num>
  <w:num w:numId="85" w16cid:durableId="1938097514">
    <w:abstractNumId w:val="18"/>
  </w:num>
  <w:num w:numId="86" w16cid:durableId="1072310303">
    <w:abstractNumId w:val="18"/>
  </w:num>
  <w:num w:numId="87" w16cid:durableId="1901552858">
    <w:abstractNumId w:val="18"/>
  </w:num>
  <w:num w:numId="88" w16cid:durableId="1788087954">
    <w:abstractNumId w:val="18"/>
  </w:num>
  <w:num w:numId="89" w16cid:durableId="1061058284">
    <w:abstractNumId w:val="18"/>
  </w:num>
  <w:num w:numId="90" w16cid:durableId="1374235929">
    <w:abstractNumId w:val="18"/>
  </w:num>
  <w:num w:numId="91" w16cid:durableId="63376726">
    <w:abstractNumId w:val="18"/>
  </w:num>
  <w:num w:numId="92" w16cid:durableId="538275460">
    <w:abstractNumId w:val="18"/>
  </w:num>
  <w:num w:numId="93" w16cid:durableId="1845121107">
    <w:abstractNumId w:val="18"/>
  </w:num>
  <w:num w:numId="94" w16cid:durableId="2063478277">
    <w:abstractNumId w:val="18"/>
  </w:num>
  <w:num w:numId="95" w16cid:durableId="1886331533">
    <w:abstractNumId w:val="18"/>
  </w:num>
  <w:num w:numId="96" w16cid:durableId="1213955783">
    <w:abstractNumId w:val="18"/>
  </w:num>
  <w:num w:numId="97" w16cid:durableId="685139342">
    <w:abstractNumId w:val="18"/>
  </w:num>
  <w:num w:numId="98" w16cid:durableId="1814329394">
    <w:abstractNumId w:val="18"/>
  </w:num>
  <w:num w:numId="99" w16cid:durableId="1362390294">
    <w:abstractNumId w:val="18"/>
  </w:num>
  <w:num w:numId="100" w16cid:durableId="1512571489">
    <w:abstractNumId w:val="18"/>
  </w:num>
  <w:num w:numId="101" w16cid:durableId="1181747146">
    <w:abstractNumId w:val="18"/>
  </w:num>
  <w:num w:numId="102" w16cid:durableId="1089496603">
    <w:abstractNumId w:val="18"/>
  </w:num>
  <w:num w:numId="103" w16cid:durableId="1783764243">
    <w:abstractNumId w:val="18"/>
  </w:num>
  <w:num w:numId="104" w16cid:durableId="48579559">
    <w:abstractNumId w:val="68"/>
  </w:num>
  <w:num w:numId="105" w16cid:durableId="1330912731">
    <w:abstractNumId w:val="2"/>
  </w:num>
  <w:num w:numId="106" w16cid:durableId="165825602">
    <w:abstractNumId w:val="46"/>
  </w:num>
  <w:num w:numId="107" w16cid:durableId="2033798833">
    <w:abstractNumId w:val="28"/>
  </w:num>
  <w:num w:numId="108" w16cid:durableId="87236952">
    <w:abstractNumId w:val="18"/>
  </w:num>
  <w:num w:numId="109" w16cid:durableId="524100589">
    <w:abstractNumId w:val="30"/>
  </w:num>
  <w:num w:numId="110" w16cid:durableId="212040858">
    <w:abstractNumId w:val="18"/>
    <w:lvlOverride w:ilvl="0">
      <w:startOverride w:val="1"/>
    </w:lvlOverride>
  </w:num>
  <w:num w:numId="111" w16cid:durableId="320307139">
    <w:abstractNumId w:val="1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CC6"/>
    <w:rsid w:val="0000011E"/>
    <w:rsid w:val="0000014B"/>
    <w:rsid w:val="000002AD"/>
    <w:rsid w:val="000002F1"/>
    <w:rsid w:val="000002F6"/>
    <w:rsid w:val="0000033D"/>
    <w:rsid w:val="00000426"/>
    <w:rsid w:val="0000044D"/>
    <w:rsid w:val="0000044F"/>
    <w:rsid w:val="00000472"/>
    <w:rsid w:val="000004AE"/>
    <w:rsid w:val="000005DD"/>
    <w:rsid w:val="00000664"/>
    <w:rsid w:val="000006FF"/>
    <w:rsid w:val="00000746"/>
    <w:rsid w:val="00000796"/>
    <w:rsid w:val="000007B7"/>
    <w:rsid w:val="000007CA"/>
    <w:rsid w:val="00000816"/>
    <w:rsid w:val="00000823"/>
    <w:rsid w:val="00000865"/>
    <w:rsid w:val="00000874"/>
    <w:rsid w:val="0000090F"/>
    <w:rsid w:val="00000948"/>
    <w:rsid w:val="00000980"/>
    <w:rsid w:val="0000098A"/>
    <w:rsid w:val="000009A6"/>
    <w:rsid w:val="00000A82"/>
    <w:rsid w:val="00000A9B"/>
    <w:rsid w:val="00000B13"/>
    <w:rsid w:val="00000BCD"/>
    <w:rsid w:val="00000C82"/>
    <w:rsid w:val="00000C84"/>
    <w:rsid w:val="00000CE5"/>
    <w:rsid w:val="00000D60"/>
    <w:rsid w:val="00000DB6"/>
    <w:rsid w:val="00000DBE"/>
    <w:rsid w:val="00000EE1"/>
    <w:rsid w:val="00000F12"/>
    <w:rsid w:val="00000F1F"/>
    <w:rsid w:val="00001188"/>
    <w:rsid w:val="000011BF"/>
    <w:rsid w:val="000012A4"/>
    <w:rsid w:val="00001652"/>
    <w:rsid w:val="000016D8"/>
    <w:rsid w:val="000017E7"/>
    <w:rsid w:val="0000183D"/>
    <w:rsid w:val="00001970"/>
    <w:rsid w:val="00001976"/>
    <w:rsid w:val="00001A3C"/>
    <w:rsid w:val="00001B5D"/>
    <w:rsid w:val="00001B90"/>
    <w:rsid w:val="00001C0C"/>
    <w:rsid w:val="00001C35"/>
    <w:rsid w:val="00001CF4"/>
    <w:rsid w:val="00001EB5"/>
    <w:rsid w:val="00001F45"/>
    <w:rsid w:val="00001F88"/>
    <w:rsid w:val="00001FC9"/>
    <w:rsid w:val="00001FDE"/>
    <w:rsid w:val="00002089"/>
    <w:rsid w:val="0000208A"/>
    <w:rsid w:val="000020C2"/>
    <w:rsid w:val="00002120"/>
    <w:rsid w:val="0000221D"/>
    <w:rsid w:val="00002363"/>
    <w:rsid w:val="000023A2"/>
    <w:rsid w:val="000024BB"/>
    <w:rsid w:val="000024D3"/>
    <w:rsid w:val="000024F9"/>
    <w:rsid w:val="00002541"/>
    <w:rsid w:val="00002712"/>
    <w:rsid w:val="0000291D"/>
    <w:rsid w:val="0000292B"/>
    <w:rsid w:val="00002995"/>
    <w:rsid w:val="00002A15"/>
    <w:rsid w:val="00002A65"/>
    <w:rsid w:val="00002AED"/>
    <w:rsid w:val="00002BCF"/>
    <w:rsid w:val="00002C7F"/>
    <w:rsid w:val="00002CBC"/>
    <w:rsid w:val="00002D7D"/>
    <w:rsid w:val="00002DBF"/>
    <w:rsid w:val="00002DC0"/>
    <w:rsid w:val="00002E25"/>
    <w:rsid w:val="00002E2D"/>
    <w:rsid w:val="00002EB0"/>
    <w:rsid w:val="00002EF5"/>
    <w:rsid w:val="00002F09"/>
    <w:rsid w:val="00002F7E"/>
    <w:rsid w:val="00002F9C"/>
    <w:rsid w:val="00002FB1"/>
    <w:rsid w:val="0000301F"/>
    <w:rsid w:val="00003020"/>
    <w:rsid w:val="00003088"/>
    <w:rsid w:val="0000309F"/>
    <w:rsid w:val="00003114"/>
    <w:rsid w:val="00003138"/>
    <w:rsid w:val="000031DF"/>
    <w:rsid w:val="00003206"/>
    <w:rsid w:val="00003273"/>
    <w:rsid w:val="000033C9"/>
    <w:rsid w:val="0000352E"/>
    <w:rsid w:val="000036BF"/>
    <w:rsid w:val="000036FB"/>
    <w:rsid w:val="00003807"/>
    <w:rsid w:val="0000387C"/>
    <w:rsid w:val="0000395E"/>
    <w:rsid w:val="00003CA4"/>
    <w:rsid w:val="00003D43"/>
    <w:rsid w:val="00003D63"/>
    <w:rsid w:val="00003DF1"/>
    <w:rsid w:val="00003FF3"/>
    <w:rsid w:val="00004272"/>
    <w:rsid w:val="000042F3"/>
    <w:rsid w:val="0000433A"/>
    <w:rsid w:val="000043B3"/>
    <w:rsid w:val="000044DB"/>
    <w:rsid w:val="00004729"/>
    <w:rsid w:val="0000476E"/>
    <w:rsid w:val="00004776"/>
    <w:rsid w:val="0000484B"/>
    <w:rsid w:val="000048B1"/>
    <w:rsid w:val="000048B4"/>
    <w:rsid w:val="000048C6"/>
    <w:rsid w:val="00004957"/>
    <w:rsid w:val="00004A72"/>
    <w:rsid w:val="00004A9C"/>
    <w:rsid w:val="00004ACF"/>
    <w:rsid w:val="00004AD7"/>
    <w:rsid w:val="00004BA3"/>
    <w:rsid w:val="00004C2B"/>
    <w:rsid w:val="00004C7C"/>
    <w:rsid w:val="00004F01"/>
    <w:rsid w:val="00004FC2"/>
    <w:rsid w:val="00005363"/>
    <w:rsid w:val="00005376"/>
    <w:rsid w:val="00005446"/>
    <w:rsid w:val="00005469"/>
    <w:rsid w:val="000054F0"/>
    <w:rsid w:val="000055EC"/>
    <w:rsid w:val="000055F2"/>
    <w:rsid w:val="0000573D"/>
    <w:rsid w:val="000057E9"/>
    <w:rsid w:val="00005814"/>
    <w:rsid w:val="0000586F"/>
    <w:rsid w:val="000059F7"/>
    <w:rsid w:val="00005AF4"/>
    <w:rsid w:val="00005B73"/>
    <w:rsid w:val="00005D31"/>
    <w:rsid w:val="00005D86"/>
    <w:rsid w:val="00005DF3"/>
    <w:rsid w:val="00005E53"/>
    <w:rsid w:val="000060EB"/>
    <w:rsid w:val="0000616F"/>
    <w:rsid w:val="0000632D"/>
    <w:rsid w:val="00006338"/>
    <w:rsid w:val="000063B1"/>
    <w:rsid w:val="00006452"/>
    <w:rsid w:val="000065B4"/>
    <w:rsid w:val="0000661F"/>
    <w:rsid w:val="00006801"/>
    <w:rsid w:val="00006851"/>
    <w:rsid w:val="0000698C"/>
    <w:rsid w:val="00006C72"/>
    <w:rsid w:val="00006CFB"/>
    <w:rsid w:val="00006D34"/>
    <w:rsid w:val="00006D7D"/>
    <w:rsid w:val="00006DBE"/>
    <w:rsid w:val="00006E66"/>
    <w:rsid w:val="00006EB2"/>
    <w:rsid w:val="00006F3F"/>
    <w:rsid w:val="00006FD1"/>
    <w:rsid w:val="00006FE7"/>
    <w:rsid w:val="00006FE8"/>
    <w:rsid w:val="000070EE"/>
    <w:rsid w:val="0000724B"/>
    <w:rsid w:val="0000739B"/>
    <w:rsid w:val="0000741F"/>
    <w:rsid w:val="000074A3"/>
    <w:rsid w:val="000074E7"/>
    <w:rsid w:val="000075CE"/>
    <w:rsid w:val="000078E3"/>
    <w:rsid w:val="00007A32"/>
    <w:rsid w:val="00007ABD"/>
    <w:rsid w:val="00007B23"/>
    <w:rsid w:val="00007B8E"/>
    <w:rsid w:val="00007BA8"/>
    <w:rsid w:val="00007BAF"/>
    <w:rsid w:val="00007BD4"/>
    <w:rsid w:val="00007C51"/>
    <w:rsid w:val="00007C58"/>
    <w:rsid w:val="00007C81"/>
    <w:rsid w:val="00007C98"/>
    <w:rsid w:val="00007F17"/>
    <w:rsid w:val="00007F53"/>
    <w:rsid w:val="00007FF7"/>
    <w:rsid w:val="0001009A"/>
    <w:rsid w:val="00010140"/>
    <w:rsid w:val="00010242"/>
    <w:rsid w:val="00010447"/>
    <w:rsid w:val="000104CE"/>
    <w:rsid w:val="00010663"/>
    <w:rsid w:val="0001078F"/>
    <w:rsid w:val="000107B8"/>
    <w:rsid w:val="000107E7"/>
    <w:rsid w:val="00010963"/>
    <w:rsid w:val="00010AD6"/>
    <w:rsid w:val="00010B3B"/>
    <w:rsid w:val="00010EA1"/>
    <w:rsid w:val="00010EC3"/>
    <w:rsid w:val="00010FF4"/>
    <w:rsid w:val="00011166"/>
    <w:rsid w:val="000111B7"/>
    <w:rsid w:val="000111E4"/>
    <w:rsid w:val="000113A8"/>
    <w:rsid w:val="000113AE"/>
    <w:rsid w:val="0001174B"/>
    <w:rsid w:val="00011773"/>
    <w:rsid w:val="00011788"/>
    <w:rsid w:val="00011793"/>
    <w:rsid w:val="000118DF"/>
    <w:rsid w:val="00011996"/>
    <w:rsid w:val="00011A22"/>
    <w:rsid w:val="00011A77"/>
    <w:rsid w:val="00011AE8"/>
    <w:rsid w:val="00011BCD"/>
    <w:rsid w:val="00011BDB"/>
    <w:rsid w:val="00011D33"/>
    <w:rsid w:val="00011E95"/>
    <w:rsid w:val="0001202E"/>
    <w:rsid w:val="00012094"/>
    <w:rsid w:val="000120AF"/>
    <w:rsid w:val="00012141"/>
    <w:rsid w:val="0001227F"/>
    <w:rsid w:val="00012318"/>
    <w:rsid w:val="0001249A"/>
    <w:rsid w:val="00012545"/>
    <w:rsid w:val="000125FC"/>
    <w:rsid w:val="000126B1"/>
    <w:rsid w:val="00012757"/>
    <w:rsid w:val="00012773"/>
    <w:rsid w:val="000128B8"/>
    <w:rsid w:val="00012A58"/>
    <w:rsid w:val="00012AA5"/>
    <w:rsid w:val="00012AC3"/>
    <w:rsid w:val="00012B57"/>
    <w:rsid w:val="00012B7D"/>
    <w:rsid w:val="00012BC8"/>
    <w:rsid w:val="00012BE7"/>
    <w:rsid w:val="00012C15"/>
    <w:rsid w:val="00012D3B"/>
    <w:rsid w:val="00012ED2"/>
    <w:rsid w:val="00012F50"/>
    <w:rsid w:val="00012F8C"/>
    <w:rsid w:val="00012F8E"/>
    <w:rsid w:val="0001302C"/>
    <w:rsid w:val="00013239"/>
    <w:rsid w:val="000132B9"/>
    <w:rsid w:val="00013306"/>
    <w:rsid w:val="000135A8"/>
    <w:rsid w:val="00013734"/>
    <w:rsid w:val="0001386B"/>
    <w:rsid w:val="00013892"/>
    <w:rsid w:val="000138D5"/>
    <w:rsid w:val="000139CB"/>
    <w:rsid w:val="000139D5"/>
    <w:rsid w:val="000139F3"/>
    <w:rsid w:val="00013A1D"/>
    <w:rsid w:val="00013D30"/>
    <w:rsid w:val="00013D7A"/>
    <w:rsid w:val="00013E59"/>
    <w:rsid w:val="00013E66"/>
    <w:rsid w:val="00013F20"/>
    <w:rsid w:val="00014073"/>
    <w:rsid w:val="000140AA"/>
    <w:rsid w:val="0001424B"/>
    <w:rsid w:val="00014358"/>
    <w:rsid w:val="0001442D"/>
    <w:rsid w:val="00014555"/>
    <w:rsid w:val="00014581"/>
    <w:rsid w:val="000145AB"/>
    <w:rsid w:val="000145D8"/>
    <w:rsid w:val="00014653"/>
    <w:rsid w:val="0001484B"/>
    <w:rsid w:val="00014879"/>
    <w:rsid w:val="000149EC"/>
    <w:rsid w:val="00014A24"/>
    <w:rsid w:val="00014A6C"/>
    <w:rsid w:val="00014A9F"/>
    <w:rsid w:val="00014AE2"/>
    <w:rsid w:val="00014DAF"/>
    <w:rsid w:val="00014F06"/>
    <w:rsid w:val="00014F22"/>
    <w:rsid w:val="00014F23"/>
    <w:rsid w:val="00014F67"/>
    <w:rsid w:val="00014FDE"/>
    <w:rsid w:val="0001502F"/>
    <w:rsid w:val="00015151"/>
    <w:rsid w:val="00015239"/>
    <w:rsid w:val="0001536D"/>
    <w:rsid w:val="000153D4"/>
    <w:rsid w:val="0001540A"/>
    <w:rsid w:val="000156FD"/>
    <w:rsid w:val="00015971"/>
    <w:rsid w:val="00015A96"/>
    <w:rsid w:val="00015ACC"/>
    <w:rsid w:val="00015AFA"/>
    <w:rsid w:val="00015B4A"/>
    <w:rsid w:val="00015BC4"/>
    <w:rsid w:val="00015EBD"/>
    <w:rsid w:val="00015F4C"/>
    <w:rsid w:val="00016258"/>
    <w:rsid w:val="00016386"/>
    <w:rsid w:val="0001663C"/>
    <w:rsid w:val="00016684"/>
    <w:rsid w:val="000166FC"/>
    <w:rsid w:val="00016716"/>
    <w:rsid w:val="00016814"/>
    <w:rsid w:val="00016865"/>
    <w:rsid w:val="00016959"/>
    <w:rsid w:val="00016996"/>
    <w:rsid w:val="000169DE"/>
    <w:rsid w:val="00016A78"/>
    <w:rsid w:val="00016ABD"/>
    <w:rsid w:val="00016B2B"/>
    <w:rsid w:val="00016D4A"/>
    <w:rsid w:val="00016D52"/>
    <w:rsid w:val="00016D87"/>
    <w:rsid w:val="00016DF4"/>
    <w:rsid w:val="00016E09"/>
    <w:rsid w:val="00016E2C"/>
    <w:rsid w:val="00016EEC"/>
    <w:rsid w:val="0001702A"/>
    <w:rsid w:val="000170A6"/>
    <w:rsid w:val="000171B7"/>
    <w:rsid w:val="0001720F"/>
    <w:rsid w:val="00017251"/>
    <w:rsid w:val="000173A1"/>
    <w:rsid w:val="00017426"/>
    <w:rsid w:val="00017443"/>
    <w:rsid w:val="000174BF"/>
    <w:rsid w:val="000174E8"/>
    <w:rsid w:val="0001753C"/>
    <w:rsid w:val="0001776B"/>
    <w:rsid w:val="00017903"/>
    <w:rsid w:val="00017975"/>
    <w:rsid w:val="00017AB7"/>
    <w:rsid w:val="00017ADD"/>
    <w:rsid w:val="00017B72"/>
    <w:rsid w:val="00017BAA"/>
    <w:rsid w:val="00017D99"/>
    <w:rsid w:val="00017E3B"/>
    <w:rsid w:val="00017E5D"/>
    <w:rsid w:val="00017E8C"/>
    <w:rsid w:val="00017EA2"/>
    <w:rsid w:val="00017FDB"/>
    <w:rsid w:val="00020039"/>
    <w:rsid w:val="000200BE"/>
    <w:rsid w:val="0002014B"/>
    <w:rsid w:val="000201C3"/>
    <w:rsid w:val="000201D0"/>
    <w:rsid w:val="000201DD"/>
    <w:rsid w:val="00020229"/>
    <w:rsid w:val="000202A0"/>
    <w:rsid w:val="000202E3"/>
    <w:rsid w:val="00020321"/>
    <w:rsid w:val="000203DA"/>
    <w:rsid w:val="0002054C"/>
    <w:rsid w:val="000205C1"/>
    <w:rsid w:val="00020725"/>
    <w:rsid w:val="00020766"/>
    <w:rsid w:val="00020785"/>
    <w:rsid w:val="00020A40"/>
    <w:rsid w:val="00020BC2"/>
    <w:rsid w:val="00020C64"/>
    <w:rsid w:val="00020C77"/>
    <w:rsid w:val="00020D2B"/>
    <w:rsid w:val="00020DD8"/>
    <w:rsid w:val="00020E52"/>
    <w:rsid w:val="00020F05"/>
    <w:rsid w:val="0002109B"/>
    <w:rsid w:val="0002125B"/>
    <w:rsid w:val="0002126A"/>
    <w:rsid w:val="000212C8"/>
    <w:rsid w:val="000212D7"/>
    <w:rsid w:val="00021309"/>
    <w:rsid w:val="0002135B"/>
    <w:rsid w:val="000213D0"/>
    <w:rsid w:val="00021605"/>
    <w:rsid w:val="00021855"/>
    <w:rsid w:val="00021865"/>
    <w:rsid w:val="000218FD"/>
    <w:rsid w:val="00021A14"/>
    <w:rsid w:val="00021A37"/>
    <w:rsid w:val="00021ABD"/>
    <w:rsid w:val="00021AD4"/>
    <w:rsid w:val="00021B8C"/>
    <w:rsid w:val="00021BCF"/>
    <w:rsid w:val="00021C17"/>
    <w:rsid w:val="00021C6E"/>
    <w:rsid w:val="00021D08"/>
    <w:rsid w:val="00021E2D"/>
    <w:rsid w:val="00021FFE"/>
    <w:rsid w:val="000220E6"/>
    <w:rsid w:val="00022164"/>
    <w:rsid w:val="00022217"/>
    <w:rsid w:val="0002225E"/>
    <w:rsid w:val="00022263"/>
    <w:rsid w:val="00022403"/>
    <w:rsid w:val="00022432"/>
    <w:rsid w:val="00022438"/>
    <w:rsid w:val="000224C3"/>
    <w:rsid w:val="00022567"/>
    <w:rsid w:val="00022574"/>
    <w:rsid w:val="000225C2"/>
    <w:rsid w:val="00022605"/>
    <w:rsid w:val="00022791"/>
    <w:rsid w:val="00022915"/>
    <w:rsid w:val="00022A77"/>
    <w:rsid w:val="00022AE7"/>
    <w:rsid w:val="00022B13"/>
    <w:rsid w:val="00022B42"/>
    <w:rsid w:val="00022BBF"/>
    <w:rsid w:val="00022DB5"/>
    <w:rsid w:val="00022E9F"/>
    <w:rsid w:val="00022F45"/>
    <w:rsid w:val="00022F86"/>
    <w:rsid w:val="00022FBF"/>
    <w:rsid w:val="00023018"/>
    <w:rsid w:val="000230C9"/>
    <w:rsid w:val="00023105"/>
    <w:rsid w:val="0002331C"/>
    <w:rsid w:val="00023470"/>
    <w:rsid w:val="000234BA"/>
    <w:rsid w:val="000234E5"/>
    <w:rsid w:val="0002352C"/>
    <w:rsid w:val="00023591"/>
    <w:rsid w:val="0002366B"/>
    <w:rsid w:val="000236CE"/>
    <w:rsid w:val="000237AE"/>
    <w:rsid w:val="000237D0"/>
    <w:rsid w:val="0002390F"/>
    <w:rsid w:val="00023A3A"/>
    <w:rsid w:val="00023AF0"/>
    <w:rsid w:val="00023B08"/>
    <w:rsid w:val="00023B56"/>
    <w:rsid w:val="00023B9B"/>
    <w:rsid w:val="00023C76"/>
    <w:rsid w:val="00023C8A"/>
    <w:rsid w:val="00023D03"/>
    <w:rsid w:val="00023D7E"/>
    <w:rsid w:val="00023D91"/>
    <w:rsid w:val="00023E9F"/>
    <w:rsid w:val="00023F7F"/>
    <w:rsid w:val="00023FFC"/>
    <w:rsid w:val="000240B8"/>
    <w:rsid w:val="000240D4"/>
    <w:rsid w:val="00024149"/>
    <w:rsid w:val="0002418C"/>
    <w:rsid w:val="00024457"/>
    <w:rsid w:val="0002447E"/>
    <w:rsid w:val="00024536"/>
    <w:rsid w:val="00024608"/>
    <w:rsid w:val="00024656"/>
    <w:rsid w:val="0002467B"/>
    <w:rsid w:val="00024698"/>
    <w:rsid w:val="000246F0"/>
    <w:rsid w:val="0002473D"/>
    <w:rsid w:val="00024769"/>
    <w:rsid w:val="000247BD"/>
    <w:rsid w:val="00024836"/>
    <w:rsid w:val="000248B8"/>
    <w:rsid w:val="0002496B"/>
    <w:rsid w:val="00024B28"/>
    <w:rsid w:val="00024B5F"/>
    <w:rsid w:val="00024BFC"/>
    <w:rsid w:val="00024E10"/>
    <w:rsid w:val="00024EBB"/>
    <w:rsid w:val="00024F28"/>
    <w:rsid w:val="00024F29"/>
    <w:rsid w:val="00024F4E"/>
    <w:rsid w:val="00024FAC"/>
    <w:rsid w:val="00025072"/>
    <w:rsid w:val="00025148"/>
    <w:rsid w:val="00025353"/>
    <w:rsid w:val="000253BA"/>
    <w:rsid w:val="00025561"/>
    <w:rsid w:val="00025658"/>
    <w:rsid w:val="00025756"/>
    <w:rsid w:val="00025770"/>
    <w:rsid w:val="000257E5"/>
    <w:rsid w:val="000257F1"/>
    <w:rsid w:val="00025878"/>
    <w:rsid w:val="000258F0"/>
    <w:rsid w:val="000259D4"/>
    <w:rsid w:val="00025A95"/>
    <w:rsid w:val="00025AE8"/>
    <w:rsid w:val="00025B2D"/>
    <w:rsid w:val="00025D2E"/>
    <w:rsid w:val="00025D49"/>
    <w:rsid w:val="00025DF4"/>
    <w:rsid w:val="00025E65"/>
    <w:rsid w:val="00025E6D"/>
    <w:rsid w:val="00025E75"/>
    <w:rsid w:val="00026024"/>
    <w:rsid w:val="00026030"/>
    <w:rsid w:val="00026063"/>
    <w:rsid w:val="00026106"/>
    <w:rsid w:val="00026220"/>
    <w:rsid w:val="00026311"/>
    <w:rsid w:val="0002635D"/>
    <w:rsid w:val="00026382"/>
    <w:rsid w:val="000265C1"/>
    <w:rsid w:val="000265D9"/>
    <w:rsid w:val="000266D9"/>
    <w:rsid w:val="00026800"/>
    <w:rsid w:val="0002683E"/>
    <w:rsid w:val="00026B73"/>
    <w:rsid w:val="00026BB0"/>
    <w:rsid w:val="00026BDC"/>
    <w:rsid w:val="00026C50"/>
    <w:rsid w:val="00026C97"/>
    <w:rsid w:val="00026CA5"/>
    <w:rsid w:val="00026CD4"/>
    <w:rsid w:val="00026CEE"/>
    <w:rsid w:val="00026D15"/>
    <w:rsid w:val="00026D4B"/>
    <w:rsid w:val="00026E06"/>
    <w:rsid w:val="00026E5E"/>
    <w:rsid w:val="00026ED0"/>
    <w:rsid w:val="00026EEC"/>
    <w:rsid w:val="00027109"/>
    <w:rsid w:val="000272EC"/>
    <w:rsid w:val="00027602"/>
    <w:rsid w:val="0002766F"/>
    <w:rsid w:val="00027735"/>
    <w:rsid w:val="000277AE"/>
    <w:rsid w:val="00027836"/>
    <w:rsid w:val="00027849"/>
    <w:rsid w:val="000278C2"/>
    <w:rsid w:val="000278F0"/>
    <w:rsid w:val="00027959"/>
    <w:rsid w:val="00027A06"/>
    <w:rsid w:val="00027AA1"/>
    <w:rsid w:val="00027B00"/>
    <w:rsid w:val="00027B45"/>
    <w:rsid w:val="00027B5E"/>
    <w:rsid w:val="00027BC3"/>
    <w:rsid w:val="00027BF2"/>
    <w:rsid w:val="00027D80"/>
    <w:rsid w:val="00027EC5"/>
    <w:rsid w:val="00027F76"/>
    <w:rsid w:val="000300B5"/>
    <w:rsid w:val="0003023C"/>
    <w:rsid w:val="000302B8"/>
    <w:rsid w:val="000303EB"/>
    <w:rsid w:val="00030407"/>
    <w:rsid w:val="000304AD"/>
    <w:rsid w:val="000304E8"/>
    <w:rsid w:val="00030517"/>
    <w:rsid w:val="000305AD"/>
    <w:rsid w:val="000305EE"/>
    <w:rsid w:val="000306A5"/>
    <w:rsid w:val="000306B7"/>
    <w:rsid w:val="0003071A"/>
    <w:rsid w:val="0003073F"/>
    <w:rsid w:val="0003076C"/>
    <w:rsid w:val="000307BF"/>
    <w:rsid w:val="000307C0"/>
    <w:rsid w:val="000307CF"/>
    <w:rsid w:val="000309BD"/>
    <w:rsid w:val="00030A19"/>
    <w:rsid w:val="00030A4C"/>
    <w:rsid w:val="00030A87"/>
    <w:rsid w:val="00030AC5"/>
    <w:rsid w:val="00030BA2"/>
    <w:rsid w:val="00030BFC"/>
    <w:rsid w:val="00030C15"/>
    <w:rsid w:val="00030C34"/>
    <w:rsid w:val="00030D22"/>
    <w:rsid w:val="00030DD7"/>
    <w:rsid w:val="00030DF9"/>
    <w:rsid w:val="00030E8C"/>
    <w:rsid w:val="00030EB5"/>
    <w:rsid w:val="00030F7D"/>
    <w:rsid w:val="00031070"/>
    <w:rsid w:val="00031076"/>
    <w:rsid w:val="000310B8"/>
    <w:rsid w:val="00031223"/>
    <w:rsid w:val="00031274"/>
    <w:rsid w:val="000312C5"/>
    <w:rsid w:val="000312DA"/>
    <w:rsid w:val="0003135B"/>
    <w:rsid w:val="00031510"/>
    <w:rsid w:val="0003153F"/>
    <w:rsid w:val="0003157A"/>
    <w:rsid w:val="000315DE"/>
    <w:rsid w:val="000315F5"/>
    <w:rsid w:val="000316BE"/>
    <w:rsid w:val="00031707"/>
    <w:rsid w:val="0003170E"/>
    <w:rsid w:val="00031716"/>
    <w:rsid w:val="000318A4"/>
    <w:rsid w:val="000318E8"/>
    <w:rsid w:val="00031A41"/>
    <w:rsid w:val="00031AAE"/>
    <w:rsid w:val="00031BA9"/>
    <w:rsid w:val="00031BBA"/>
    <w:rsid w:val="00031C97"/>
    <w:rsid w:val="00031D41"/>
    <w:rsid w:val="00031D5B"/>
    <w:rsid w:val="00031E4C"/>
    <w:rsid w:val="00031FC2"/>
    <w:rsid w:val="00032202"/>
    <w:rsid w:val="0003221A"/>
    <w:rsid w:val="00032288"/>
    <w:rsid w:val="000322D8"/>
    <w:rsid w:val="00032322"/>
    <w:rsid w:val="0003238F"/>
    <w:rsid w:val="00032471"/>
    <w:rsid w:val="00032610"/>
    <w:rsid w:val="00032678"/>
    <w:rsid w:val="0003269F"/>
    <w:rsid w:val="000326B0"/>
    <w:rsid w:val="000326FE"/>
    <w:rsid w:val="00032711"/>
    <w:rsid w:val="0003276D"/>
    <w:rsid w:val="00032848"/>
    <w:rsid w:val="00032891"/>
    <w:rsid w:val="0003298F"/>
    <w:rsid w:val="00032A46"/>
    <w:rsid w:val="00032C34"/>
    <w:rsid w:val="00032CC3"/>
    <w:rsid w:val="00032DE9"/>
    <w:rsid w:val="00032E38"/>
    <w:rsid w:val="00032E3F"/>
    <w:rsid w:val="00032E48"/>
    <w:rsid w:val="00032EBC"/>
    <w:rsid w:val="00032EC3"/>
    <w:rsid w:val="00032F3E"/>
    <w:rsid w:val="00032FA3"/>
    <w:rsid w:val="00032FCF"/>
    <w:rsid w:val="0003307C"/>
    <w:rsid w:val="000330C6"/>
    <w:rsid w:val="00033340"/>
    <w:rsid w:val="0003336E"/>
    <w:rsid w:val="000333E6"/>
    <w:rsid w:val="00033462"/>
    <w:rsid w:val="00033659"/>
    <w:rsid w:val="000336D9"/>
    <w:rsid w:val="00033780"/>
    <w:rsid w:val="00033798"/>
    <w:rsid w:val="0003383F"/>
    <w:rsid w:val="0003390E"/>
    <w:rsid w:val="00033A74"/>
    <w:rsid w:val="00033C57"/>
    <w:rsid w:val="00033D73"/>
    <w:rsid w:val="00033D78"/>
    <w:rsid w:val="00033E2D"/>
    <w:rsid w:val="00033F3D"/>
    <w:rsid w:val="00033F7B"/>
    <w:rsid w:val="00033FDB"/>
    <w:rsid w:val="00034037"/>
    <w:rsid w:val="000340F1"/>
    <w:rsid w:val="00034333"/>
    <w:rsid w:val="000344D8"/>
    <w:rsid w:val="000344EB"/>
    <w:rsid w:val="0003453C"/>
    <w:rsid w:val="00034619"/>
    <w:rsid w:val="000346C5"/>
    <w:rsid w:val="000346E4"/>
    <w:rsid w:val="0003472E"/>
    <w:rsid w:val="00034771"/>
    <w:rsid w:val="00034781"/>
    <w:rsid w:val="0003485A"/>
    <w:rsid w:val="000349AA"/>
    <w:rsid w:val="000349C1"/>
    <w:rsid w:val="00034A3B"/>
    <w:rsid w:val="00034B11"/>
    <w:rsid w:val="00034C12"/>
    <w:rsid w:val="00034DAC"/>
    <w:rsid w:val="00034E63"/>
    <w:rsid w:val="00034EA3"/>
    <w:rsid w:val="000350CB"/>
    <w:rsid w:val="00035115"/>
    <w:rsid w:val="00035146"/>
    <w:rsid w:val="000351F4"/>
    <w:rsid w:val="00035213"/>
    <w:rsid w:val="0003548F"/>
    <w:rsid w:val="00035735"/>
    <w:rsid w:val="00035898"/>
    <w:rsid w:val="000358BB"/>
    <w:rsid w:val="00035916"/>
    <w:rsid w:val="00035968"/>
    <w:rsid w:val="00035999"/>
    <w:rsid w:val="000359A3"/>
    <w:rsid w:val="000359B2"/>
    <w:rsid w:val="00035AFE"/>
    <w:rsid w:val="00035B0A"/>
    <w:rsid w:val="00035D6E"/>
    <w:rsid w:val="00035EA5"/>
    <w:rsid w:val="00035F29"/>
    <w:rsid w:val="00036227"/>
    <w:rsid w:val="0003626C"/>
    <w:rsid w:val="000362DD"/>
    <w:rsid w:val="000362F9"/>
    <w:rsid w:val="0003643D"/>
    <w:rsid w:val="00036579"/>
    <w:rsid w:val="00036697"/>
    <w:rsid w:val="000366CA"/>
    <w:rsid w:val="00036893"/>
    <w:rsid w:val="000368D5"/>
    <w:rsid w:val="00036949"/>
    <w:rsid w:val="000369F8"/>
    <w:rsid w:val="00036A9D"/>
    <w:rsid w:val="00036B6E"/>
    <w:rsid w:val="00036BB1"/>
    <w:rsid w:val="00036C20"/>
    <w:rsid w:val="00036C2A"/>
    <w:rsid w:val="00036E01"/>
    <w:rsid w:val="00036E35"/>
    <w:rsid w:val="00036E63"/>
    <w:rsid w:val="00036F4D"/>
    <w:rsid w:val="00036FD9"/>
    <w:rsid w:val="00036FFF"/>
    <w:rsid w:val="0003708E"/>
    <w:rsid w:val="000370EC"/>
    <w:rsid w:val="000372EC"/>
    <w:rsid w:val="00037352"/>
    <w:rsid w:val="00037598"/>
    <w:rsid w:val="000375C2"/>
    <w:rsid w:val="00037858"/>
    <w:rsid w:val="00037896"/>
    <w:rsid w:val="000378FF"/>
    <w:rsid w:val="0003795B"/>
    <w:rsid w:val="00037A77"/>
    <w:rsid w:val="00037A8B"/>
    <w:rsid w:val="00037BBE"/>
    <w:rsid w:val="00037C52"/>
    <w:rsid w:val="00037D04"/>
    <w:rsid w:val="00037D19"/>
    <w:rsid w:val="00037D2F"/>
    <w:rsid w:val="00037D3F"/>
    <w:rsid w:val="00037F06"/>
    <w:rsid w:val="00037FE9"/>
    <w:rsid w:val="00037FF0"/>
    <w:rsid w:val="00040048"/>
    <w:rsid w:val="00040059"/>
    <w:rsid w:val="0004039D"/>
    <w:rsid w:val="00040494"/>
    <w:rsid w:val="000404F5"/>
    <w:rsid w:val="00040502"/>
    <w:rsid w:val="000405FF"/>
    <w:rsid w:val="0004060B"/>
    <w:rsid w:val="000406BC"/>
    <w:rsid w:val="0004075A"/>
    <w:rsid w:val="000407FD"/>
    <w:rsid w:val="0004088B"/>
    <w:rsid w:val="00040943"/>
    <w:rsid w:val="000409C3"/>
    <w:rsid w:val="00040C28"/>
    <w:rsid w:val="00040D0A"/>
    <w:rsid w:val="00040E1A"/>
    <w:rsid w:val="00040E7E"/>
    <w:rsid w:val="00040EF4"/>
    <w:rsid w:val="00040FD0"/>
    <w:rsid w:val="00040FDC"/>
    <w:rsid w:val="000410B4"/>
    <w:rsid w:val="00041206"/>
    <w:rsid w:val="0004137C"/>
    <w:rsid w:val="0004140D"/>
    <w:rsid w:val="000414DD"/>
    <w:rsid w:val="0004156F"/>
    <w:rsid w:val="00041589"/>
    <w:rsid w:val="0004163E"/>
    <w:rsid w:val="00041715"/>
    <w:rsid w:val="00041847"/>
    <w:rsid w:val="000418D7"/>
    <w:rsid w:val="000419DB"/>
    <w:rsid w:val="00041A1E"/>
    <w:rsid w:val="00041B5D"/>
    <w:rsid w:val="00041BAE"/>
    <w:rsid w:val="00041D7F"/>
    <w:rsid w:val="00041DED"/>
    <w:rsid w:val="00041E44"/>
    <w:rsid w:val="00041E8A"/>
    <w:rsid w:val="00041EA1"/>
    <w:rsid w:val="00041EC2"/>
    <w:rsid w:val="00041F0B"/>
    <w:rsid w:val="00041F40"/>
    <w:rsid w:val="00041F71"/>
    <w:rsid w:val="00041F98"/>
    <w:rsid w:val="000420D5"/>
    <w:rsid w:val="000420D7"/>
    <w:rsid w:val="000420E5"/>
    <w:rsid w:val="000420FE"/>
    <w:rsid w:val="000421AE"/>
    <w:rsid w:val="000421DE"/>
    <w:rsid w:val="00042240"/>
    <w:rsid w:val="000423A5"/>
    <w:rsid w:val="00042755"/>
    <w:rsid w:val="00042758"/>
    <w:rsid w:val="00042890"/>
    <w:rsid w:val="0004295E"/>
    <w:rsid w:val="00042B27"/>
    <w:rsid w:val="00042B41"/>
    <w:rsid w:val="00042BA8"/>
    <w:rsid w:val="00042BCC"/>
    <w:rsid w:val="00042D8C"/>
    <w:rsid w:val="00042E0D"/>
    <w:rsid w:val="00042FB7"/>
    <w:rsid w:val="00042FDE"/>
    <w:rsid w:val="00043022"/>
    <w:rsid w:val="0004310B"/>
    <w:rsid w:val="00043135"/>
    <w:rsid w:val="00043370"/>
    <w:rsid w:val="000433A7"/>
    <w:rsid w:val="000433EC"/>
    <w:rsid w:val="00043472"/>
    <w:rsid w:val="0004355D"/>
    <w:rsid w:val="00043597"/>
    <w:rsid w:val="000435A4"/>
    <w:rsid w:val="000435A5"/>
    <w:rsid w:val="000435C0"/>
    <w:rsid w:val="0004369E"/>
    <w:rsid w:val="000436F6"/>
    <w:rsid w:val="0004378E"/>
    <w:rsid w:val="000437D0"/>
    <w:rsid w:val="000438B5"/>
    <w:rsid w:val="00043951"/>
    <w:rsid w:val="00043BB5"/>
    <w:rsid w:val="00043C4F"/>
    <w:rsid w:val="00043D49"/>
    <w:rsid w:val="00043E04"/>
    <w:rsid w:val="00043ED3"/>
    <w:rsid w:val="000440DA"/>
    <w:rsid w:val="00044141"/>
    <w:rsid w:val="00044155"/>
    <w:rsid w:val="0004416C"/>
    <w:rsid w:val="00044228"/>
    <w:rsid w:val="00044305"/>
    <w:rsid w:val="000444BB"/>
    <w:rsid w:val="0004458E"/>
    <w:rsid w:val="00044664"/>
    <w:rsid w:val="000446C3"/>
    <w:rsid w:val="00044747"/>
    <w:rsid w:val="0004497B"/>
    <w:rsid w:val="00044992"/>
    <w:rsid w:val="000449A9"/>
    <w:rsid w:val="000449E2"/>
    <w:rsid w:val="00044D58"/>
    <w:rsid w:val="00044D72"/>
    <w:rsid w:val="00044D7D"/>
    <w:rsid w:val="00044DA7"/>
    <w:rsid w:val="00044E55"/>
    <w:rsid w:val="00044E7A"/>
    <w:rsid w:val="000451E7"/>
    <w:rsid w:val="00045218"/>
    <w:rsid w:val="0004523A"/>
    <w:rsid w:val="000453B4"/>
    <w:rsid w:val="00045406"/>
    <w:rsid w:val="00045440"/>
    <w:rsid w:val="000454C5"/>
    <w:rsid w:val="0004558F"/>
    <w:rsid w:val="000455AA"/>
    <w:rsid w:val="000456E9"/>
    <w:rsid w:val="000457CF"/>
    <w:rsid w:val="00045849"/>
    <w:rsid w:val="000458D9"/>
    <w:rsid w:val="000458F6"/>
    <w:rsid w:val="0004593F"/>
    <w:rsid w:val="00045969"/>
    <w:rsid w:val="000459ED"/>
    <w:rsid w:val="00045A1E"/>
    <w:rsid w:val="00045ACC"/>
    <w:rsid w:val="00045BF5"/>
    <w:rsid w:val="00045C87"/>
    <w:rsid w:val="00045E19"/>
    <w:rsid w:val="00045EEE"/>
    <w:rsid w:val="00045F04"/>
    <w:rsid w:val="00045F65"/>
    <w:rsid w:val="00045F77"/>
    <w:rsid w:val="000461FD"/>
    <w:rsid w:val="00046442"/>
    <w:rsid w:val="00046464"/>
    <w:rsid w:val="000464B0"/>
    <w:rsid w:val="000464FD"/>
    <w:rsid w:val="0004650E"/>
    <w:rsid w:val="000465A7"/>
    <w:rsid w:val="00046703"/>
    <w:rsid w:val="0004675E"/>
    <w:rsid w:val="000468F0"/>
    <w:rsid w:val="00046B36"/>
    <w:rsid w:val="00046C29"/>
    <w:rsid w:val="00046DFD"/>
    <w:rsid w:val="00046EC3"/>
    <w:rsid w:val="000470CC"/>
    <w:rsid w:val="00047122"/>
    <w:rsid w:val="0004736A"/>
    <w:rsid w:val="0004736B"/>
    <w:rsid w:val="000473B9"/>
    <w:rsid w:val="0004749E"/>
    <w:rsid w:val="000475B4"/>
    <w:rsid w:val="00047605"/>
    <w:rsid w:val="0004761F"/>
    <w:rsid w:val="0004764E"/>
    <w:rsid w:val="000476A9"/>
    <w:rsid w:val="0004777D"/>
    <w:rsid w:val="000477C6"/>
    <w:rsid w:val="00047830"/>
    <w:rsid w:val="000478A2"/>
    <w:rsid w:val="00047961"/>
    <w:rsid w:val="00047A00"/>
    <w:rsid w:val="00047AA3"/>
    <w:rsid w:val="00047C49"/>
    <w:rsid w:val="00047F5C"/>
    <w:rsid w:val="000500D9"/>
    <w:rsid w:val="00050166"/>
    <w:rsid w:val="00050180"/>
    <w:rsid w:val="000503D7"/>
    <w:rsid w:val="000503E3"/>
    <w:rsid w:val="00050404"/>
    <w:rsid w:val="0005046B"/>
    <w:rsid w:val="0005048F"/>
    <w:rsid w:val="00050517"/>
    <w:rsid w:val="0005052E"/>
    <w:rsid w:val="0005054B"/>
    <w:rsid w:val="00050653"/>
    <w:rsid w:val="000506DC"/>
    <w:rsid w:val="00050965"/>
    <w:rsid w:val="00050ADA"/>
    <w:rsid w:val="00050B6E"/>
    <w:rsid w:val="00050BCF"/>
    <w:rsid w:val="00050CBF"/>
    <w:rsid w:val="00050D1E"/>
    <w:rsid w:val="00050D73"/>
    <w:rsid w:val="00050D78"/>
    <w:rsid w:val="00050DD6"/>
    <w:rsid w:val="00050E44"/>
    <w:rsid w:val="00050E6A"/>
    <w:rsid w:val="00050E8E"/>
    <w:rsid w:val="00050EC4"/>
    <w:rsid w:val="00050F6E"/>
    <w:rsid w:val="00050F78"/>
    <w:rsid w:val="00051001"/>
    <w:rsid w:val="00051222"/>
    <w:rsid w:val="00051238"/>
    <w:rsid w:val="000512ED"/>
    <w:rsid w:val="0005132B"/>
    <w:rsid w:val="0005134A"/>
    <w:rsid w:val="00051456"/>
    <w:rsid w:val="000516AE"/>
    <w:rsid w:val="00051712"/>
    <w:rsid w:val="000517DA"/>
    <w:rsid w:val="0005195F"/>
    <w:rsid w:val="0005199D"/>
    <w:rsid w:val="000519A9"/>
    <w:rsid w:val="00051AA4"/>
    <w:rsid w:val="00051B46"/>
    <w:rsid w:val="00051B84"/>
    <w:rsid w:val="00051BE2"/>
    <w:rsid w:val="00051C78"/>
    <w:rsid w:val="00051C9A"/>
    <w:rsid w:val="00051CBA"/>
    <w:rsid w:val="00051E0E"/>
    <w:rsid w:val="00051EED"/>
    <w:rsid w:val="00051F5E"/>
    <w:rsid w:val="00051FA9"/>
    <w:rsid w:val="00052063"/>
    <w:rsid w:val="00052095"/>
    <w:rsid w:val="0005240B"/>
    <w:rsid w:val="0005244D"/>
    <w:rsid w:val="000524BD"/>
    <w:rsid w:val="000524DD"/>
    <w:rsid w:val="00052598"/>
    <w:rsid w:val="00052654"/>
    <w:rsid w:val="000527D8"/>
    <w:rsid w:val="00052861"/>
    <w:rsid w:val="00052979"/>
    <w:rsid w:val="00052D15"/>
    <w:rsid w:val="00052D1B"/>
    <w:rsid w:val="00052D36"/>
    <w:rsid w:val="00052EC1"/>
    <w:rsid w:val="00052FF0"/>
    <w:rsid w:val="00053157"/>
    <w:rsid w:val="0005315F"/>
    <w:rsid w:val="00053188"/>
    <w:rsid w:val="00053203"/>
    <w:rsid w:val="0005324C"/>
    <w:rsid w:val="00053377"/>
    <w:rsid w:val="000534D9"/>
    <w:rsid w:val="000535B8"/>
    <w:rsid w:val="00053601"/>
    <w:rsid w:val="000536A4"/>
    <w:rsid w:val="000536C2"/>
    <w:rsid w:val="000536DD"/>
    <w:rsid w:val="00053735"/>
    <w:rsid w:val="00053746"/>
    <w:rsid w:val="0005374C"/>
    <w:rsid w:val="0005379A"/>
    <w:rsid w:val="00053848"/>
    <w:rsid w:val="00053888"/>
    <w:rsid w:val="0005388E"/>
    <w:rsid w:val="000539F2"/>
    <w:rsid w:val="00053A17"/>
    <w:rsid w:val="00053AA5"/>
    <w:rsid w:val="00053B0D"/>
    <w:rsid w:val="00053B18"/>
    <w:rsid w:val="00053BBD"/>
    <w:rsid w:val="00053BD6"/>
    <w:rsid w:val="00053BD7"/>
    <w:rsid w:val="00053C42"/>
    <w:rsid w:val="00053D2B"/>
    <w:rsid w:val="00053D62"/>
    <w:rsid w:val="00053D6E"/>
    <w:rsid w:val="00053E60"/>
    <w:rsid w:val="00053EDC"/>
    <w:rsid w:val="00053EE1"/>
    <w:rsid w:val="00053EEE"/>
    <w:rsid w:val="00053F0B"/>
    <w:rsid w:val="0005403F"/>
    <w:rsid w:val="00054053"/>
    <w:rsid w:val="0005407F"/>
    <w:rsid w:val="0005413D"/>
    <w:rsid w:val="0005428A"/>
    <w:rsid w:val="000543A5"/>
    <w:rsid w:val="000543CA"/>
    <w:rsid w:val="000545D3"/>
    <w:rsid w:val="000545E4"/>
    <w:rsid w:val="00054634"/>
    <w:rsid w:val="0005478C"/>
    <w:rsid w:val="0005478D"/>
    <w:rsid w:val="00054920"/>
    <w:rsid w:val="00054986"/>
    <w:rsid w:val="000549C7"/>
    <w:rsid w:val="00054A68"/>
    <w:rsid w:val="00054B17"/>
    <w:rsid w:val="00054B57"/>
    <w:rsid w:val="00054C1E"/>
    <w:rsid w:val="00054CC1"/>
    <w:rsid w:val="00054E1D"/>
    <w:rsid w:val="00054E7E"/>
    <w:rsid w:val="00054EB3"/>
    <w:rsid w:val="00054F10"/>
    <w:rsid w:val="00054F1C"/>
    <w:rsid w:val="00054FA5"/>
    <w:rsid w:val="00055089"/>
    <w:rsid w:val="0005511C"/>
    <w:rsid w:val="0005513B"/>
    <w:rsid w:val="00055189"/>
    <w:rsid w:val="000551DF"/>
    <w:rsid w:val="000551FF"/>
    <w:rsid w:val="00055256"/>
    <w:rsid w:val="00055273"/>
    <w:rsid w:val="000553C3"/>
    <w:rsid w:val="000556FD"/>
    <w:rsid w:val="00055799"/>
    <w:rsid w:val="000557F8"/>
    <w:rsid w:val="0005581B"/>
    <w:rsid w:val="00055850"/>
    <w:rsid w:val="00055876"/>
    <w:rsid w:val="000558E8"/>
    <w:rsid w:val="00055A86"/>
    <w:rsid w:val="00055B0B"/>
    <w:rsid w:val="00055BB8"/>
    <w:rsid w:val="00055BBD"/>
    <w:rsid w:val="00055C57"/>
    <w:rsid w:val="00055D0C"/>
    <w:rsid w:val="00055DFC"/>
    <w:rsid w:val="00055E0A"/>
    <w:rsid w:val="00055ED4"/>
    <w:rsid w:val="00055FE6"/>
    <w:rsid w:val="000560B9"/>
    <w:rsid w:val="00056130"/>
    <w:rsid w:val="00056134"/>
    <w:rsid w:val="00056160"/>
    <w:rsid w:val="00056163"/>
    <w:rsid w:val="000561C0"/>
    <w:rsid w:val="000561FF"/>
    <w:rsid w:val="0005637E"/>
    <w:rsid w:val="000564FA"/>
    <w:rsid w:val="0005666D"/>
    <w:rsid w:val="000566B2"/>
    <w:rsid w:val="00056726"/>
    <w:rsid w:val="00056915"/>
    <w:rsid w:val="00056939"/>
    <w:rsid w:val="00056941"/>
    <w:rsid w:val="00056A16"/>
    <w:rsid w:val="00056AA0"/>
    <w:rsid w:val="00056AF3"/>
    <w:rsid w:val="00056B8E"/>
    <w:rsid w:val="00056C83"/>
    <w:rsid w:val="00056CA9"/>
    <w:rsid w:val="00056D84"/>
    <w:rsid w:val="00056E39"/>
    <w:rsid w:val="00056FA0"/>
    <w:rsid w:val="00056FF5"/>
    <w:rsid w:val="000570A6"/>
    <w:rsid w:val="000570E9"/>
    <w:rsid w:val="000570EA"/>
    <w:rsid w:val="000572BE"/>
    <w:rsid w:val="00057462"/>
    <w:rsid w:val="000574A3"/>
    <w:rsid w:val="000574F0"/>
    <w:rsid w:val="00057513"/>
    <w:rsid w:val="0005754A"/>
    <w:rsid w:val="00057555"/>
    <w:rsid w:val="000575C2"/>
    <w:rsid w:val="000575E7"/>
    <w:rsid w:val="0005769B"/>
    <w:rsid w:val="0005771C"/>
    <w:rsid w:val="00057832"/>
    <w:rsid w:val="000579CC"/>
    <w:rsid w:val="00057A40"/>
    <w:rsid w:val="00057A5C"/>
    <w:rsid w:val="00057B0C"/>
    <w:rsid w:val="00057B96"/>
    <w:rsid w:val="00057D99"/>
    <w:rsid w:val="00057FF2"/>
    <w:rsid w:val="0006017E"/>
    <w:rsid w:val="000601B3"/>
    <w:rsid w:val="000603DA"/>
    <w:rsid w:val="0006046F"/>
    <w:rsid w:val="0006047D"/>
    <w:rsid w:val="0006050A"/>
    <w:rsid w:val="0006063A"/>
    <w:rsid w:val="00060789"/>
    <w:rsid w:val="00060849"/>
    <w:rsid w:val="000608B9"/>
    <w:rsid w:val="00060929"/>
    <w:rsid w:val="00060936"/>
    <w:rsid w:val="0006098A"/>
    <w:rsid w:val="000609AC"/>
    <w:rsid w:val="00060A7E"/>
    <w:rsid w:val="00060AF3"/>
    <w:rsid w:val="00060C94"/>
    <w:rsid w:val="00060D3D"/>
    <w:rsid w:val="00060DA4"/>
    <w:rsid w:val="00060EA7"/>
    <w:rsid w:val="00060F00"/>
    <w:rsid w:val="000610B0"/>
    <w:rsid w:val="000610DE"/>
    <w:rsid w:val="00061104"/>
    <w:rsid w:val="00061119"/>
    <w:rsid w:val="000613F5"/>
    <w:rsid w:val="00061445"/>
    <w:rsid w:val="000614C1"/>
    <w:rsid w:val="0006150B"/>
    <w:rsid w:val="0006158B"/>
    <w:rsid w:val="000616A7"/>
    <w:rsid w:val="000617E3"/>
    <w:rsid w:val="0006182C"/>
    <w:rsid w:val="000618CB"/>
    <w:rsid w:val="000618DF"/>
    <w:rsid w:val="00061981"/>
    <w:rsid w:val="00061995"/>
    <w:rsid w:val="000619BE"/>
    <w:rsid w:val="00061C61"/>
    <w:rsid w:val="00061D19"/>
    <w:rsid w:val="00061D55"/>
    <w:rsid w:val="00061E1C"/>
    <w:rsid w:val="00061EE3"/>
    <w:rsid w:val="00061EE7"/>
    <w:rsid w:val="00062075"/>
    <w:rsid w:val="0006208A"/>
    <w:rsid w:val="000620E4"/>
    <w:rsid w:val="00062105"/>
    <w:rsid w:val="000621B0"/>
    <w:rsid w:val="00062230"/>
    <w:rsid w:val="00062347"/>
    <w:rsid w:val="0006251E"/>
    <w:rsid w:val="00062707"/>
    <w:rsid w:val="0006271D"/>
    <w:rsid w:val="000628D2"/>
    <w:rsid w:val="00062A33"/>
    <w:rsid w:val="00062ADA"/>
    <w:rsid w:val="00062AE8"/>
    <w:rsid w:val="00062B1D"/>
    <w:rsid w:val="00062D61"/>
    <w:rsid w:val="00062E61"/>
    <w:rsid w:val="00062EB0"/>
    <w:rsid w:val="00062F3F"/>
    <w:rsid w:val="0006305B"/>
    <w:rsid w:val="000630B2"/>
    <w:rsid w:val="0006311B"/>
    <w:rsid w:val="00063262"/>
    <w:rsid w:val="00063271"/>
    <w:rsid w:val="000633A7"/>
    <w:rsid w:val="000633C8"/>
    <w:rsid w:val="000633F8"/>
    <w:rsid w:val="0006359B"/>
    <w:rsid w:val="000635D1"/>
    <w:rsid w:val="00063646"/>
    <w:rsid w:val="00063825"/>
    <w:rsid w:val="00063865"/>
    <w:rsid w:val="0006396D"/>
    <w:rsid w:val="00063A84"/>
    <w:rsid w:val="00063B65"/>
    <w:rsid w:val="00063CA2"/>
    <w:rsid w:val="00063D94"/>
    <w:rsid w:val="00063DFA"/>
    <w:rsid w:val="00063E12"/>
    <w:rsid w:val="00063EEF"/>
    <w:rsid w:val="00063F43"/>
    <w:rsid w:val="00063FBF"/>
    <w:rsid w:val="00064173"/>
    <w:rsid w:val="000641FC"/>
    <w:rsid w:val="0006423E"/>
    <w:rsid w:val="000642F5"/>
    <w:rsid w:val="000644E8"/>
    <w:rsid w:val="0006452E"/>
    <w:rsid w:val="00064631"/>
    <w:rsid w:val="0006475B"/>
    <w:rsid w:val="000647CC"/>
    <w:rsid w:val="00064863"/>
    <w:rsid w:val="000648D2"/>
    <w:rsid w:val="000648D7"/>
    <w:rsid w:val="0006498E"/>
    <w:rsid w:val="00064A5F"/>
    <w:rsid w:val="00064BBE"/>
    <w:rsid w:val="00064CA1"/>
    <w:rsid w:val="00064CD7"/>
    <w:rsid w:val="00064D1C"/>
    <w:rsid w:val="00064D54"/>
    <w:rsid w:val="00064DBD"/>
    <w:rsid w:val="00064E12"/>
    <w:rsid w:val="00064E3C"/>
    <w:rsid w:val="00064E8C"/>
    <w:rsid w:val="00064F28"/>
    <w:rsid w:val="00064FCD"/>
    <w:rsid w:val="00065054"/>
    <w:rsid w:val="000651CD"/>
    <w:rsid w:val="000651DD"/>
    <w:rsid w:val="00065231"/>
    <w:rsid w:val="00065290"/>
    <w:rsid w:val="000652E6"/>
    <w:rsid w:val="00065535"/>
    <w:rsid w:val="000655F6"/>
    <w:rsid w:val="00065759"/>
    <w:rsid w:val="00065765"/>
    <w:rsid w:val="00065829"/>
    <w:rsid w:val="00065A17"/>
    <w:rsid w:val="00065A54"/>
    <w:rsid w:val="00065A8E"/>
    <w:rsid w:val="00065B66"/>
    <w:rsid w:val="00065CCC"/>
    <w:rsid w:val="00065F7B"/>
    <w:rsid w:val="00066084"/>
    <w:rsid w:val="000660C4"/>
    <w:rsid w:val="000661C2"/>
    <w:rsid w:val="000661F3"/>
    <w:rsid w:val="00066377"/>
    <w:rsid w:val="00066407"/>
    <w:rsid w:val="0006644D"/>
    <w:rsid w:val="00066515"/>
    <w:rsid w:val="00066544"/>
    <w:rsid w:val="00066655"/>
    <w:rsid w:val="000666C6"/>
    <w:rsid w:val="00066770"/>
    <w:rsid w:val="00066820"/>
    <w:rsid w:val="00066823"/>
    <w:rsid w:val="000668CB"/>
    <w:rsid w:val="00066922"/>
    <w:rsid w:val="00066ACB"/>
    <w:rsid w:val="00066AD8"/>
    <w:rsid w:val="00066D23"/>
    <w:rsid w:val="00066D38"/>
    <w:rsid w:val="00066D3B"/>
    <w:rsid w:val="00067015"/>
    <w:rsid w:val="00067060"/>
    <w:rsid w:val="0006707C"/>
    <w:rsid w:val="000670CF"/>
    <w:rsid w:val="00067185"/>
    <w:rsid w:val="00067250"/>
    <w:rsid w:val="00067499"/>
    <w:rsid w:val="000674EB"/>
    <w:rsid w:val="000675FD"/>
    <w:rsid w:val="00067623"/>
    <w:rsid w:val="00067665"/>
    <w:rsid w:val="00067744"/>
    <w:rsid w:val="00067782"/>
    <w:rsid w:val="000678D8"/>
    <w:rsid w:val="0006792F"/>
    <w:rsid w:val="00067A2D"/>
    <w:rsid w:val="00067AB4"/>
    <w:rsid w:val="00067B34"/>
    <w:rsid w:val="00067CBD"/>
    <w:rsid w:val="00067DA4"/>
    <w:rsid w:val="00067DA9"/>
    <w:rsid w:val="00067DC0"/>
    <w:rsid w:val="00067E80"/>
    <w:rsid w:val="0007005B"/>
    <w:rsid w:val="00070080"/>
    <w:rsid w:val="0007016D"/>
    <w:rsid w:val="00070227"/>
    <w:rsid w:val="0007033D"/>
    <w:rsid w:val="0007038B"/>
    <w:rsid w:val="000703DD"/>
    <w:rsid w:val="00070509"/>
    <w:rsid w:val="000705CF"/>
    <w:rsid w:val="00070618"/>
    <w:rsid w:val="000708E7"/>
    <w:rsid w:val="00070979"/>
    <w:rsid w:val="000709B7"/>
    <w:rsid w:val="00070B4A"/>
    <w:rsid w:val="00070B7C"/>
    <w:rsid w:val="00070DBB"/>
    <w:rsid w:val="000710AC"/>
    <w:rsid w:val="00071116"/>
    <w:rsid w:val="000711CC"/>
    <w:rsid w:val="00071381"/>
    <w:rsid w:val="000713E5"/>
    <w:rsid w:val="000713FA"/>
    <w:rsid w:val="00071425"/>
    <w:rsid w:val="00071441"/>
    <w:rsid w:val="00071444"/>
    <w:rsid w:val="00071466"/>
    <w:rsid w:val="00071529"/>
    <w:rsid w:val="0007153C"/>
    <w:rsid w:val="00071620"/>
    <w:rsid w:val="000716D8"/>
    <w:rsid w:val="0007175A"/>
    <w:rsid w:val="00071890"/>
    <w:rsid w:val="00071AA4"/>
    <w:rsid w:val="00071AF6"/>
    <w:rsid w:val="00071B1B"/>
    <w:rsid w:val="00071DDF"/>
    <w:rsid w:val="00071F73"/>
    <w:rsid w:val="00072189"/>
    <w:rsid w:val="000721A2"/>
    <w:rsid w:val="000721E9"/>
    <w:rsid w:val="00072215"/>
    <w:rsid w:val="00072225"/>
    <w:rsid w:val="000723F3"/>
    <w:rsid w:val="000723FE"/>
    <w:rsid w:val="0007247D"/>
    <w:rsid w:val="00072491"/>
    <w:rsid w:val="00072599"/>
    <w:rsid w:val="00072638"/>
    <w:rsid w:val="000726B3"/>
    <w:rsid w:val="000726ED"/>
    <w:rsid w:val="00072857"/>
    <w:rsid w:val="00072929"/>
    <w:rsid w:val="00072A14"/>
    <w:rsid w:val="00072C53"/>
    <w:rsid w:val="00072F27"/>
    <w:rsid w:val="00072F59"/>
    <w:rsid w:val="00072FDC"/>
    <w:rsid w:val="000730E0"/>
    <w:rsid w:val="0007315E"/>
    <w:rsid w:val="0007317F"/>
    <w:rsid w:val="0007332E"/>
    <w:rsid w:val="00073451"/>
    <w:rsid w:val="00073485"/>
    <w:rsid w:val="00073541"/>
    <w:rsid w:val="000736B8"/>
    <w:rsid w:val="000737C5"/>
    <w:rsid w:val="000738C1"/>
    <w:rsid w:val="0007391F"/>
    <w:rsid w:val="00073922"/>
    <w:rsid w:val="00073927"/>
    <w:rsid w:val="000739A7"/>
    <w:rsid w:val="000739DD"/>
    <w:rsid w:val="000739EA"/>
    <w:rsid w:val="00073B10"/>
    <w:rsid w:val="00073BCC"/>
    <w:rsid w:val="00073BF0"/>
    <w:rsid w:val="00073D93"/>
    <w:rsid w:val="00073DE7"/>
    <w:rsid w:val="00073E5D"/>
    <w:rsid w:val="00073EF4"/>
    <w:rsid w:val="00073FE9"/>
    <w:rsid w:val="00074102"/>
    <w:rsid w:val="00074106"/>
    <w:rsid w:val="0007413D"/>
    <w:rsid w:val="0007417F"/>
    <w:rsid w:val="000741BF"/>
    <w:rsid w:val="000741CD"/>
    <w:rsid w:val="00074214"/>
    <w:rsid w:val="00074378"/>
    <w:rsid w:val="0007439D"/>
    <w:rsid w:val="000744DB"/>
    <w:rsid w:val="000744EC"/>
    <w:rsid w:val="000745BF"/>
    <w:rsid w:val="00074655"/>
    <w:rsid w:val="0007475A"/>
    <w:rsid w:val="0007487E"/>
    <w:rsid w:val="0007497C"/>
    <w:rsid w:val="000749FC"/>
    <w:rsid w:val="00074A25"/>
    <w:rsid w:val="00074AD1"/>
    <w:rsid w:val="00074AEE"/>
    <w:rsid w:val="00074E12"/>
    <w:rsid w:val="0007500A"/>
    <w:rsid w:val="0007537F"/>
    <w:rsid w:val="000753D6"/>
    <w:rsid w:val="00075715"/>
    <w:rsid w:val="00075836"/>
    <w:rsid w:val="00075898"/>
    <w:rsid w:val="000759B1"/>
    <w:rsid w:val="000759B9"/>
    <w:rsid w:val="00075B81"/>
    <w:rsid w:val="00075D13"/>
    <w:rsid w:val="00075E04"/>
    <w:rsid w:val="00075E58"/>
    <w:rsid w:val="00075E5A"/>
    <w:rsid w:val="00075F02"/>
    <w:rsid w:val="00075F08"/>
    <w:rsid w:val="00075FB3"/>
    <w:rsid w:val="00076001"/>
    <w:rsid w:val="000760BC"/>
    <w:rsid w:val="00076103"/>
    <w:rsid w:val="00076394"/>
    <w:rsid w:val="00076485"/>
    <w:rsid w:val="000764A4"/>
    <w:rsid w:val="000765B2"/>
    <w:rsid w:val="000765FB"/>
    <w:rsid w:val="00076809"/>
    <w:rsid w:val="00076908"/>
    <w:rsid w:val="0007693A"/>
    <w:rsid w:val="00076AF6"/>
    <w:rsid w:val="00076B9B"/>
    <w:rsid w:val="00076C02"/>
    <w:rsid w:val="00076DC4"/>
    <w:rsid w:val="000771D3"/>
    <w:rsid w:val="00077220"/>
    <w:rsid w:val="00077297"/>
    <w:rsid w:val="000773BD"/>
    <w:rsid w:val="0007741D"/>
    <w:rsid w:val="0007755B"/>
    <w:rsid w:val="0007766B"/>
    <w:rsid w:val="00077902"/>
    <w:rsid w:val="00077915"/>
    <w:rsid w:val="00077980"/>
    <w:rsid w:val="00077B0C"/>
    <w:rsid w:val="00077B80"/>
    <w:rsid w:val="00077B87"/>
    <w:rsid w:val="00077D96"/>
    <w:rsid w:val="00077D9F"/>
    <w:rsid w:val="00077EC7"/>
    <w:rsid w:val="00077EE2"/>
    <w:rsid w:val="00077F2A"/>
    <w:rsid w:val="00077F46"/>
    <w:rsid w:val="000800C9"/>
    <w:rsid w:val="0008018F"/>
    <w:rsid w:val="000802D3"/>
    <w:rsid w:val="000802E8"/>
    <w:rsid w:val="000803AE"/>
    <w:rsid w:val="00080423"/>
    <w:rsid w:val="00080525"/>
    <w:rsid w:val="0008054D"/>
    <w:rsid w:val="0008064E"/>
    <w:rsid w:val="000806DE"/>
    <w:rsid w:val="0008073C"/>
    <w:rsid w:val="00080BE7"/>
    <w:rsid w:val="00080CE2"/>
    <w:rsid w:val="00080D27"/>
    <w:rsid w:val="00080E5C"/>
    <w:rsid w:val="00080E86"/>
    <w:rsid w:val="00080EE4"/>
    <w:rsid w:val="00080F53"/>
    <w:rsid w:val="00080FEA"/>
    <w:rsid w:val="00080FFD"/>
    <w:rsid w:val="0008121B"/>
    <w:rsid w:val="00081258"/>
    <w:rsid w:val="000812E9"/>
    <w:rsid w:val="000813A2"/>
    <w:rsid w:val="00081444"/>
    <w:rsid w:val="000815DE"/>
    <w:rsid w:val="0008162A"/>
    <w:rsid w:val="000817C0"/>
    <w:rsid w:val="00081815"/>
    <w:rsid w:val="00081896"/>
    <w:rsid w:val="000818C0"/>
    <w:rsid w:val="0008195B"/>
    <w:rsid w:val="000819E3"/>
    <w:rsid w:val="00081A7F"/>
    <w:rsid w:val="00081B17"/>
    <w:rsid w:val="00081D20"/>
    <w:rsid w:val="00081FBE"/>
    <w:rsid w:val="00082187"/>
    <w:rsid w:val="000821E2"/>
    <w:rsid w:val="00082229"/>
    <w:rsid w:val="0008232E"/>
    <w:rsid w:val="00082399"/>
    <w:rsid w:val="000824A9"/>
    <w:rsid w:val="0008254C"/>
    <w:rsid w:val="0008263F"/>
    <w:rsid w:val="00082642"/>
    <w:rsid w:val="00082758"/>
    <w:rsid w:val="00082835"/>
    <w:rsid w:val="00082848"/>
    <w:rsid w:val="000828E3"/>
    <w:rsid w:val="00082910"/>
    <w:rsid w:val="00082BE7"/>
    <w:rsid w:val="00082C19"/>
    <w:rsid w:val="00082D45"/>
    <w:rsid w:val="00082D60"/>
    <w:rsid w:val="00082DD6"/>
    <w:rsid w:val="00082E38"/>
    <w:rsid w:val="00082E6A"/>
    <w:rsid w:val="00082E85"/>
    <w:rsid w:val="0008303B"/>
    <w:rsid w:val="00083164"/>
    <w:rsid w:val="000831AA"/>
    <w:rsid w:val="000831C3"/>
    <w:rsid w:val="000831FF"/>
    <w:rsid w:val="0008359B"/>
    <w:rsid w:val="000837BC"/>
    <w:rsid w:val="000837E9"/>
    <w:rsid w:val="000838CB"/>
    <w:rsid w:val="000838F7"/>
    <w:rsid w:val="00083A7F"/>
    <w:rsid w:val="00083A8B"/>
    <w:rsid w:val="00083A97"/>
    <w:rsid w:val="00083B05"/>
    <w:rsid w:val="00083BC2"/>
    <w:rsid w:val="00083BDC"/>
    <w:rsid w:val="00083BF5"/>
    <w:rsid w:val="00083C06"/>
    <w:rsid w:val="00083C19"/>
    <w:rsid w:val="00083C55"/>
    <w:rsid w:val="00083CBB"/>
    <w:rsid w:val="00083D10"/>
    <w:rsid w:val="00083E13"/>
    <w:rsid w:val="00083EFB"/>
    <w:rsid w:val="00084038"/>
    <w:rsid w:val="000840F8"/>
    <w:rsid w:val="0008410B"/>
    <w:rsid w:val="000842F7"/>
    <w:rsid w:val="00084336"/>
    <w:rsid w:val="0008436B"/>
    <w:rsid w:val="0008438E"/>
    <w:rsid w:val="000843AF"/>
    <w:rsid w:val="00084662"/>
    <w:rsid w:val="000846AB"/>
    <w:rsid w:val="00084798"/>
    <w:rsid w:val="00084824"/>
    <w:rsid w:val="0008488E"/>
    <w:rsid w:val="000848A2"/>
    <w:rsid w:val="000848CE"/>
    <w:rsid w:val="000848CF"/>
    <w:rsid w:val="00084941"/>
    <w:rsid w:val="00084949"/>
    <w:rsid w:val="0008497A"/>
    <w:rsid w:val="000849C2"/>
    <w:rsid w:val="000849CF"/>
    <w:rsid w:val="00084A1B"/>
    <w:rsid w:val="00084BBB"/>
    <w:rsid w:val="00084BF6"/>
    <w:rsid w:val="00084BF8"/>
    <w:rsid w:val="00084C08"/>
    <w:rsid w:val="00084CA5"/>
    <w:rsid w:val="00084CE1"/>
    <w:rsid w:val="00084D4B"/>
    <w:rsid w:val="00084E2E"/>
    <w:rsid w:val="00084EFE"/>
    <w:rsid w:val="00084F43"/>
    <w:rsid w:val="0008508B"/>
    <w:rsid w:val="0008514C"/>
    <w:rsid w:val="000851C8"/>
    <w:rsid w:val="00085260"/>
    <w:rsid w:val="0008527F"/>
    <w:rsid w:val="00085403"/>
    <w:rsid w:val="0008548A"/>
    <w:rsid w:val="000854C2"/>
    <w:rsid w:val="000856B2"/>
    <w:rsid w:val="000856D1"/>
    <w:rsid w:val="0008577D"/>
    <w:rsid w:val="00085808"/>
    <w:rsid w:val="000858CB"/>
    <w:rsid w:val="000859CA"/>
    <w:rsid w:val="00085A8C"/>
    <w:rsid w:val="00085C2E"/>
    <w:rsid w:val="00085C52"/>
    <w:rsid w:val="00085C93"/>
    <w:rsid w:val="00085FAF"/>
    <w:rsid w:val="000860EA"/>
    <w:rsid w:val="00086193"/>
    <w:rsid w:val="00086466"/>
    <w:rsid w:val="000864BE"/>
    <w:rsid w:val="0008661C"/>
    <w:rsid w:val="00086667"/>
    <w:rsid w:val="0008667D"/>
    <w:rsid w:val="0008672E"/>
    <w:rsid w:val="00086748"/>
    <w:rsid w:val="000867EC"/>
    <w:rsid w:val="000867F4"/>
    <w:rsid w:val="00086842"/>
    <w:rsid w:val="00086A6B"/>
    <w:rsid w:val="00086BE6"/>
    <w:rsid w:val="00086BE9"/>
    <w:rsid w:val="00086C5C"/>
    <w:rsid w:val="00086CD5"/>
    <w:rsid w:val="00086CD9"/>
    <w:rsid w:val="00086D19"/>
    <w:rsid w:val="00086D59"/>
    <w:rsid w:val="00086D93"/>
    <w:rsid w:val="00086DA8"/>
    <w:rsid w:val="000870CA"/>
    <w:rsid w:val="00087144"/>
    <w:rsid w:val="000872A2"/>
    <w:rsid w:val="000872AA"/>
    <w:rsid w:val="00087318"/>
    <w:rsid w:val="00087460"/>
    <w:rsid w:val="0008749A"/>
    <w:rsid w:val="000874E7"/>
    <w:rsid w:val="0008755C"/>
    <w:rsid w:val="00087731"/>
    <w:rsid w:val="000878C6"/>
    <w:rsid w:val="000878CF"/>
    <w:rsid w:val="000878D5"/>
    <w:rsid w:val="000879E8"/>
    <w:rsid w:val="00087AB1"/>
    <w:rsid w:val="00087ADD"/>
    <w:rsid w:val="00087B9C"/>
    <w:rsid w:val="00087BA2"/>
    <w:rsid w:val="00087BF9"/>
    <w:rsid w:val="00087D0E"/>
    <w:rsid w:val="00087D2B"/>
    <w:rsid w:val="00087D9A"/>
    <w:rsid w:val="00087DB0"/>
    <w:rsid w:val="00087F18"/>
    <w:rsid w:val="000902D5"/>
    <w:rsid w:val="000903B7"/>
    <w:rsid w:val="00090440"/>
    <w:rsid w:val="0009053A"/>
    <w:rsid w:val="0009056B"/>
    <w:rsid w:val="000906FF"/>
    <w:rsid w:val="00090794"/>
    <w:rsid w:val="000907CB"/>
    <w:rsid w:val="00090965"/>
    <w:rsid w:val="00090A7D"/>
    <w:rsid w:val="00090B5C"/>
    <w:rsid w:val="00090BEE"/>
    <w:rsid w:val="00090C3F"/>
    <w:rsid w:val="00090CDF"/>
    <w:rsid w:val="00090E1D"/>
    <w:rsid w:val="00090EAF"/>
    <w:rsid w:val="00090EC3"/>
    <w:rsid w:val="00090F17"/>
    <w:rsid w:val="00090FAE"/>
    <w:rsid w:val="000910A1"/>
    <w:rsid w:val="00091190"/>
    <w:rsid w:val="000911BA"/>
    <w:rsid w:val="000911E3"/>
    <w:rsid w:val="00091292"/>
    <w:rsid w:val="0009136E"/>
    <w:rsid w:val="000913C8"/>
    <w:rsid w:val="000916ED"/>
    <w:rsid w:val="00091701"/>
    <w:rsid w:val="00091726"/>
    <w:rsid w:val="000917BD"/>
    <w:rsid w:val="000917FD"/>
    <w:rsid w:val="00091A1D"/>
    <w:rsid w:val="00091BB1"/>
    <w:rsid w:val="00091BEF"/>
    <w:rsid w:val="00091EBF"/>
    <w:rsid w:val="000920B3"/>
    <w:rsid w:val="00092126"/>
    <w:rsid w:val="00092210"/>
    <w:rsid w:val="0009231D"/>
    <w:rsid w:val="0009240A"/>
    <w:rsid w:val="00092772"/>
    <w:rsid w:val="000927BD"/>
    <w:rsid w:val="0009283E"/>
    <w:rsid w:val="000928FB"/>
    <w:rsid w:val="00092B91"/>
    <w:rsid w:val="00092BD4"/>
    <w:rsid w:val="00092CAF"/>
    <w:rsid w:val="00092CCA"/>
    <w:rsid w:val="00092D41"/>
    <w:rsid w:val="00092D80"/>
    <w:rsid w:val="00092EB5"/>
    <w:rsid w:val="00092F75"/>
    <w:rsid w:val="000931E9"/>
    <w:rsid w:val="0009322C"/>
    <w:rsid w:val="0009329E"/>
    <w:rsid w:val="0009335C"/>
    <w:rsid w:val="0009344B"/>
    <w:rsid w:val="00093461"/>
    <w:rsid w:val="000934B6"/>
    <w:rsid w:val="000934CE"/>
    <w:rsid w:val="0009352D"/>
    <w:rsid w:val="00093546"/>
    <w:rsid w:val="00093568"/>
    <w:rsid w:val="0009365A"/>
    <w:rsid w:val="00093677"/>
    <w:rsid w:val="000936AF"/>
    <w:rsid w:val="00093748"/>
    <w:rsid w:val="00093868"/>
    <w:rsid w:val="00093948"/>
    <w:rsid w:val="00093ACB"/>
    <w:rsid w:val="00093B3A"/>
    <w:rsid w:val="00093B96"/>
    <w:rsid w:val="00093C40"/>
    <w:rsid w:val="00093CB5"/>
    <w:rsid w:val="00093E6C"/>
    <w:rsid w:val="00093EA3"/>
    <w:rsid w:val="00093F1B"/>
    <w:rsid w:val="0009404A"/>
    <w:rsid w:val="00094083"/>
    <w:rsid w:val="00094153"/>
    <w:rsid w:val="000941F7"/>
    <w:rsid w:val="0009423C"/>
    <w:rsid w:val="0009424B"/>
    <w:rsid w:val="000942AA"/>
    <w:rsid w:val="000942BF"/>
    <w:rsid w:val="000942E7"/>
    <w:rsid w:val="000943B9"/>
    <w:rsid w:val="000943D8"/>
    <w:rsid w:val="000944A6"/>
    <w:rsid w:val="000944B6"/>
    <w:rsid w:val="000945A1"/>
    <w:rsid w:val="00094791"/>
    <w:rsid w:val="000949DE"/>
    <w:rsid w:val="000949F2"/>
    <w:rsid w:val="00094AC5"/>
    <w:rsid w:val="00094B0A"/>
    <w:rsid w:val="00094B9D"/>
    <w:rsid w:val="00094C80"/>
    <w:rsid w:val="00094CB8"/>
    <w:rsid w:val="00094D95"/>
    <w:rsid w:val="00094E64"/>
    <w:rsid w:val="00094FC0"/>
    <w:rsid w:val="00095080"/>
    <w:rsid w:val="000950D0"/>
    <w:rsid w:val="00095171"/>
    <w:rsid w:val="0009520B"/>
    <w:rsid w:val="000953BB"/>
    <w:rsid w:val="00095572"/>
    <w:rsid w:val="00095677"/>
    <w:rsid w:val="00095718"/>
    <w:rsid w:val="0009575F"/>
    <w:rsid w:val="0009594B"/>
    <w:rsid w:val="0009595D"/>
    <w:rsid w:val="000959C3"/>
    <w:rsid w:val="00095A51"/>
    <w:rsid w:val="00095AAD"/>
    <w:rsid w:val="00095AEA"/>
    <w:rsid w:val="00095BFC"/>
    <w:rsid w:val="00095CE1"/>
    <w:rsid w:val="00095E1C"/>
    <w:rsid w:val="00095E1E"/>
    <w:rsid w:val="00095E8E"/>
    <w:rsid w:val="00095F6D"/>
    <w:rsid w:val="00096075"/>
    <w:rsid w:val="00096207"/>
    <w:rsid w:val="0009637B"/>
    <w:rsid w:val="000964E1"/>
    <w:rsid w:val="0009652E"/>
    <w:rsid w:val="00096560"/>
    <w:rsid w:val="000965E1"/>
    <w:rsid w:val="0009662B"/>
    <w:rsid w:val="00096713"/>
    <w:rsid w:val="0009691C"/>
    <w:rsid w:val="0009691D"/>
    <w:rsid w:val="00096986"/>
    <w:rsid w:val="000969E9"/>
    <w:rsid w:val="00096A2C"/>
    <w:rsid w:val="00096ABC"/>
    <w:rsid w:val="00096B85"/>
    <w:rsid w:val="00096BF4"/>
    <w:rsid w:val="00096C93"/>
    <w:rsid w:val="00096CD2"/>
    <w:rsid w:val="00096EA5"/>
    <w:rsid w:val="00096FB5"/>
    <w:rsid w:val="00097023"/>
    <w:rsid w:val="00097049"/>
    <w:rsid w:val="00097131"/>
    <w:rsid w:val="00097164"/>
    <w:rsid w:val="0009746D"/>
    <w:rsid w:val="000974C8"/>
    <w:rsid w:val="0009764C"/>
    <w:rsid w:val="00097682"/>
    <w:rsid w:val="00097702"/>
    <w:rsid w:val="00097719"/>
    <w:rsid w:val="00097748"/>
    <w:rsid w:val="000977E6"/>
    <w:rsid w:val="00097830"/>
    <w:rsid w:val="0009783B"/>
    <w:rsid w:val="00097842"/>
    <w:rsid w:val="0009784C"/>
    <w:rsid w:val="00097892"/>
    <w:rsid w:val="00097952"/>
    <w:rsid w:val="00097955"/>
    <w:rsid w:val="00097AF0"/>
    <w:rsid w:val="00097B13"/>
    <w:rsid w:val="00097BB0"/>
    <w:rsid w:val="00097F30"/>
    <w:rsid w:val="00097F3C"/>
    <w:rsid w:val="00097FC8"/>
    <w:rsid w:val="000A0045"/>
    <w:rsid w:val="000A0056"/>
    <w:rsid w:val="000A0155"/>
    <w:rsid w:val="000A0193"/>
    <w:rsid w:val="000A023F"/>
    <w:rsid w:val="000A0247"/>
    <w:rsid w:val="000A0312"/>
    <w:rsid w:val="000A03D3"/>
    <w:rsid w:val="000A047C"/>
    <w:rsid w:val="000A0608"/>
    <w:rsid w:val="000A0665"/>
    <w:rsid w:val="000A073E"/>
    <w:rsid w:val="000A074E"/>
    <w:rsid w:val="000A0938"/>
    <w:rsid w:val="000A0986"/>
    <w:rsid w:val="000A0A42"/>
    <w:rsid w:val="000A0CF0"/>
    <w:rsid w:val="000A0D4A"/>
    <w:rsid w:val="000A0D77"/>
    <w:rsid w:val="000A0E9A"/>
    <w:rsid w:val="000A0F0D"/>
    <w:rsid w:val="000A0FA0"/>
    <w:rsid w:val="000A106A"/>
    <w:rsid w:val="000A10AB"/>
    <w:rsid w:val="000A1163"/>
    <w:rsid w:val="000A126D"/>
    <w:rsid w:val="000A1296"/>
    <w:rsid w:val="000A12BF"/>
    <w:rsid w:val="000A132B"/>
    <w:rsid w:val="000A1452"/>
    <w:rsid w:val="000A15AD"/>
    <w:rsid w:val="000A1679"/>
    <w:rsid w:val="000A169C"/>
    <w:rsid w:val="000A1716"/>
    <w:rsid w:val="000A1753"/>
    <w:rsid w:val="000A179A"/>
    <w:rsid w:val="000A17A2"/>
    <w:rsid w:val="000A1870"/>
    <w:rsid w:val="000A18AC"/>
    <w:rsid w:val="000A18DB"/>
    <w:rsid w:val="000A18EB"/>
    <w:rsid w:val="000A19A8"/>
    <w:rsid w:val="000A19B1"/>
    <w:rsid w:val="000A1C87"/>
    <w:rsid w:val="000A1DDB"/>
    <w:rsid w:val="000A1F64"/>
    <w:rsid w:val="000A1FE3"/>
    <w:rsid w:val="000A2052"/>
    <w:rsid w:val="000A2083"/>
    <w:rsid w:val="000A2093"/>
    <w:rsid w:val="000A21A3"/>
    <w:rsid w:val="000A2292"/>
    <w:rsid w:val="000A2310"/>
    <w:rsid w:val="000A2336"/>
    <w:rsid w:val="000A2337"/>
    <w:rsid w:val="000A23CE"/>
    <w:rsid w:val="000A243D"/>
    <w:rsid w:val="000A2489"/>
    <w:rsid w:val="000A24F0"/>
    <w:rsid w:val="000A2520"/>
    <w:rsid w:val="000A25D1"/>
    <w:rsid w:val="000A265D"/>
    <w:rsid w:val="000A2748"/>
    <w:rsid w:val="000A27BF"/>
    <w:rsid w:val="000A28B3"/>
    <w:rsid w:val="000A28C4"/>
    <w:rsid w:val="000A296C"/>
    <w:rsid w:val="000A2977"/>
    <w:rsid w:val="000A2A86"/>
    <w:rsid w:val="000A2B93"/>
    <w:rsid w:val="000A2BE6"/>
    <w:rsid w:val="000A2C81"/>
    <w:rsid w:val="000A2D29"/>
    <w:rsid w:val="000A2EA3"/>
    <w:rsid w:val="000A3204"/>
    <w:rsid w:val="000A32CF"/>
    <w:rsid w:val="000A334A"/>
    <w:rsid w:val="000A341D"/>
    <w:rsid w:val="000A34FA"/>
    <w:rsid w:val="000A3515"/>
    <w:rsid w:val="000A3530"/>
    <w:rsid w:val="000A35AB"/>
    <w:rsid w:val="000A35E6"/>
    <w:rsid w:val="000A372C"/>
    <w:rsid w:val="000A3774"/>
    <w:rsid w:val="000A37F4"/>
    <w:rsid w:val="000A3874"/>
    <w:rsid w:val="000A3941"/>
    <w:rsid w:val="000A3950"/>
    <w:rsid w:val="000A3973"/>
    <w:rsid w:val="000A3A2C"/>
    <w:rsid w:val="000A3B48"/>
    <w:rsid w:val="000A3BE6"/>
    <w:rsid w:val="000A3BF3"/>
    <w:rsid w:val="000A3C33"/>
    <w:rsid w:val="000A3C5D"/>
    <w:rsid w:val="000A3CBC"/>
    <w:rsid w:val="000A3D16"/>
    <w:rsid w:val="000A3D8F"/>
    <w:rsid w:val="000A3DF6"/>
    <w:rsid w:val="000A3E3F"/>
    <w:rsid w:val="000A3FBF"/>
    <w:rsid w:val="000A3FFB"/>
    <w:rsid w:val="000A404C"/>
    <w:rsid w:val="000A40A2"/>
    <w:rsid w:val="000A4186"/>
    <w:rsid w:val="000A42E3"/>
    <w:rsid w:val="000A4399"/>
    <w:rsid w:val="000A454F"/>
    <w:rsid w:val="000A4864"/>
    <w:rsid w:val="000A48D8"/>
    <w:rsid w:val="000A48FA"/>
    <w:rsid w:val="000A4948"/>
    <w:rsid w:val="000A49EC"/>
    <w:rsid w:val="000A4A2B"/>
    <w:rsid w:val="000A4A93"/>
    <w:rsid w:val="000A4AD2"/>
    <w:rsid w:val="000A4B3B"/>
    <w:rsid w:val="000A4CDB"/>
    <w:rsid w:val="000A4DBA"/>
    <w:rsid w:val="000A4EDE"/>
    <w:rsid w:val="000A4F8D"/>
    <w:rsid w:val="000A4FDD"/>
    <w:rsid w:val="000A4FEC"/>
    <w:rsid w:val="000A4FF1"/>
    <w:rsid w:val="000A509B"/>
    <w:rsid w:val="000A51A2"/>
    <w:rsid w:val="000A527A"/>
    <w:rsid w:val="000A5285"/>
    <w:rsid w:val="000A540E"/>
    <w:rsid w:val="000A5447"/>
    <w:rsid w:val="000A5554"/>
    <w:rsid w:val="000A55B5"/>
    <w:rsid w:val="000A5669"/>
    <w:rsid w:val="000A57EE"/>
    <w:rsid w:val="000A5970"/>
    <w:rsid w:val="000A5994"/>
    <w:rsid w:val="000A5B4E"/>
    <w:rsid w:val="000A5B68"/>
    <w:rsid w:val="000A5C62"/>
    <w:rsid w:val="000A5D73"/>
    <w:rsid w:val="000A5DE4"/>
    <w:rsid w:val="000A5E39"/>
    <w:rsid w:val="000A5EAE"/>
    <w:rsid w:val="000A5F6F"/>
    <w:rsid w:val="000A5F9A"/>
    <w:rsid w:val="000A5FAB"/>
    <w:rsid w:val="000A5FF6"/>
    <w:rsid w:val="000A6149"/>
    <w:rsid w:val="000A61E8"/>
    <w:rsid w:val="000A62AE"/>
    <w:rsid w:val="000A63D3"/>
    <w:rsid w:val="000A6452"/>
    <w:rsid w:val="000A649A"/>
    <w:rsid w:val="000A64BD"/>
    <w:rsid w:val="000A669C"/>
    <w:rsid w:val="000A671F"/>
    <w:rsid w:val="000A675B"/>
    <w:rsid w:val="000A67E0"/>
    <w:rsid w:val="000A6867"/>
    <w:rsid w:val="000A6877"/>
    <w:rsid w:val="000A68EF"/>
    <w:rsid w:val="000A6961"/>
    <w:rsid w:val="000A69B3"/>
    <w:rsid w:val="000A6A06"/>
    <w:rsid w:val="000A6B30"/>
    <w:rsid w:val="000A6B49"/>
    <w:rsid w:val="000A6BF1"/>
    <w:rsid w:val="000A6C7A"/>
    <w:rsid w:val="000A6C92"/>
    <w:rsid w:val="000A6D07"/>
    <w:rsid w:val="000A6E72"/>
    <w:rsid w:val="000A6EB3"/>
    <w:rsid w:val="000A6F03"/>
    <w:rsid w:val="000A708D"/>
    <w:rsid w:val="000A7136"/>
    <w:rsid w:val="000A7214"/>
    <w:rsid w:val="000A728B"/>
    <w:rsid w:val="000A728E"/>
    <w:rsid w:val="000A72AF"/>
    <w:rsid w:val="000A72E7"/>
    <w:rsid w:val="000A7338"/>
    <w:rsid w:val="000A73C7"/>
    <w:rsid w:val="000A7456"/>
    <w:rsid w:val="000A751C"/>
    <w:rsid w:val="000A7529"/>
    <w:rsid w:val="000A7546"/>
    <w:rsid w:val="000A7580"/>
    <w:rsid w:val="000A75D5"/>
    <w:rsid w:val="000A760C"/>
    <w:rsid w:val="000A7631"/>
    <w:rsid w:val="000A76FC"/>
    <w:rsid w:val="000A77E5"/>
    <w:rsid w:val="000A785A"/>
    <w:rsid w:val="000A7893"/>
    <w:rsid w:val="000A78A5"/>
    <w:rsid w:val="000A7B14"/>
    <w:rsid w:val="000A7B15"/>
    <w:rsid w:val="000A7E60"/>
    <w:rsid w:val="000A7ED3"/>
    <w:rsid w:val="000A7EEE"/>
    <w:rsid w:val="000A7F2B"/>
    <w:rsid w:val="000A7FCA"/>
    <w:rsid w:val="000A7FE8"/>
    <w:rsid w:val="000B0078"/>
    <w:rsid w:val="000B0089"/>
    <w:rsid w:val="000B00D3"/>
    <w:rsid w:val="000B0234"/>
    <w:rsid w:val="000B027B"/>
    <w:rsid w:val="000B02D5"/>
    <w:rsid w:val="000B0504"/>
    <w:rsid w:val="000B058C"/>
    <w:rsid w:val="000B06A0"/>
    <w:rsid w:val="000B07E5"/>
    <w:rsid w:val="000B08BC"/>
    <w:rsid w:val="000B09DB"/>
    <w:rsid w:val="000B0B77"/>
    <w:rsid w:val="000B0C0A"/>
    <w:rsid w:val="000B0CA6"/>
    <w:rsid w:val="000B0D58"/>
    <w:rsid w:val="000B0D6D"/>
    <w:rsid w:val="000B0D8F"/>
    <w:rsid w:val="000B0E6E"/>
    <w:rsid w:val="000B0EE5"/>
    <w:rsid w:val="000B0F13"/>
    <w:rsid w:val="000B0F98"/>
    <w:rsid w:val="000B0FE7"/>
    <w:rsid w:val="000B1081"/>
    <w:rsid w:val="000B114D"/>
    <w:rsid w:val="000B12C5"/>
    <w:rsid w:val="000B13CD"/>
    <w:rsid w:val="000B14BE"/>
    <w:rsid w:val="000B16A7"/>
    <w:rsid w:val="000B17DC"/>
    <w:rsid w:val="000B1854"/>
    <w:rsid w:val="000B188C"/>
    <w:rsid w:val="000B1890"/>
    <w:rsid w:val="000B1AA2"/>
    <w:rsid w:val="000B1AAE"/>
    <w:rsid w:val="000B1B77"/>
    <w:rsid w:val="000B1BB3"/>
    <w:rsid w:val="000B1CA9"/>
    <w:rsid w:val="000B1D5A"/>
    <w:rsid w:val="000B1DB6"/>
    <w:rsid w:val="000B1F96"/>
    <w:rsid w:val="000B1FBA"/>
    <w:rsid w:val="000B2135"/>
    <w:rsid w:val="000B21B6"/>
    <w:rsid w:val="000B2267"/>
    <w:rsid w:val="000B22A1"/>
    <w:rsid w:val="000B22B6"/>
    <w:rsid w:val="000B2304"/>
    <w:rsid w:val="000B233B"/>
    <w:rsid w:val="000B2673"/>
    <w:rsid w:val="000B2681"/>
    <w:rsid w:val="000B26C8"/>
    <w:rsid w:val="000B2708"/>
    <w:rsid w:val="000B2892"/>
    <w:rsid w:val="000B2975"/>
    <w:rsid w:val="000B29A5"/>
    <w:rsid w:val="000B2BC8"/>
    <w:rsid w:val="000B2BF6"/>
    <w:rsid w:val="000B2C81"/>
    <w:rsid w:val="000B2D76"/>
    <w:rsid w:val="000B2E0D"/>
    <w:rsid w:val="000B2F06"/>
    <w:rsid w:val="000B2F22"/>
    <w:rsid w:val="000B300E"/>
    <w:rsid w:val="000B30E0"/>
    <w:rsid w:val="000B3280"/>
    <w:rsid w:val="000B32B2"/>
    <w:rsid w:val="000B33DE"/>
    <w:rsid w:val="000B348C"/>
    <w:rsid w:val="000B3502"/>
    <w:rsid w:val="000B35EE"/>
    <w:rsid w:val="000B36DC"/>
    <w:rsid w:val="000B3725"/>
    <w:rsid w:val="000B3811"/>
    <w:rsid w:val="000B3A50"/>
    <w:rsid w:val="000B3C15"/>
    <w:rsid w:val="000B3DCB"/>
    <w:rsid w:val="000B3EEE"/>
    <w:rsid w:val="000B40A7"/>
    <w:rsid w:val="000B40B0"/>
    <w:rsid w:val="000B40BA"/>
    <w:rsid w:val="000B40D1"/>
    <w:rsid w:val="000B40EC"/>
    <w:rsid w:val="000B4184"/>
    <w:rsid w:val="000B4317"/>
    <w:rsid w:val="000B44A6"/>
    <w:rsid w:val="000B4505"/>
    <w:rsid w:val="000B47BD"/>
    <w:rsid w:val="000B4828"/>
    <w:rsid w:val="000B487C"/>
    <w:rsid w:val="000B4A01"/>
    <w:rsid w:val="000B4AE7"/>
    <w:rsid w:val="000B4BF3"/>
    <w:rsid w:val="000B4C5F"/>
    <w:rsid w:val="000B4D74"/>
    <w:rsid w:val="000B4F76"/>
    <w:rsid w:val="000B502C"/>
    <w:rsid w:val="000B507B"/>
    <w:rsid w:val="000B509A"/>
    <w:rsid w:val="000B50C2"/>
    <w:rsid w:val="000B5107"/>
    <w:rsid w:val="000B5408"/>
    <w:rsid w:val="000B546F"/>
    <w:rsid w:val="000B54FF"/>
    <w:rsid w:val="000B55FA"/>
    <w:rsid w:val="000B5628"/>
    <w:rsid w:val="000B5677"/>
    <w:rsid w:val="000B57FF"/>
    <w:rsid w:val="000B5A60"/>
    <w:rsid w:val="000B5CE0"/>
    <w:rsid w:val="000B5DE7"/>
    <w:rsid w:val="000B5F5F"/>
    <w:rsid w:val="000B603F"/>
    <w:rsid w:val="000B60FC"/>
    <w:rsid w:val="000B623E"/>
    <w:rsid w:val="000B6269"/>
    <w:rsid w:val="000B6272"/>
    <w:rsid w:val="000B628A"/>
    <w:rsid w:val="000B6413"/>
    <w:rsid w:val="000B65DA"/>
    <w:rsid w:val="000B65EF"/>
    <w:rsid w:val="000B66FA"/>
    <w:rsid w:val="000B67AC"/>
    <w:rsid w:val="000B67D7"/>
    <w:rsid w:val="000B688A"/>
    <w:rsid w:val="000B68F6"/>
    <w:rsid w:val="000B6A59"/>
    <w:rsid w:val="000B6A70"/>
    <w:rsid w:val="000B6B27"/>
    <w:rsid w:val="000B6C2C"/>
    <w:rsid w:val="000B6D45"/>
    <w:rsid w:val="000B6F9E"/>
    <w:rsid w:val="000B70A8"/>
    <w:rsid w:val="000B70E7"/>
    <w:rsid w:val="000B7314"/>
    <w:rsid w:val="000B74C1"/>
    <w:rsid w:val="000B74D2"/>
    <w:rsid w:val="000B7557"/>
    <w:rsid w:val="000B7561"/>
    <w:rsid w:val="000B758D"/>
    <w:rsid w:val="000B7606"/>
    <w:rsid w:val="000B7711"/>
    <w:rsid w:val="000B799B"/>
    <w:rsid w:val="000B79BC"/>
    <w:rsid w:val="000B7B5A"/>
    <w:rsid w:val="000B7B68"/>
    <w:rsid w:val="000B7B6B"/>
    <w:rsid w:val="000B7D09"/>
    <w:rsid w:val="000B7EE9"/>
    <w:rsid w:val="000B7F29"/>
    <w:rsid w:val="000B7F6F"/>
    <w:rsid w:val="000B7F87"/>
    <w:rsid w:val="000B7FF7"/>
    <w:rsid w:val="000C0019"/>
    <w:rsid w:val="000C00C4"/>
    <w:rsid w:val="000C00D9"/>
    <w:rsid w:val="000C0165"/>
    <w:rsid w:val="000C01B4"/>
    <w:rsid w:val="000C02E8"/>
    <w:rsid w:val="000C03AF"/>
    <w:rsid w:val="000C0523"/>
    <w:rsid w:val="000C054A"/>
    <w:rsid w:val="000C0691"/>
    <w:rsid w:val="000C0705"/>
    <w:rsid w:val="000C081B"/>
    <w:rsid w:val="000C08C6"/>
    <w:rsid w:val="000C090C"/>
    <w:rsid w:val="000C09E8"/>
    <w:rsid w:val="000C0B27"/>
    <w:rsid w:val="000C0B76"/>
    <w:rsid w:val="000C0B92"/>
    <w:rsid w:val="000C0C42"/>
    <w:rsid w:val="000C0D2E"/>
    <w:rsid w:val="000C0F58"/>
    <w:rsid w:val="000C10FC"/>
    <w:rsid w:val="000C11B7"/>
    <w:rsid w:val="000C131C"/>
    <w:rsid w:val="000C1345"/>
    <w:rsid w:val="000C137E"/>
    <w:rsid w:val="000C139B"/>
    <w:rsid w:val="000C15FE"/>
    <w:rsid w:val="000C16B9"/>
    <w:rsid w:val="000C172A"/>
    <w:rsid w:val="000C18A8"/>
    <w:rsid w:val="000C190E"/>
    <w:rsid w:val="000C19A6"/>
    <w:rsid w:val="000C1AB2"/>
    <w:rsid w:val="000C1B45"/>
    <w:rsid w:val="000C1BA1"/>
    <w:rsid w:val="000C1CEF"/>
    <w:rsid w:val="000C1D46"/>
    <w:rsid w:val="000C1DB9"/>
    <w:rsid w:val="000C1DD9"/>
    <w:rsid w:val="000C1E3F"/>
    <w:rsid w:val="000C203D"/>
    <w:rsid w:val="000C2192"/>
    <w:rsid w:val="000C2270"/>
    <w:rsid w:val="000C2445"/>
    <w:rsid w:val="000C245B"/>
    <w:rsid w:val="000C24C3"/>
    <w:rsid w:val="000C24E3"/>
    <w:rsid w:val="000C26CC"/>
    <w:rsid w:val="000C2835"/>
    <w:rsid w:val="000C2A92"/>
    <w:rsid w:val="000C2AD0"/>
    <w:rsid w:val="000C2BC4"/>
    <w:rsid w:val="000C2CA2"/>
    <w:rsid w:val="000C2CAB"/>
    <w:rsid w:val="000C2CD7"/>
    <w:rsid w:val="000C2CF1"/>
    <w:rsid w:val="000C2DEC"/>
    <w:rsid w:val="000C2E33"/>
    <w:rsid w:val="000C2ED7"/>
    <w:rsid w:val="000C2ED8"/>
    <w:rsid w:val="000C2F1A"/>
    <w:rsid w:val="000C2F4A"/>
    <w:rsid w:val="000C3048"/>
    <w:rsid w:val="000C31A0"/>
    <w:rsid w:val="000C3495"/>
    <w:rsid w:val="000C36FA"/>
    <w:rsid w:val="000C371D"/>
    <w:rsid w:val="000C3734"/>
    <w:rsid w:val="000C38A7"/>
    <w:rsid w:val="000C38F0"/>
    <w:rsid w:val="000C3DED"/>
    <w:rsid w:val="000C3DF2"/>
    <w:rsid w:val="000C3E90"/>
    <w:rsid w:val="000C3EC9"/>
    <w:rsid w:val="000C3F51"/>
    <w:rsid w:val="000C407E"/>
    <w:rsid w:val="000C410F"/>
    <w:rsid w:val="000C4166"/>
    <w:rsid w:val="000C4234"/>
    <w:rsid w:val="000C4380"/>
    <w:rsid w:val="000C4469"/>
    <w:rsid w:val="000C4569"/>
    <w:rsid w:val="000C46C3"/>
    <w:rsid w:val="000C46D6"/>
    <w:rsid w:val="000C4755"/>
    <w:rsid w:val="000C4771"/>
    <w:rsid w:val="000C478D"/>
    <w:rsid w:val="000C479C"/>
    <w:rsid w:val="000C489B"/>
    <w:rsid w:val="000C48D3"/>
    <w:rsid w:val="000C4945"/>
    <w:rsid w:val="000C4A96"/>
    <w:rsid w:val="000C4B14"/>
    <w:rsid w:val="000C4C3C"/>
    <w:rsid w:val="000C4C83"/>
    <w:rsid w:val="000C4CF1"/>
    <w:rsid w:val="000C4E56"/>
    <w:rsid w:val="000C4E93"/>
    <w:rsid w:val="000C4EA7"/>
    <w:rsid w:val="000C4F6A"/>
    <w:rsid w:val="000C506F"/>
    <w:rsid w:val="000C50D4"/>
    <w:rsid w:val="000C51BA"/>
    <w:rsid w:val="000C5310"/>
    <w:rsid w:val="000C5383"/>
    <w:rsid w:val="000C54A1"/>
    <w:rsid w:val="000C550C"/>
    <w:rsid w:val="000C5646"/>
    <w:rsid w:val="000C5700"/>
    <w:rsid w:val="000C5763"/>
    <w:rsid w:val="000C57EF"/>
    <w:rsid w:val="000C581D"/>
    <w:rsid w:val="000C5821"/>
    <w:rsid w:val="000C596A"/>
    <w:rsid w:val="000C5A02"/>
    <w:rsid w:val="000C5A8C"/>
    <w:rsid w:val="000C5AD0"/>
    <w:rsid w:val="000C5B23"/>
    <w:rsid w:val="000C5BA5"/>
    <w:rsid w:val="000C5D16"/>
    <w:rsid w:val="000C5D5F"/>
    <w:rsid w:val="000C5E09"/>
    <w:rsid w:val="000C5E19"/>
    <w:rsid w:val="000C5E24"/>
    <w:rsid w:val="000C5E58"/>
    <w:rsid w:val="000C5F39"/>
    <w:rsid w:val="000C5FA0"/>
    <w:rsid w:val="000C5FFA"/>
    <w:rsid w:val="000C6058"/>
    <w:rsid w:val="000C61AD"/>
    <w:rsid w:val="000C62F9"/>
    <w:rsid w:val="000C6369"/>
    <w:rsid w:val="000C63F9"/>
    <w:rsid w:val="000C6415"/>
    <w:rsid w:val="000C65A1"/>
    <w:rsid w:val="000C65DA"/>
    <w:rsid w:val="000C6667"/>
    <w:rsid w:val="000C66EB"/>
    <w:rsid w:val="000C683A"/>
    <w:rsid w:val="000C6842"/>
    <w:rsid w:val="000C6921"/>
    <w:rsid w:val="000C6969"/>
    <w:rsid w:val="000C69E1"/>
    <w:rsid w:val="000C6B8F"/>
    <w:rsid w:val="000C6BF0"/>
    <w:rsid w:val="000C6C2C"/>
    <w:rsid w:val="000C6E43"/>
    <w:rsid w:val="000C6F3D"/>
    <w:rsid w:val="000C702B"/>
    <w:rsid w:val="000C702C"/>
    <w:rsid w:val="000C71AF"/>
    <w:rsid w:val="000C72DA"/>
    <w:rsid w:val="000C749E"/>
    <w:rsid w:val="000C74EB"/>
    <w:rsid w:val="000C75FB"/>
    <w:rsid w:val="000C76AA"/>
    <w:rsid w:val="000C7726"/>
    <w:rsid w:val="000C773F"/>
    <w:rsid w:val="000C7784"/>
    <w:rsid w:val="000C781C"/>
    <w:rsid w:val="000C7899"/>
    <w:rsid w:val="000C78A0"/>
    <w:rsid w:val="000C79EF"/>
    <w:rsid w:val="000C7A65"/>
    <w:rsid w:val="000C7B95"/>
    <w:rsid w:val="000C7BDE"/>
    <w:rsid w:val="000C7C12"/>
    <w:rsid w:val="000C7C80"/>
    <w:rsid w:val="000C7D08"/>
    <w:rsid w:val="000C7D44"/>
    <w:rsid w:val="000C7DFA"/>
    <w:rsid w:val="000C7EE8"/>
    <w:rsid w:val="000C7F45"/>
    <w:rsid w:val="000D001E"/>
    <w:rsid w:val="000D0028"/>
    <w:rsid w:val="000D0063"/>
    <w:rsid w:val="000D01BA"/>
    <w:rsid w:val="000D0476"/>
    <w:rsid w:val="000D05D4"/>
    <w:rsid w:val="000D0764"/>
    <w:rsid w:val="000D07D5"/>
    <w:rsid w:val="000D0AC7"/>
    <w:rsid w:val="000D0BE9"/>
    <w:rsid w:val="000D0C24"/>
    <w:rsid w:val="000D0C9E"/>
    <w:rsid w:val="000D0D05"/>
    <w:rsid w:val="000D0D6B"/>
    <w:rsid w:val="000D0DA4"/>
    <w:rsid w:val="000D0E47"/>
    <w:rsid w:val="000D0F5D"/>
    <w:rsid w:val="000D10BA"/>
    <w:rsid w:val="000D1163"/>
    <w:rsid w:val="000D121B"/>
    <w:rsid w:val="000D123C"/>
    <w:rsid w:val="000D125F"/>
    <w:rsid w:val="000D12B3"/>
    <w:rsid w:val="000D13D7"/>
    <w:rsid w:val="000D13DA"/>
    <w:rsid w:val="000D13F1"/>
    <w:rsid w:val="000D13F7"/>
    <w:rsid w:val="000D1412"/>
    <w:rsid w:val="000D1485"/>
    <w:rsid w:val="000D1536"/>
    <w:rsid w:val="000D158A"/>
    <w:rsid w:val="000D15F7"/>
    <w:rsid w:val="000D15FF"/>
    <w:rsid w:val="000D17C2"/>
    <w:rsid w:val="000D1846"/>
    <w:rsid w:val="000D1934"/>
    <w:rsid w:val="000D196F"/>
    <w:rsid w:val="000D19D0"/>
    <w:rsid w:val="000D1A1E"/>
    <w:rsid w:val="000D1A6A"/>
    <w:rsid w:val="000D1AB1"/>
    <w:rsid w:val="000D1AEA"/>
    <w:rsid w:val="000D1B4F"/>
    <w:rsid w:val="000D1BED"/>
    <w:rsid w:val="000D1CB1"/>
    <w:rsid w:val="000D1D10"/>
    <w:rsid w:val="000D1D36"/>
    <w:rsid w:val="000D1D81"/>
    <w:rsid w:val="000D1E27"/>
    <w:rsid w:val="000D1EDD"/>
    <w:rsid w:val="000D1F7F"/>
    <w:rsid w:val="000D20C1"/>
    <w:rsid w:val="000D20DE"/>
    <w:rsid w:val="000D224C"/>
    <w:rsid w:val="000D2600"/>
    <w:rsid w:val="000D2611"/>
    <w:rsid w:val="000D27A4"/>
    <w:rsid w:val="000D285E"/>
    <w:rsid w:val="000D285F"/>
    <w:rsid w:val="000D28F5"/>
    <w:rsid w:val="000D29FD"/>
    <w:rsid w:val="000D2B5E"/>
    <w:rsid w:val="000D2C7B"/>
    <w:rsid w:val="000D2C80"/>
    <w:rsid w:val="000D2D4D"/>
    <w:rsid w:val="000D2D5E"/>
    <w:rsid w:val="000D2E53"/>
    <w:rsid w:val="000D2EE9"/>
    <w:rsid w:val="000D2F5D"/>
    <w:rsid w:val="000D2FAA"/>
    <w:rsid w:val="000D3411"/>
    <w:rsid w:val="000D341E"/>
    <w:rsid w:val="000D3444"/>
    <w:rsid w:val="000D3650"/>
    <w:rsid w:val="000D372E"/>
    <w:rsid w:val="000D3788"/>
    <w:rsid w:val="000D37F3"/>
    <w:rsid w:val="000D3896"/>
    <w:rsid w:val="000D389D"/>
    <w:rsid w:val="000D3A3C"/>
    <w:rsid w:val="000D3D71"/>
    <w:rsid w:val="000D3DAD"/>
    <w:rsid w:val="000D3F6A"/>
    <w:rsid w:val="000D404C"/>
    <w:rsid w:val="000D40F8"/>
    <w:rsid w:val="000D42EC"/>
    <w:rsid w:val="000D434F"/>
    <w:rsid w:val="000D4372"/>
    <w:rsid w:val="000D4412"/>
    <w:rsid w:val="000D457B"/>
    <w:rsid w:val="000D47EA"/>
    <w:rsid w:val="000D4956"/>
    <w:rsid w:val="000D49ED"/>
    <w:rsid w:val="000D4AB8"/>
    <w:rsid w:val="000D4B53"/>
    <w:rsid w:val="000D4C7E"/>
    <w:rsid w:val="000D4C92"/>
    <w:rsid w:val="000D4D91"/>
    <w:rsid w:val="000D4E6C"/>
    <w:rsid w:val="000D4ED9"/>
    <w:rsid w:val="000D4FCA"/>
    <w:rsid w:val="000D5101"/>
    <w:rsid w:val="000D512A"/>
    <w:rsid w:val="000D5168"/>
    <w:rsid w:val="000D516F"/>
    <w:rsid w:val="000D51CA"/>
    <w:rsid w:val="000D5270"/>
    <w:rsid w:val="000D541C"/>
    <w:rsid w:val="000D5473"/>
    <w:rsid w:val="000D54A0"/>
    <w:rsid w:val="000D5534"/>
    <w:rsid w:val="000D55BC"/>
    <w:rsid w:val="000D565A"/>
    <w:rsid w:val="000D565B"/>
    <w:rsid w:val="000D56A1"/>
    <w:rsid w:val="000D56F8"/>
    <w:rsid w:val="000D5740"/>
    <w:rsid w:val="000D594D"/>
    <w:rsid w:val="000D5A9C"/>
    <w:rsid w:val="000D5AA9"/>
    <w:rsid w:val="000D5AD0"/>
    <w:rsid w:val="000D5CA1"/>
    <w:rsid w:val="000D5D23"/>
    <w:rsid w:val="000D5FAD"/>
    <w:rsid w:val="000D60DB"/>
    <w:rsid w:val="000D60FA"/>
    <w:rsid w:val="000D61B4"/>
    <w:rsid w:val="000D61B5"/>
    <w:rsid w:val="000D6251"/>
    <w:rsid w:val="000D6292"/>
    <w:rsid w:val="000D63B4"/>
    <w:rsid w:val="000D65D6"/>
    <w:rsid w:val="000D6605"/>
    <w:rsid w:val="000D6624"/>
    <w:rsid w:val="000D6664"/>
    <w:rsid w:val="000D6687"/>
    <w:rsid w:val="000D67D7"/>
    <w:rsid w:val="000D67D8"/>
    <w:rsid w:val="000D6852"/>
    <w:rsid w:val="000D68B4"/>
    <w:rsid w:val="000D6B06"/>
    <w:rsid w:val="000D6B15"/>
    <w:rsid w:val="000D6B60"/>
    <w:rsid w:val="000D6BAA"/>
    <w:rsid w:val="000D6C13"/>
    <w:rsid w:val="000D6C6A"/>
    <w:rsid w:val="000D6C76"/>
    <w:rsid w:val="000D6D5F"/>
    <w:rsid w:val="000D6DF0"/>
    <w:rsid w:val="000D6FEB"/>
    <w:rsid w:val="000D7021"/>
    <w:rsid w:val="000D7069"/>
    <w:rsid w:val="000D727D"/>
    <w:rsid w:val="000D7408"/>
    <w:rsid w:val="000D7484"/>
    <w:rsid w:val="000D7626"/>
    <w:rsid w:val="000D763B"/>
    <w:rsid w:val="000D768D"/>
    <w:rsid w:val="000D76E6"/>
    <w:rsid w:val="000D76E8"/>
    <w:rsid w:val="000D7793"/>
    <w:rsid w:val="000D7813"/>
    <w:rsid w:val="000D784E"/>
    <w:rsid w:val="000D7896"/>
    <w:rsid w:val="000D78D6"/>
    <w:rsid w:val="000D7AAF"/>
    <w:rsid w:val="000D7B98"/>
    <w:rsid w:val="000D7C57"/>
    <w:rsid w:val="000D7DE3"/>
    <w:rsid w:val="000D7DE6"/>
    <w:rsid w:val="000D7E4C"/>
    <w:rsid w:val="000D7FE7"/>
    <w:rsid w:val="000E000D"/>
    <w:rsid w:val="000E0036"/>
    <w:rsid w:val="000E00F2"/>
    <w:rsid w:val="000E01F5"/>
    <w:rsid w:val="000E0253"/>
    <w:rsid w:val="000E0351"/>
    <w:rsid w:val="000E0368"/>
    <w:rsid w:val="000E039D"/>
    <w:rsid w:val="000E0563"/>
    <w:rsid w:val="000E0587"/>
    <w:rsid w:val="000E06AF"/>
    <w:rsid w:val="000E076D"/>
    <w:rsid w:val="000E077F"/>
    <w:rsid w:val="000E0973"/>
    <w:rsid w:val="000E0983"/>
    <w:rsid w:val="000E0B99"/>
    <w:rsid w:val="000E0CFA"/>
    <w:rsid w:val="000E0DB3"/>
    <w:rsid w:val="000E0E4B"/>
    <w:rsid w:val="000E0EBE"/>
    <w:rsid w:val="000E0F73"/>
    <w:rsid w:val="000E0FE7"/>
    <w:rsid w:val="000E103F"/>
    <w:rsid w:val="000E106F"/>
    <w:rsid w:val="000E10F4"/>
    <w:rsid w:val="000E1104"/>
    <w:rsid w:val="000E11FE"/>
    <w:rsid w:val="000E1236"/>
    <w:rsid w:val="000E15C7"/>
    <w:rsid w:val="000E16BB"/>
    <w:rsid w:val="000E16F7"/>
    <w:rsid w:val="000E1785"/>
    <w:rsid w:val="000E181C"/>
    <w:rsid w:val="000E19F0"/>
    <w:rsid w:val="000E1A92"/>
    <w:rsid w:val="000E1C24"/>
    <w:rsid w:val="000E1C75"/>
    <w:rsid w:val="000E1CAB"/>
    <w:rsid w:val="000E1CE5"/>
    <w:rsid w:val="000E1D22"/>
    <w:rsid w:val="000E1D43"/>
    <w:rsid w:val="000E1D64"/>
    <w:rsid w:val="000E1DA0"/>
    <w:rsid w:val="000E1DFE"/>
    <w:rsid w:val="000E1FAC"/>
    <w:rsid w:val="000E1FE1"/>
    <w:rsid w:val="000E1FEC"/>
    <w:rsid w:val="000E20DA"/>
    <w:rsid w:val="000E22E3"/>
    <w:rsid w:val="000E2363"/>
    <w:rsid w:val="000E23FF"/>
    <w:rsid w:val="000E241E"/>
    <w:rsid w:val="000E249C"/>
    <w:rsid w:val="000E25B8"/>
    <w:rsid w:val="000E26CF"/>
    <w:rsid w:val="000E2735"/>
    <w:rsid w:val="000E2894"/>
    <w:rsid w:val="000E29BF"/>
    <w:rsid w:val="000E2A32"/>
    <w:rsid w:val="000E2A78"/>
    <w:rsid w:val="000E2A79"/>
    <w:rsid w:val="000E2A96"/>
    <w:rsid w:val="000E2EAB"/>
    <w:rsid w:val="000E2EB7"/>
    <w:rsid w:val="000E301F"/>
    <w:rsid w:val="000E325F"/>
    <w:rsid w:val="000E3271"/>
    <w:rsid w:val="000E3272"/>
    <w:rsid w:val="000E328C"/>
    <w:rsid w:val="000E33C5"/>
    <w:rsid w:val="000E342E"/>
    <w:rsid w:val="000E3442"/>
    <w:rsid w:val="000E3475"/>
    <w:rsid w:val="000E35D2"/>
    <w:rsid w:val="000E3728"/>
    <w:rsid w:val="000E39AD"/>
    <w:rsid w:val="000E39F3"/>
    <w:rsid w:val="000E3BDB"/>
    <w:rsid w:val="000E3C68"/>
    <w:rsid w:val="000E3C8F"/>
    <w:rsid w:val="000E3CA9"/>
    <w:rsid w:val="000E3CD9"/>
    <w:rsid w:val="000E3CED"/>
    <w:rsid w:val="000E3D12"/>
    <w:rsid w:val="000E3D1B"/>
    <w:rsid w:val="000E3D35"/>
    <w:rsid w:val="000E3E11"/>
    <w:rsid w:val="000E3E8F"/>
    <w:rsid w:val="000E3E9F"/>
    <w:rsid w:val="000E409D"/>
    <w:rsid w:val="000E409F"/>
    <w:rsid w:val="000E4117"/>
    <w:rsid w:val="000E4130"/>
    <w:rsid w:val="000E418B"/>
    <w:rsid w:val="000E4292"/>
    <w:rsid w:val="000E42A4"/>
    <w:rsid w:val="000E43AD"/>
    <w:rsid w:val="000E4449"/>
    <w:rsid w:val="000E44C2"/>
    <w:rsid w:val="000E4551"/>
    <w:rsid w:val="000E4596"/>
    <w:rsid w:val="000E4699"/>
    <w:rsid w:val="000E46CC"/>
    <w:rsid w:val="000E46F5"/>
    <w:rsid w:val="000E4704"/>
    <w:rsid w:val="000E473D"/>
    <w:rsid w:val="000E47D1"/>
    <w:rsid w:val="000E48BB"/>
    <w:rsid w:val="000E499C"/>
    <w:rsid w:val="000E49AD"/>
    <w:rsid w:val="000E4A61"/>
    <w:rsid w:val="000E4A9F"/>
    <w:rsid w:val="000E4AE7"/>
    <w:rsid w:val="000E4CDB"/>
    <w:rsid w:val="000E4D5A"/>
    <w:rsid w:val="000E4D5C"/>
    <w:rsid w:val="000E4E39"/>
    <w:rsid w:val="000E4E92"/>
    <w:rsid w:val="000E4FAC"/>
    <w:rsid w:val="000E4FB2"/>
    <w:rsid w:val="000E4FEA"/>
    <w:rsid w:val="000E5030"/>
    <w:rsid w:val="000E5104"/>
    <w:rsid w:val="000E5119"/>
    <w:rsid w:val="000E5564"/>
    <w:rsid w:val="000E5662"/>
    <w:rsid w:val="000E5907"/>
    <w:rsid w:val="000E5957"/>
    <w:rsid w:val="000E5A33"/>
    <w:rsid w:val="000E5A89"/>
    <w:rsid w:val="000E5D7E"/>
    <w:rsid w:val="000E5DC4"/>
    <w:rsid w:val="000E5E12"/>
    <w:rsid w:val="000E5E6D"/>
    <w:rsid w:val="000E600B"/>
    <w:rsid w:val="000E60B0"/>
    <w:rsid w:val="000E62F3"/>
    <w:rsid w:val="000E63BB"/>
    <w:rsid w:val="000E6450"/>
    <w:rsid w:val="000E64C2"/>
    <w:rsid w:val="000E654E"/>
    <w:rsid w:val="000E6576"/>
    <w:rsid w:val="000E65A9"/>
    <w:rsid w:val="000E65ED"/>
    <w:rsid w:val="000E6606"/>
    <w:rsid w:val="000E661B"/>
    <w:rsid w:val="000E6696"/>
    <w:rsid w:val="000E66E0"/>
    <w:rsid w:val="000E676C"/>
    <w:rsid w:val="000E67FD"/>
    <w:rsid w:val="000E6920"/>
    <w:rsid w:val="000E692D"/>
    <w:rsid w:val="000E69B2"/>
    <w:rsid w:val="000E6A74"/>
    <w:rsid w:val="000E6A9E"/>
    <w:rsid w:val="000E6AF3"/>
    <w:rsid w:val="000E6C84"/>
    <w:rsid w:val="000E6D6F"/>
    <w:rsid w:val="000E6DD1"/>
    <w:rsid w:val="000E6DF4"/>
    <w:rsid w:val="000E6E11"/>
    <w:rsid w:val="000E6EC8"/>
    <w:rsid w:val="000E6F66"/>
    <w:rsid w:val="000E70B4"/>
    <w:rsid w:val="000E71D2"/>
    <w:rsid w:val="000E7209"/>
    <w:rsid w:val="000E7263"/>
    <w:rsid w:val="000E73C6"/>
    <w:rsid w:val="000E751E"/>
    <w:rsid w:val="000E7539"/>
    <w:rsid w:val="000E7636"/>
    <w:rsid w:val="000E764E"/>
    <w:rsid w:val="000E76C0"/>
    <w:rsid w:val="000E76D0"/>
    <w:rsid w:val="000E7705"/>
    <w:rsid w:val="000E77F7"/>
    <w:rsid w:val="000E789F"/>
    <w:rsid w:val="000E78D6"/>
    <w:rsid w:val="000E7997"/>
    <w:rsid w:val="000E7A3A"/>
    <w:rsid w:val="000E7B7F"/>
    <w:rsid w:val="000E7C38"/>
    <w:rsid w:val="000E7C55"/>
    <w:rsid w:val="000E7C84"/>
    <w:rsid w:val="000E7C9C"/>
    <w:rsid w:val="000E7D23"/>
    <w:rsid w:val="000E7DD5"/>
    <w:rsid w:val="000E7E79"/>
    <w:rsid w:val="000E7F9F"/>
    <w:rsid w:val="000F0364"/>
    <w:rsid w:val="000F043F"/>
    <w:rsid w:val="000F0492"/>
    <w:rsid w:val="000F0610"/>
    <w:rsid w:val="000F0650"/>
    <w:rsid w:val="000F0729"/>
    <w:rsid w:val="000F07A6"/>
    <w:rsid w:val="000F07E4"/>
    <w:rsid w:val="000F0843"/>
    <w:rsid w:val="000F08DF"/>
    <w:rsid w:val="000F095E"/>
    <w:rsid w:val="000F097F"/>
    <w:rsid w:val="000F09D6"/>
    <w:rsid w:val="000F0ABA"/>
    <w:rsid w:val="000F0BAD"/>
    <w:rsid w:val="000F0D51"/>
    <w:rsid w:val="000F0DA2"/>
    <w:rsid w:val="000F0E0C"/>
    <w:rsid w:val="000F0FCD"/>
    <w:rsid w:val="000F104F"/>
    <w:rsid w:val="000F1209"/>
    <w:rsid w:val="000F125F"/>
    <w:rsid w:val="000F1383"/>
    <w:rsid w:val="000F15F0"/>
    <w:rsid w:val="000F1606"/>
    <w:rsid w:val="000F16E8"/>
    <w:rsid w:val="000F1700"/>
    <w:rsid w:val="000F1712"/>
    <w:rsid w:val="000F17D7"/>
    <w:rsid w:val="000F1895"/>
    <w:rsid w:val="000F18D2"/>
    <w:rsid w:val="000F198A"/>
    <w:rsid w:val="000F199B"/>
    <w:rsid w:val="000F19C5"/>
    <w:rsid w:val="000F19FE"/>
    <w:rsid w:val="000F1A14"/>
    <w:rsid w:val="000F1C62"/>
    <w:rsid w:val="000F1C63"/>
    <w:rsid w:val="000F1DE5"/>
    <w:rsid w:val="000F1E3E"/>
    <w:rsid w:val="000F1E43"/>
    <w:rsid w:val="000F2196"/>
    <w:rsid w:val="000F2223"/>
    <w:rsid w:val="000F233F"/>
    <w:rsid w:val="000F2369"/>
    <w:rsid w:val="000F2397"/>
    <w:rsid w:val="000F23B1"/>
    <w:rsid w:val="000F2437"/>
    <w:rsid w:val="000F25DA"/>
    <w:rsid w:val="000F269A"/>
    <w:rsid w:val="000F26AA"/>
    <w:rsid w:val="000F276F"/>
    <w:rsid w:val="000F2B3B"/>
    <w:rsid w:val="000F2BC7"/>
    <w:rsid w:val="000F2D40"/>
    <w:rsid w:val="000F2D4C"/>
    <w:rsid w:val="000F2F85"/>
    <w:rsid w:val="000F303E"/>
    <w:rsid w:val="000F30A2"/>
    <w:rsid w:val="000F30CF"/>
    <w:rsid w:val="000F3117"/>
    <w:rsid w:val="000F314A"/>
    <w:rsid w:val="000F31A6"/>
    <w:rsid w:val="000F31C3"/>
    <w:rsid w:val="000F3286"/>
    <w:rsid w:val="000F339A"/>
    <w:rsid w:val="000F35C2"/>
    <w:rsid w:val="000F3601"/>
    <w:rsid w:val="000F38A2"/>
    <w:rsid w:val="000F38FF"/>
    <w:rsid w:val="000F3911"/>
    <w:rsid w:val="000F3B17"/>
    <w:rsid w:val="000F3B5E"/>
    <w:rsid w:val="000F3D5E"/>
    <w:rsid w:val="000F3E9F"/>
    <w:rsid w:val="000F420A"/>
    <w:rsid w:val="000F435C"/>
    <w:rsid w:val="000F4373"/>
    <w:rsid w:val="000F4399"/>
    <w:rsid w:val="000F4682"/>
    <w:rsid w:val="000F46CC"/>
    <w:rsid w:val="000F46F2"/>
    <w:rsid w:val="000F474B"/>
    <w:rsid w:val="000F4859"/>
    <w:rsid w:val="000F488F"/>
    <w:rsid w:val="000F48DF"/>
    <w:rsid w:val="000F4953"/>
    <w:rsid w:val="000F49B1"/>
    <w:rsid w:val="000F4AD3"/>
    <w:rsid w:val="000F4B72"/>
    <w:rsid w:val="000F4D61"/>
    <w:rsid w:val="000F4DD3"/>
    <w:rsid w:val="000F4E0A"/>
    <w:rsid w:val="000F4F03"/>
    <w:rsid w:val="000F4FE6"/>
    <w:rsid w:val="000F505F"/>
    <w:rsid w:val="000F50C6"/>
    <w:rsid w:val="000F50FB"/>
    <w:rsid w:val="000F5753"/>
    <w:rsid w:val="000F57D4"/>
    <w:rsid w:val="000F57ED"/>
    <w:rsid w:val="000F5805"/>
    <w:rsid w:val="000F5878"/>
    <w:rsid w:val="000F5918"/>
    <w:rsid w:val="000F5928"/>
    <w:rsid w:val="000F5A6B"/>
    <w:rsid w:val="000F5B3A"/>
    <w:rsid w:val="000F5C67"/>
    <w:rsid w:val="000F5E73"/>
    <w:rsid w:val="000F5FEF"/>
    <w:rsid w:val="000F5FFF"/>
    <w:rsid w:val="000F6066"/>
    <w:rsid w:val="000F60A6"/>
    <w:rsid w:val="000F60E6"/>
    <w:rsid w:val="000F6126"/>
    <w:rsid w:val="000F6327"/>
    <w:rsid w:val="000F6351"/>
    <w:rsid w:val="000F63C9"/>
    <w:rsid w:val="000F6538"/>
    <w:rsid w:val="000F656A"/>
    <w:rsid w:val="000F6579"/>
    <w:rsid w:val="000F65F3"/>
    <w:rsid w:val="000F6678"/>
    <w:rsid w:val="000F6D72"/>
    <w:rsid w:val="000F6F9F"/>
    <w:rsid w:val="000F6FCB"/>
    <w:rsid w:val="000F6FDC"/>
    <w:rsid w:val="000F7193"/>
    <w:rsid w:val="000F71D9"/>
    <w:rsid w:val="000F7288"/>
    <w:rsid w:val="000F72AE"/>
    <w:rsid w:val="000F7360"/>
    <w:rsid w:val="000F73B4"/>
    <w:rsid w:val="000F74D9"/>
    <w:rsid w:val="000F7545"/>
    <w:rsid w:val="000F7548"/>
    <w:rsid w:val="000F76EC"/>
    <w:rsid w:val="000F76EF"/>
    <w:rsid w:val="000F774D"/>
    <w:rsid w:val="000F776F"/>
    <w:rsid w:val="000F77B6"/>
    <w:rsid w:val="000F7817"/>
    <w:rsid w:val="000F7886"/>
    <w:rsid w:val="000F78C2"/>
    <w:rsid w:val="000F78D4"/>
    <w:rsid w:val="000F7968"/>
    <w:rsid w:val="000F796E"/>
    <w:rsid w:val="000F7A83"/>
    <w:rsid w:val="000F7B29"/>
    <w:rsid w:val="000F7B70"/>
    <w:rsid w:val="000F7C32"/>
    <w:rsid w:val="000F7C87"/>
    <w:rsid w:val="000F7CEB"/>
    <w:rsid w:val="000F7F13"/>
    <w:rsid w:val="000F7F39"/>
    <w:rsid w:val="000F7F8C"/>
    <w:rsid w:val="000F7FCA"/>
    <w:rsid w:val="0010013A"/>
    <w:rsid w:val="0010014D"/>
    <w:rsid w:val="0010014E"/>
    <w:rsid w:val="0010019A"/>
    <w:rsid w:val="001001A6"/>
    <w:rsid w:val="001001B2"/>
    <w:rsid w:val="0010022B"/>
    <w:rsid w:val="00100290"/>
    <w:rsid w:val="001002E2"/>
    <w:rsid w:val="001002E7"/>
    <w:rsid w:val="00100338"/>
    <w:rsid w:val="0010041D"/>
    <w:rsid w:val="001005CA"/>
    <w:rsid w:val="0010076C"/>
    <w:rsid w:val="001007A2"/>
    <w:rsid w:val="001007FF"/>
    <w:rsid w:val="001008FC"/>
    <w:rsid w:val="00100B1A"/>
    <w:rsid w:val="00100B5B"/>
    <w:rsid w:val="00100B87"/>
    <w:rsid w:val="00100BE9"/>
    <w:rsid w:val="00100FB6"/>
    <w:rsid w:val="0010102B"/>
    <w:rsid w:val="0010106D"/>
    <w:rsid w:val="001010D0"/>
    <w:rsid w:val="00101181"/>
    <w:rsid w:val="0010118B"/>
    <w:rsid w:val="001012C2"/>
    <w:rsid w:val="00101312"/>
    <w:rsid w:val="00101370"/>
    <w:rsid w:val="00101400"/>
    <w:rsid w:val="0010141F"/>
    <w:rsid w:val="0010147E"/>
    <w:rsid w:val="00101509"/>
    <w:rsid w:val="001015CD"/>
    <w:rsid w:val="00101807"/>
    <w:rsid w:val="0010185E"/>
    <w:rsid w:val="00101985"/>
    <w:rsid w:val="00101A9A"/>
    <w:rsid w:val="00101B05"/>
    <w:rsid w:val="00101BBF"/>
    <w:rsid w:val="00101BDA"/>
    <w:rsid w:val="00101D7F"/>
    <w:rsid w:val="00101D97"/>
    <w:rsid w:val="00101E3F"/>
    <w:rsid w:val="0010203D"/>
    <w:rsid w:val="00102084"/>
    <w:rsid w:val="00102130"/>
    <w:rsid w:val="001021B0"/>
    <w:rsid w:val="001021BD"/>
    <w:rsid w:val="001022B9"/>
    <w:rsid w:val="00102483"/>
    <w:rsid w:val="001024F3"/>
    <w:rsid w:val="00102693"/>
    <w:rsid w:val="001026FC"/>
    <w:rsid w:val="00102804"/>
    <w:rsid w:val="0010284C"/>
    <w:rsid w:val="00102AC5"/>
    <w:rsid w:val="00102B3D"/>
    <w:rsid w:val="00102B43"/>
    <w:rsid w:val="00102B97"/>
    <w:rsid w:val="00102CE9"/>
    <w:rsid w:val="00102D3B"/>
    <w:rsid w:val="00102D5E"/>
    <w:rsid w:val="00102DD8"/>
    <w:rsid w:val="00102F66"/>
    <w:rsid w:val="0010304D"/>
    <w:rsid w:val="001030A3"/>
    <w:rsid w:val="001030A4"/>
    <w:rsid w:val="0010317B"/>
    <w:rsid w:val="001031CB"/>
    <w:rsid w:val="001031F6"/>
    <w:rsid w:val="001032FB"/>
    <w:rsid w:val="00103619"/>
    <w:rsid w:val="0010365B"/>
    <w:rsid w:val="00103690"/>
    <w:rsid w:val="001036B5"/>
    <w:rsid w:val="00103795"/>
    <w:rsid w:val="001037B1"/>
    <w:rsid w:val="001038AA"/>
    <w:rsid w:val="001039A6"/>
    <w:rsid w:val="00103A1C"/>
    <w:rsid w:val="00103BBE"/>
    <w:rsid w:val="00103BCB"/>
    <w:rsid w:val="00103BEC"/>
    <w:rsid w:val="00103C33"/>
    <w:rsid w:val="00103C3C"/>
    <w:rsid w:val="00103C58"/>
    <w:rsid w:val="00103E4E"/>
    <w:rsid w:val="00103E6B"/>
    <w:rsid w:val="00103EB2"/>
    <w:rsid w:val="00103F64"/>
    <w:rsid w:val="00103F7F"/>
    <w:rsid w:val="00103FB9"/>
    <w:rsid w:val="00104068"/>
    <w:rsid w:val="0010409C"/>
    <w:rsid w:val="001040CC"/>
    <w:rsid w:val="001040D4"/>
    <w:rsid w:val="001040D6"/>
    <w:rsid w:val="0010411E"/>
    <w:rsid w:val="00104185"/>
    <w:rsid w:val="00104351"/>
    <w:rsid w:val="0010439D"/>
    <w:rsid w:val="001043A1"/>
    <w:rsid w:val="00104453"/>
    <w:rsid w:val="00104489"/>
    <w:rsid w:val="001044C3"/>
    <w:rsid w:val="00104503"/>
    <w:rsid w:val="00104609"/>
    <w:rsid w:val="001046CA"/>
    <w:rsid w:val="00104790"/>
    <w:rsid w:val="001047DB"/>
    <w:rsid w:val="0010484E"/>
    <w:rsid w:val="0010487F"/>
    <w:rsid w:val="001048CE"/>
    <w:rsid w:val="00104973"/>
    <w:rsid w:val="00104A94"/>
    <w:rsid w:val="00104B8A"/>
    <w:rsid w:val="00104B8F"/>
    <w:rsid w:val="00104BCA"/>
    <w:rsid w:val="00104C2E"/>
    <w:rsid w:val="00104C5C"/>
    <w:rsid w:val="00104CCB"/>
    <w:rsid w:val="00104DB3"/>
    <w:rsid w:val="00104E88"/>
    <w:rsid w:val="00104E97"/>
    <w:rsid w:val="00104EFB"/>
    <w:rsid w:val="00105018"/>
    <w:rsid w:val="0010504A"/>
    <w:rsid w:val="0010515A"/>
    <w:rsid w:val="0010519C"/>
    <w:rsid w:val="00105206"/>
    <w:rsid w:val="00105234"/>
    <w:rsid w:val="0010547C"/>
    <w:rsid w:val="001055CE"/>
    <w:rsid w:val="00105653"/>
    <w:rsid w:val="00105783"/>
    <w:rsid w:val="001059AF"/>
    <w:rsid w:val="00105E20"/>
    <w:rsid w:val="00105EBC"/>
    <w:rsid w:val="00105EFC"/>
    <w:rsid w:val="00105F68"/>
    <w:rsid w:val="00105FA2"/>
    <w:rsid w:val="0010608A"/>
    <w:rsid w:val="001061A8"/>
    <w:rsid w:val="001061EB"/>
    <w:rsid w:val="00106272"/>
    <w:rsid w:val="001062D7"/>
    <w:rsid w:val="00106337"/>
    <w:rsid w:val="00106375"/>
    <w:rsid w:val="001063A8"/>
    <w:rsid w:val="00106435"/>
    <w:rsid w:val="001065F3"/>
    <w:rsid w:val="00106728"/>
    <w:rsid w:val="0010674C"/>
    <w:rsid w:val="0010677F"/>
    <w:rsid w:val="001067FC"/>
    <w:rsid w:val="0010694B"/>
    <w:rsid w:val="00106982"/>
    <w:rsid w:val="001069D4"/>
    <w:rsid w:val="00106A8D"/>
    <w:rsid w:val="00106E87"/>
    <w:rsid w:val="00106EFF"/>
    <w:rsid w:val="00106F5D"/>
    <w:rsid w:val="00107046"/>
    <w:rsid w:val="0010705B"/>
    <w:rsid w:val="001070C8"/>
    <w:rsid w:val="001071CA"/>
    <w:rsid w:val="001071D0"/>
    <w:rsid w:val="00107210"/>
    <w:rsid w:val="001075F1"/>
    <w:rsid w:val="0010769F"/>
    <w:rsid w:val="001076BC"/>
    <w:rsid w:val="00107737"/>
    <w:rsid w:val="00107997"/>
    <w:rsid w:val="00107A75"/>
    <w:rsid w:val="00107C53"/>
    <w:rsid w:val="00107CCF"/>
    <w:rsid w:val="00107D91"/>
    <w:rsid w:val="00107DE8"/>
    <w:rsid w:val="00107E7F"/>
    <w:rsid w:val="00107F3D"/>
    <w:rsid w:val="00107FA2"/>
    <w:rsid w:val="00110024"/>
    <w:rsid w:val="00110058"/>
    <w:rsid w:val="00110094"/>
    <w:rsid w:val="00110117"/>
    <w:rsid w:val="00110192"/>
    <w:rsid w:val="001101B4"/>
    <w:rsid w:val="001101CD"/>
    <w:rsid w:val="001101F4"/>
    <w:rsid w:val="0011024D"/>
    <w:rsid w:val="0011026E"/>
    <w:rsid w:val="00110467"/>
    <w:rsid w:val="0011047D"/>
    <w:rsid w:val="00110683"/>
    <w:rsid w:val="00110688"/>
    <w:rsid w:val="001106A2"/>
    <w:rsid w:val="0011075D"/>
    <w:rsid w:val="00110809"/>
    <w:rsid w:val="0011080A"/>
    <w:rsid w:val="0011081B"/>
    <w:rsid w:val="001108CA"/>
    <w:rsid w:val="00110980"/>
    <w:rsid w:val="001109E7"/>
    <w:rsid w:val="00110A14"/>
    <w:rsid w:val="00110A17"/>
    <w:rsid w:val="00110A6B"/>
    <w:rsid w:val="00110B9F"/>
    <w:rsid w:val="00110C4F"/>
    <w:rsid w:val="00110CA5"/>
    <w:rsid w:val="00110D07"/>
    <w:rsid w:val="00110D72"/>
    <w:rsid w:val="00110E00"/>
    <w:rsid w:val="00110E47"/>
    <w:rsid w:val="00110EF4"/>
    <w:rsid w:val="0011100D"/>
    <w:rsid w:val="00111095"/>
    <w:rsid w:val="001112F2"/>
    <w:rsid w:val="00111510"/>
    <w:rsid w:val="00111581"/>
    <w:rsid w:val="001115B4"/>
    <w:rsid w:val="00111696"/>
    <w:rsid w:val="00111703"/>
    <w:rsid w:val="0011176F"/>
    <w:rsid w:val="001117A4"/>
    <w:rsid w:val="00111837"/>
    <w:rsid w:val="00111885"/>
    <w:rsid w:val="0011193E"/>
    <w:rsid w:val="00111973"/>
    <w:rsid w:val="00111A39"/>
    <w:rsid w:val="00111B84"/>
    <w:rsid w:val="00111C54"/>
    <w:rsid w:val="00111D71"/>
    <w:rsid w:val="00111E47"/>
    <w:rsid w:val="00111E91"/>
    <w:rsid w:val="0011212A"/>
    <w:rsid w:val="0011230B"/>
    <w:rsid w:val="00112371"/>
    <w:rsid w:val="0011238D"/>
    <w:rsid w:val="00112485"/>
    <w:rsid w:val="00112729"/>
    <w:rsid w:val="001127DE"/>
    <w:rsid w:val="001128F1"/>
    <w:rsid w:val="00112980"/>
    <w:rsid w:val="001129FF"/>
    <w:rsid w:val="00112AB9"/>
    <w:rsid w:val="00112AE6"/>
    <w:rsid w:val="00112B80"/>
    <w:rsid w:val="00112B92"/>
    <w:rsid w:val="00112BEA"/>
    <w:rsid w:val="00112C4A"/>
    <w:rsid w:val="00112C51"/>
    <w:rsid w:val="00112C65"/>
    <w:rsid w:val="00112D1D"/>
    <w:rsid w:val="00112E8A"/>
    <w:rsid w:val="00112F0E"/>
    <w:rsid w:val="00112F3B"/>
    <w:rsid w:val="00112F9D"/>
    <w:rsid w:val="0011319E"/>
    <w:rsid w:val="00113204"/>
    <w:rsid w:val="0011325B"/>
    <w:rsid w:val="00113448"/>
    <w:rsid w:val="001134D2"/>
    <w:rsid w:val="001135BA"/>
    <w:rsid w:val="00113652"/>
    <w:rsid w:val="001136F4"/>
    <w:rsid w:val="00113828"/>
    <w:rsid w:val="001138C9"/>
    <w:rsid w:val="001138D8"/>
    <w:rsid w:val="00113A20"/>
    <w:rsid w:val="00113A4D"/>
    <w:rsid w:val="00113A69"/>
    <w:rsid w:val="00113BD6"/>
    <w:rsid w:val="00113C9B"/>
    <w:rsid w:val="00113CA5"/>
    <w:rsid w:val="00113CC1"/>
    <w:rsid w:val="00113D0E"/>
    <w:rsid w:val="00113EA0"/>
    <w:rsid w:val="00113ED9"/>
    <w:rsid w:val="00113EEE"/>
    <w:rsid w:val="00113F11"/>
    <w:rsid w:val="00113F97"/>
    <w:rsid w:val="00113FA5"/>
    <w:rsid w:val="00114119"/>
    <w:rsid w:val="001143E7"/>
    <w:rsid w:val="0011440B"/>
    <w:rsid w:val="001144C2"/>
    <w:rsid w:val="00114550"/>
    <w:rsid w:val="001145A3"/>
    <w:rsid w:val="001146BF"/>
    <w:rsid w:val="0011474E"/>
    <w:rsid w:val="001148BA"/>
    <w:rsid w:val="001148BC"/>
    <w:rsid w:val="00114946"/>
    <w:rsid w:val="00114A87"/>
    <w:rsid w:val="00114C61"/>
    <w:rsid w:val="00114CAA"/>
    <w:rsid w:val="00114D7E"/>
    <w:rsid w:val="00114DC6"/>
    <w:rsid w:val="00114DD1"/>
    <w:rsid w:val="00114F59"/>
    <w:rsid w:val="00115002"/>
    <w:rsid w:val="00115013"/>
    <w:rsid w:val="00115062"/>
    <w:rsid w:val="0011508F"/>
    <w:rsid w:val="00115093"/>
    <w:rsid w:val="00115282"/>
    <w:rsid w:val="00115296"/>
    <w:rsid w:val="0011549F"/>
    <w:rsid w:val="001154A6"/>
    <w:rsid w:val="0011556F"/>
    <w:rsid w:val="001156C4"/>
    <w:rsid w:val="00115745"/>
    <w:rsid w:val="001158DE"/>
    <w:rsid w:val="00115A12"/>
    <w:rsid w:val="00115A55"/>
    <w:rsid w:val="00115BCE"/>
    <w:rsid w:val="00115C84"/>
    <w:rsid w:val="00115D79"/>
    <w:rsid w:val="00115D88"/>
    <w:rsid w:val="00115E78"/>
    <w:rsid w:val="00115EA5"/>
    <w:rsid w:val="00115F89"/>
    <w:rsid w:val="00115FE5"/>
    <w:rsid w:val="001160E2"/>
    <w:rsid w:val="001160E3"/>
    <w:rsid w:val="00116144"/>
    <w:rsid w:val="001161C9"/>
    <w:rsid w:val="001162A3"/>
    <w:rsid w:val="001162BA"/>
    <w:rsid w:val="00116339"/>
    <w:rsid w:val="00116398"/>
    <w:rsid w:val="001163F0"/>
    <w:rsid w:val="001163F6"/>
    <w:rsid w:val="001163F9"/>
    <w:rsid w:val="001163FC"/>
    <w:rsid w:val="001164E2"/>
    <w:rsid w:val="001165A1"/>
    <w:rsid w:val="001165C0"/>
    <w:rsid w:val="001165D0"/>
    <w:rsid w:val="001165DD"/>
    <w:rsid w:val="00116760"/>
    <w:rsid w:val="00116876"/>
    <w:rsid w:val="0011687B"/>
    <w:rsid w:val="001168E0"/>
    <w:rsid w:val="00116972"/>
    <w:rsid w:val="00116AC1"/>
    <w:rsid w:val="00116D0B"/>
    <w:rsid w:val="00116D92"/>
    <w:rsid w:val="00116D98"/>
    <w:rsid w:val="00116FB3"/>
    <w:rsid w:val="00116FB7"/>
    <w:rsid w:val="00117062"/>
    <w:rsid w:val="00117171"/>
    <w:rsid w:val="00117186"/>
    <w:rsid w:val="001171CC"/>
    <w:rsid w:val="00117226"/>
    <w:rsid w:val="001172EC"/>
    <w:rsid w:val="0011734C"/>
    <w:rsid w:val="001173A7"/>
    <w:rsid w:val="001174DB"/>
    <w:rsid w:val="00117644"/>
    <w:rsid w:val="0011775C"/>
    <w:rsid w:val="00117830"/>
    <w:rsid w:val="00117A6B"/>
    <w:rsid w:val="00117C26"/>
    <w:rsid w:val="00117D1B"/>
    <w:rsid w:val="00117D85"/>
    <w:rsid w:val="00117DC9"/>
    <w:rsid w:val="00117DF2"/>
    <w:rsid w:val="00117EB0"/>
    <w:rsid w:val="00117EBA"/>
    <w:rsid w:val="00117F1F"/>
    <w:rsid w:val="0012001B"/>
    <w:rsid w:val="001200DD"/>
    <w:rsid w:val="0012013C"/>
    <w:rsid w:val="00120194"/>
    <w:rsid w:val="00120206"/>
    <w:rsid w:val="00120280"/>
    <w:rsid w:val="001202E7"/>
    <w:rsid w:val="0012042A"/>
    <w:rsid w:val="00120497"/>
    <w:rsid w:val="001204CB"/>
    <w:rsid w:val="001204FE"/>
    <w:rsid w:val="00120558"/>
    <w:rsid w:val="00120615"/>
    <w:rsid w:val="001206C5"/>
    <w:rsid w:val="00120742"/>
    <w:rsid w:val="0012078D"/>
    <w:rsid w:val="001207CC"/>
    <w:rsid w:val="0012081D"/>
    <w:rsid w:val="001208DC"/>
    <w:rsid w:val="00120B08"/>
    <w:rsid w:val="00120C91"/>
    <w:rsid w:val="00120C9C"/>
    <w:rsid w:val="00120CD0"/>
    <w:rsid w:val="00120E03"/>
    <w:rsid w:val="00120E99"/>
    <w:rsid w:val="00120F2A"/>
    <w:rsid w:val="00120FC0"/>
    <w:rsid w:val="00120FCE"/>
    <w:rsid w:val="00121054"/>
    <w:rsid w:val="0012111B"/>
    <w:rsid w:val="001211AB"/>
    <w:rsid w:val="001211C7"/>
    <w:rsid w:val="0012127D"/>
    <w:rsid w:val="001212BB"/>
    <w:rsid w:val="0012134A"/>
    <w:rsid w:val="00121494"/>
    <w:rsid w:val="001218A1"/>
    <w:rsid w:val="00121B70"/>
    <w:rsid w:val="00121BC6"/>
    <w:rsid w:val="00121C87"/>
    <w:rsid w:val="00121D5C"/>
    <w:rsid w:val="00121DCD"/>
    <w:rsid w:val="00121F16"/>
    <w:rsid w:val="0012227A"/>
    <w:rsid w:val="0012230F"/>
    <w:rsid w:val="001224CB"/>
    <w:rsid w:val="00122538"/>
    <w:rsid w:val="00122554"/>
    <w:rsid w:val="00122675"/>
    <w:rsid w:val="00122781"/>
    <w:rsid w:val="001227B7"/>
    <w:rsid w:val="0012280D"/>
    <w:rsid w:val="0012294F"/>
    <w:rsid w:val="00122A06"/>
    <w:rsid w:val="00122A16"/>
    <w:rsid w:val="00122A43"/>
    <w:rsid w:val="00122A51"/>
    <w:rsid w:val="00122A66"/>
    <w:rsid w:val="00122AA2"/>
    <w:rsid w:val="00122B0B"/>
    <w:rsid w:val="00122B8B"/>
    <w:rsid w:val="00122C4C"/>
    <w:rsid w:val="00122C57"/>
    <w:rsid w:val="00122C8F"/>
    <w:rsid w:val="00122C9C"/>
    <w:rsid w:val="00122CA6"/>
    <w:rsid w:val="00122DF0"/>
    <w:rsid w:val="00122DF6"/>
    <w:rsid w:val="00122E3A"/>
    <w:rsid w:val="00122E93"/>
    <w:rsid w:val="00122F34"/>
    <w:rsid w:val="00122F90"/>
    <w:rsid w:val="00123277"/>
    <w:rsid w:val="00123358"/>
    <w:rsid w:val="001233A7"/>
    <w:rsid w:val="00123423"/>
    <w:rsid w:val="00123553"/>
    <w:rsid w:val="001236A7"/>
    <w:rsid w:val="00123742"/>
    <w:rsid w:val="00123826"/>
    <w:rsid w:val="001238DC"/>
    <w:rsid w:val="001239F0"/>
    <w:rsid w:val="00123B17"/>
    <w:rsid w:val="00123B92"/>
    <w:rsid w:val="00123B94"/>
    <w:rsid w:val="00123BD5"/>
    <w:rsid w:val="00123D47"/>
    <w:rsid w:val="00123DBD"/>
    <w:rsid w:val="00123DD1"/>
    <w:rsid w:val="00123E3B"/>
    <w:rsid w:val="00123E4A"/>
    <w:rsid w:val="00123F00"/>
    <w:rsid w:val="00123F7A"/>
    <w:rsid w:val="001240F6"/>
    <w:rsid w:val="00124102"/>
    <w:rsid w:val="001243B0"/>
    <w:rsid w:val="0012447E"/>
    <w:rsid w:val="001244AC"/>
    <w:rsid w:val="00124522"/>
    <w:rsid w:val="0012459A"/>
    <w:rsid w:val="001246E3"/>
    <w:rsid w:val="001247E5"/>
    <w:rsid w:val="0012498F"/>
    <w:rsid w:val="00124AAA"/>
    <w:rsid w:val="00124B19"/>
    <w:rsid w:val="00124C35"/>
    <w:rsid w:val="00124D7F"/>
    <w:rsid w:val="00124E0D"/>
    <w:rsid w:val="00124EDB"/>
    <w:rsid w:val="001251CB"/>
    <w:rsid w:val="00125231"/>
    <w:rsid w:val="001252AD"/>
    <w:rsid w:val="001252FE"/>
    <w:rsid w:val="00125375"/>
    <w:rsid w:val="001254C5"/>
    <w:rsid w:val="001254F5"/>
    <w:rsid w:val="001255E9"/>
    <w:rsid w:val="0012565C"/>
    <w:rsid w:val="001256F6"/>
    <w:rsid w:val="00125784"/>
    <w:rsid w:val="0012583F"/>
    <w:rsid w:val="00125935"/>
    <w:rsid w:val="00125950"/>
    <w:rsid w:val="001259FF"/>
    <w:rsid w:val="00125A38"/>
    <w:rsid w:val="00125ABF"/>
    <w:rsid w:val="00125B47"/>
    <w:rsid w:val="00125B77"/>
    <w:rsid w:val="00125C7B"/>
    <w:rsid w:val="00125D98"/>
    <w:rsid w:val="00125E35"/>
    <w:rsid w:val="0012634C"/>
    <w:rsid w:val="00126377"/>
    <w:rsid w:val="00126470"/>
    <w:rsid w:val="001264B9"/>
    <w:rsid w:val="001265E4"/>
    <w:rsid w:val="00126647"/>
    <w:rsid w:val="0012666B"/>
    <w:rsid w:val="001266A6"/>
    <w:rsid w:val="00126704"/>
    <w:rsid w:val="00126711"/>
    <w:rsid w:val="00126720"/>
    <w:rsid w:val="0012677A"/>
    <w:rsid w:val="0012684F"/>
    <w:rsid w:val="00126938"/>
    <w:rsid w:val="001269EE"/>
    <w:rsid w:val="00126BB2"/>
    <w:rsid w:val="00126C52"/>
    <w:rsid w:val="00126C7B"/>
    <w:rsid w:val="00126D19"/>
    <w:rsid w:val="00126DE1"/>
    <w:rsid w:val="00126E82"/>
    <w:rsid w:val="00126F5D"/>
    <w:rsid w:val="00126F95"/>
    <w:rsid w:val="001271EA"/>
    <w:rsid w:val="00127247"/>
    <w:rsid w:val="00127377"/>
    <w:rsid w:val="0012737A"/>
    <w:rsid w:val="0012747E"/>
    <w:rsid w:val="001274A9"/>
    <w:rsid w:val="001275BD"/>
    <w:rsid w:val="00127631"/>
    <w:rsid w:val="00127874"/>
    <w:rsid w:val="001278B9"/>
    <w:rsid w:val="00127B89"/>
    <w:rsid w:val="00127CF7"/>
    <w:rsid w:val="00127D46"/>
    <w:rsid w:val="00127D81"/>
    <w:rsid w:val="00127E4D"/>
    <w:rsid w:val="00127EB0"/>
    <w:rsid w:val="0013001C"/>
    <w:rsid w:val="00130087"/>
    <w:rsid w:val="001300C0"/>
    <w:rsid w:val="001300E6"/>
    <w:rsid w:val="0013017D"/>
    <w:rsid w:val="00130292"/>
    <w:rsid w:val="00130299"/>
    <w:rsid w:val="001302C8"/>
    <w:rsid w:val="001302EA"/>
    <w:rsid w:val="0013035E"/>
    <w:rsid w:val="00130379"/>
    <w:rsid w:val="0013044E"/>
    <w:rsid w:val="00130467"/>
    <w:rsid w:val="0013061F"/>
    <w:rsid w:val="0013067E"/>
    <w:rsid w:val="00130957"/>
    <w:rsid w:val="0013095F"/>
    <w:rsid w:val="001309E1"/>
    <w:rsid w:val="00130ACD"/>
    <w:rsid w:val="00130B50"/>
    <w:rsid w:val="00130C59"/>
    <w:rsid w:val="00130CF3"/>
    <w:rsid w:val="00130E21"/>
    <w:rsid w:val="00130E86"/>
    <w:rsid w:val="00130E8B"/>
    <w:rsid w:val="00130E98"/>
    <w:rsid w:val="00130F8C"/>
    <w:rsid w:val="0013106E"/>
    <w:rsid w:val="001310CD"/>
    <w:rsid w:val="001310DD"/>
    <w:rsid w:val="00131272"/>
    <w:rsid w:val="0013141E"/>
    <w:rsid w:val="00131460"/>
    <w:rsid w:val="001314FE"/>
    <w:rsid w:val="001315F3"/>
    <w:rsid w:val="00131826"/>
    <w:rsid w:val="001318E0"/>
    <w:rsid w:val="00131B7F"/>
    <w:rsid w:val="00131C80"/>
    <w:rsid w:val="00131C8C"/>
    <w:rsid w:val="00131E33"/>
    <w:rsid w:val="00131E5E"/>
    <w:rsid w:val="00132069"/>
    <w:rsid w:val="00132177"/>
    <w:rsid w:val="001321A0"/>
    <w:rsid w:val="00132233"/>
    <w:rsid w:val="00132245"/>
    <w:rsid w:val="0013234F"/>
    <w:rsid w:val="0013247F"/>
    <w:rsid w:val="001325EE"/>
    <w:rsid w:val="00132650"/>
    <w:rsid w:val="0013271E"/>
    <w:rsid w:val="00132729"/>
    <w:rsid w:val="001327C2"/>
    <w:rsid w:val="00132985"/>
    <w:rsid w:val="00132B62"/>
    <w:rsid w:val="00132C2D"/>
    <w:rsid w:val="00132CB2"/>
    <w:rsid w:val="00132E5D"/>
    <w:rsid w:val="00132E91"/>
    <w:rsid w:val="00132EAC"/>
    <w:rsid w:val="00132EB0"/>
    <w:rsid w:val="00132EEE"/>
    <w:rsid w:val="00132F06"/>
    <w:rsid w:val="00132F1A"/>
    <w:rsid w:val="00132F76"/>
    <w:rsid w:val="0013308B"/>
    <w:rsid w:val="001330B4"/>
    <w:rsid w:val="00133230"/>
    <w:rsid w:val="00133261"/>
    <w:rsid w:val="00133266"/>
    <w:rsid w:val="00133355"/>
    <w:rsid w:val="00133382"/>
    <w:rsid w:val="001333E0"/>
    <w:rsid w:val="00133420"/>
    <w:rsid w:val="00133439"/>
    <w:rsid w:val="001334E7"/>
    <w:rsid w:val="0013357B"/>
    <w:rsid w:val="0013366F"/>
    <w:rsid w:val="0013368A"/>
    <w:rsid w:val="0013385C"/>
    <w:rsid w:val="00133A68"/>
    <w:rsid w:val="00133C64"/>
    <w:rsid w:val="00133CD5"/>
    <w:rsid w:val="00133D02"/>
    <w:rsid w:val="00133E88"/>
    <w:rsid w:val="00133F9A"/>
    <w:rsid w:val="00134154"/>
    <w:rsid w:val="001341F3"/>
    <w:rsid w:val="00134263"/>
    <w:rsid w:val="00134265"/>
    <w:rsid w:val="001345F7"/>
    <w:rsid w:val="001346FA"/>
    <w:rsid w:val="0013475E"/>
    <w:rsid w:val="0013476D"/>
    <w:rsid w:val="001347C8"/>
    <w:rsid w:val="001348EA"/>
    <w:rsid w:val="001348FD"/>
    <w:rsid w:val="00134A38"/>
    <w:rsid w:val="00134AF0"/>
    <w:rsid w:val="00134BCC"/>
    <w:rsid w:val="00134FA5"/>
    <w:rsid w:val="00134FBE"/>
    <w:rsid w:val="00134FCE"/>
    <w:rsid w:val="001350BF"/>
    <w:rsid w:val="00135192"/>
    <w:rsid w:val="001351AC"/>
    <w:rsid w:val="00135216"/>
    <w:rsid w:val="0013537C"/>
    <w:rsid w:val="001353B7"/>
    <w:rsid w:val="001354DE"/>
    <w:rsid w:val="00135519"/>
    <w:rsid w:val="001355CF"/>
    <w:rsid w:val="00135940"/>
    <w:rsid w:val="0013594B"/>
    <w:rsid w:val="00135985"/>
    <w:rsid w:val="00135990"/>
    <w:rsid w:val="00135A02"/>
    <w:rsid w:val="00135B15"/>
    <w:rsid w:val="00135BD7"/>
    <w:rsid w:val="00135BDF"/>
    <w:rsid w:val="00135C47"/>
    <w:rsid w:val="00135C53"/>
    <w:rsid w:val="00135CCA"/>
    <w:rsid w:val="00135DD2"/>
    <w:rsid w:val="00135E8C"/>
    <w:rsid w:val="00135EA2"/>
    <w:rsid w:val="00135ED6"/>
    <w:rsid w:val="00135F56"/>
    <w:rsid w:val="00136064"/>
    <w:rsid w:val="001361DE"/>
    <w:rsid w:val="001362A3"/>
    <w:rsid w:val="001362BC"/>
    <w:rsid w:val="001362BE"/>
    <w:rsid w:val="00136342"/>
    <w:rsid w:val="001363B4"/>
    <w:rsid w:val="00136488"/>
    <w:rsid w:val="001365FF"/>
    <w:rsid w:val="0013662E"/>
    <w:rsid w:val="0013665D"/>
    <w:rsid w:val="0013683C"/>
    <w:rsid w:val="00136A8E"/>
    <w:rsid w:val="00136B11"/>
    <w:rsid w:val="00136CB6"/>
    <w:rsid w:val="00136D9D"/>
    <w:rsid w:val="00136DDC"/>
    <w:rsid w:val="00136E5E"/>
    <w:rsid w:val="00136EA4"/>
    <w:rsid w:val="00136F00"/>
    <w:rsid w:val="00136F78"/>
    <w:rsid w:val="00136FB0"/>
    <w:rsid w:val="00137018"/>
    <w:rsid w:val="0013703D"/>
    <w:rsid w:val="0013735F"/>
    <w:rsid w:val="00137366"/>
    <w:rsid w:val="001373A0"/>
    <w:rsid w:val="0013746A"/>
    <w:rsid w:val="00137625"/>
    <w:rsid w:val="0013762F"/>
    <w:rsid w:val="00137695"/>
    <w:rsid w:val="0013777E"/>
    <w:rsid w:val="001377E6"/>
    <w:rsid w:val="0013783C"/>
    <w:rsid w:val="00137977"/>
    <w:rsid w:val="00137A01"/>
    <w:rsid w:val="00137A2E"/>
    <w:rsid w:val="00137AFF"/>
    <w:rsid w:val="00137C6A"/>
    <w:rsid w:val="00137D33"/>
    <w:rsid w:val="00137DB9"/>
    <w:rsid w:val="00137DC4"/>
    <w:rsid w:val="00137DCC"/>
    <w:rsid w:val="00137E54"/>
    <w:rsid w:val="00137F13"/>
    <w:rsid w:val="00137FB6"/>
    <w:rsid w:val="001400AC"/>
    <w:rsid w:val="001400D0"/>
    <w:rsid w:val="0014012A"/>
    <w:rsid w:val="0014027F"/>
    <w:rsid w:val="00140350"/>
    <w:rsid w:val="001403EF"/>
    <w:rsid w:val="00140441"/>
    <w:rsid w:val="00140666"/>
    <w:rsid w:val="001406D6"/>
    <w:rsid w:val="0014072E"/>
    <w:rsid w:val="0014085C"/>
    <w:rsid w:val="001408C0"/>
    <w:rsid w:val="00140949"/>
    <w:rsid w:val="00140A78"/>
    <w:rsid w:val="00140B17"/>
    <w:rsid w:val="00140B1D"/>
    <w:rsid w:val="00140B43"/>
    <w:rsid w:val="00140BB0"/>
    <w:rsid w:val="00140BD1"/>
    <w:rsid w:val="00140CBD"/>
    <w:rsid w:val="00140E79"/>
    <w:rsid w:val="00140F42"/>
    <w:rsid w:val="001411B2"/>
    <w:rsid w:val="00141473"/>
    <w:rsid w:val="0014160C"/>
    <w:rsid w:val="00141830"/>
    <w:rsid w:val="00141857"/>
    <w:rsid w:val="001418C7"/>
    <w:rsid w:val="0014194D"/>
    <w:rsid w:val="00141971"/>
    <w:rsid w:val="001419C8"/>
    <w:rsid w:val="001419EB"/>
    <w:rsid w:val="00141A40"/>
    <w:rsid w:val="00141AC0"/>
    <w:rsid w:val="00141B19"/>
    <w:rsid w:val="00141BEB"/>
    <w:rsid w:val="00141C09"/>
    <w:rsid w:val="00141C44"/>
    <w:rsid w:val="00141C9B"/>
    <w:rsid w:val="00141CF5"/>
    <w:rsid w:val="00141CFF"/>
    <w:rsid w:val="00141D5B"/>
    <w:rsid w:val="00141EDC"/>
    <w:rsid w:val="00141F5B"/>
    <w:rsid w:val="001420AA"/>
    <w:rsid w:val="00142169"/>
    <w:rsid w:val="001421DE"/>
    <w:rsid w:val="0014228C"/>
    <w:rsid w:val="00142399"/>
    <w:rsid w:val="001423CC"/>
    <w:rsid w:val="0014247B"/>
    <w:rsid w:val="001425F2"/>
    <w:rsid w:val="001426D1"/>
    <w:rsid w:val="00142708"/>
    <w:rsid w:val="00142785"/>
    <w:rsid w:val="00142836"/>
    <w:rsid w:val="001429A7"/>
    <w:rsid w:val="00142A27"/>
    <w:rsid w:val="00142AD9"/>
    <w:rsid w:val="00142B21"/>
    <w:rsid w:val="00142BE8"/>
    <w:rsid w:val="00142C0A"/>
    <w:rsid w:val="00142C41"/>
    <w:rsid w:val="00142DB7"/>
    <w:rsid w:val="00142DC0"/>
    <w:rsid w:val="00142E0A"/>
    <w:rsid w:val="00142EF4"/>
    <w:rsid w:val="00142F28"/>
    <w:rsid w:val="001430EB"/>
    <w:rsid w:val="001433EC"/>
    <w:rsid w:val="0014352E"/>
    <w:rsid w:val="00143647"/>
    <w:rsid w:val="001436D5"/>
    <w:rsid w:val="00143708"/>
    <w:rsid w:val="001437A9"/>
    <w:rsid w:val="001437B5"/>
    <w:rsid w:val="00143807"/>
    <w:rsid w:val="001438F8"/>
    <w:rsid w:val="0014391C"/>
    <w:rsid w:val="001439BC"/>
    <w:rsid w:val="00143A3D"/>
    <w:rsid w:val="00143A43"/>
    <w:rsid w:val="00143A48"/>
    <w:rsid w:val="00143B3B"/>
    <w:rsid w:val="00143D5D"/>
    <w:rsid w:val="00143D88"/>
    <w:rsid w:val="00143DC0"/>
    <w:rsid w:val="00143EA4"/>
    <w:rsid w:val="00143EA8"/>
    <w:rsid w:val="00143EFF"/>
    <w:rsid w:val="00143FAF"/>
    <w:rsid w:val="00143FC6"/>
    <w:rsid w:val="00143FDD"/>
    <w:rsid w:val="00143FF1"/>
    <w:rsid w:val="0014408D"/>
    <w:rsid w:val="001440D3"/>
    <w:rsid w:val="001440E9"/>
    <w:rsid w:val="001440ED"/>
    <w:rsid w:val="001441B1"/>
    <w:rsid w:val="0014427C"/>
    <w:rsid w:val="001443FB"/>
    <w:rsid w:val="001444EF"/>
    <w:rsid w:val="001448EC"/>
    <w:rsid w:val="00144A3A"/>
    <w:rsid w:val="00144B99"/>
    <w:rsid w:val="00144C8C"/>
    <w:rsid w:val="00144D41"/>
    <w:rsid w:val="00144EE3"/>
    <w:rsid w:val="0014502E"/>
    <w:rsid w:val="001455EE"/>
    <w:rsid w:val="001456BC"/>
    <w:rsid w:val="001456EE"/>
    <w:rsid w:val="001457CB"/>
    <w:rsid w:val="001457E5"/>
    <w:rsid w:val="0014585A"/>
    <w:rsid w:val="00145A35"/>
    <w:rsid w:val="00145B43"/>
    <w:rsid w:val="00145B45"/>
    <w:rsid w:val="00145BB3"/>
    <w:rsid w:val="00145C01"/>
    <w:rsid w:val="00145D70"/>
    <w:rsid w:val="00145E7C"/>
    <w:rsid w:val="00145E81"/>
    <w:rsid w:val="00145F0A"/>
    <w:rsid w:val="00145F17"/>
    <w:rsid w:val="00145FCA"/>
    <w:rsid w:val="0014605B"/>
    <w:rsid w:val="00146076"/>
    <w:rsid w:val="0014617F"/>
    <w:rsid w:val="00146204"/>
    <w:rsid w:val="00146344"/>
    <w:rsid w:val="00146677"/>
    <w:rsid w:val="001466AE"/>
    <w:rsid w:val="0014684B"/>
    <w:rsid w:val="00146878"/>
    <w:rsid w:val="00146890"/>
    <w:rsid w:val="001469A9"/>
    <w:rsid w:val="001469B9"/>
    <w:rsid w:val="00146C8A"/>
    <w:rsid w:val="00146CC0"/>
    <w:rsid w:val="00146D28"/>
    <w:rsid w:val="00146D47"/>
    <w:rsid w:val="00146DF3"/>
    <w:rsid w:val="00146DFB"/>
    <w:rsid w:val="00146EDF"/>
    <w:rsid w:val="00146FD9"/>
    <w:rsid w:val="001471CA"/>
    <w:rsid w:val="001471E6"/>
    <w:rsid w:val="00147235"/>
    <w:rsid w:val="0014731A"/>
    <w:rsid w:val="0014733E"/>
    <w:rsid w:val="00147343"/>
    <w:rsid w:val="001476EB"/>
    <w:rsid w:val="001477FF"/>
    <w:rsid w:val="00147898"/>
    <w:rsid w:val="001478CA"/>
    <w:rsid w:val="001478F7"/>
    <w:rsid w:val="00147939"/>
    <w:rsid w:val="001479C3"/>
    <w:rsid w:val="00147A53"/>
    <w:rsid w:val="00147B0E"/>
    <w:rsid w:val="00147B58"/>
    <w:rsid w:val="00147B6E"/>
    <w:rsid w:val="00147CC4"/>
    <w:rsid w:val="00147DEC"/>
    <w:rsid w:val="00147EFD"/>
    <w:rsid w:val="0015000C"/>
    <w:rsid w:val="001500C6"/>
    <w:rsid w:val="0015010E"/>
    <w:rsid w:val="0015018A"/>
    <w:rsid w:val="001504C7"/>
    <w:rsid w:val="001505DD"/>
    <w:rsid w:val="001505FB"/>
    <w:rsid w:val="001506A7"/>
    <w:rsid w:val="00150786"/>
    <w:rsid w:val="0015079A"/>
    <w:rsid w:val="00150812"/>
    <w:rsid w:val="00150854"/>
    <w:rsid w:val="00150873"/>
    <w:rsid w:val="001508DA"/>
    <w:rsid w:val="001508E9"/>
    <w:rsid w:val="001508FB"/>
    <w:rsid w:val="00150A69"/>
    <w:rsid w:val="00150B1A"/>
    <w:rsid w:val="00150B69"/>
    <w:rsid w:val="00150B82"/>
    <w:rsid w:val="00150BD3"/>
    <w:rsid w:val="00150D6A"/>
    <w:rsid w:val="001510EE"/>
    <w:rsid w:val="0015124C"/>
    <w:rsid w:val="0015129F"/>
    <w:rsid w:val="00151304"/>
    <w:rsid w:val="0015136D"/>
    <w:rsid w:val="00151457"/>
    <w:rsid w:val="001514FC"/>
    <w:rsid w:val="001515A1"/>
    <w:rsid w:val="001517CE"/>
    <w:rsid w:val="00151A7B"/>
    <w:rsid w:val="00151AD2"/>
    <w:rsid w:val="00151CB0"/>
    <w:rsid w:val="00151D13"/>
    <w:rsid w:val="00151D1B"/>
    <w:rsid w:val="00151D8B"/>
    <w:rsid w:val="00151E89"/>
    <w:rsid w:val="00151E9D"/>
    <w:rsid w:val="00151F8E"/>
    <w:rsid w:val="00151F8F"/>
    <w:rsid w:val="00151FE5"/>
    <w:rsid w:val="0015203F"/>
    <w:rsid w:val="00152058"/>
    <w:rsid w:val="001520D5"/>
    <w:rsid w:val="001521E0"/>
    <w:rsid w:val="00152375"/>
    <w:rsid w:val="00152426"/>
    <w:rsid w:val="00152483"/>
    <w:rsid w:val="0015248A"/>
    <w:rsid w:val="001524D4"/>
    <w:rsid w:val="00152507"/>
    <w:rsid w:val="0015261A"/>
    <w:rsid w:val="00152817"/>
    <w:rsid w:val="0015281D"/>
    <w:rsid w:val="001528CA"/>
    <w:rsid w:val="00152AA4"/>
    <w:rsid w:val="00152AD7"/>
    <w:rsid w:val="00152AE3"/>
    <w:rsid w:val="00152D96"/>
    <w:rsid w:val="00152DBF"/>
    <w:rsid w:val="00152DD7"/>
    <w:rsid w:val="00152FBA"/>
    <w:rsid w:val="00152FC9"/>
    <w:rsid w:val="0015302F"/>
    <w:rsid w:val="00153064"/>
    <w:rsid w:val="001530AC"/>
    <w:rsid w:val="00153253"/>
    <w:rsid w:val="0015330A"/>
    <w:rsid w:val="001536C7"/>
    <w:rsid w:val="001537A5"/>
    <w:rsid w:val="001538AA"/>
    <w:rsid w:val="00153A49"/>
    <w:rsid w:val="00153A9D"/>
    <w:rsid w:val="00153B27"/>
    <w:rsid w:val="00153B8B"/>
    <w:rsid w:val="00153BCD"/>
    <w:rsid w:val="00153CAF"/>
    <w:rsid w:val="00153D5C"/>
    <w:rsid w:val="00153E05"/>
    <w:rsid w:val="00153E12"/>
    <w:rsid w:val="00153EFC"/>
    <w:rsid w:val="0015410A"/>
    <w:rsid w:val="001541DF"/>
    <w:rsid w:val="00154206"/>
    <w:rsid w:val="00154232"/>
    <w:rsid w:val="0015435F"/>
    <w:rsid w:val="001547F1"/>
    <w:rsid w:val="0015481E"/>
    <w:rsid w:val="00154938"/>
    <w:rsid w:val="00154ACB"/>
    <w:rsid w:val="00154AFC"/>
    <w:rsid w:val="00154B81"/>
    <w:rsid w:val="00154BEA"/>
    <w:rsid w:val="00154C26"/>
    <w:rsid w:val="00154CBA"/>
    <w:rsid w:val="00154D4E"/>
    <w:rsid w:val="00154E1C"/>
    <w:rsid w:val="00154F13"/>
    <w:rsid w:val="0015503E"/>
    <w:rsid w:val="001550AB"/>
    <w:rsid w:val="00155102"/>
    <w:rsid w:val="00155212"/>
    <w:rsid w:val="00155511"/>
    <w:rsid w:val="0015554C"/>
    <w:rsid w:val="00155559"/>
    <w:rsid w:val="0015563A"/>
    <w:rsid w:val="00155649"/>
    <w:rsid w:val="0015571A"/>
    <w:rsid w:val="00155728"/>
    <w:rsid w:val="00155761"/>
    <w:rsid w:val="00155774"/>
    <w:rsid w:val="0015584F"/>
    <w:rsid w:val="00155870"/>
    <w:rsid w:val="001558CB"/>
    <w:rsid w:val="00155938"/>
    <w:rsid w:val="001559B2"/>
    <w:rsid w:val="001559E6"/>
    <w:rsid w:val="00155A3E"/>
    <w:rsid w:val="00155A9B"/>
    <w:rsid w:val="00155B6F"/>
    <w:rsid w:val="00155DCC"/>
    <w:rsid w:val="00155E2F"/>
    <w:rsid w:val="00155E3F"/>
    <w:rsid w:val="00155EE6"/>
    <w:rsid w:val="00155F15"/>
    <w:rsid w:val="001560F1"/>
    <w:rsid w:val="001561BE"/>
    <w:rsid w:val="00156271"/>
    <w:rsid w:val="00156373"/>
    <w:rsid w:val="001563A3"/>
    <w:rsid w:val="001563B0"/>
    <w:rsid w:val="0015641E"/>
    <w:rsid w:val="00156423"/>
    <w:rsid w:val="0015644B"/>
    <w:rsid w:val="001564B1"/>
    <w:rsid w:val="001564C7"/>
    <w:rsid w:val="00156574"/>
    <w:rsid w:val="00156622"/>
    <w:rsid w:val="001566DD"/>
    <w:rsid w:val="00156818"/>
    <w:rsid w:val="00156915"/>
    <w:rsid w:val="00156B68"/>
    <w:rsid w:val="00156BA0"/>
    <w:rsid w:val="00156DF1"/>
    <w:rsid w:val="00156E2A"/>
    <w:rsid w:val="00156ECC"/>
    <w:rsid w:val="00156EFD"/>
    <w:rsid w:val="00156FCF"/>
    <w:rsid w:val="00157020"/>
    <w:rsid w:val="00157194"/>
    <w:rsid w:val="001571A6"/>
    <w:rsid w:val="001571C0"/>
    <w:rsid w:val="00157206"/>
    <w:rsid w:val="00157432"/>
    <w:rsid w:val="00157467"/>
    <w:rsid w:val="0015748F"/>
    <w:rsid w:val="0015753E"/>
    <w:rsid w:val="0015757E"/>
    <w:rsid w:val="001575D4"/>
    <w:rsid w:val="00157680"/>
    <w:rsid w:val="001576AD"/>
    <w:rsid w:val="001576C5"/>
    <w:rsid w:val="001576C6"/>
    <w:rsid w:val="00157754"/>
    <w:rsid w:val="00157876"/>
    <w:rsid w:val="00157B51"/>
    <w:rsid w:val="00157C6A"/>
    <w:rsid w:val="00157CCB"/>
    <w:rsid w:val="00157EFF"/>
    <w:rsid w:val="00157F08"/>
    <w:rsid w:val="0016002F"/>
    <w:rsid w:val="001600B8"/>
    <w:rsid w:val="001600DD"/>
    <w:rsid w:val="0016012D"/>
    <w:rsid w:val="0016014A"/>
    <w:rsid w:val="00160216"/>
    <w:rsid w:val="0016025F"/>
    <w:rsid w:val="00160284"/>
    <w:rsid w:val="0016029A"/>
    <w:rsid w:val="0016031D"/>
    <w:rsid w:val="001605B9"/>
    <w:rsid w:val="001605F6"/>
    <w:rsid w:val="00160623"/>
    <w:rsid w:val="0016067D"/>
    <w:rsid w:val="00160715"/>
    <w:rsid w:val="00160760"/>
    <w:rsid w:val="00160866"/>
    <w:rsid w:val="001608E7"/>
    <w:rsid w:val="00160971"/>
    <w:rsid w:val="00160A20"/>
    <w:rsid w:val="00160A79"/>
    <w:rsid w:val="00160BB9"/>
    <w:rsid w:val="00160CD6"/>
    <w:rsid w:val="00160CDF"/>
    <w:rsid w:val="00160D1C"/>
    <w:rsid w:val="00160DCC"/>
    <w:rsid w:val="00160E5B"/>
    <w:rsid w:val="00160EBE"/>
    <w:rsid w:val="00160FAA"/>
    <w:rsid w:val="00160FD8"/>
    <w:rsid w:val="001610FB"/>
    <w:rsid w:val="001611C1"/>
    <w:rsid w:val="001611CE"/>
    <w:rsid w:val="00161226"/>
    <w:rsid w:val="00161340"/>
    <w:rsid w:val="001613AA"/>
    <w:rsid w:val="00161512"/>
    <w:rsid w:val="00161594"/>
    <w:rsid w:val="00161803"/>
    <w:rsid w:val="0016181E"/>
    <w:rsid w:val="00161835"/>
    <w:rsid w:val="00161C68"/>
    <w:rsid w:val="00161E36"/>
    <w:rsid w:val="00161EA9"/>
    <w:rsid w:val="00161F9E"/>
    <w:rsid w:val="0016203B"/>
    <w:rsid w:val="0016225D"/>
    <w:rsid w:val="001622F8"/>
    <w:rsid w:val="001623BB"/>
    <w:rsid w:val="001623DA"/>
    <w:rsid w:val="001624EF"/>
    <w:rsid w:val="00162631"/>
    <w:rsid w:val="001627D9"/>
    <w:rsid w:val="001627DC"/>
    <w:rsid w:val="001627E0"/>
    <w:rsid w:val="001628D9"/>
    <w:rsid w:val="00162955"/>
    <w:rsid w:val="001629BA"/>
    <w:rsid w:val="00162A5C"/>
    <w:rsid w:val="00162CAE"/>
    <w:rsid w:val="00162CD9"/>
    <w:rsid w:val="00162CE3"/>
    <w:rsid w:val="00162D9D"/>
    <w:rsid w:val="00162EAD"/>
    <w:rsid w:val="00162F35"/>
    <w:rsid w:val="00162FA0"/>
    <w:rsid w:val="001630F7"/>
    <w:rsid w:val="001630FD"/>
    <w:rsid w:val="00163362"/>
    <w:rsid w:val="001633D0"/>
    <w:rsid w:val="0016342C"/>
    <w:rsid w:val="0016352E"/>
    <w:rsid w:val="0016362F"/>
    <w:rsid w:val="00163758"/>
    <w:rsid w:val="00163770"/>
    <w:rsid w:val="00163853"/>
    <w:rsid w:val="00163898"/>
    <w:rsid w:val="00163B11"/>
    <w:rsid w:val="00163B34"/>
    <w:rsid w:val="00163B65"/>
    <w:rsid w:val="00163CDD"/>
    <w:rsid w:val="00163D58"/>
    <w:rsid w:val="00163E7B"/>
    <w:rsid w:val="00163EC8"/>
    <w:rsid w:val="00164283"/>
    <w:rsid w:val="001642B2"/>
    <w:rsid w:val="00164484"/>
    <w:rsid w:val="0016448A"/>
    <w:rsid w:val="00164594"/>
    <w:rsid w:val="00164700"/>
    <w:rsid w:val="001647A8"/>
    <w:rsid w:val="001649E7"/>
    <w:rsid w:val="00164A4B"/>
    <w:rsid w:val="00164AB5"/>
    <w:rsid w:val="00164BB5"/>
    <w:rsid w:val="00164CEC"/>
    <w:rsid w:val="00164CFF"/>
    <w:rsid w:val="00164D32"/>
    <w:rsid w:val="00164D52"/>
    <w:rsid w:val="001651D4"/>
    <w:rsid w:val="001651D7"/>
    <w:rsid w:val="001651F1"/>
    <w:rsid w:val="001652AC"/>
    <w:rsid w:val="00165304"/>
    <w:rsid w:val="00165316"/>
    <w:rsid w:val="0016555C"/>
    <w:rsid w:val="001655B1"/>
    <w:rsid w:val="00165687"/>
    <w:rsid w:val="001657D4"/>
    <w:rsid w:val="001657E6"/>
    <w:rsid w:val="00165855"/>
    <w:rsid w:val="00165872"/>
    <w:rsid w:val="00165892"/>
    <w:rsid w:val="00165A38"/>
    <w:rsid w:val="00165AE9"/>
    <w:rsid w:val="00165BAB"/>
    <w:rsid w:val="00165BE6"/>
    <w:rsid w:val="00165CEC"/>
    <w:rsid w:val="00165D86"/>
    <w:rsid w:val="00165DA0"/>
    <w:rsid w:val="00165E4C"/>
    <w:rsid w:val="00165E6D"/>
    <w:rsid w:val="00165E88"/>
    <w:rsid w:val="00165EF5"/>
    <w:rsid w:val="00165F4D"/>
    <w:rsid w:val="00165FB0"/>
    <w:rsid w:val="0016606E"/>
    <w:rsid w:val="00166155"/>
    <w:rsid w:val="001661D8"/>
    <w:rsid w:val="00166207"/>
    <w:rsid w:val="00166261"/>
    <w:rsid w:val="001662D6"/>
    <w:rsid w:val="001663CD"/>
    <w:rsid w:val="001663E6"/>
    <w:rsid w:val="00166525"/>
    <w:rsid w:val="0016657D"/>
    <w:rsid w:val="001665E0"/>
    <w:rsid w:val="001665F3"/>
    <w:rsid w:val="0016664A"/>
    <w:rsid w:val="001666CE"/>
    <w:rsid w:val="0016673E"/>
    <w:rsid w:val="00166797"/>
    <w:rsid w:val="001667B7"/>
    <w:rsid w:val="001668B2"/>
    <w:rsid w:val="001668E8"/>
    <w:rsid w:val="0016690D"/>
    <w:rsid w:val="00166A27"/>
    <w:rsid w:val="00166A43"/>
    <w:rsid w:val="00166B96"/>
    <w:rsid w:val="00166D06"/>
    <w:rsid w:val="00166DF8"/>
    <w:rsid w:val="00166E08"/>
    <w:rsid w:val="00166EA4"/>
    <w:rsid w:val="00166F4D"/>
    <w:rsid w:val="00167014"/>
    <w:rsid w:val="001670BD"/>
    <w:rsid w:val="00167132"/>
    <w:rsid w:val="00167291"/>
    <w:rsid w:val="0016730F"/>
    <w:rsid w:val="0016798F"/>
    <w:rsid w:val="00167A48"/>
    <w:rsid w:val="00167A55"/>
    <w:rsid w:val="00167A66"/>
    <w:rsid w:val="00167BA6"/>
    <w:rsid w:val="00167C55"/>
    <w:rsid w:val="00167C80"/>
    <w:rsid w:val="00167EFA"/>
    <w:rsid w:val="00167FB2"/>
    <w:rsid w:val="00167FC2"/>
    <w:rsid w:val="001701EC"/>
    <w:rsid w:val="00170371"/>
    <w:rsid w:val="001703D0"/>
    <w:rsid w:val="00170435"/>
    <w:rsid w:val="001704A0"/>
    <w:rsid w:val="00170559"/>
    <w:rsid w:val="00170680"/>
    <w:rsid w:val="0017069F"/>
    <w:rsid w:val="0017081D"/>
    <w:rsid w:val="001708B0"/>
    <w:rsid w:val="0017094C"/>
    <w:rsid w:val="00170952"/>
    <w:rsid w:val="0017097B"/>
    <w:rsid w:val="001709A6"/>
    <w:rsid w:val="001709B9"/>
    <w:rsid w:val="00170AED"/>
    <w:rsid w:val="00170CDD"/>
    <w:rsid w:val="00170E0C"/>
    <w:rsid w:val="00170E37"/>
    <w:rsid w:val="00170FCE"/>
    <w:rsid w:val="00171063"/>
    <w:rsid w:val="00171068"/>
    <w:rsid w:val="00171111"/>
    <w:rsid w:val="001711B4"/>
    <w:rsid w:val="00171275"/>
    <w:rsid w:val="00171310"/>
    <w:rsid w:val="00171391"/>
    <w:rsid w:val="0017148D"/>
    <w:rsid w:val="001714FB"/>
    <w:rsid w:val="00171573"/>
    <w:rsid w:val="001715CE"/>
    <w:rsid w:val="00171614"/>
    <w:rsid w:val="00171739"/>
    <w:rsid w:val="001717BF"/>
    <w:rsid w:val="001717E4"/>
    <w:rsid w:val="0017180E"/>
    <w:rsid w:val="001718CA"/>
    <w:rsid w:val="001719B2"/>
    <w:rsid w:val="001719F7"/>
    <w:rsid w:val="00171A06"/>
    <w:rsid w:val="00171A47"/>
    <w:rsid w:val="00171B61"/>
    <w:rsid w:val="00171BDB"/>
    <w:rsid w:val="00171DD7"/>
    <w:rsid w:val="0017203A"/>
    <w:rsid w:val="001721C2"/>
    <w:rsid w:val="001721F5"/>
    <w:rsid w:val="0017225E"/>
    <w:rsid w:val="0017237C"/>
    <w:rsid w:val="0017238D"/>
    <w:rsid w:val="001726D7"/>
    <w:rsid w:val="00172736"/>
    <w:rsid w:val="0017277A"/>
    <w:rsid w:val="001727E8"/>
    <w:rsid w:val="00172894"/>
    <w:rsid w:val="00172947"/>
    <w:rsid w:val="0017298F"/>
    <w:rsid w:val="0017299C"/>
    <w:rsid w:val="00172ABE"/>
    <w:rsid w:val="00172BC8"/>
    <w:rsid w:val="00172C8B"/>
    <w:rsid w:val="00172D0C"/>
    <w:rsid w:val="00172DC6"/>
    <w:rsid w:val="00172E65"/>
    <w:rsid w:val="00172E8D"/>
    <w:rsid w:val="00172FB6"/>
    <w:rsid w:val="0017316A"/>
    <w:rsid w:val="00173219"/>
    <w:rsid w:val="001732EE"/>
    <w:rsid w:val="00173447"/>
    <w:rsid w:val="00173496"/>
    <w:rsid w:val="001735D7"/>
    <w:rsid w:val="0017369B"/>
    <w:rsid w:val="001737F6"/>
    <w:rsid w:val="001738C9"/>
    <w:rsid w:val="00173948"/>
    <w:rsid w:val="001739B0"/>
    <w:rsid w:val="00173A00"/>
    <w:rsid w:val="00173B22"/>
    <w:rsid w:val="00173B7A"/>
    <w:rsid w:val="00173C25"/>
    <w:rsid w:val="00173C98"/>
    <w:rsid w:val="00173CDE"/>
    <w:rsid w:val="00173DF2"/>
    <w:rsid w:val="00173E3A"/>
    <w:rsid w:val="00173F3A"/>
    <w:rsid w:val="00174008"/>
    <w:rsid w:val="001740A1"/>
    <w:rsid w:val="001740F6"/>
    <w:rsid w:val="0017410A"/>
    <w:rsid w:val="00174143"/>
    <w:rsid w:val="00174183"/>
    <w:rsid w:val="00174265"/>
    <w:rsid w:val="00174328"/>
    <w:rsid w:val="0017432C"/>
    <w:rsid w:val="00174357"/>
    <w:rsid w:val="001743EC"/>
    <w:rsid w:val="00174569"/>
    <w:rsid w:val="001746FA"/>
    <w:rsid w:val="00174753"/>
    <w:rsid w:val="00174872"/>
    <w:rsid w:val="0017499B"/>
    <w:rsid w:val="001749D9"/>
    <w:rsid w:val="001749F9"/>
    <w:rsid w:val="001749FF"/>
    <w:rsid w:val="00174A3E"/>
    <w:rsid w:val="00174A51"/>
    <w:rsid w:val="00174AAB"/>
    <w:rsid w:val="00174B5D"/>
    <w:rsid w:val="00174BEF"/>
    <w:rsid w:val="00174C20"/>
    <w:rsid w:val="00174C24"/>
    <w:rsid w:val="00174D51"/>
    <w:rsid w:val="00174DCF"/>
    <w:rsid w:val="00174FB1"/>
    <w:rsid w:val="0017506F"/>
    <w:rsid w:val="001751B2"/>
    <w:rsid w:val="00175363"/>
    <w:rsid w:val="0017545D"/>
    <w:rsid w:val="001755F1"/>
    <w:rsid w:val="0017572E"/>
    <w:rsid w:val="0017577B"/>
    <w:rsid w:val="00175797"/>
    <w:rsid w:val="00175837"/>
    <w:rsid w:val="00175840"/>
    <w:rsid w:val="00175AAA"/>
    <w:rsid w:val="00175BE7"/>
    <w:rsid w:val="00175C3F"/>
    <w:rsid w:val="00175DA1"/>
    <w:rsid w:val="00175E62"/>
    <w:rsid w:val="00175E7B"/>
    <w:rsid w:val="00175E99"/>
    <w:rsid w:val="00175ED8"/>
    <w:rsid w:val="00175EDB"/>
    <w:rsid w:val="00175FDF"/>
    <w:rsid w:val="001761E1"/>
    <w:rsid w:val="00176262"/>
    <w:rsid w:val="0017631F"/>
    <w:rsid w:val="0017642A"/>
    <w:rsid w:val="0017653D"/>
    <w:rsid w:val="0017656D"/>
    <w:rsid w:val="00176597"/>
    <w:rsid w:val="00176664"/>
    <w:rsid w:val="001767D8"/>
    <w:rsid w:val="00176835"/>
    <w:rsid w:val="001768A0"/>
    <w:rsid w:val="0017693B"/>
    <w:rsid w:val="0017693F"/>
    <w:rsid w:val="00176B1F"/>
    <w:rsid w:val="00176BFB"/>
    <w:rsid w:val="00176C0F"/>
    <w:rsid w:val="00176C44"/>
    <w:rsid w:val="00176CBD"/>
    <w:rsid w:val="00176D08"/>
    <w:rsid w:val="00177124"/>
    <w:rsid w:val="00177252"/>
    <w:rsid w:val="0017745C"/>
    <w:rsid w:val="00177474"/>
    <w:rsid w:val="001774A0"/>
    <w:rsid w:val="0017760A"/>
    <w:rsid w:val="00177613"/>
    <w:rsid w:val="0017767B"/>
    <w:rsid w:val="001779B8"/>
    <w:rsid w:val="001779C0"/>
    <w:rsid w:val="001779FB"/>
    <w:rsid w:val="00177A6F"/>
    <w:rsid w:val="00177B14"/>
    <w:rsid w:val="00177CCE"/>
    <w:rsid w:val="00177D7B"/>
    <w:rsid w:val="00177DE1"/>
    <w:rsid w:val="00177E36"/>
    <w:rsid w:val="00177E4F"/>
    <w:rsid w:val="00177F09"/>
    <w:rsid w:val="0018007D"/>
    <w:rsid w:val="0018008D"/>
    <w:rsid w:val="00180145"/>
    <w:rsid w:val="00180163"/>
    <w:rsid w:val="0018026D"/>
    <w:rsid w:val="001802E8"/>
    <w:rsid w:val="00180305"/>
    <w:rsid w:val="0018032F"/>
    <w:rsid w:val="001803A8"/>
    <w:rsid w:val="0018043E"/>
    <w:rsid w:val="00180445"/>
    <w:rsid w:val="001804C2"/>
    <w:rsid w:val="001805D2"/>
    <w:rsid w:val="00180622"/>
    <w:rsid w:val="00180713"/>
    <w:rsid w:val="001807BD"/>
    <w:rsid w:val="00180837"/>
    <w:rsid w:val="00180895"/>
    <w:rsid w:val="00180938"/>
    <w:rsid w:val="00180A0D"/>
    <w:rsid w:val="00180A0E"/>
    <w:rsid w:val="00180A16"/>
    <w:rsid w:val="00180A59"/>
    <w:rsid w:val="00180B11"/>
    <w:rsid w:val="00180B7D"/>
    <w:rsid w:val="00180C70"/>
    <w:rsid w:val="00180CB0"/>
    <w:rsid w:val="00180DF9"/>
    <w:rsid w:val="00180E67"/>
    <w:rsid w:val="00180F10"/>
    <w:rsid w:val="00180FA5"/>
    <w:rsid w:val="00181021"/>
    <w:rsid w:val="0018104A"/>
    <w:rsid w:val="0018112C"/>
    <w:rsid w:val="0018140F"/>
    <w:rsid w:val="00181540"/>
    <w:rsid w:val="00181822"/>
    <w:rsid w:val="001818AB"/>
    <w:rsid w:val="00181919"/>
    <w:rsid w:val="001819C1"/>
    <w:rsid w:val="00181BF9"/>
    <w:rsid w:val="00181D1F"/>
    <w:rsid w:val="00181D48"/>
    <w:rsid w:val="00181D7D"/>
    <w:rsid w:val="00181E38"/>
    <w:rsid w:val="00181EBF"/>
    <w:rsid w:val="00181F14"/>
    <w:rsid w:val="00181FD9"/>
    <w:rsid w:val="00182057"/>
    <w:rsid w:val="001823AC"/>
    <w:rsid w:val="00182446"/>
    <w:rsid w:val="00182475"/>
    <w:rsid w:val="001824A0"/>
    <w:rsid w:val="001824D8"/>
    <w:rsid w:val="001825C8"/>
    <w:rsid w:val="001827A2"/>
    <w:rsid w:val="001827E5"/>
    <w:rsid w:val="00182870"/>
    <w:rsid w:val="001828A9"/>
    <w:rsid w:val="001828B3"/>
    <w:rsid w:val="001828EA"/>
    <w:rsid w:val="00182A94"/>
    <w:rsid w:val="00182ACC"/>
    <w:rsid w:val="00182B25"/>
    <w:rsid w:val="00182B33"/>
    <w:rsid w:val="00182C1A"/>
    <w:rsid w:val="00182C47"/>
    <w:rsid w:val="00182D0D"/>
    <w:rsid w:val="00182DA8"/>
    <w:rsid w:val="00182E77"/>
    <w:rsid w:val="00182E88"/>
    <w:rsid w:val="00182F3D"/>
    <w:rsid w:val="00182FD6"/>
    <w:rsid w:val="00182FFE"/>
    <w:rsid w:val="00183000"/>
    <w:rsid w:val="0018315F"/>
    <w:rsid w:val="0018320C"/>
    <w:rsid w:val="00183213"/>
    <w:rsid w:val="00183257"/>
    <w:rsid w:val="001833FA"/>
    <w:rsid w:val="00183414"/>
    <w:rsid w:val="001834BC"/>
    <w:rsid w:val="0018357A"/>
    <w:rsid w:val="001836A3"/>
    <w:rsid w:val="001836ED"/>
    <w:rsid w:val="0018383C"/>
    <w:rsid w:val="00183852"/>
    <w:rsid w:val="001838AC"/>
    <w:rsid w:val="00183A2A"/>
    <w:rsid w:val="00183A41"/>
    <w:rsid w:val="00183B5F"/>
    <w:rsid w:val="00183BA2"/>
    <w:rsid w:val="00183C3E"/>
    <w:rsid w:val="00183CB6"/>
    <w:rsid w:val="00183FA1"/>
    <w:rsid w:val="0018409C"/>
    <w:rsid w:val="00184182"/>
    <w:rsid w:val="001842D8"/>
    <w:rsid w:val="00184321"/>
    <w:rsid w:val="001843DB"/>
    <w:rsid w:val="0018455A"/>
    <w:rsid w:val="0018461D"/>
    <w:rsid w:val="0018463F"/>
    <w:rsid w:val="0018480E"/>
    <w:rsid w:val="00184841"/>
    <w:rsid w:val="001848C7"/>
    <w:rsid w:val="00184AA4"/>
    <w:rsid w:val="00184BC5"/>
    <w:rsid w:val="00184CDA"/>
    <w:rsid w:val="00184DCE"/>
    <w:rsid w:val="00184E31"/>
    <w:rsid w:val="00184FAE"/>
    <w:rsid w:val="00184FD5"/>
    <w:rsid w:val="00184FDD"/>
    <w:rsid w:val="00184FE5"/>
    <w:rsid w:val="0018502E"/>
    <w:rsid w:val="00185045"/>
    <w:rsid w:val="00185094"/>
    <w:rsid w:val="00185111"/>
    <w:rsid w:val="00185121"/>
    <w:rsid w:val="0018513F"/>
    <w:rsid w:val="001851AA"/>
    <w:rsid w:val="001852E7"/>
    <w:rsid w:val="00185614"/>
    <w:rsid w:val="00185787"/>
    <w:rsid w:val="001857A4"/>
    <w:rsid w:val="00185875"/>
    <w:rsid w:val="001858B9"/>
    <w:rsid w:val="00185952"/>
    <w:rsid w:val="00185958"/>
    <w:rsid w:val="001859B5"/>
    <w:rsid w:val="001859F2"/>
    <w:rsid w:val="00185ADA"/>
    <w:rsid w:val="00185C04"/>
    <w:rsid w:val="00185C08"/>
    <w:rsid w:val="00185D21"/>
    <w:rsid w:val="00185F2E"/>
    <w:rsid w:val="00185F9A"/>
    <w:rsid w:val="00185FE1"/>
    <w:rsid w:val="00186022"/>
    <w:rsid w:val="00186035"/>
    <w:rsid w:val="001861DF"/>
    <w:rsid w:val="00186261"/>
    <w:rsid w:val="0018627E"/>
    <w:rsid w:val="001863C7"/>
    <w:rsid w:val="001863C9"/>
    <w:rsid w:val="0018641C"/>
    <w:rsid w:val="00186424"/>
    <w:rsid w:val="00186437"/>
    <w:rsid w:val="0018656F"/>
    <w:rsid w:val="0018658B"/>
    <w:rsid w:val="0018666C"/>
    <w:rsid w:val="00186683"/>
    <w:rsid w:val="00186731"/>
    <w:rsid w:val="0018679A"/>
    <w:rsid w:val="001867C9"/>
    <w:rsid w:val="00186842"/>
    <w:rsid w:val="0018688B"/>
    <w:rsid w:val="001868AE"/>
    <w:rsid w:val="00186921"/>
    <w:rsid w:val="0018695C"/>
    <w:rsid w:val="00186970"/>
    <w:rsid w:val="00186A29"/>
    <w:rsid w:val="00186C3B"/>
    <w:rsid w:val="00186D8A"/>
    <w:rsid w:val="00186E98"/>
    <w:rsid w:val="00186EA0"/>
    <w:rsid w:val="00186F11"/>
    <w:rsid w:val="00186F44"/>
    <w:rsid w:val="0018703E"/>
    <w:rsid w:val="00187166"/>
    <w:rsid w:val="00187429"/>
    <w:rsid w:val="00187592"/>
    <w:rsid w:val="00187613"/>
    <w:rsid w:val="001876F3"/>
    <w:rsid w:val="00187753"/>
    <w:rsid w:val="001877F2"/>
    <w:rsid w:val="0018788E"/>
    <w:rsid w:val="0018795C"/>
    <w:rsid w:val="00187B5C"/>
    <w:rsid w:val="00187C0C"/>
    <w:rsid w:val="00187CDA"/>
    <w:rsid w:val="00187D80"/>
    <w:rsid w:val="00187DEF"/>
    <w:rsid w:val="00187ECA"/>
    <w:rsid w:val="00187F34"/>
    <w:rsid w:val="0019017F"/>
    <w:rsid w:val="0019027F"/>
    <w:rsid w:val="001902A2"/>
    <w:rsid w:val="001902AF"/>
    <w:rsid w:val="001903DB"/>
    <w:rsid w:val="001903FA"/>
    <w:rsid w:val="00190452"/>
    <w:rsid w:val="0019055B"/>
    <w:rsid w:val="001905EE"/>
    <w:rsid w:val="0019067A"/>
    <w:rsid w:val="0019068C"/>
    <w:rsid w:val="00190748"/>
    <w:rsid w:val="0019079B"/>
    <w:rsid w:val="00190837"/>
    <w:rsid w:val="00190875"/>
    <w:rsid w:val="00190A4A"/>
    <w:rsid w:val="00190AD5"/>
    <w:rsid w:val="00190C95"/>
    <w:rsid w:val="00190CB7"/>
    <w:rsid w:val="00190CC2"/>
    <w:rsid w:val="00190D99"/>
    <w:rsid w:val="00190F4D"/>
    <w:rsid w:val="0019135B"/>
    <w:rsid w:val="00191405"/>
    <w:rsid w:val="00191482"/>
    <w:rsid w:val="001914DC"/>
    <w:rsid w:val="00191580"/>
    <w:rsid w:val="001916BB"/>
    <w:rsid w:val="001916C0"/>
    <w:rsid w:val="0019170C"/>
    <w:rsid w:val="00191711"/>
    <w:rsid w:val="0019171A"/>
    <w:rsid w:val="00191744"/>
    <w:rsid w:val="00191782"/>
    <w:rsid w:val="0019178B"/>
    <w:rsid w:val="00191915"/>
    <w:rsid w:val="0019191D"/>
    <w:rsid w:val="00191922"/>
    <w:rsid w:val="0019192A"/>
    <w:rsid w:val="001919C0"/>
    <w:rsid w:val="00191B20"/>
    <w:rsid w:val="00191C2A"/>
    <w:rsid w:val="00191CC7"/>
    <w:rsid w:val="00191E2D"/>
    <w:rsid w:val="00191E32"/>
    <w:rsid w:val="00191F10"/>
    <w:rsid w:val="00191F1E"/>
    <w:rsid w:val="00191FBF"/>
    <w:rsid w:val="00192054"/>
    <w:rsid w:val="001920CF"/>
    <w:rsid w:val="00192111"/>
    <w:rsid w:val="00192192"/>
    <w:rsid w:val="001921CE"/>
    <w:rsid w:val="001923D9"/>
    <w:rsid w:val="0019244D"/>
    <w:rsid w:val="00192484"/>
    <w:rsid w:val="001926AC"/>
    <w:rsid w:val="001927CA"/>
    <w:rsid w:val="00192890"/>
    <w:rsid w:val="001928C1"/>
    <w:rsid w:val="00192906"/>
    <w:rsid w:val="00192B0D"/>
    <w:rsid w:val="00192B15"/>
    <w:rsid w:val="00192BF2"/>
    <w:rsid w:val="00192BF8"/>
    <w:rsid w:val="00192C2F"/>
    <w:rsid w:val="00192F01"/>
    <w:rsid w:val="001930A8"/>
    <w:rsid w:val="001931A9"/>
    <w:rsid w:val="001931E3"/>
    <w:rsid w:val="00193214"/>
    <w:rsid w:val="001932E3"/>
    <w:rsid w:val="001933BD"/>
    <w:rsid w:val="001934FB"/>
    <w:rsid w:val="001934FC"/>
    <w:rsid w:val="00193516"/>
    <w:rsid w:val="00193615"/>
    <w:rsid w:val="0019365F"/>
    <w:rsid w:val="001936DA"/>
    <w:rsid w:val="001936E5"/>
    <w:rsid w:val="001936E9"/>
    <w:rsid w:val="001936F6"/>
    <w:rsid w:val="00193891"/>
    <w:rsid w:val="0019395A"/>
    <w:rsid w:val="001939B8"/>
    <w:rsid w:val="00193A0B"/>
    <w:rsid w:val="00193A3F"/>
    <w:rsid w:val="00193A79"/>
    <w:rsid w:val="00193C10"/>
    <w:rsid w:val="00193C18"/>
    <w:rsid w:val="00193D1F"/>
    <w:rsid w:val="00193D3D"/>
    <w:rsid w:val="00193E18"/>
    <w:rsid w:val="00193E24"/>
    <w:rsid w:val="00193EC5"/>
    <w:rsid w:val="001941EC"/>
    <w:rsid w:val="00194262"/>
    <w:rsid w:val="001942B4"/>
    <w:rsid w:val="001943B3"/>
    <w:rsid w:val="00194476"/>
    <w:rsid w:val="001946D6"/>
    <w:rsid w:val="001947FD"/>
    <w:rsid w:val="001947FF"/>
    <w:rsid w:val="0019482A"/>
    <w:rsid w:val="00194945"/>
    <w:rsid w:val="00194A21"/>
    <w:rsid w:val="00194A38"/>
    <w:rsid w:val="00194A76"/>
    <w:rsid w:val="00194CEA"/>
    <w:rsid w:val="00194D13"/>
    <w:rsid w:val="00194F2C"/>
    <w:rsid w:val="00194F76"/>
    <w:rsid w:val="00195019"/>
    <w:rsid w:val="0019504C"/>
    <w:rsid w:val="00195121"/>
    <w:rsid w:val="0019514C"/>
    <w:rsid w:val="001951B0"/>
    <w:rsid w:val="001952C0"/>
    <w:rsid w:val="001953CF"/>
    <w:rsid w:val="001953FE"/>
    <w:rsid w:val="0019540B"/>
    <w:rsid w:val="0019552B"/>
    <w:rsid w:val="0019555C"/>
    <w:rsid w:val="0019566A"/>
    <w:rsid w:val="001956A5"/>
    <w:rsid w:val="0019587A"/>
    <w:rsid w:val="00195A52"/>
    <w:rsid w:val="00195BA8"/>
    <w:rsid w:val="00195C56"/>
    <w:rsid w:val="00195C96"/>
    <w:rsid w:val="00195CAE"/>
    <w:rsid w:val="00195DEB"/>
    <w:rsid w:val="0019603F"/>
    <w:rsid w:val="0019618F"/>
    <w:rsid w:val="00196348"/>
    <w:rsid w:val="00196479"/>
    <w:rsid w:val="00196597"/>
    <w:rsid w:val="001965AE"/>
    <w:rsid w:val="00196661"/>
    <w:rsid w:val="00196722"/>
    <w:rsid w:val="00196733"/>
    <w:rsid w:val="0019676F"/>
    <w:rsid w:val="001968D4"/>
    <w:rsid w:val="00196AB7"/>
    <w:rsid w:val="00196B0E"/>
    <w:rsid w:val="00196CAD"/>
    <w:rsid w:val="00196CF5"/>
    <w:rsid w:val="00196DA1"/>
    <w:rsid w:val="00196EC6"/>
    <w:rsid w:val="00196F00"/>
    <w:rsid w:val="00196F53"/>
    <w:rsid w:val="00196FDD"/>
    <w:rsid w:val="00196FEF"/>
    <w:rsid w:val="001970A5"/>
    <w:rsid w:val="00197210"/>
    <w:rsid w:val="0019736E"/>
    <w:rsid w:val="001973E2"/>
    <w:rsid w:val="0019745A"/>
    <w:rsid w:val="00197555"/>
    <w:rsid w:val="00197613"/>
    <w:rsid w:val="0019765D"/>
    <w:rsid w:val="0019771A"/>
    <w:rsid w:val="00197756"/>
    <w:rsid w:val="0019787D"/>
    <w:rsid w:val="00197A1F"/>
    <w:rsid w:val="00197B32"/>
    <w:rsid w:val="00197BAC"/>
    <w:rsid w:val="00197C89"/>
    <w:rsid w:val="00197CC5"/>
    <w:rsid w:val="00197E0F"/>
    <w:rsid w:val="001A00BD"/>
    <w:rsid w:val="001A023B"/>
    <w:rsid w:val="001A029B"/>
    <w:rsid w:val="001A0362"/>
    <w:rsid w:val="001A03B6"/>
    <w:rsid w:val="001A0439"/>
    <w:rsid w:val="001A048B"/>
    <w:rsid w:val="001A04B2"/>
    <w:rsid w:val="001A050B"/>
    <w:rsid w:val="001A050E"/>
    <w:rsid w:val="001A0678"/>
    <w:rsid w:val="001A0816"/>
    <w:rsid w:val="001A082C"/>
    <w:rsid w:val="001A0852"/>
    <w:rsid w:val="001A08DE"/>
    <w:rsid w:val="001A08F9"/>
    <w:rsid w:val="001A0A96"/>
    <w:rsid w:val="001A0AAF"/>
    <w:rsid w:val="001A0AEE"/>
    <w:rsid w:val="001A0BC5"/>
    <w:rsid w:val="001A0CFE"/>
    <w:rsid w:val="001A0DD8"/>
    <w:rsid w:val="001A0E7D"/>
    <w:rsid w:val="001A0F47"/>
    <w:rsid w:val="001A0F5B"/>
    <w:rsid w:val="001A1169"/>
    <w:rsid w:val="001A11B2"/>
    <w:rsid w:val="001A11B7"/>
    <w:rsid w:val="001A122F"/>
    <w:rsid w:val="001A12F2"/>
    <w:rsid w:val="001A1319"/>
    <w:rsid w:val="001A135F"/>
    <w:rsid w:val="001A1378"/>
    <w:rsid w:val="001A13C7"/>
    <w:rsid w:val="001A14B7"/>
    <w:rsid w:val="001A166F"/>
    <w:rsid w:val="001A1710"/>
    <w:rsid w:val="001A1771"/>
    <w:rsid w:val="001A18C6"/>
    <w:rsid w:val="001A18DE"/>
    <w:rsid w:val="001A19CD"/>
    <w:rsid w:val="001A19E5"/>
    <w:rsid w:val="001A1A0A"/>
    <w:rsid w:val="001A1A94"/>
    <w:rsid w:val="001A1AA8"/>
    <w:rsid w:val="001A1B44"/>
    <w:rsid w:val="001A1B86"/>
    <w:rsid w:val="001A1BA4"/>
    <w:rsid w:val="001A1C5D"/>
    <w:rsid w:val="001A1C8D"/>
    <w:rsid w:val="001A1E20"/>
    <w:rsid w:val="001A1EBF"/>
    <w:rsid w:val="001A1ECF"/>
    <w:rsid w:val="001A1EF8"/>
    <w:rsid w:val="001A1F6A"/>
    <w:rsid w:val="001A2040"/>
    <w:rsid w:val="001A2082"/>
    <w:rsid w:val="001A20B0"/>
    <w:rsid w:val="001A2205"/>
    <w:rsid w:val="001A23B7"/>
    <w:rsid w:val="001A242D"/>
    <w:rsid w:val="001A246D"/>
    <w:rsid w:val="001A24F0"/>
    <w:rsid w:val="001A2510"/>
    <w:rsid w:val="001A2576"/>
    <w:rsid w:val="001A2584"/>
    <w:rsid w:val="001A2628"/>
    <w:rsid w:val="001A26D5"/>
    <w:rsid w:val="001A2864"/>
    <w:rsid w:val="001A2901"/>
    <w:rsid w:val="001A29A9"/>
    <w:rsid w:val="001A29C8"/>
    <w:rsid w:val="001A2B49"/>
    <w:rsid w:val="001A2BC2"/>
    <w:rsid w:val="001A2BF3"/>
    <w:rsid w:val="001A2C3D"/>
    <w:rsid w:val="001A2C96"/>
    <w:rsid w:val="001A2CB6"/>
    <w:rsid w:val="001A2EE5"/>
    <w:rsid w:val="001A3028"/>
    <w:rsid w:val="001A3138"/>
    <w:rsid w:val="001A3261"/>
    <w:rsid w:val="001A3302"/>
    <w:rsid w:val="001A33EC"/>
    <w:rsid w:val="001A3773"/>
    <w:rsid w:val="001A37D4"/>
    <w:rsid w:val="001A3A10"/>
    <w:rsid w:val="001A3AE4"/>
    <w:rsid w:val="001A3BA8"/>
    <w:rsid w:val="001A3C48"/>
    <w:rsid w:val="001A3CCD"/>
    <w:rsid w:val="001A3CDC"/>
    <w:rsid w:val="001A3D56"/>
    <w:rsid w:val="001A3D63"/>
    <w:rsid w:val="001A3DAC"/>
    <w:rsid w:val="001A3DF8"/>
    <w:rsid w:val="001A3E34"/>
    <w:rsid w:val="001A3E74"/>
    <w:rsid w:val="001A3E92"/>
    <w:rsid w:val="001A3EA0"/>
    <w:rsid w:val="001A3F31"/>
    <w:rsid w:val="001A4056"/>
    <w:rsid w:val="001A4061"/>
    <w:rsid w:val="001A40DA"/>
    <w:rsid w:val="001A4154"/>
    <w:rsid w:val="001A41F5"/>
    <w:rsid w:val="001A4361"/>
    <w:rsid w:val="001A43C1"/>
    <w:rsid w:val="001A4450"/>
    <w:rsid w:val="001A4550"/>
    <w:rsid w:val="001A4563"/>
    <w:rsid w:val="001A463F"/>
    <w:rsid w:val="001A4649"/>
    <w:rsid w:val="001A464F"/>
    <w:rsid w:val="001A47E9"/>
    <w:rsid w:val="001A4874"/>
    <w:rsid w:val="001A48FA"/>
    <w:rsid w:val="001A4924"/>
    <w:rsid w:val="001A4BBC"/>
    <w:rsid w:val="001A4DEE"/>
    <w:rsid w:val="001A4E70"/>
    <w:rsid w:val="001A4ED0"/>
    <w:rsid w:val="001A4F96"/>
    <w:rsid w:val="001A4FC9"/>
    <w:rsid w:val="001A5262"/>
    <w:rsid w:val="001A527A"/>
    <w:rsid w:val="001A529A"/>
    <w:rsid w:val="001A52DA"/>
    <w:rsid w:val="001A5332"/>
    <w:rsid w:val="001A533A"/>
    <w:rsid w:val="001A54CC"/>
    <w:rsid w:val="001A5576"/>
    <w:rsid w:val="001A5582"/>
    <w:rsid w:val="001A5608"/>
    <w:rsid w:val="001A5635"/>
    <w:rsid w:val="001A56ED"/>
    <w:rsid w:val="001A571D"/>
    <w:rsid w:val="001A5816"/>
    <w:rsid w:val="001A586F"/>
    <w:rsid w:val="001A59B5"/>
    <w:rsid w:val="001A5A44"/>
    <w:rsid w:val="001A5A5D"/>
    <w:rsid w:val="001A5ACC"/>
    <w:rsid w:val="001A5C99"/>
    <w:rsid w:val="001A5D82"/>
    <w:rsid w:val="001A5F3B"/>
    <w:rsid w:val="001A608E"/>
    <w:rsid w:val="001A609F"/>
    <w:rsid w:val="001A6128"/>
    <w:rsid w:val="001A6363"/>
    <w:rsid w:val="001A63D1"/>
    <w:rsid w:val="001A63EA"/>
    <w:rsid w:val="001A65FD"/>
    <w:rsid w:val="001A663A"/>
    <w:rsid w:val="001A66F1"/>
    <w:rsid w:val="001A677B"/>
    <w:rsid w:val="001A6784"/>
    <w:rsid w:val="001A68DF"/>
    <w:rsid w:val="001A6AF8"/>
    <w:rsid w:val="001A6B90"/>
    <w:rsid w:val="001A6BF8"/>
    <w:rsid w:val="001A6C13"/>
    <w:rsid w:val="001A6C66"/>
    <w:rsid w:val="001A6EC8"/>
    <w:rsid w:val="001A73DB"/>
    <w:rsid w:val="001A749E"/>
    <w:rsid w:val="001A7567"/>
    <w:rsid w:val="001A7630"/>
    <w:rsid w:val="001A7678"/>
    <w:rsid w:val="001A77CB"/>
    <w:rsid w:val="001A79F3"/>
    <w:rsid w:val="001A7ACC"/>
    <w:rsid w:val="001A7B58"/>
    <w:rsid w:val="001A7C33"/>
    <w:rsid w:val="001A7C4C"/>
    <w:rsid w:val="001A7C64"/>
    <w:rsid w:val="001A7D3E"/>
    <w:rsid w:val="001A7D44"/>
    <w:rsid w:val="001A7E10"/>
    <w:rsid w:val="001A7ED7"/>
    <w:rsid w:val="001B00EF"/>
    <w:rsid w:val="001B0156"/>
    <w:rsid w:val="001B029A"/>
    <w:rsid w:val="001B029C"/>
    <w:rsid w:val="001B02D3"/>
    <w:rsid w:val="001B035B"/>
    <w:rsid w:val="001B0389"/>
    <w:rsid w:val="001B040C"/>
    <w:rsid w:val="001B0417"/>
    <w:rsid w:val="001B04ED"/>
    <w:rsid w:val="001B05AE"/>
    <w:rsid w:val="001B0608"/>
    <w:rsid w:val="001B06F9"/>
    <w:rsid w:val="001B091E"/>
    <w:rsid w:val="001B0AB9"/>
    <w:rsid w:val="001B0B6A"/>
    <w:rsid w:val="001B0CA9"/>
    <w:rsid w:val="001B0CBE"/>
    <w:rsid w:val="001B0EC3"/>
    <w:rsid w:val="001B0F02"/>
    <w:rsid w:val="001B0F9D"/>
    <w:rsid w:val="001B0FA1"/>
    <w:rsid w:val="001B0FDA"/>
    <w:rsid w:val="001B11BE"/>
    <w:rsid w:val="001B123C"/>
    <w:rsid w:val="001B16BC"/>
    <w:rsid w:val="001B187B"/>
    <w:rsid w:val="001B1880"/>
    <w:rsid w:val="001B189F"/>
    <w:rsid w:val="001B190B"/>
    <w:rsid w:val="001B196B"/>
    <w:rsid w:val="001B19C9"/>
    <w:rsid w:val="001B1A8A"/>
    <w:rsid w:val="001B1B05"/>
    <w:rsid w:val="001B1C61"/>
    <w:rsid w:val="001B1C6C"/>
    <w:rsid w:val="001B1CC7"/>
    <w:rsid w:val="001B1D31"/>
    <w:rsid w:val="001B1E90"/>
    <w:rsid w:val="001B1F5F"/>
    <w:rsid w:val="001B1F8B"/>
    <w:rsid w:val="001B1FB7"/>
    <w:rsid w:val="001B1FE7"/>
    <w:rsid w:val="001B2176"/>
    <w:rsid w:val="001B21ED"/>
    <w:rsid w:val="001B23D5"/>
    <w:rsid w:val="001B2481"/>
    <w:rsid w:val="001B24E1"/>
    <w:rsid w:val="001B24F3"/>
    <w:rsid w:val="001B2569"/>
    <w:rsid w:val="001B25C4"/>
    <w:rsid w:val="001B267D"/>
    <w:rsid w:val="001B272D"/>
    <w:rsid w:val="001B28CF"/>
    <w:rsid w:val="001B292F"/>
    <w:rsid w:val="001B2A9A"/>
    <w:rsid w:val="001B2AE6"/>
    <w:rsid w:val="001B2B57"/>
    <w:rsid w:val="001B2BB0"/>
    <w:rsid w:val="001B2CCC"/>
    <w:rsid w:val="001B2CDC"/>
    <w:rsid w:val="001B2D62"/>
    <w:rsid w:val="001B2E8B"/>
    <w:rsid w:val="001B2EAB"/>
    <w:rsid w:val="001B3033"/>
    <w:rsid w:val="001B3050"/>
    <w:rsid w:val="001B30FC"/>
    <w:rsid w:val="001B310B"/>
    <w:rsid w:val="001B311A"/>
    <w:rsid w:val="001B3134"/>
    <w:rsid w:val="001B32F5"/>
    <w:rsid w:val="001B3360"/>
    <w:rsid w:val="001B33F0"/>
    <w:rsid w:val="001B3532"/>
    <w:rsid w:val="001B35B7"/>
    <w:rsid w:val="001B35DA"/>
    <w:rsid w:val="001B366A"/>
    <w:rsid w:val="001B3804"/>
    <w:rsid w:val="001B3835"/>
    <w:rsid w:val="001B38C8"/>
    <w:rsid w:val="001B38DF"/>
    <w:rsid w:val="001B3962"/>
    <w:rsid w:val="001B3BA7"/>
    <w:rsid w:val="001B3C05"/>
    <w:rsid w:val="001B3D3D"/>
    <w:rsid w:val="001B3D50"/>
    <w:rsid w:val="001B3D5E"/>
    <w:rsid w:val="001B3E30"/>
    <w:rsid w:val="001B3E8F"/>
    <w:rsid w:val="001B3ED4"/>
    <w:rsid w:val="001B3EEE"/>
    <w:rsid w:val="001B3F89"/>
    <w:rsid w:val="001B40AE"/>
    <w:rsid w:val="001B439A"/>
    <w:rsid w:val="001B4409"/>
    <w:rsid w:val="001B443B"/>
    <w:rsid w:val="001B45C2"/>
    <w:rsid w:val="001B4611"/>
    <w:rsid w:val="001B4686"/>
    <w:rsid w:val="001B46E4"/>
    <w:rsid w:val="001B4888"/>
    <w:rsid w:val="001B4A76"/>
    <w:rsid w:val="001B4AD3"/>
    <w:rsid w:val="001B4B18"/>
    <w:rsid w:val="001B4CBB"/>
    <w:rsid w:val="001B4DBC"/>
    <w:rsid w:val="001B4E5F"/>
    <w:rsid w:val="001B4F60"/>
    <w:rsid w:val="001B50F4"/>
    <w:rsid w:val="001B517E"/>
    <w:rsid w:val="001B5293"/>
    <w:rsid w:val="001B52E2"/>
    <w:rsid w:val="001B53C0"/>
    <w:rsid w:val="001B555C"/>
    <w:rsid w:val="001B55B5"/>
    <w:rsid w:val="001B5623"/>
    <w:rsid w:val="001B5654"/>
    <w:rsid w:val="001B56A3"/>
    <w:rsid w:val="001B5729"/>
    <w:rsid w:val="001B58B2"/>
    <w:rsid w:val="001B5B08"/>
    <w:rsid w:val="001B5B5C"/>
    <w:rsid w:val="001B5B89"/>
    <w:rsid w:val="001B5BD6"/>
    <w:rsid w:val="001B5C8F"/>
    <w:rsid w:val="001B5E20"/>
    <w:rsid w:val="001B5F1A"/>
    <w:rsid w:val="001B601C"/>
    <w:rsid w:val="001B602F"/>
    <w:rsid w:val="001B615A"/>
    <w:rsid w:val="001B6188"/>
    <w:rsid w:val="001B618D"/>
    <w:rsid w:val="001B61A1"/>
    <w:rsid w:val="001B61B7"/>
    <w:rsid w:val="001B63AA"/>
    <w:rsid w:val="001B642F"/>
    <w:rsid w:val="001B64FC"/>
    <w:rsid w:val="001B653E"/>
    <w:rsid w:val="001B666B"/>
    <w:rsid w:val="001B68C5"/>
    <w:rsid w:val="001B68FE"/>
    <w:rsid w:val="001B69B7"/>
    <w:rsid w:val="001B6B63"/>
    <w:rsid w:val="001B6BD3"/>
    <w:rsid w:val="001B6CDD"/>
    <w:rsid w:val="001B6EAF"/>
    <w:rsid w:val="001B6EB2"/>
    <w:rsid w:val="001B7046"/>
    <w:rsid w:val="001B7095"/>
    <w:rsid w:val="001B7164"/>
    <w:rsid w:val="001B71B1"/>
    <w:rsid w:val="001B733F"/>
    <w:rsid w:val="001B7360"/>
    <w:rsid w:val="001B7380"/>
    <w:rsid w:val="001B7629"/>
    <w:rsid w:val="001B767F"/>
    <w:rsid w:val="001B7693"/>
    <w:rsid w:val="001B76B1"/>
    <w:rsid w:val="001B76D5"/>
    <w:rsid w:val="001B776E"/>
    <w:rsid w:val="001B778F"/>
    <w:rsid w:val="001B7799"/>
    <w:rsid w:val="001B77F0"/>
    <w:rsid w:val="001B7829"/>
    <w:rsid w:val="001B78E0"/>
    <w:rsid w:val="001B7947"/>
    <w:rsid w:val="001B7958"/>
    <w:rsid w:val="001B79E5"/>
    <w:rsid w:val="001B7A8A"/>
    <w:rsid w:val="001B7B85"/>
    <w:rsid w:val="001B7B86"/>
    <w:rsid w:val="001B7BCA"/>
    <w:rsid w:val="001B7C24"/>
    <w:rsid w:val="001B7C73"/>
    <w:rsid w:val="001B7C92"/>
    <w:rsid w:val="001B7D11"/>
    <w:rsid w:val="001B7D35"/>
    <w:rsid w:val="001B7EC6"/>
    <w:rsid w:val="001B7FAA"/>
    <w:rsid w:val="001C001C"/>
    <w:rsid w:val="001C0064"/>
    <w:rsid w:val="001C00E6"/>
    <w:rsid w:val="001C0202"/>
    <w:rsid w:val="001C0240"/>
    <w:rsid w:val="001C0245"/>
    <w:rsid w:val="001C02AF"/>
    <w:rsid w:val="001C0338"/>
    <w:rsid w:val="001C0354"/>
    <w:rsid w:val="001C0415"/>
    <w:rsid w:val="001C0591"/>
    <w:rsid w:val="001C0613"/>
    <w:rsid w:val="001C064E"/>
    <w:rsid w:val="001C06B5"/>
    <w:rsid w:val="001C077F"/>
    <w:rsid w:val="001C0845"/>
    <w:rsid w:val="001C0852"/>
    <w:rsid w:val="001C0983"/>
    <w:rsid w:val="001C09E8"/>
    <w:rsid w:val="001C0C31"/>
    <w:rsid w:val="001C0C4E"/>
    <w:rsid w:val="001C0D9B"/>
    <w:rsid w:val="001C0E99"/>
    <w:rsid w:val="001C0EDF"/>
    <w:rsid w:val="001C0F09"/>
    <w:rsid w:val="001C1039"/>
    <w:rsid w:val="001C10A5"/>
    <w:rsid w:val="001C11BF"/>
    <w:rsid w:val="001C1278"/>
    <w:rsid w:val="001C12F7"/>
    <w:rsid w:val="001C1375"/>
    <w:rsid w:val="001C142A"/>
    <w:rsid w:val="001C14D4"/>
    <w:rsid w:val="001C14E9"/>
    <w:rsid w:val="001C1561"/>
    <w:rsid w:val="001C1624"/>
    <w:rsid w:val="001C16B6"/>
    <w:rsid w:val="001C178A"/>
    <w:rsid w:val="001C1793"/>
    <w:rsid w:val="001C1859"/>
    <w:rsid w:val="001C18FC"/>
    <w:rsid w:val="001C191D"/>
    <w:rsid w:val="001C1923"/>
    <w:rsid w:val="001C1964"/>
    <w:rsid w:val="001C198B"/>
    <w:rsid w:val="001C1A70"/>
    <w:rsid w:val="001C1B5B"/>
    <w:rsid w:val="001C1B5E"/>
    <w:rsid w:val="001C1CEA"/>
    <w:rsid w:val="001C1DCB"/>
    <w:rsid w:val="001C200F"/>
    <w:rsid w:val="001C2058"/>
    <w:rsid w:val="001C2061"/>
    <w:rsid w:val="001C207A"/>
    <w:rsid w:val="001C2175"/>
    <w:rsid w:val="001C227D"/>
    <w:rsid w:val="001C22A1"/>
    <w:rsid w:val="001C249F"/>
    <w:rsid w:val="001C250C"/>
    <w:rsid w:val="001C25DE"/>
    <w:rsid w:val="001C2786"/>
    <w:rsid w:val="001C27D9"/>
    <w:rsid w:val="001C2824"/>
    <w:rsid w:val="001C283A"/>
    <w:rsid w:val="001C289D"/>
    <w:rsid w:val="001C2954"/>
    <w:rsid w:val="001C29CC"/>
    <w:rsid w:val="001C2BFB"/>
    <w:rsid w:val="001C2C98"/>
    <w:rsid w:val="001C2DE4"/>
    <w:rsid w:val="001C2F18"/>
    <w:rsid w:val="001C2F47"/>
    <w:rsid w:val="001C301E"/>
    <w:rsid w:val="001C3030"/>
    <w:rsid w:val="001C3118"/>
    <w:rsid w:val="001C33BA"/>
    <w:rsid w:val="001C36BB"/>
    <w:rsid w:val="001C37C6"/>
    <w:rsid w:val="001C37CB"/>
    <w:rsid w:val="001C37DB"/>
    <w:rsid w:val="001C38A0"/>
    <w:rsid w:val="001C38AC"/>
    <w:rsid w:val="001C3962"/>
    <w:rsid w:val="001C39CA"/>
    <w:rsid w:val="001C39F5"/>
    <w:rsid w:val="001C39F6"/>
    <w:rsid w:val="001C3A5B"/>
    <w:rsid w:val="001C3AAC"/>
    <w:rsid w:val="001C3B8A"/>
    <w:rsid w:val="001C3BD2"/>
    <w:rsid w:val="001C3BFE"/>
    <w:rsid w:val="001C3E8F"/>
    <w:rsid w:val="001C40AA"/>
    <w:rsid w:val="001C40EC"/>
    <w:rsid w:val="001C41A3"/>
    <w:rsid w:val="001C4242"/>
    <w:rsid w:val="001C42FF"/>
    <w:rsid w:val="001C44B5"/>
    <w:rsid w:val="001C48A6"/>
    <w:rsid w:val="001C48DF"/>
    <w:rsid w:val="001C4920"/>
    <w:rsid w:val="001C4930"/>
    <w:rsid w:val="001C4952"/>
    <w:rsid w:val="001C4A72"/>
    <w:rsid w:val="001C4B17"/>
    <w:rsid w:val="001C4BDF"/>
    <w:rsid w:val="001C4C41"/>
    <w:rsid w:val="001C4D32"/>
    <w:rsid w:val="001C5049"/>
    <w:rsid w:val="001C5070"/>
    <w:rsid w:val="001C52B2"/>
    <w:rsid w:val="001C531A"/>
    <w:rsid w:val="001C53C0"/>
    <w:rsid w:val="001C5446"/>
    <w:rsid w:val="001C5545"/>
    <w:rsid w:val="001C555B"/>
    <w:rsid w:val="001C5566"/>
    <w:rsid w:val="001C55D0"/>
    <w:rsid w:val="001C573B"/>
    <w:rsid w:val="001C5744"/>
    <w:rsid w:val="001C57BD"/>
    <w:rsid w:val="001C57D5"/>
    <w:rsid w:val="001C58B8"/>
    <w:rsid w:val="001C5981"/>
    <w:rsid w:val="001C5AF4"/>
    <w:rsid w:val="001C5B3A"/>
    <w:rsid w:val="001C5BEE"/>
    <w:rsid w:val="001C5C3F"/>
    <w:rsid w:val="001C5CB2"/>
    <w:rsid w:val="001C5CD0"/>
    <w:rsid w:val="001C5DEE"/>
    <w:rsid w:val="001C5EDF"/>
    <w:rsid w:val="001C5F43"/>
    <w:rsid w:val="001C6078"/>
    <w:rsid w:val="001C6083"/>
    <w:rsid w:val="001C6151"/>
    <w:rsid w:val="001C6157"/>
    <w:rsid w:val="001C6171"/>
    <w:rsid w:val="001C61E9"/>
    <w:rsid w:val="001C6336"/>
    <w:rsid w:val="001C636C"/>
    <w:rsid w:val="001C6485"/>
    <w:rsid w:val="001C64E2"/>
    <w:rsid w:val="001C6553"/>
    <w:rsid w:val="001C672D"/>
    <w:rsid w:val="001C68A4"/>
    <w:rsid w:val="001C68E3"/>
    <w:rsid w:val="001C6CC8"/>
    <w:rsid w:val="001C6D7B"/>
    <w:rsid w:val="001C6DA9"/>
    <w:rsid w:val="001C6E4A"/>
    <w:rsid w:val="001C6F70"/>
    <w:rsid w:val="001C6F8C"/>
    <w:rsid w:val="001C6FCB"/>
    <w:rsid w:val="001C720C"/>
    <w:rsid w:val="001C729E"/>
    <w:rsid w:val="001C72F8"/>
    <w:rsid w:val="001C736D"/>
    <w:rsid w:val="001C7748"/>
    <w:rsid w:val="001C7754"/>
    <w:rsid w:val="001C7781"/>
    <w:rsid w:val="001C77B0"/>
    <w:rsid w:val="001C7A0A"/>
    <w:rsid w:val="001C7AA3"/>
    <w:rsid w:val="001C7AF9"/>
    <w:rsid w:val="001C7BFC"/>
    <w:rsid w:val="001C7C1B"/>
    <w:rsid w:val="001C7E2B"/>
    <w:rsid w:val="001C7F95"/>
    <w:rsid w:val="001D0021"/>
    <w:rsid w:val="001D0061"/>
    <w:rsid w:val="001D0081"/>
    <w:rsid w:val="001D00BF"/>
    <w:rsid w:val="001D0109"/>
    <w:rsid w:val="001D025A"/>
    <w:rsid w:val="001D02C4"/>
    <w:rsid w:val="001D034F"/>
    <w:rsid w:val="001D043B"/>
    <w:rsid w:val="001D04CF"/>
    <w:rsid w:val="001D0613"/>
    <w:rsid w:val="001D0659"/>
    <w:rsid w:val="001D069F"/>
    <w:rsid w:val="001D06EB"/>
    <w:rsid w:val="001D0A1C"/>
    <w:rsid w:val="001D0A96"/>
    <w:rsid w:val="001D0AE6"/>
    <w:rsid w:val="001D0B14"/>
    <w:rsid w:val="001D0BE9"/>
    <w:rsid w:val="001D0D9E"/>
    <w:rsid w:val="001D0E0B"/>
    <w:rsid w:val="001D0E2C"/>
    <w:rsid w:val="001D0EB0"/>
    <w:rsid w:val="001D0EB7"/>
    <w:rsid w:val="001D0FE6"/>
    <w:rsid w:val="001D1136"/>
    <w:rsid w:val="001D1156"/>
    <w:rsid w:val="001D11BE"/>
    <w:rsid w:val="001D1437"/>
    <w:rsid w:val="001D14AA"/>
    <w:rsid w:val="001D14C7"/>
    <w:rsid w:val="001D14E1"/>
    <w:rsid w:val="001D15F1"/>
    <w:rsid w:val="001D1735"/>
    <w:rsid w:val="001D173C"/>
    <w:rsid w:val="001D1888"/>
    <w:rsid w:val="001D19E5"/>
    <w:rsid w:val="001D1B72"/>
    <w:rsid w:val="001D1B79"/>
    <w:rsid w:val="001D1BF6"/>
    <w:rsid w:val="001D1CAF"/>
    <w:rsid w:val="001D1E55"/>
    <w:rsid w:val="001D1FFF"/>
    <w:rsid w:val="001D2183"/>
    <w:rsid w:val="001D2188"/>
    <w:rsid w:val="001D219D"/>
    <w:rsid w:val="001D2211"/>
    <w:rsid w:val="001D22C4"/>
    <w:rsid w:val="001D26B7"/>
    <w:rsid w:val="001D26CD"/>
    <w:rsid w:val="001D271D"/>
    <w:rsid w:val="001D2732"/>
    <w:rsid w:val="001D27E4"/>
    <w:rsid w:val="001D296E"/>
    <w:rsid w:val="001D2A73"/>
    <w:rsid w:val="001D2ABB"/>
    <w:rsid w:val="001D2AD0"/>
    <w:rsid w:val="001D2ADD"/>
    <w:rsid w:val="001D2D03"/>
    <w:rsid w:val="001D2D59"/>
    <w:rsid w:val="001D30ED"/>
    <w:rsid w:val="001D312F"/>
    <w:rsid w:val="001D3167"/>
    <w:rsid w:val="001D31F7"/>
    <w:rsid w:val="001D3248"/>
    <w:rsid w:val="001D3370"/>
    <w:rsid w:val="001D33A4"/>
    <w:rsid w:val="001D35BC"/>
    <w:rsid w:val="001D3607"/>
    <w:rsid w:val="001D3695"/>
    <w:rsid w:val="001D36D7"/>
    <w:rsid w:val="001D3723"/>
    <w:rsid w:val="001D3798"/>
    <w:rsid w:val="001D38CE"/>
    <w:rsid w:val="001D38D8"/>
    <w:rsid w:val="001D3955"/>
    <w:rsid w:val="001D3970"/>
    <w:rsid w:val="001D39BC"/>
    <w:rsid w:val="001D3A71"/>
    <w:rsid w:val="001D3A9C"/>
    <w:rsid w:val="001D3AC4"/>
    <w:rsid w:val="001D3B7E"/>
    <w:rsid w:val="001D3DB3"/>
    <w:rsid w:val="001D3F26"/>
    <w:rsid w:val="001D405A"/>
    <w:rsid w:val="001D4083"/>
    <w:rsid w:val="001D41C4"/>
    <w:rsid w:val="001D41C7"/>
    <w:rsid w:val="001D42A4"/>
    <w:rsid w:val="001D42E3"/>
    <w:rsid w:val="001D42EE"/>
    <w:rsid w:val="001D42FA"/>
    <w:rsid w:val="001D4366"/>
    <w:rsid w:val="001D4471"/>
    <w:rsid w:val="001D44AA"/>
    <w:rsid w:val="001D44ED"/>
    <w:rsid w:val="001D4610"/>
    <w:rsid w:val="001D46AC"/>
    <w:rsid w:val="001D4941"/>
    <w:rsid w:val="001D4951"/>
    <w:rsid w:val="001D4A99"/>
    <w:rsid w:val="001D4AD8"/>
    <w:rsid w:val="001D4C2C"/>
    <w:rsid w:val="001D4D7F"/>
    <w:rsid w:val="001D4EB6"/>
    <w:rsid w:val="001D503F"/>
    <w:rsid w:val="001D5109"/>
    <w:rsid w:val="001D5170"/>
    <w:rsid w:val="001D5189"/>
    <w:rsid w:val="001D5232"/>
    <w:rsid w:val="001D53B7"/>
    <w:rsid w:val="001D53EF"/>
    <w:rsid w:val="001D546D"/>
    <w:rsid w:val="001D5481"/>
    <w:rsid w:val="001D54A2"/>
    <w:rsid w:val="001D54A8"/>
    <w:rsid w:val="001D54E7"/>
    <w:rsid w:val="001D5593"/>
    <w:rsid w:val="001D565B"/>
    <w:rsid w:val="001D5736"/>
    <w:rsid w:val="001D574B"/>
    <w:rsid w:val="001D57C0"/>
    <w:rsid w:val="001D58C8"/>
    <w:rsid w:val="001D5966"/>
    <w:rsid w:val="001D59F4"/>
    <w:rsid w:val="001D5A76"/>
    <w:rsid w:val="001D5A8D"/>
    <w:rsid w:val="001D5B3D"/>
    <w:rsid w:val="001D5B67"/>
    <w:rsid w:val="001D5B78"/>
    <w:rsid w:val="001D5DA9"/>
    <w:rsid w:val="001D6031"/>
    <w:rsid w:val="001D6058"/>
    <w:rsid w:val="001D6076"/>
    <w:rsid w:val="001D60FA"/>
    <w:rsid w:val="001D611A"/>
    <w:rsid w:val="001D6236"/>
    <w:rsid w:val="001D62CB"/>
    <w:rsid w:val="001D6356"/>
    <w:rsid w:val="001D6457"/>
    <w:rsid w:val="001D64E2"/>
    <w:rsid w:val="001D6608"/>
    <w:rsid w:val="001D671D"/>
    <w:rsid w:val="001D67BE"/>
    <w:rsid w:val="001D68B3"/>
    <w:rsid w:val="001D6923"/>
    <w:rsid w:val="001D69A5"/>
    <w:rsid w:val="001D69D5"/>
    <w:rsid w:val="001D6A8C"/>
    <w:rsid w:val="001D6E77"/>
    <w:rsid w:val="001D6F17"/>
    <w:rsid w:val="001D70DC"/>
    <w:rsid w:val="001D719A"/>
    <w:rsid w:val="001D71AE"/>
    <w:rsid w:val="001D7241"/>
    <w:rsid w:val="001D7278"/>
    <w:rsid w:val="001D72E5"/>
    <w:rsid w:val="001D7448"/>
    <w:rsid w:val="001D747A"/>
    <w:rsid w:val="001D74AA"/>
    <w:rsid w:val="001D74AE"/>
    <w:rsid w:val="001D74C2"/>
    <w:rsid w:val="001D7546"/>
    <w:rsid w:val="001D757F"/>
    <w:rsid w:val="001D7808"/>
    <w:rsid w:val="001D7992"/>
    <w:rsid w:val="001D79BF"/>
    <w:rsid w:val="001D79F3"/>
    <w:rsid w:val="001D7A19"/>
    <w:rsid w:val="001D7A32"/>
    <w:rsid w:val="001D7A88"/>
    <w:rsid w:val="001D7C90"/>
    <w:rsid w:val="001D7D25"/>
    <w:rsid w:val="001D7E84"/>
    <w:rsid w:val="001D7E96"/>
    <w:rsid w:val="001D7F2D"/>
    <w:rsid w:val="001D7FB0"/>
    <w:rsid w:val="001E00B1"/>
    <w:rsid w:val="001E00B8"/>
    <w:rsid w:val="001E0107"/>
    <w:rsid w:val="001E0247"/>
    <w:rsid w:val="001E0268"/>
    <w:rsid w:val="001E0279"/>
    <w:rsid w:val="001E036F"/>
    <w:rsid w:val="001E050F"/>
    <w:rsid w:val="001E05B6"/>
    <w:rsid w:val="001E05D1"/>
    <w:rsid w:val="001E0603"/>
    <w:rsid w:val="001E07E3"/>
    <w:rsid w:val="001E07F2"/>
    <w:rsid w:val="001E088E"/>
    <w:rsid w:val="001E08B6"/>
    <w:rsid w:val="001E08DE"/>
    <w:rsid w:val="001E08F1"/>
    <w:rsid w:val="001E09CC"/>
    <w:rsid w:val="001E0B4E"/>
    <w:rsid w:val="001E0CFC"/>
    <w:rsid w:val="001E0E00"/>
    <w:rsid w:val="001E0E54"/>
    <w:rsid w:val="001E0E5A"/>
    <w:rsid w:val="001E0F05"/>
    <w:rsid w:val="001E0F7E"/>
    <w:rsid w:val="001E0FD8"/>
    <w:rsid w:val="001E102B"/>
    <w:rsid w:val="001E1047"/>
    <w:rsid w:val="001E1076"/>
    <w:rsid w:val="001E10CA"/>
    <w:rsid w:val="001E1278"/>
    <w:rsid w:val="001E14C9"/>
    <w:rsid w:val="001E1637"/>
    <w:rsid w:val="001E1676"/>
    <w:rsid w:val="001E175A"/>
    <w:rsid w:val="001E1785"/>
    <w:rsid w:val="001E1803"/>
    <w:rsid w:val="001E1B4A"/>
    <w:rsid w:val="001E1B5E"/>
    <w:rsid w:val="001E1B94"/>
    <w:rsid w:val="001E1C68"/>
    <w:rsid w:val="001E1D0D"/>
    <w:rsid w:val="001E1E1F"/>
    <w:rsid w:val="001E1EB8"/>
    <w:rsid w:val="001E1F35"/>
    <w:rsid w:val="001E211C"/>
    <w:rsid w:val="001E215A"/>
    <w:rsid w:val="001E2191"/>
    <w:rsid w:val="001E21C8"/>
    <w:rsid w:val="001E2268"/>
    <w:rsid w:val="001E227E"/>
    <w:rsid w:val="001E2319"/>
    <w:rsid w:val="001E23CF"/>
    <w:rsid w:val="001E2471"/>
    <w:rsid w:val="001E2786"/>
    <w:rsid w:val="001E286F"/>
    <w:rsid w:val="001E295E"/>
    <w:rsid w:val="001E2AF6"/>
    <w:rsid w:val="001E2B27"/>
    <w:rsid w:val="001E2C34"/>
    <w:rsid w:val="001E2C39"/>
    <w:rsid w:val="001E2C50"/>
    <w:rsid w:val="001E2E8D"/>
    <w:rsid w:val="001E2EDB"/>
    <w:rsid w:val="001E2FAF"/>
    <w:rsid w:val="001E3005"/>
    <w:rsid w:val="001E30C5"/>
    <w:rsid w:val="001E31E5"/>
    <w:rsid w:val="001E32E1"/>
    <w:rsid w:val="001E331B"/>
    <w:rsid w:val="001E331F"/>
    <w:rsid w:val="001E33B7"/>
    <w:rsid w:val="001E33F8"/>
    <w:rsid w:val="001E34A5"/>
    <w:rsid w:val="001E3509"/>
    <w:rsid w:val="001E3546"/>
    <w:rsid w:val="001E35B7"/>
    <w:rsid w:val="001E365E"/>
    <w:rsid w:val="001E36CD"/>
    <w:rsid w:val="001E3768"/>
    <w:rsid w:val="001E388A"/>
    <w:rsid w:val="001E3991"/>
    <w:rsid w:val="001E39A2"/>
    <w:rsid w:val="001E3B58"/>
    <w:rsid w:val="001E3C05"/>
    <w:rsid w:val="001E3CC9"/>
    <w:rsid w:val="001E3D47"/>
    <w:rsid w:val="001E3D6B"/>
    <w:rsid w:val="001E3F71"/>
    <w:rsid w:val="001E404E"/>
    <w:rsid w:val="001E40C2"/>
    <w:rsid w:val="001E40DF"/>
    <w:rsid w:val="001E415A"/>
    <w:rsid w:val="001E434E"/>
    <w:rsid w:val="001E43F2"/>
    <w:rsid w:val="001E4468"/>
    <w:rsid w:val="001E45AA"/>
    <w:rsid w:val="001E46DD"/>
    <w:rsid w:val="001E47BC"/>
    <w:rsid w:val="001E499C"/>
    <w:rsid w:val="001E49A6"/>
    <w:rsid w:val="001E49BD"/>
    <w:rsid w:val="001E4A49"/>
    <w:rsid w:val="001E4A4C"/>
    <w:rsid w:val="001E4BD1"/>
    <w:rsid w:val="001E4C64"/>
    <w:rsid w:val="001E4CC5"/>
    <w:rsid w:val="001E4D64"/>
    <w:rsid w:val="001E4D9B"/>
    <w:rsid w:val="001E4FB6"/>
    <w:rsid w:val="001E506B"/>
    <w:rsid w:val="001E507C"/>
    <w:rsid w:val="001E50AF"/>
    <w:rsid w:val="001E51C6"/>
    <w:rsid w:val="001E51CF"/>
    <w:rsid w:val="001E52C0"/>
    <w:rsid w:val="001E52DB"/>
    <w:rsid w:val="001E53C4"/>
    <w:rsid w:val="001E53DB"/>
    <w:rsid w:val="001E5418"/>
    <w:rsid w:val="001E5470"/>
    <w:rsid w:val="001E5497"/>
    <w:rsid w:val="001E54CE"/>
    <w:rsid w:val="001E5642"/>
    <w:rsid w:val="001E57C0"/>
    <w:rsid w:val="001E584B"/>
    <w:rsid w:val="001E5923"/>
    <w:rsid w:val="001E5961"/>
    <w:rsid w:val="001E59B9"/>
    <w:rsid w:val="001E5A2E"/>
    <w:rsid w:val="001E5BE1"/>
    <w:rsid w:val="001E5C52"/>
    <w:rsid w:val="001E5DA7"/>
    <w:rsid w:val="001E5DE1"/>
    <w:rsid w:val="001E5E32"/>
    <w:rsid w:val="001E5EA5"/>
    <w:rsid w:val="001E5EE1"/>
    <w:rsid w:val="001E5EEF"/>
    <w:rsid w:val="001E5EF6"/>
    <w:rsid w:val="001E5FC5"/>
    <w:rsid w:val="001E605D"/>
    <w:rsid w:val="001E6258"/>
    <w:rsid w:val="001E6274"/>
    <w:rsid w:val="001E62B2"/>
    <w:rsid w:val="001E635E"/>
    <w:rsid w:val="001E63FA"/>
    <w:rsid w:val="001E6404"/>
    <w:rsid w:val="001E641E"/>
    <w:rsid w:val="001E6442"/>
    <w:rsid w:val="001E64DA"/>
    <w:rsid w:val="001E6675"/>
    <w:rsid w:val="001E6708"/>
    <w:rsid w:val="001E6789"/>
    <w:rsid w:val="001E678B"/>
    <w:rsid w:val="001E679A"/>
    <w:rsid w:val="001E67C3"/>
    <w:rsid w:val="001E68EA"/>
    <w:rsid w:val="001E68F0"/>
    <w:rsid w:val="001E699D"/>
    <w:rsid w:val="001E6A50"/>
    <w:rsid w:val="001E6A7A"/>
    <w:rsid w:val="001E6B5A"/>
    <w:rsid w:val="001E6BB2"/>
    <w:rsid w:val="001E6BC6"/>
    <w:rsid w:val="001E6C18"/>
    <w:rsid w:val="001E6C83"/>
    <w:rsid w:val="001E6E87"/>
    <w:rsid w:val="001E6EEE"/>
    <w:rsid w:val="001E6F2F"/>
    <w:rsid w:val="001E6F43"/>
    <w:rsid w:val="001E6F77"/>
    <w:rsid w:val="001E6F82"/>
    <w:rsid w:val="001E6F8A"/>
    <w:rsid w:val="001E70D1"/>
    <w:rsid w:val="001E70D5"/>
    <w:rsid w:val="001E70E3"/>
    <w:rsid w:val="001E7202"/>
    <w:rsid w:val="001E72CF"/>
    <w:rsid w:val="001E72DA"/>
    <w:rsid w:val="001E742E"/>
    <w:rsid w:val="001E744D"/>
    <w:rsid w:val="001E7455"/>
    <w:rsid w:val="001E7469"/>
    <w:rsid w:val="001E7476"/>
    <w:rsid w:val="001E74B6"/>
    <w:rsid w:val="001E75E8"/>
    <w:rsid w:val="001E765A"/>
    <w:rsid w:val="001E7793"/>
    <w:rsid w:val="001E77D6"/>
    <w:rsid w:val="001E77D8"/>
    <w:rsid w:val="001E784D"/>
    <w:rsid w:val="001E78B3"/>
    <w:rsid w:val="001E791E"/>
    <w:rsid w:val="001E79C1"/>
    <w:rsid w:val="001E7B94"/>
    <w:rsid w:val="001E7C33"/>
    <w:rsid w:val="001E7C4E"/>
    <w:rsid w:val="001E7DB0"/>
    <w:rsid w:val="001E7DF3"/>
    <w:rsid w:val="001F002E"/>
    <w:rsid w:val="001F005A"/>
    <w:rsid w:val="001F0062"/>
    <w:rsid w:val="001F00E4"/>
    <w:rsid w:val="001F01F4"/>
    <w:rsid w:val="001F02C1"/>
    <w:rsid w:val="001F02CD"/>
    <w:rsid w:val="001F02D1"/>
    <w:rsid w:val="001F032B"/>
    <w:rsid w:val="001F0346"/>
    <w:rsid w:val="001F04D2"/>
    <w:rsid w:val="001F0566"/>
    <w:rsid w:val="001F0690"/>
    <w:rsid w:val="001F06CD"/>
    <w:rsid w:val="001F074D"/>
    <w:rsid w:val="001F0802"/>
    <w:rsid w:val="001F0823"/>
    <w:rsid w:val="001F0998"/>
    <w:rsid w:val="001F09CC"/>
    <w:rsid w:val="001F0A48"/>
    <w:rsid w:val="001F0A51"/>
    <w:rsid w:val="001F0B10"/>
    <w:rsid w:val="001F0C1A"/>
    <w:rsid w:val="001F0D07"/>
    <w:rsid w:val="001F0D5E"/>
    <w:rsid w:val="001F0D81"/>
    <w:rsid w:val="001F0E1E"/>
    <w:rsid w:val="001F0E77"/>
    <w:rsid w:val="001F0F1B"/>
    <w:rsid w:val="001F0F97"/>
    <w:rsid w:val="001F0FF1"/>
    <w:rsid w:val="001F0FF6"/>
    <w:rsid w:val="001F1053"/>
    <w:rsid w:val="001F1065"/>
    <w:rsid w:val="001F108D"/>
    <w:rsid w:val="001F1139"/>
    <w:rsid w:val="001F117E"/>
    <w:rsid w:val="001F127D"/>
    <w:rsid w:val="001F1291"/>
    <w:rsid w:val="001F1429"/>
    <w:rsid w:val="001F14BF"/>
    <w:rsid w:val="001F14C6"/>
    <w:rsid w:val="001F1573"/>
    <w:rsid w:val="001F1631"/>
    <w:rsid w:val="001F178E"/>
    <w:rsid w:val="001F17B1"/>
    <w:rsid w:val="001F1899"/>
    <w:rsid w:val="001F191F"/>
    <w:rsid w:val="001F196C"/>
    <w:rsid w:val="001F19A1"/>
    <w:rsid w:val="001F19FF"/>
    <w:rsid w:val="001F1A68"/>
    <w:rsid w:val="001F1AB7"/>
    <w:rsid w:val="001F1B09"/>
    <w:rsid w:val="001F1B6C"/>
    <w:rsid w:val="001F1C52"/>
    <w:rsid w:val="001F1CB3"/>
    <w:rsid w:val="001F1DFD"/>
    <w:rsid w:val="001F1E31"/>
    <w:rsid w:val="001F1ECF"/>
    <w:rsid w:val="001F1EDA"/>
    <w:rsid w:val="001F1FCE"/>
    <w:rsid w:val="001F2014"/>
    <w:rsid w:val="001F203A"/>
    <w:rsid w:val="001F2192"/>
    <w:rsid w:val="001F21B6"/>
    <w:rsid w:val="001F22EF"/>
    <w:rsid w:val="001F23ED"/>
    <w:rsid w:val="001F2430"/>
    <w:rsid w:val="001F246C"/>
    <w:rsid w:val="001F246E"/>
    <w:rsid w:val="001F24E2"/>
    <w:rsid w:val="001F2550"/>
    <w:rsid w:val="001F25C8"/>
    <w:rsid w:val="001F263C"/>
    <w:rsid w:val="001F2648"/>
    <w:rsid w:val="001F2683"/>
    <w:rsid w:val="001F26E8"/>
    <w:rsid w:val="001F28CE"/>
    <w:rsid w:val="001F28DB"/>
    <w:rsid w:val="001F2A6C"/>
    <w:rsid w:val="001F2AC6"/>
    <w:rsid w:val="001F2B56"/>
    <w:rsid w:val="001F2B69"/>
    <w:rsid w:val="001F2C6D"/>
    <w:rsid w:val="001F2C86"/>
    <w:rsid w:val="001F2C98"/>
    <w:rsid w:val="001F2D21"/>
    <w:rsid w:val="001F2DD6"/>
    <w:rsid w:val="001F2F64"/>
    <w:rsid w:val="001F300D"/>
    <w:rsid w:val="001F30AE"/>
    <w:rsid w:val="001F3139"/>
    <w:rsid w:val="001F3146"/>
    <w:rsid w:val="001F3155"/>
    <w:rsid w:val="001F31A9"/>
    <w:rsid w:val="001F3240"/>
    <w:rsid w:val="001F32EA"/>
    <w:rsid w:val="001F3410"/>
    <w:rsid w:val="001F345F"/>
    <w:rsid w:val="001F348A"/>
    <w:rsid w:val="001F34A8"/>
    <w:rsid w:val="001F359C"/>
    <w:rsid w:val="001F36ED"/>
    <w:rsid w:val="001F3748"/>
    <w:rsid w:val="001F37BC"/>
    <w:rsid w:val="001F388C"/>
    <w:rsid w:val="001F38B4"/>
    <w:rsid w:val="001F38BC"/>
    <w:rsid w:val="001F3984"/>
    <w:rsid w:val="001F3B2B"/>
    <w:rsid w:val="001F3C66"/>
    <w:rsid w:val="001F3D06"/>
    <w:rsid w:val="001F3D19"/>
    <w:rsid w:val="001F3E35"/>
    <w:rsid w:val="001F3F60"/>
    <w:rsid w:val="001F402D"/>
    <w:rsid w:val="001F4083"/>
    <w:rsid w:val="001F4131"/>
    <w:rsid w:val="001F4196"/>
    <w:rsid w:val="001F42E0"/>
    <w:rsid w:val="001F435E"/>
    <w:rsid w:val="001F4483"/>
    <w:rsid w:val="001F451C"/>
    <w:rsid w:val="001F4579"/>
    <w:rsid w:val="001F458F"/>
    <w:rsid w:val="001F473E"/>
    <w:rsid w:val="001F47C8"/>
    <w:rsid w:val="001F49EE"/>
    <w:rsid w:val="001F4AD9"/>
    <w:rsid w:val="001F4AF3"/>
    <w:rsid w:val="001F4B2F"/>
    <w:rsid w:val="001F4B6A"/>
    <w:rsid w:val="001F4C2A"/>
    <w:rsid w:val="001F4C5A"/>
    <w:rsid w:val="001F4D3D"/>
    <w:rsid w:val="001F4D65"/>
    <w:rsid w:val="001F4D8E"/>
    <w:rsid w:val="001F4DFE"/>
    <w:rsid w:val="001F505E"/>
    <w:rsid w:val="001F5175"/>
    <w:rsid w:val="001F543B"/>
    <w:rsid w:val="001F54E6"/>
    <w:rsid w:val="001F5518"/>
    <w:rsid w:val="001F5592"/>
    <w:rsid w:val="001F57AA"/>
    <w:rsid w:val="001F582C"/>
    <w:rsid w:val="001F5841"/>
    <w:rsid w:val="001F59AB"/>
    <w:rsid w:val="001F5C10"/>
    <w:rsid w:val="001F5C6A"/>
    <w:rsid w:val="001F5E09"/>
    <w:rsid w:val="001F5EE9"/>
    <w:rsid w:val="001F616F"/>
    <w:rsid w:val="001F61D4"/>
    <w:rsid w:val="001F660F"/>
    <w:rsid w:val="001F666B"/>
    <w:rsid w:val="001F66F2"/>
    <w:rsid w:val="001F690B"/>
    <w:rsid w:val="001F690C"/>
    <w:rsid w:val="001F6940"/>
    <w:rsid w:val="001F6BAD"/>
    <w:rsid w:val="001F6CEC"/>
    <w:rsid w:val="001F6E41"/>
    <w:rsid w:val="001F7137"/>
    <w:rsid w:val="001F72E7"/>
    <w:rsid w:val="001F734D"/>
    <w:rsid w:val="001F7434"/>
    <w:rsid w:val="001F752B"/>
    <w:rsid w:val="001F7668"/>
    <w:rsid w:val="001F7761"/>
    <w:rsid w:val="001F77F0"/>
    <w:rsid w:val="001F7846"/>
    <w:rsid w:val="001F784A"/>
    <w:rsid w:val="001F79BF"/>
    <w:rsid w:val="001F79D4"/>
    <w:rsid w:val="001F7A05"/>
    <w:rsid w:val="001F7AA0"/>
    <w:rsid w:val="001F7BC7"/>
    <w:rsid w:val="001F7BEC"/>
    <w:rsid w:val="001F7D11"/>
    <w:rsid w:val="001F7D2E"/>
    <w:rsid w:val="001F7DAD"/>
    <w:rsid w:val="001F7FC9"/>
    <w:rsid w:val="002000B5"/>
    <w:rsid w:val="002000F8"/>
    <w:rsid w:val="002002C1"/>
    <w:rsid w:val="002003C6"/>
    <w:rsid w:val="00200408"/>
    <w:rsid w:val="002005B5"/>
    <w:rsid w:val="0020070B"/>
    <w:rsid w:val="00200720"/>
    <w:rsid w:val="00200818"/>
    <w:rsid w:val="0020086B"/>
    <w:rsid w:val="00200998"/>
    <w:rsid w:val="00200A0A"/>
    <w:rsid w:val="00200A7C"/>
    <w:rsid w:val="00200C05"/>
    <w:rsid w:val="00200C1C"/>
    <w:rsid w:val="00200C3A"/>
    <w:rsid w:val="00200C7C"/>
    <w:rsid w:val="00200C9B"/>
    <w:rsid w:val="00200F51"/>
    <w:rsid w:val="00200FF2"/>
    <w:rsid w:val="0020107E"/>
    <w:rsid w:val="00201167"/>
    <w:rsid w:val="002011E8"/>
    <w:rsid w:val="00201211"/>
    <w:rsid w:val="002012CF"/>
    <w:rsid w:val="00201377"/>
    <w:rsid w:val="00201436"/>
    <w:rsid w:val="0020145E"/>
    <w:rsid w:val="00201587"/>
    <w:rsid w:val="00201633"/>
    <w:rsid w:val="0020173C"/>
    <w:rsid w:val="0020176C"/>
    <w:rsid w:val="00201952"/>
    <w:rsid w:val="0020196E"/>
    <w:rsid w:val="00201A71"/>
    <w:rsid w:val="00201A90"/>
    <w:rsid w:val="00201AAE"/>
    <w:rsid w:val="00201B30"/>
    <w:rsid w:val="00201C08"/>
    <w:rsid w:val="00201C0A"/>
    <w:rsid w:val="00201C1C"/>
    <w:rsid w:val="00201C94"/>
    <w:rsid w:val="00201FD5"/>
    <w:rsid w:val="00201FEA"/>
    <w:rsid w:val="00202212"/>
    <w:rsid w:val="002022B4"/>
    <w:rsid w:val="00202509"/>
    <w:rsid w:val="00202582"/>
    <w:rsid w:val="002025EB"/>
    <w:rsid w:val="002026E8"/>
    <w:rsid w:val="002028CA"/>
    <w:rsid w:val="002028E8"/>
    <w:rsid w:val="00202928"/>
    <w:rsid w:val="00202A57"/>
    <w:rsid w:val="00202B10"/>
    <w:rsid w:val="00202B32"/>
    <w:rsid w:val="00202B74"/>
    <w:rsid w:val="00202B8E"/>
    <w:rsid w:val="00202E95"/>
    <w:rsid w:val="00202F64"/>
    <w:rsid w:val="00202FA6"/>
    <w:rsid w:val="002030A2"/>
    <w:rsid w:val="0020310F"/>
    <w:rsid w:val="0020319D"/>
    <w:rsid w:val="002031C1"/>
    <w:rsid w:val="00203274"/>
    <w:rsid w:val="00203327"/>
    <w:rsid w:val="0020337B"/>
    <w:rsid w:val="00203399"/>
    <w:rsid w:val="002033C2"/>
    <w:rsid w:val="002033D3"/>
    <w:rsid w:val="00203494"/>
    <w:rsid w:val="002036E1"/>
    <w:rsid w:val="00203885"/>
    <w:rsid w:val="002038DB"/>
    <w:rsid w:val="0020398F"/>
    <w:rsid w:val="00203A56"/>
    <w:rsid w:val="00203C75"/>
    <w:rsid w:val="00203CE0"/>
    <w:rsid w:val="00203E1F"/>
    <w:rsid w:val="00203E5B"/>
    <w:rsid w:val="00203F6B"/>
    <w:rsid w:val="00203F7A"/>
    <w:rsid w:val="00204060"/>
    <w:rsid w:val="002041D8"/>
    <w:rsid w:val="002042BD"/>
    <w:rsid w:val="00204312"/>
    <w:rsid w:val="00204404"/>
    <w:rsid w:val="00204472"/>
    <w:rsid w:val="002044CF"/>
    <w:rsid w:val="002045EE"/>
    <w:rsid w:val="00204650"/>
    <w:rsid w:val="0020466D"/>
    <w:rsid w:val="0020488E"/>
    <w:rsid w:val="002048EA"/>
    <w:rsid w:val="002049CD"/>
    <w:rsid w:val="00204A4A"/>
    <w:rsid w:val="00204ABC"/>
    <w:rsid w:val="00204CA6"/>
    <w:rsid w:val="00204CAD"/>
    <w:rsid w:val="00204CF7"/>
    <w:rsid w:val="00204D1C"/>
    <w:rsid w:val="00204E24"/>
    <w:rsid w:val="00204E5C"/>
    <w:rsid w:val="00204E9D"/>
    <w:rsid w:val="00205213"/>
    <w:rsid w:val="0020522C"/>
    <w:rsid w:val="00205283"/>
    <w:rsid w:val="002052ED"/>
    <w:rsid w:val="00205334"/>
    <w:rsid w:val="002053AA"/>
    <w:rsid w:val="002053D8"/>
    <w:rsid w:val="0020556A"/>
    <w:rsid w:val="00205579"/>
    <w:rsid w:val="00205630"/>
    <w:rsid w:val="002056E3"/>
    <w:rsid w:val="002056F2"/>
    <w:rsid w:val="002057EE"/>
    <w:rsid w:val="002059FB"/>
    <w:rsid w:val="00205A14"/>
    <w:rsid w:val="00205A31"/>
    <w:rsid w:val="00205BFC"/>
    <w:rsid w:val="00205C08"/>
    <w:rsid w:val="00205C28"/>
    <w:rsid w:val="00205C62"/>
    <w:rsid w:val="00205D14"/>
    <w:rsid w:val="00205D4D"/>
    <w:rsid w:val="00205D55"/>
    <w:rsid w:val="00205D8F"/>
    <w:rsid w:val="00205DEC"/>
    <w:rsid w:val="00205F27"/>
    <w:rsid w:val="00206030"/>
    <w:rsid w:val="0020610B"/>
    <w:rsid w:val="0020613D"/>
    <w:rsid w:val="00206393"/>
    <w:rsid w:val="002063A4"/>
    <w:rsid w:val="00206403"/>
    <w:rsid w:val="002064A5"/>
    <w:rsid w:val="0020650C"/>
    <w:rsid w:val="002065F3"/>
    <w:rsid w:val="00206653"/>
    <w:rsid w:val="002066EA"/>
    <w:rsid w:val="002066F2"/>
    <w:rsid w:val="0020671C"/>
    <w:rsid w:val="00206726"/>
    <w:rsid w:val="00206755"/>
    <w:rsid w:val="00206759"/>
    <w:rsid w:val="00206777"/>
    <w:rsid w:val="00206902"/>
    <w:rsid w:val="00206A00"/>
    <w:rsid w:val="00206B3E"/>
    <w:rsid w:val="00206BED"/>
    <w:rsid w:val="00206C37"/>
    <w:rsid w:val="00206D96"/>
    <w:rsid w:val="00206E3B"/>
    <w:rsid w:val="00207107"/>
    <w:rsid w:val="0020712F"/>
    <w:rsid w:val="00207152"/>
    <w:rsid w:val="002071B7"/>
    <w:rsid w:val="00207238"/>
    <w:rsid w:val="002072B6"/>
    <w:rsid w:val="002072F6"/>
    <w:rsid w:val="002075BF"/>
    <w:rsid w:val="0020763F"/>
    <w:rsid w:val="002076A3"/>
    <w:rsid w:val="00207711"/>
    <w:rsid w:val="002079DD"/>
    <w:rsid w:val="00207A4A"/>
    <w:rsid w:val="00207A51"/>
    <w:rsid w:val="00207AC2"/>
    <w:rsid w:val="00207AC7"/>
    <w:rsid w:val="00207AD3"/>
    <w:rsid w:val="00207BD6"/>
    <w:rsid w:val="00207CBD"/>
    <w:rsid w:val="00207D6A"/>
    <w:rsid w:val="00207E14"/>
    <w:rsid w:val="00207E6D"/>
    <w:rsid w:val="00210121"/>
    <w:rsid w:val="00210125"/>
    <w:rsid w:val="0021020B"/>
    <w:rsid w:val="00210232"/>
    <w:rsid w:val="00210309"/>
    <w:rsid w:val="0021038E"/>
    <w:rsid w:val="00210407"/>
    <w:rsid w:val="002104A1"/>
    <w:rsid w:val="00210613"/>
    <w:rsid w:val="002106A9"/>
    <w:rsid w:val="002106F1"/>
    <w:rsid w:val="00210787"/>
    <w:rsid w:val="002107A9"/>
    <w:rsid w:val="0021091C"/>
    <w:rsid w:val="00210A9D"/>
    <w:rsid w:val="00210B69"/>
    <w:rsid w:val="00210EEE"/>
    <w:rsid w:val="00210F7B"/>
    <w:rsid w:val="00210FB4"/>
    <w:rsid w:val="00210FC2"/>
    <w:rsid w:val="00210FC6"/>
    <w:rsid w:val="0021135A"/>
    <w:rsid w:val="00211437"/>
    <w:rsid w:val="00211487"/>
    <w:rsid w:val="00211516"/>
    <w:rsid w:val="00211676"/>
    <w:rsid w:val="002116C1"/>
    <w:rsid w:val="002116D1"/>
    <w:rsid w:val="0021171B"/>
    <w:rsid w:val="002117DA"/>
    <w:rsid w:val="002118CE"/>
    <w:rsid w:val="00211923"/>
    <w:rsid w:val="00211970"/>
    <w:rsid w:val="00211BD6"/>
    <w:rsid w:val="00211C4F"/>
    <w:rsid w:val="00211D08"/>
    <w:rsid w:val="00211E1F"/>
    <w:rsid w:val="00211EA7"/>
    <w:rsid w:val="00212008"/>
    <w:rsid w:val="002120DB"/>
    <w:rsid w:val="00212317"/>
    <w:rsid w:val="00212365"/>
    <w:rsid w:val="00212405"/>
    <w:rsid w:val="00212436"/>
    <w:rsid w:val="00212448"/>
    <w:rsid w:val="00212481"/>
    <w:rsid w:val="002124A0"/>
    <w:rsid w:val="002124C1"/>
    <w:rsid w:val="002124D6"/>
    <w:rsid w:val="002124FE"/>
    <w:rsid w:val="00212543"/>
    <w:rsid w:val="002125AB"/>
    <w:rsid w:val="002125D8"/>
    <w:rsid w:val="002126E4"/>
    <w:rsid w:val="002126E6"/>
    <w:rsid w:val="002126F8"/>
    <w:rsid w:val="00212752"/>
    <w:rsid w:val="002127A3"/>
    <w:rsid w:val="0021288A"/>
    <w:rsid w:val="002128DA"/>
    <w:rsid w:val="002129E2"/>
    <w:rsid w:val="00212AEE"/>
    <w:rsid w:val="00212AFE"/>
    <w:rsid w:val="00212B30"/>
    <w:rsid w:val="00212B78"/>
    <w:rsid w:val="00212DA6"/>
    <w:rsid w:val="00212DD0"/>
    <w:rsid w:val="00212FDB"/>
    <w:rsid w:val="002130FD"/>
    <w:rsid w:val="002131C6"/>
    <w:rsid w:val="0021326D"/>
    <w:rsid w:val="0021327A"/>
    <w:rsid w:val="002132B5"/>
    <w:rsid w:val="00213336"/>
    <w:rsid w:val="00213558"/>
    <w:rsid w:val="00213635"/>
    <w:rsid w:val="00213643"/>
    <w:rsid w:val="002136B4"/>
    <w:rsid w:val="002138AE"/>
    <w:rsid w:val="0021397E"/>
    <w:rsid w:val="00213A27"/>
    <w:rsid w:val="00213A59"/>
    <w:rsid w:val="00213B90"/>
    <w:rsid w:val="00213C26"/>
    <w:rsid w:val="00213C99"/>
    <w:rsid w:val="00213D28"/>
    <w:rsid w:val="00213D41"/>
    <w:rsid w:val="00213ED5"/>
    <w:rsid w:val="00213F20"/>
    <w:rsid w:val="00213F3B"/>
    <w:rsid w:val="00213FBE"/>
    <w:rsid w:val="0021401A"/>
    <w:rsid w:val="00214184"/>
    <w:rsid w:val="002143E5"/>
    <w:rsid w:val="00214463"/>
    <w:rsid w:val="002144A5"/>
    <w:rsid w:val="00214509"/>
    <w:rsid w:val="0021454E"/>
    <w:rsid w:val="002145A7"/>
    <w:rsid w:val="0021462C"/>
    <w:rsid w:val="0021464F"/>
    <w:rsid w:val="00214860"/>
    <w:rsid w:val="00214908"/>
    <w:rsid w:val="00214924"/>
    <w:rsid w:val="00214927"/>
    <w:rsid w:val="0021498B"/>
    <w:rsid w:val="00214A88"/>
    <w:rsid w:val="00214B90"/>
    <w:rsid w:val="00214C30"/>
    <w:rsid w:val="00214C49"/>
    <w:rsid w:val="00214CEB"/>
    <w:rsid w:val="00214D7D"/>
    <w:rsid w:val="00214D93"/>
    <w:rsid w:val="00214D99"/>
    <w:rsid w:val="00214E7E"/>
    <w:rsid w:val="00215017"/>
    <w:rsid w:val="0021507B"/>
    <w:rsid w:val="002150D3"/>
    <w:rsid w:val="002151CA"/>
    <w:rsid w:val="00215262"/>
    <w:rsid w:val="0021527E"/>
    <w:rsid w:val="0021529C"/>
    <w:rsid w:val="00215366"/>
    <w:rsid w:val="002153BE"/>
    <w:rsid w:val="002154C2"/>
    <w:rsid w:val="002154D7"/>
    <w:rsid w:val="002154E9"/>
    <w:rsid w:val="00215517"/>
    <w:rsid w:val="0021562E"/>
    <w:rsid w:val="002156E4"/>
    <w:rsid w:val="00215720"/>
    <w:rsid w:val="002158C5"/>
    <w:rsid w:val="002159E7"/>
    <w:rsid w:val="00215A06"/>
    <w:rsid w:val="00215A68"/>
    <w:rsid w:val="00215A87"/>
    <w:rsid w:val="00215B4E"/>
    <w:rsid w:val="00215CFC"/>
    <w:rsid w:val="00215DB8"/>
    <w:rsid w:val="00215E58"/>
    <w:rsid w:val="00215E96"/>
    <w:rsid w:val="00215ED0"/>
    <w:rsid w:val="00215F46"/>
    <w:rsid w:val="0021612D"/>
    <w:rsid w:val="00216153"/>
    <w:rsid w:val="0021616A"/>
    <w:rsid w:val="0021620A"/>
    <w:rsid w:val="00216292"/>
    <w:rsid w:val="0021636C"/>
    <w:rsid w:val="0021641D"/>
    <w:rsid w:val="00216489"/>
    <w:rsid w:val="002166D9"/>
    <w:rsid w:val="00216739"/>
    <w:rsid w:val="00216743"/>
    <w:rsid w:val="002167A4"/>
    <w:rsid w:val="00216843"/>
    <w:rsid w:val="002168BF"/>
    <w:rsid w:val="002168C8"/>
    <w:rsid w:val="00216975"/>
    <w:rsid w:val="00216A59"/>
    <w:rsid w:val="00216A71"/>
    <w:rsid w:val="00216B41"/>
    <w:rsid w:val="00216BAB"/>
    <w:rsid w:val="00216DBB"/>
    <w:rsid w:val="00216DCB"/>
    <w:rsid w:val="00216E98"/>
    <w:rsid w:val="00216F88"/>
    <w:rsid w:val="00216FF7"/>
    <w:rsid w:val="00217075"/>
    <w:rsid w:val="002171F0"/>
    <w:rsid w:val="0021739F"/>
    <w:rsid w:val="00217477"/>
    <w:rsid w:val="002174AD"/>
    <w:rsid w:val="002174BD"/>
    <w:rsid w:val="002174D2"/>
    <w:rsid w:val="002174F0"/>
    <w:rsid w:val="002175AF"/>
    <w:rsid w:val="0021763C"/>
    <w:rsid w:val="00217693"/>
    <w:rsid w:val="002176C0"/>
    <w:rsid w:val="002176F0"/>
    <w:rsid w:val="002177B1"/>
    <w:rsid w:val="002177D5"/>
    <w:rsid w:val="002177F0"/>
    <w:rsid w:val="00217BCA"/>
    <w:rsid w:val="00217C10"/>
    <w:rsid w:val="00217C83"/>
    <w:rsid w:val="00217CE5"/>
    <w:rsid w:val="00217D06"/>
    <w:rsid w:val="00217D4C"/>
    <w:rsid w:val="00217D65"/>
    <w:rsid w:val="00217D80"/>
    <w:rsid w:val="00217E05"/>
    <w:rsid w:val="00217E07"/>
    <w:rsid w:val="00217EE1"/>
    <w:rsid w:val="00217EF1"/>
    <w:rsid w:val="00220038"/>
    <w:rsid w:val="00220125"/>
    <w:rsid w:val="0022024C"/>
    <w:rsid w:val="002205F0"/>
    <w:rsid w:val="0022065B"/>
    <w:rsid w:val="002206FC"/>
    <w:rsid w:val="0022079D"/>
    <w:rsid w:val="002208D2"/>
    <w:rsid w:val="00220954"/>
    <w:rsid w:val="00220960"/>
    <w:rsid w:val="002209FB"/>
    <w:rsid w:val="00220B08"/>
    <w:rsid w:val="00220BA1"/>
    <w:rsid w:val="00220BFC"/>
    <w:rsid w:val="00220C37"/>
    <w:rsid w:val="00220D97"/>
    <w:rsid w:val="00220D9B"/>
    <w:rsid w:val="00220E8A"/>
    <w:rsid w:val="00220E92"/>
    <w:rsid w:val="00220F4F"/>
    <w:rsid w:val="00220F97"/>
    <w:rsid w:val="00220FAA"/>
    <w:rsid w:val="002210F4"/>
    <w:rsid w:val="00221140"/>
    <w:rsid w:val="002212E6"/>
    <w:rsid w:val="00221322"/>
    <w:rsid w:val="00221355"/>
    <w:rsid w:val="0022137A"/>
    <w:rsid w:val="00221407"/>
    <w:rsid w:val="0022175C"/>
    <w:rsid w:val="00221826"/>
    <w:rsid w:val="0022197D"/>
    <w:rsid w:val="00221A72"/>
    <w:rsid w:val="00221C37"/>
    <w:rsid w:val="00221CAE"/>
    <w:rsid w:val="00221D9F"/>
    <w:rsid w:val="00221E06"/>
    <w:rsid w:val="00221E37"/>
    <w:rsid w:val="00221F9C"/>
    <w:rsid w:val="002220B7"/>
    <w:rsid w:val="002220FF"/>
    <w:rsid w:val="002221F2"/>
    <w:rsid w:val="00222213"/>
    <w:rsid w:val="00222234"/>
    <w:rsid w:val="00222263"/>
    <w:rsid w:val="002222EF"/>
    <w:rsid w:val="00222334"/>
    <w:rsid w:val="002223A7"/>
    <w:rsid w:val="0022245F"/>
    <w:rsid w:val="002224F5"/>
    <w:rsid w:val="0022250D"/>
    <w:rsid w:val="00222533"/>
    <w:rsid w:val="0022257B"/>
    <w:rsid w:val="002225A4"/>
    <w:rsid w:val="002226B6"/>
    <w:rsid w:val="00222715"/>
    <w:rsid w:val="00222764"/>
    <w:rsid w:val="0022294D"/>
    <w:rsid w:val="00222C0E"/>
    <w:rsid w:val="00222C2B"/>
    <w:rsid w:val="00222C6F"/>
    <w:rsid w:val="00222CFD"/>
    <w:rsid w:val="00222E2B"/>
    <w:rsid w:val="00222EAA"/>
    <w:rsid w:val="00222EC4"/>
    <w:rsid w:val="00222F00"/>
    <w:rsid w:val="00222FB8"/>
    <w:rsid w:val="00223047"/>
    <w:rsid w:val="0022306B"/>
    <w:rsid w:val="002230F7"/>
    <w:rsid w:val="0022316F"/>
    <w:rsid w:val="002231DA"/>
    <w:rsid w:val="00223347"/>
    <w:rsid w:val="00223348"/>
    <w:rsid w:val="0022339C"/>
    <w:rsid w:val="0022346A"/>
    <w:rsid w:val="0022353C"/>
    <w:rsid w:val="002236AC"/>
    <w:rsid w:val="0022370B"/>
    <w:rsid w:val="002237A4"/>
    <w:rsid w:val="002237AB"/>
    <w:rsid w:val="00223857"/>
    <w:rsid w:val="00223943"/>
    <w:rsid w:val="00223944"/>
    <w:rsid w:val="00223A08"/>
    <w:rsid w:val="00223A48"/>
    <w:rsid w:val="00223B90"/>
    <w:rsid w:val="00223BED"/>
    <w:rsid w:val="00223C52"/>
    <w:rsid w:val="00223CCF"/>
    <w:rsid w:val="00223DA4"/>
    <w:rsid w:val="00223F28"/>
    <w:rsid w:val="00223F64"/>
    <w:rsid w:val="00223F71"/>
    <w:rsid w:val="00224134"/>
    <w:rsid w:val="00224176"/>
    <w:rsid w:val="002241A3"/>
    <w:rsid w:val="002241F9"/>
    <w:rsid w:val="00224347"/>
    <w:rsid w:val="00224384"/>
    <w:rsid w:val="002243BE"/>
    <w:rsid w:val="002243EA"/>
    <w:rsid w:val="0022452D"/>
    <w:rsid w:val="0022454A"/>
    <w:rsid w:val="002246B5"/>
    <w:rsid w:val="002246C6"/>
    <w:rsid w:val="00224783"/>
    <w:rsid w:val="00224834"/>
    <w:rsid w:val="00224851"/>
    <w:rsid w:val="00224B4D"/>
    <w:rsid w:val="00224C32"/>
    <w:rsid w:val="00224CFC"/>
    <w:rsid w:val="00224D28"/>
    <w:rsid w:val="00224D32"/>
    <w:rsid w:val="00224E01"/>
    <w:rsid w:val="00224E47"/>
    <w:rsid w:val="00224E90"/>
    <w:rsid w:val="00224EB5"/>
    <w:rsid w:val="00224ED9"/>
    <w:rsid w:val="00225058"/>
    <w:rsid w:val="002250C3"/>
    <w:rsid w:val="00225106"/>
    <w:rsid w:val="00225159"/>
    <w:rsid w:val="0022519C"/>
    <w:rsid w:val="002251F0"/>
    <w:rsid w:val="00225235"/>
    <w:rsid w:val="00225420"/>
    <w:rsid w:val="00225421"/>
    <w:rsid w:val="002254C7"/>
    <w:rsid w:val="0022562C"/>
    <w:rsid w:val="00225671"/>
    <w:rsid w:val="002256E2"/>
    <w:rsid w:val="0022578D"/>
    <w:rsid w:val="0022588B"/>
    <w:rsid w:val="002258B8"/>
    <w:rsid w:val="002259BB"/>
    <w:rsid w:val="002259EC"/>
    <w:rsid w:val="00225A72"/>
    <w:rsid w:val="00225ADA"/>
    <w:rsid w:val="00225BAD"/>
    <w:rsid w:val="00225D6F"/>
    <w:rsid w:val="00225E1D"/>
    <w:rsid w:val="00225EDC"/>
    <w:rsid w:val="00225EF5"/>
    <w:rsid w:val="00225FCC"/>
    <w:rsid w:val="0022607F"/>
    <w:rsid w:val="002260F0"/>
    <w:rsid w:val="00226108"/>
    <w:rsid w:val="00226124"/>
    <w:rsid w:val="00226268"/>
    <w:rsid w:val="002263C9"/>
    <w:rsid w:val="002263CA"/>
    <w:rsid w:val="00226462"/>
    <w:rsid w:val="00226480"/>
    <w:rsid w:val="00226491"/>
    <w:rsid w:val="00226689"/>
    <w:rsid w:val="0022680B"/>
    <w:rsid w:val="002268AB"/>
    <w:rsid w:val="002268C7"/>
    <w:rsid w:val="00226A86"/>
    <w:rsid w:val="00226ADF"/>
    <w:rsid w:val="00226CFD"/>
    <w:rsid w:val="00226DAB"/>
    <w:rsid w:val="00226F55"/>
    <w:rsid w:val="00226F5D"/>
    <w:rsid w:val="00227061"/>
    <w:rsid w:val="00227066"/>
    <w:rsid w:val="0022710D"/>
    <w:rsid w:val="00227237"/>
    <w:rsid w:val="002273AF"/>
    <w:rsid w:val="002275C1"/>
    <w:rsid w:val="002275F0"/>
    <w:rsid w:val="0022761D"/>
    <w:rsid w:val="00227630"/>
    <w:rsid w:val="00227642"/>
    <w:rsid w:val="00227646"/>
    <w:rsid w:val="0022765E"/>
    <w:rsid w:val="002276C1"/>
    <w:rsid w:val="0022773F"/>
    <w:rsid w:val="0022777C"/>
    <w:rsid w:val="00227864"/>
    <w:rsid w:val="0022790E"/>
    <w:rsid w:val="0022791C"/>
    <w:rsid w:val="002279CD"/>
    <w:rsid w:val="002279E6"/>
    <w:rsid w:val="00227A3D"/>
    <w:rsid w:val="00227BBC"/>
    <w:rsid w:val="00227C2C"/>
    <w:rsid w:val="00227C80"/>
    <w:rsid w:val="00227CD9"/>
    <w:rsid w:val="00227D06"/>
    <w:rsid w:val="00227D73"/>
    <w:rsid w:val="00227D93"/>
    <w:rsid w:val="00227E97"/>
    <w:rsid w:val="00230109"/>
    <w:rsid w:val="002301C3"/>
    <w:rsid w:val="00230245"/>
    <w:rsid w:val="00230260"/>
    <w:rsid w:val="0023044B"/>
    <w:rsid w:val="00230587"/>
    <w:rsid w:val="0023059C"/>
    <w:rsid w:val="0023060B"/>
    <w:rsid w:val="00230623"/>
    <w:rsid w:val="00230628"/>
    <w:rsid w:val="00230644"/>
    <w:rsid w:val="00230646"/>
    <w:rsid w:val="0023075D"/>
    <w:rsid w:val="002307F5"/>
    <w:rsid w:val="00230B02"/>
    <w:rsid w:val="00230CDB"/>
    <w:rsid w:val="00230D08"/>
    <w:rsid w:val="00230D1D"/>
    <w:rsid w:val="00230D80"/>
    <w:rsid w:val="00230F3D"/>
    <w:rsid w:val="00230FBF"/>
    <w:rsid w:val="00230FD0"/>
    <w:rsid w:val="00231254"/>
    <w:rsid w:val="00231371"/>
    <w:rsid w:val="00231501"/>
    <w:rsid w:val="0023157F"/>
    <w:rsid w:val="0023169F"/>
    <w:rsid w:val="002316BE"/>
    <w:rsid w:val="002316E1"/>
    <w:rsid w:val="0023171C"/>
    <w:rsid w:val="00231764"/>
    <w:rsid w:val="002319C5"/>
    <w:rsid w:val="002319DF"/>
    <w:rsid w:val="00231A48"/>
    <w:rsid w:val="00231B01"/>
    <w:rsid w:val="00231B1D"/>
    <w:rsid w:val="00231CB9"/>
    <w:rsid w:val="00231D32"/>
    <w:rsid w:val="00231DC6"/>
    <w:rsid w:val="00231E29"/>
    <w:rsid w:val="00231F9B"/>
    <w:rsid w:val="002320A2"/>
    <w:rsid w:val="00232205"/>
    <w:rsid w:val="00232241"/>
    <w:rsid w:val="0023243B"/>
    <w:rsid w:val="0023248E"/>
    <w:rsid w:val="00232524"/>
    <w:rsid w:val="0023265B"/>
    <w:rsid w:val="0023272A"/>
    <w:rsid w:val="00232746"/>
    <w:rsid w:val="0023283E"/>
    <w:rsid w:val="00232861"/>
    <w:rsid w:val="00232A0E"/>
    <w:rsid w:val="00232AC7"/>
    <w:rsid w:val="00232ADB"/>
    <w:rsid w:val="00232CA5"/>
    <w:rsid w:val="00232D19"/>
    <w:rsid w:val="00232D38"/>
    <w:rsid w:val="00232E16"/>
    <w:rsid w:val="00232E6C"/>
    <w:rsid w:val="00232F79"/>
    <w:rsid w:val="002330A5"/>
    <w:rsid w:val="002330E7"/>
    <w:rsid w:val="00233116"/>
    <w:rsid w:val="00233163"/>
    <w:rsid w:val="00233176"/>
    <w:rsid w:val="002332A2"/>
    <w:rsid w:val="002333E6"/>
    <w:rsid w:val="0023353C"/>
    <w:rsid w:val="00233627"/>
    <w:rsid w:val="002336B3"/>
    <w:rsid w:val="002336CE"/>
    <w:rsid w:val="002336F5"/>
    <w:rsid w:val="00233722"/>
    <w:rsid w:val="00233881"/>
    <w:rsid w:val="0023393C"/>
    <w:rsid w:val="00233954"/>
    <w:rsid w:val="002339C3"/>
    <w:rsid w:val="00233C16"/>
    <w:rsid w:val="00233C6C"/>
    <w:rsid w:val="00233DB6"/>
    <w:rsid w:val="00233E30"/>
    <w:rsid w:val="00233E37"/>
    <w:rsid w:val="00233F7D"/>
    <w:rsid w:val="00233FA8"/>
    <w:rsid w:val="0023404B"/>
    <w:rsid w:val="00234070"/>
    <w:rsid w:val="0023425E"/>
    <w:rsid w:val="002342A6"/>
    <w:rsid w:val="00234374"/>
    <w:rsid w:val="00234455"/>
    <w:rsid w:val="00234582"/>
    <w:rsid w:val="002345C2"/>
    <w:rsid w:val="00234682"/>
    <w:rsid w:val="0023469E"/>
    <w:rsid w:val="0023476C"/>
    <w:rsid w:val="002347B0"/>
    <w:rsid w:val="00234899"/>
    <w:rsid w:val="002348CB"/>
    <w:rsid w:val="0023494A"/>
    <w:rsid w:val="00234957"/>
    <w:rsid w:val="00234AA1"/>
    <w:rsid w:val="00234AE2"/>
    <w:rsid w:val="00234E86"/>
    <w:rsid w:val="00234FEA"/>
    <w:rsid w:val="0023503A"/>
    <w:rsid w:val="002350DB"/>
    <w:rsid w:val="0023515C"/>
    <w:rsid w:val="0023518D"/>
    <w:rsid w:val="00235256"/>
    <w:rsid w:val="002353BA"/>
    <w:rsid w:val="002355CF"/>
    <w:rsid w:val="0023560B"/>
    <w:rsid w:val="00235646"/>
    <w:rsid w:val="002356F1"/>
    <w:rsid w:val="00235726"/>
    <w:rsid w:val="00235769"/>
    <w:rsid w:val="00235871"/>
    <w:rsid w:val="0023589A"/>
    <w:rsid w:val="002359F5"/>
    <w:rsid w:val="00235A28"/>
    <w:rsid w:val="00235A5D"/>
    <w:rsid w:val="00235AC8"/>
    <w:rsid w:val="00235B59"/>
    <w:rsid w:val="00235BCD"/>
    <w:rsid w:val="00235C40"/>
    <w:rsid w:val="00235C5A"/>
    <w:rsid w:val="00235CDB"/>
    <w:rsid w:val="00235E58"/>
    <w:rsid w:val="00235E92"/>
    <w:rsid w:val="00235FA8"/>
    <w:rsid w:val="0023619D"/>
    <w:rsid w:val="002361CF"/>
    <w:rsid w:val="0023644C"/>
    <w:rsid w:val="002364D2"/>
    <w:rsid w:val="00236554"/>
    <w:rsid w:val="00236657"/>
    <w:rsid w:val="00236700"/>
    <w:rsid w:val="0023674F"/>
    <w:rsid w:val="0023678D"/>
    <w:rsid w:val="002367B1"/>
    <w:rsid w:val="002367C6"/>
    <w:rsid w:val="0023686C"/>
    <w:rsid w:val="00236892"/>
    <w:rsid w:val="002368B4"/>
    <w:rsid w:val="0023693D"/>
    <w:rsid w:val="00236987"/>
    <w:rsid w:val="00236999"/>
    <w:rsid w:val="00236A0B"/>
    <w:rsid w:val="00236A49"/>
    <w:rsid w:val="00236A9E"/>
    <w:rsid w:val="00236AD6"/>
    <w:rsid w:val="00236B96"/>
    <w:rsid w:val="00236C64"/>
    <w:rsid w:val="00236CCE"/>
    <w:rsid w:val="00236D20"/>
    <w:rsid w:val="00236E3B"/>
    <w:rsid w:val="00236E5A"/>
    <w:rsid w:val="00236E97"/>
    <w:rsid w:val="00236F11"/>
    <w:rsid w:val="00236F49"/>
    <w:rsid w:val="0023700D"/>
    <w:rsid w:val="0023709D"/>
    <w:rsid w:val="002371A2"/>
    <w:rsid w:val="002371D1"/>
    <w:rsid w:val="002372CA"/>
    <w:rsid w:val="00237356"/>
    <w:rsid w:val="002373BD"/>
    <w:rsid w:val="00237441"/>
    <w:rsid w:val="0023781C"/>
    <w:rsid w:val="002378AA"/>
    <w:rsid w:val="002378E1"/>
    <w:rsid w:val="00237905"/>
    <w:rsid w:val="00237982"/>
    <w:rsid w:val="002379ED"/>
    <w:rsid w:val="00237B19"/>
    <w:rsid w:val="00237C96"/>
    <w:rsid w:val="00237D13"/>
    <w:rsid w:val="00237DC7"/>
    <w:rsid w:val="00237E45"/>
    <w:rsid w:val="00237E56"/>
    <w:rsid w:val="00237E66"/>
    <w:rsid w:val="00237EEB"/>
    <w:rsid w:val="00237F1A"/>
    <w:rsid w:val="00237F29"/>
    <w:rsid w:val="00237FA8"/>
    <w:rsid w:val="002400A9"/>
    <w:rsid w:val="00240127"/>
    <w:rsid w:val="0024016F"/>
    <w:rsid w:val="0024020B"/>
    <w:rsid w:val="00240221"/>
    <w:rsid w:val="00240253"/>
    <w:rsid w:val="002402D1"/>
    <w:rsid w:val="00240463"/>
    <w:rsid w:val="00240475"/>
    <w:rsid w:val="00240476"/>
    <w:rsid w:val="002404D4"/>
    <w:rsid w:val="0024052A"/>
    <w:rsid w:val="002406C3"/>
    <w:rsid w:val="0024075E"/>
    <w:rsid w:val="00240896"/>
    <w:rsid w:val="00240897"/>
    <w:rsid w:val="00240997"/>
    <w:rsid w:val="002409FE"/>
    <w:rsid w:val="00240A2F"/>
    <w:rsid w:val="00240A8D"/>
    <w:rsid w:val="00240BB0"/>
    <w:rsid w:val="00240C01"/>
    <w:rsid w:val="00240C79"/>
    <w:rsid w:val="00240CDA"/>
    <w:rsid w:val="00240D24"/>
    <w:rsid w:val="00240EAA"/>
    <w:rsid w:val="00240EAF"/>
    <w:rsid w:val="00240F00"/>
    <w:rsid w:val="00240F81"/>
    <w:rsid w:val="00241026"/>
    <w:rsid w:val="0024108D"/>
    <w:rsid w:val="002410E6"/>
    <w:rsid w:val="002411A9"/>
    <w:rsid w:val="002412BD"/>
    <w:rsid w:val="002412C8"/>
    <w:rsid w:val="0024143B"/>
    <w:rsid w:val="002414F1"/>
    <w:rsid w:val="002414FC"/>
    <w:rsid w:val="002415F6"/>
    <w:rsid w:val="0024160E"/>
    <w:rsid w:val="00241A0C"/>
    <w:rsid w:val="00241B56"/>
    <w:rsid w:val="00241CA0"/>
    <w:rsid w:val="00241D5B"/>
    <w:rsid w:val="00241D94"/>
    <w:rsid w:val="00241E53"/>
    <w:rsid w:val="00241F02"/>
    <w:rsid w:val="00241F5B"/>
    <w:rsid w:val="0024216E"/>
    <w:rsid w:val="0024221A"/>
    <w:rsid w:val="00242458"/>
    <w:rsid w:val="002425A0"/>
    <w:rsid w:val="002425AC"/>
    <w:rsid w:val="00242647"/>
    <w:rsid w:val="00242701"/>
    <w:rsid w:val="0024278A"/>
    <w:rsid w:val="0024285B"/>
    <w:rsid w:val="002428CB"/>
    <w:rsid w:val="00242B81"/>
    <w:rsid w:val="00242D8F"/>
    <w:rsid w:val="00242E98"/>
    <w:rsid w:val="00242F85"/>
    <w:rsid w:val="002430B2"/>
    <w:rsid w:val="002430E5"/>
    <w:rsid w:val="00243118"/>
    <w:rsid w:val="002432BC"/>
    <w:rsid w:val="002432F0"/>
    <w:rsid w:val="0024338F"/>
    <w:rsid w:val="00243567"/>
    <w:rsid w:val="00243752"/>
    <w:rsid w:val="002438F4"/>
    <w:rsid w:val="002439C9"/>
    <w:rsid w:val="002439FE"/>
    <w:rsid w:val="00243ABE"/>
    <w:rsid w:val="00243B6D"/>
    <w:rsid w:val="00243C6E"/>
    <w:rsid w:val="00243D54"/>
    <w:rsid w:val="00243D70"/>
    <w:rsid w:val="00243D8B"/>
    <w:rsid w:val="00243E3D"/>
    <w:rsid w:val="00243F7E"/>
    <w:rsid w:val="002440A1"/>
    <w:rsid w:val="00244141"/>
    <w:rsid w:val="002442B4"/>
    <w:rsid w:val="0024452E"/>
    <w:rsid w:val="0024459F"/>
    <w:rsid w:val="002447C7"/>
    <w:rsid w:val="0024480B"/>
    <w:rsid w:val="002448DF"/>
    <w:rsid w:val="002449C0"/>
    <w:rsid w:val="002449C4"/>
    <w:rsid w:val="00244A2F"/>
    <w:rsid w:val="00244BAE"/>
    <w:rsid w:val="00244BE5"/>
    <w:rsid w:val="00244C0F"/>
    <w:rsid w:val="00244CEC"/>
    <w:rsid w:val="00244DEB"/>
    <w:rsid w:val="00244E49"/>
    <w:rsid w:val="00244EA0"/>
    <w:rsid w:val="00244EF3"/>
    <w:rsid w:val="00244F48"/>
    <w:rsid w:val="00244FD4"/>
    <w:rsid w:val="00245023"/>
    <w:rsid w:val="0024502E"/>
    <w:rsid w:val="002451A3"/>
    <w:rsid w:val="002452A0"/>
    <w:rsid w:val="002452A7"/>
    <w:rsid w:val="002453ED"/>
    <w:rsid w:val="00245437"/>
    <w:rsid w:val="002454E7"/>
    <w:rsid w:val="002454EA"/>
    <w:rsid w:val="002454F7"/>
    <w:rsid w:val="00245503"/>
    <w:rsid w:val="00245528"/>
    <w:rsid w:val="002455C1"/>
    <w:rsid w:val="00245602"/>
    <w:rsid w:val="00245605"/>
    <w:rsid w:val="00245678"/>
    <w:rsid w:val="0024568A"/>
    <w:rsid w:val="00245749"/>
    <w:rsid w:val="002457D6"/>
    <w:rsid w:val="002459C5"/>
    <w:rsid w:val="00245A00"/>
    <w:rsid w:val="00245A66"/>
    <w:rsid w:val="00245AD6"/>
    <w:rsid w:val="00245ADE"/>
    <w:rsid w:val="00245F7B"/>
    <w:rsid w:val="0024603C"/>
    <w:rsid w:val="0024604B"/>
    <w:rsid w:val="00246117"/>
    <w:rsid w:val="00246132"/>
    <w:rsid w:val="00246152"/>
    <w:rsid w:val="002462CD"/>
    <w:rsid w:val="0024631A"/>
    <w:rsid w:val="00246520"/>
    <w:rsid w:val="0024652C"/>
    <w:rsid w:val="002465A2"/>
    <w:rsid w:val="002466C7"/>
    <w:rsid w:val="00246705"/>
    <w:rsid w:val="002467E5"/>
    <w:rsid w:val="00246856"/>
    <w:rsid w:val="00246900"/>
    <w:rsid w:val="00246C4D"/>
    <w:rsid w:val="00246CA5"/>
    <w:rsid w:val="00246CA6"/>
    <w:rsid w:val="00246D13"/>
    <w:rsid w:val="00246D58"/>
    <w:rsid w:val="00246E0E"/>
    <w:rsid w:val="00246EDC"/>
    <w:rsid w:val="00246FAA"/>
    <w:rsid w:val="00246FCD"/>
    <w:rsid w:val="00247034"/>
    <w:rsid w:val="00247080"/>
    <w:rsid w:val="002470E0"/>
    <w:rsid w:val="00247195"/>
    <w:rsid w:val="002473CF"/>
    <w:rsid w:val="002475C8"/>
    <w:rsid w:val="002475EE"/>
    <w:rsid w:val="0024767C"/>
    <w:rsid w:val="00247741"/>
    <w:rsid w:val="00247890"/>
    <w:rsid w:val="00247957"/>
    <w:rsid w:val="00247C07"/>
    <w:rsid w:val="00247C5D"/>
    <w:rsid w:val="00247DF1"/>
    <w:rsid w:val="00247E8D"/>
    <w:rsid w:val="00247EFD"/>
    <w:rsid w:val="00247F95"/>
    <w:rsid w:val="00250075"/>
    <w:rsid w:val="0025010D"/>
    <w:rsid w:val="0025023C"/>
    <w:rsid w:val="00250324"/>
    <w:rsid w:val="002503DC"/>
    <w:rsid w:val="0025046D"/>
    <w:rsid w:val="002505D6"/>
    <w:rsid w:val="002505E1"/>
    <w:rsid w:val="002507DA"/>
    <w:rsid w:val="002509E0"/>
    <w:rsid w:val="002509E6"/>
    <w:rsid w:val="002509F9"/>
    <w:rsid w:val="00250A17"/>
    <w:rsid w:val="00250B8A"/>
    <w:rsid w:val="00250CB6"/>
    <w:rsid w:val="00250CCB"/>
    <w:rsid w:val="00250E05"/>
    <w:rsid w:val="00250F61"/>
    <w:rsid w:val="0025112F"/>
    <w:rsid w:val="0025115D"/>
    <w:rsid w:val="00251239"/>
    <w:rsid w:val="0025125B"/>
    <w:rsid w:val="0025127B"/>
    <w:rsid w:val="0025134A"/>
    <w:rsid w:val="002513BA"/>
    <w:rsid w:val="002513EE"/>
    <w:rsid w:val="002514B7"/>
    <w:rsid w:val="002515B6"/>
    <w:rsid w:val="002516A1"/>
    <w:rsid w:val="002517F2"/>
    <w:rsid w:val="0025182C"/>
    <w:rsid w:val="00251880"/>
    <w:rsid w:val="002519C5"/>
    <w:rsid w:val="00251ACC"/>
    <w:rsid w:val="00251B93"/>
    <w:rsid w:val="00251C55"/>
    <w:rsid w:val="00251C6D"/>
    <w:rsid w:val="00251CE3"/>
    <w:rsid w:val="00251DAD"/>
    <w:rsid w:val="00251E15"/>
    <w:rsid w:val="00252216"/>
    <w:rsid w:val="002522A8"/>
    <w:rsid w:val="002523C9"/>
    <w:rsid w:val="00252599"/>
    <w:rsid w:val="0025267C"/>
    <w:rsid w:val="00252680"/>
    <w:rsid w:val="00252696"/>
    <w:rsid w:val="002526AB"/>
    <w:rsid w:val="00252713"/>
    <w:rsid w:val="00252766"/>
    <w:rsid w:val="0025276E"/>
    <w:rsid w:val="002527A7"/>
    <w:rsid w:val="00252832"/>
    <w:rsid w:val="00252891"/>
    <w:rsid w:val="00252929"/>
    <w:rsid w:val="00252967"/>
    <w:rsid w:val="00252A5C"/>
    <w:rsid w:val="00252BD6"/>
    <w:rsid w:val="00252C97"/>
    <w:rsid w:val="00252D59"/>
    <w:rsid w:val="00252D9B"/>
    <w:rsid w:val="00252DD5"/>
    <w:rsid w:val="00252EDA"/>
    <w:rsid w:val="00253039"/>
    <w:rsid w:val="002530AC"/>
    <w:rsid w:val="002530EA"/>
    <w:rsid w:val="00253138"/>
    <w:rsid w:val="002532B6"/>
    <w:rsid w:val="002532EE"/>
    <w:rsid w:val="0025331E"/>
    <w:rsid w:val="00253407"/>
    <w:rsid w:val="002534FF"/>
    <w:rsid w:val="0025354B"/>
    <w:rsid w:val="00253670"/>
    <w:rsid w:val="00253722"/>
    <w:rsid w:val="00253764"/>
    <w:rsid w:val="0025382A"/>
    <w:rsid w:val="0025397C"/>
    <w:rsid w:val="002539DC"/>
    <w:rsid w:val="00253A1A"/>
    <w:rsid w:val="00253A3E"/>
    <w:rsid w:val="00253A4A"/>
    <w:rsid w:val="00253BB2"/>
    <w:rsid w:val="00253BC2"/>
    <w:rsid w:val="00253C69"/>
    <w:rsid w:val="00253CF6"/>
    <w:rsid w:val="00253D10"/>
    <w:rsid w:val="00253D43"/>
    <w:rsid w:val="00253DCE"/>
    <w:rsid w:val="00253DFD"/>
    <w:rsid w:val="00253EF1"/>
    <w:rsid w:val="00253F2C"/>
    <w:rsid w:val="002540C2"/>
    <w:rsid w:val="0025412E"/>
    <w:rsid w:val="002541BF"/>
    <w:rsid w:val="002542E5"/>
    <w:rsid w:val="00254462"/>
    <w:rsid w:val="00254556"/>
    <w:rsid w:val="0025455A"/>
    <w:rsid w:val="0025477A"/>
    <w:rsid w:val="00254854"/>
    <w:rsid w:val="002548C6"/>
    <w:rsid w:val="0025490C"/>
    <w:rsid w:val="00254950"/>
    <w:rsid w:val="002549FE"/>
    <w:rsid w:val="00254B4D"/>
    <w:rsid w:val="00254CA7"/>
    <w:rsid w:val="00254D34"/>
    <w:rsid w:val="00254D6A"/>
    <w:rsid w:val="00254E86"/>
    <w:rsid w:val="00254EF3"/>
    <w:rsid w:val="00254F5C"/>
    <w:rsid w:val="00254FA6"/>
    <w:rsid w:val="002550B8"/>
    <w:rsid w:val="00255107"/>
    <w:rsid w:val="002553F8"/>
    <w:rsid w:val="0025540A"/>
    <w:rsid w:val="002554EF"/>
    <w:rsid w:val="0025551F"/>
    <w:rsid w:val="00255606"/>
    <w:rsid w:val="002556C0"/>
    <w:rsid w:val="002556DE"/>
    <w:rsid w:val="002557CF"/>
    <w:rsid w:val="00255828"/>
    <w:rsid w:val="00255832"/>
    <w:rsid w:val="00255892"/>
    <w:rsid w:val="00255893"/>
    <w:rsid w:val="002558B2"/>
    <w:rsid w:val="002558F0"/>
    <w:rsid w:val="002559A2"/>
    <w:rsid w:val="00255AAD"/>
    <w:rsid w:val="00255BF5"/>
    <w:rsid w:val="00255C86"/>
    <w:rsid w:val="00255D63"/>
    <w:rsid w:val="00255E9A"/>
    <w:rsid w:val="00255EEC"/>
    <w:rsid w:val="00255FF2"/>
    <w:rsid w:val="002560C6"/>
    <w:rsid w:val="00256165"/>
    <w:rsid w:val="002561FE"/>
    <w:rsid w:val="0025632F"/>
    <w:rsid w:val="0025633F"/>
    <w:rsid w:val="002563E6"/>
    <w:rsid w:val="00256443"/>
    <w:rsid w:val="00256474"/>
    <w:rsid w:val="00256478"/>
    <w:rsid w:val="00256591"/>
    <w:rsid w:val="002565DC"/>
    <w:rsid w:val="002565EC"/>
    <w:rsid w:val="00256683"/>
    <w:rsid w:val="00256830"/>
    <w:rsid w:val="0025693F"/>
    <w:rsid w:val="00256A23"/>
    <w:rsid w:val="00256BB3"/>
    <w:rsid w:val="00256C28"/>
    <w:rsid w:val="00256CB1"/>
    <w:rsid w:val="00256DB8"/>
    <w:rsid w:val="00256DCA"/>
    <w:rsid w:val="00256E64"/>
    <w:rsid w:val="00256F15"/>
    <w:rsid w:val="00256FDA"/>
    <w:rsid w:val="002570C2"/>
    <w:rsid w:val="002570DD"/>
    <w:rsid w:val="00257143"/>
    <w:rsid w:val="0025714E"/>
    <w:rsid w:val="002571C2"/>
    <w:rsid w:val="002571F1"/>
    <w:rsid w:val="00257231"/>
    <w:rsid w:val="002572D7"/>
    <w:rsid w:val="0025741F"/>
    <w:rsid w:val="00257428"/>
    <w:rsid w:val="00257560"/>
    <w:rsid w:val="00257568"/>
    <w:rsid w:val="002576D8"/>
    <w:rsid w:val="00257AF7"/>
    <w:rsid w:val="00257C5A"/>
    <w:rsid w:val="00257CC3"/>
    <w:rsid w:val="00257D7B"/>
    <w:rsid w:val="00257E4D"/>
    <w:rsid w:val="00257F8D"/>
    <w:rsid w:val="0026016A"/>
    <w:rsid w:val="002601AF"/>
    <w:rsid w:val="00260231"/>
    <w:rsid w:val="002602E2"/>
    <w:rsid w:val="002603FA"/>
    <w:rsid w:val="00260511"/>
    <w:rsid w:val="00260530"/>
    <w:rsid w:val="0026069E"/>
    <w:rsid w:val="002606F6"/>
    <w:rsid w:val="0026072C"/>
    <w:rsid w:val="002607D6"/>
    <w:rsid w:val="002609E3"/>
    <w:rsid w:val="002609E6"/>
    <w:rsid w:val="00260AC6"/>
    <w:rsid w:val="00260ADC"/>
    <w:rsid w:val="00260C84"/>
    <w:rsid w:val="00260D35"/>
    <w:rsid w:val="00260D53"/>
    <w:rsid w:val="00260D55"/>
    <w:rsid w:val="00260DDF"/>
    <w:rsid w:val="00260EAD"/>
    <w:rsid w:val="00260F14"/>
    <w:rsid w:val="00260F63"/>
    <w:rsid w:val="00260F9C"/>
    <w:rsid w:val="00261258"/>
    <w:rsid w:val="002613C2"/>
    <w:rsid w:val="00261456"/>
    <w:rsid w:val="00261630"/>
    <w:rsid w:val="002616F4"/>
    <w:rsid w:val="00261704"/>
    <w:rsid w:val="00261723"/>
    <w:rsid w:val="00261834"/>
    <w:rsid w:val="00261860"/>
    <w:rsid w:val="002618CC"/>
    <w:rsid w:val="0026190F"/>
    <w:rsid w:val="00261AA0"/>
    <w:rsid w:val="00261AB4"/>
    <w:rsid w:val="00261AD3"/>
    <w:rsid w:val="00261D55"/>
    <w:rsid w:val="00261E0C"/>
    <w:rsid w:val="00261FCB"/>
    <w:rsid w:val="00261FEC"/>
    <w:rsid w:val="00262017"/>
    <w:rsid w:val="00262086"/>
    <w:rsid w:val="0026209C"/>
    <w:rsid w:val="0026226A"/>
    <w:rsid w:val="0026229D"/>
    <w:rsid w:val="002622AF"/>
    <w:rsid w:val="0026231B"/>
    <w:rsid w:val="00262343"/>
    <w:rsid w:val="00262433"/>
    <w:rsid w:val="00262652"/>
    <w:rsid w:val="0026268D"/>
    <w:rsid w:val="002626A5"/>
    <w:rsid w:val="002626D5"/>
    <w:rsid w:val="002627D5"/>
    <w:rsid w:val="00262916"/>
    <w:rsid w:val="00262B0A"/>
    <w:rsid w:val="00262B23"/>
    <w:rsid w:val="00262B42"/>
    <w:rsid w:val="00262BCD"/>
    <w:rsid w:val="00262BF1"/>
    <w:rsid w:val="00262CBB"/>
    <w:rsid w:val="00262DD0"/>
    <w:rsid w:val="00262EC0"/>
    <w:rsid w:val="00262F5C"/>
    <w:rsid w:val="0026304D"/>
    <w:rsid w:val="002630E5"/>
    <w:rsid w:val="00263169"/>
    <w:rsid w:val="002631F3"/>
    <w:rsid w:val="00263450"/>
    <w:rsid w:val="00263481"/>
    <w:rsid w:val="002634E5"/>
    <w:rsid w:val="00263532"/>
    <w:rsid w:val="00263683"/>
    <w:rsid w:val="002636F2"/>
    <w:rsid w:val="00263705"/>
    <w:rsid w:val="002637D6"/>
    <w:rsid w:val="00263966"/>
    <w:rsid w:val="002639E4"/>
    <w:rsid w:val="00263B3F"/>
    <w:rsid w:val="00263BEB"/>
    <w:rsid w:val="00263D23"/>
    <w:rsid w:val="00263D93"/>
    <w:rsid w:val="00263EE7"/>
    <w:rsid w:val="002640C5"/>
    <w:rsid w:val="00264187"/>
    <w:rsid w:val="002641F6"/>
    <w:rsid w:val="00264251"/>
    <w:rsid w:val="002642FC"/>
    <w:rsid w:val="002643E5"/>
    <w:rsid w:val="0026460D"/>
    <w:rsid w:val="0026461C"/>
    <w:rsid w:val="00264780"/>
    <w:rsid w:val="002647B0"/>
    <w:rsid w:val="00264881"/>
    <w:rsid w:val="002648B8"/>
    <w:rsid w:val="00264916"/>
    <w:rsid w:val="0026494A"/>
    <w:rsid w:val="00264AEC"/>
    <w:rsid w:val="00264B7D"/>
    <w:rsid w:val="00264C62"/>
    <w:rsid w:val="00264DAC"/>
    <w:rsid w:val="00265136"/>
    <w:rsid w:val="002651C9"/>
    <w:rsid w:val="00265226"/>
    <w:rsid w:val="002653AA"/>
    <w:rsid w:val="002653CE"/>
    <w:rsid w:val="002654A8"/>
    <w:rsid w:val="002654BD"/>
    <w:rsid w:val="00265564"/>
    <w:rsid w:val="002655D7"/>
    <w:rsid w:val="002655F8"/>
    <w:rsid w:val="002655FC"/>
    <w:rsid w:val="00265918"/>
    <w:rsid w:val="00265950"/>
    <w:rsid w:val="002659F4"/>
    <w:rsid w:val="002659FA"/>
    <w:rsid w:val="00265A63"/>
    <w:rsid w:val="00265AAE"/>
    <w:rsid w:val="00265AC3"/>
    <w:rsid w:val="00265B2C"/>
    <w:rsid w:val="00265B41"/>
    <w:rsid w:val="00265BB7"/>
    <w:rsid w:val="00265D2B"/>
    <w:rsid w:val="00265D67"/>
    <w:rsid w:val="00265FCB"/>
    <w:rsid w:val="00266042"/>
    <w:rsid w:val="00266082"/>
    <w:rsid w:val="002660DC"/>
    <w:rsid w:val="0026614B"/>
    <w:rsid w:val="00266213"/>
    <w:rsid w:val="0026638E"/>
    <w:rsid w:val="0026640C"/>
    <w:rsid w:val="002664ED"/>
    <w:rsid w:val="00266561"/>
    <w:rsid w:val="002665BD"/>
    <w:rsid w:val="002665DC"/>
    <w:rsid w:val="00266652"/>
    <w:rsid w:val="00266683"/>
    <w:rsid w:val="002666BE"/>
    <w:rsid w:val="002667CE"/>
    <w:rsid w:val="00266882"/>
    <w:rsid w:val="0026690D"/>
    <w:rsid w:val="00266A8B"/>
    <w:rsid w:val="00266A92"/>
    <w:rsid w:val="00266AB7"/>
    <w:rsid w:val="00266AD0"/>
    <w:rsid w:val="00266ADA"/>
    <w:rsid w:val="00266B49"/>
    <w:rsid w:val="00266B53"/>
    <w:rsid w:val="00266BD3"/>
    <w:rsid w:val="00266C46"/>
    <w:rsid w:val="00266CFC"/>
    <w:rsid w:val="00266D35"/>
    <w:rsid w:val="00266D3D"/>
    <w:rsid w:val="00266E56"/>
    <w:rsid w:val="00266E88"/>
    <w:rsid w:val="00266E90"/>
    <w:rsid w:val="00266F08"/>
    <w:rsid w:val="00266FED"/>
    <w:rsid w:val="00266FF1"/>
    <w:rsid w:val="0026701B"/>
    <w:rsid w:val="00267071"/>
    <w:rsid w:val="002670AB"/>
    <w:rsid w:val="002670AE"/>
    <w:rsid w:val="002670D3"/>
    <w:rsid w:val="0026714E"/>
    <w:rsid w:val="00267182"/>
    <w:rsid w:val="0026718A"/>
    <w:rsid w:val="0026728B"/>
    <w:rsid w:val="002673F8"/>
    <w:rsid w:val="0026748E"/>
    <w:rsid w:val="002674C9"/>
    <w:rsid w:val="00267702"/>
    <w:rsid w:val="0026772A"/>
    <w:rsid w:val="002677A5"/>
    <w:rsid w:val="002677AC"/>
    <w:rsid w:val="002678BA"/>
    <w:rsid w:val="00267BC5"/>
    <w:rsid w:val="00267DA2"/>
    <w:rsid w:val="00267DA5"/>
    <w:rsid w:val="00267FF7"/>
    <w:rsid w:val="002701AA"/>
    <w:rsid w:val="00270208"/>
    <w:rsid w:val="002702E6"/>
    <w:rsid w:val="00270374"/>
    <w:rsid w:val="002703C5"/>
    <w:rsid w:val="00270417"/>
    <w:rsid w:val="00270483"/>
    <w:rsid w:val="00270633"/>
    <w:rsid w:val="002706AC"/>
    <w:rsid w:val="00270843"/>
    <w:rsid w:val="002708AD"/>
    <w:rsid w:val="002708DA"/>
    <w:rsid w:val="00270A51"/>
    <w:rsid w:val="00270B3C"/>
    <w:rsid w:val="00270CA7"/>
    <w:rsid w:val="00270CE1"/>
    <w:rsid w:val="00270D07"/>
    <w:rsid w:val="00270D65"/>
    <w:rsid w:val="00270DA3"/>
    <w:rsid w:val="00270DF7"/>
    <w:rsid w:val="00270F25"/>
    <w:rsid w:val="00270F7F"/>
    <w:rsid w:val="00271081"/>
    <w:rsid w:val="0027126F"/>
    <w:rsid w:val="00271460"/>
    <w:rsid w:val="002714BA"/>
    <w:rsid w:val="002714E6"/>
    <w:rsid w:val="00271595"/>
    <w:rsid w:val="002715EE"/>
    <w:rsid w:val="00271633"/>
    <w:rsid w:val="00271771"/>
    <w:rsid w:val="0027196E"/>
    <w:rsid w:val="00271B4F"/>
    <w:rsid w:val="00271B84"/>
    <w:rsid w:val="00271C45"/>
    <w:rsid w:val="00271C56"/>
    <w:rsid w:val="00271D15"/>
    <w:rsid w:val="00271E8E"/>
    <w:rsid w:val="00271FBB"/>
    <w:rsid w:val="0027207D"/>
    <w:rsid w:val="00272092"/>
    <w:rsid w:val="002720E4"/>
    <w:rsid w:val="00272202"/>
    <w:rsid w:val="00272364"/>
    <w:rsid w:val="00272411"/>
    <w:rsid w:val="0027251B"/>
    <w:rsid w:val="002725BD"/>
    <w:rsid w:val="002726FD"/>
    <w:rsid w:val="00272754"/>
    <w:rsid w:val="0027277B"/>
    <w:rsid w:val="002728F1"/>
    <w:rsid w:val="00272B7A"/>
    <w:rsid w:val="00272C4D"/>
    <w:rsid w:val="00272E73"/>
    <w:rsid w:val="00272E9A"/>
    <w:rsid w:val="00272F49"/>
    <w:rsid w:val="0027308E"/>
    <w:rsid w:val="00273406"/>
    <w:rsid w:val="00273508"/>
    <w:rsid w:val="00273563"/>
    <w:rsid w:val="0027358D"/>
    <w:rsid w:val="002735DA"/>
    <w:rsid w:val="0027368C"/>
    <w:rsid w:val="002736B0"/>
    <w:rsid w:val="00273771"/>
    <w:rsid w:val="002737C1"/>
    <w:rsid w:val="002739A1"/>
    <w:rsid w:val="00273A75"/>
    <w:rsid w:val="00273B04"/>
    <w:rsid w:val="00273B99"/>
    <w:rsid w:val="00273BE0"/>
    <w:rsid w:val="00273C23"/>
    <w:rsid w:val="00273C8B"/>
    <w:rsid w:val="00273CBA"/>
    <w:rsid w:val="00273D2E"/>
    <w:rsid w:val="00273D77"/>
    <w:rsid w:val="00273D7F"/>
    <w:rsid w:val="00273E66"/>
    <w:rsid w:val="00273ECE"/>
    <w:rsid w:val="00273F26"/>
    <w:rsid w:val="00273FF3"/>
    <w:rsid w:val="002740C6"/>
    <w:rsid w:val="00274298"/>
    <w:rsid w:val="002743B4"/>
    <w:rsid w:val="0027443A"/>
    <w:rsid w:val="0027443B"/>
    <w:rsid w:val="002744B2"/>
    <w:rsid w:val="002744B7"/>
    <w:rsid w:val="00274599"/>
    <w:rsid w:val="00274756"/>
    <w:rsid w:val="00274820"/>
    <w:rsid w:val="002748BD"/>
    <w:rsid w:val="00274989"/>
    <w:rsid w:val="00274A33"/>
    <w:rsid w:val="00274AAA"/>
    <w:rsid w:val="00274B13"/>
    <w:rsid w:val="00274B1E"/>
    <w:rsid w:val="00274B64"/>
    <w:rsid w:val="00274C18"/>
    <w:rsid w:val="00274C7E"/>
    <w:rsid w:val="00274C88"/>
    <w:rsid w:val="00274DC3"/>
    <w:rsid w:val="00275075"/>
    <w:rsid w:val="00275271"/>
    <w:rsid w:val="002753C0"/>
    <w:rsid w:val="00275474"/>
    <w:rsid w:val="002754BD"/>
    <w:rsid w:val="0027551A"/>
    <w:rsid w:val="0027563A"/>
    <w:rsid w:val="0027563F"/>
    <w:rsid w:val="00275691"/>
    <w:rsid w:val="00275756"/>
    <w:rsid w:val="002757BD"/>
    <w:rsid w:val="0027583D"/>
    <w:rsid w:val="0027586F"/>
    <w:rsid w:val="0027589F"/>
    <w:rsid w:val="00275A37"/>
    <w:rsid w:val="00275A49"/>
    <w:rsid w:val="00275ACA"/>
    <w:rsid w:val="00275BA5"/>
    <w:rsid w:val="00275BB8"/>
    <w:rsid w:val="00275BCF"/>
    <w:rsid w:val="00275DC7"/>
    <w:rsid w:val="00275E57"/>
    <w:rsid w:val="00275EE6"/>
    <w:rsid w:val="00275F01"/>
    <w:rsid w:val="0027608B"/>
    <w:rsid w:val="00276194"/>
    <w:rsid w:val="00276475"/>
    <w:rsid w:val="00276478"/>
    <w:rsid w:val="00276515"/>
    <w:rsid w:val="002765F1"/>
    <w:rsid w:val="0027674A"/>
    <w:rsid w:val="002767D0"/>
    <w:rsid w:val="0027686E"/>
    <w:rsid w:val="00276908"/>
    <w:rsid w:val="00276A19"/>
    <w:rsid w:val="00276B93"/>
    <w:rsid w:val="00276BF4"/>
    <w:rsid w:val="00276D66"/>
    <w:rsid w:val="00276FB1"/>
    <w:rsid w:val="0027703B"/>
    <w:rsid w:val="00277156"/>
    <w:rsid w:val="002771EC"/>
    <w:rsid w:val="002771FF"/>
    <w:rsid w:val="0027739D"/>
    <w:rsid w:val="0027742D"/>
    <w:rsid w:val="00277573"/>
    <w:rsid w:val="002775A7"/>
    <w:rsid w:val="0027763C"/>
    <w:rsid w:val="00277686"/>
    <w:rsid w:val="002776D6"/>
    <w:rsid w:val="0027773F"/>
    <w:rsid w:val="00277748"/>
    <w:rsid w:val="00277761"/>
    <w:rsid w:val="00277855"/>
    <w:rsid w:val="0027788F"/>
    <w:rsid w:val="00277BF9"/>
    <w:rsid w:val="00277C27"/>
    <w:rsid w:val="00277CC5"/>
    <w:rsid w:val="00277D1D"/>
    <w:rsid w:val="00277F78"/>
    <w:rsid w:val="00280010"/>
    <w:rsid w:val="0028004D"/>
    <w:rsid w:val="00280133"/>
    <w:rsid w:val="0028018B"/>
    <w:rsid w:val="00280277"/>
    <w:rsid w:val="00280290"/>
    <w:rsid w:val="002803AC"/>
    <w:rsid w:val="002803F0"/>
    <w:rsid w:val="002804E1"/>
    <w:rsid w:val="00280538"/>
    <w:rsid w:val="00280583"/>
    <w:rsid w:val="0028058F"/>
    <w:rsid w:val="002806F1"/>
    <w:rsid w:val="0028071B"/>
    <w:rsid w:val="002807B9"/>
    <w:rsid w:val="002808EB"/>
    <w:rsid w:val="00280925"/>
    <w:rsid w:val="002809A0"/>
    <w:rsid w:val="00280AA4"/>
    <w:rsid w:val="00280AD1"/>
    <w:rsid w:val="00280B4E"/>
    <w:rsid w:val="00280E2C"/>
    <w:rsid w:val="00280E6E"/>
    <w:rsid w:val="00280F48"/>
    <w:rsid w:val="00280FF5"/>
    <w:rsid w:val="00281085"/>
    <w:rsid w:val="002810D8"/>
    <w:rsid w:val="002811D4"/>
    <w:rsid w:val="002811E4"/>
    <w:rsid w:val="002815BB"/>
    <w:rsid w:val="00281701"/>
    <w:rsid w:val="0028188C"/>
    <w:rsid w:val="00281929"/>
    <w:rsid w:val="00281957"/>
    <w:rsid w:val="00281982"/>
    <w:rsid w:val="00281A37"/>
    <w:rsid w:val="00281A41"/>
    <w:rsid w:val="00281BC8"/>
    <w:rsid w:val="00281D8D"/>
    <w:rsid w:val="00281E28"/>
    <w:rsid w:val="00281F22"/>
    <w:rsid w:val="00281F8E"/>
    <w:rsid w:val="0028214D"/>
    <w:rsid w:val="00282175"/>
    <w:rsid w:val="00282187"/>
    <w:rsid w:val="00282275"/>
    <w:rsid w:val="00282381"/>
    <w:rsid w:val="002823BC"/>
    <w:rsid w:val="00282510"/>
    <w:rsid w:val="00282575"/>
    <w:rsid w:val="002825F7"/>
    <w:rsid w:val="0028270F"/>
    <w:rsid w:val="00282726"/>
    <w:rsid w:val="0028279C"/>
    <w:rsid w:val="002827F7"/>
    <w:rsid w:val="00282826"/>
    <w:rsid w:val="00282876"/>
    <w:rsid w:val="00282AC8"/>
    <w:rsid w:val="00282AEB"/>
    <w:rsid w:val="00282B6B"/>
    <w:rsid w:val="00282C23"/>
    <w:rsid w:val="00282C3B"/>
    <w:rsid w:val="00282C40"/>
    <w:rsid w:val="00282C52"/>
    <w:rsid w:val="00282C58"/>
    <w:rsid w:val="00282D04"/>
    <w:rsid w:val="00282EC0"/>
    <w:rsid w:val="00282F51"/>
    <w:rsid w:val="00283049"/>
    <w:rsid w:val="00283136"/>
    <w:rsid w:val="00283150"/>
    <w:rsid w:val="00283231"/>
    <w:rsid w:val="00283370"/>
    <w:rsid w:val="002833CA"/>
    <w:rsid w:val="002834A4"/>
    <w:rsid w:val="00283574"/>
    <w:rsid w:val="0028359A"/>
    <w:rsid w:val="00283656"/>
    <w:rsid w:val="00283689"/>
    <w:rsid w:val="002836A5"/>
    <w:rsid w:val="00283724"/>
    <w:rsid w:val="0028373C"/>
    <w:rsid w:val="00283810"/>
    <w:rsid w:val="002838BA"/>
    <w:rsid w:val="002839B7"/>
    <w:rsid w:val="00283BB3"/>
    <w:rsid w:val="00283C57"/>
    <w:rsid w:val="00283DCB"/>
    <w:rsid w:val="00283E69"/>
    <w:rsid w:val="00283F52"/>
    <w:rsid w:val="00283F98"/>
    <w:rsid w:val="0028404F"/>
    <w:rsid w:val="002841AC"/>
    <w:rsid w:val="0028426F"/>
    <w:rsid w:val="00284285"/>
    <w:rsid w:val="00284322"/>
    <w:rsid w:val="00284332"/>
    <w:rsid w:val="00284420"/>
    <w:rsid w:val="0028443B"/>
    <w:rsid w:val="00284584"/>
    <w:rsid w:val="002847C9"/>
    <w:rsid w:val="00284A52"/>
    <w:rsid w:val="00284EAE"/>
    <w:rsid w:val="00284EE6"/>
    <w:rsid w:val="00284F2E"/>
    <w:rsid w:val="00284FD7"/>
    <w:rsid w:val="002850DA"/>
    <w:rsid w:val="00285188"/>
    <w:rsid w:val="002851E2"/>
    <w:rsid w:val="00285215"/>
    <w:rsid w:val="00285319"/>
    <w:rsid w:val="0028546C"/>
    <w:rsid w:val="00285519"/>
    <w:rsid w:val="00285641"/>
    <w:rsid w:val="002857D8"/>
    <w:rsid w:val="0028585F"/>
    <w:rsid w:val="0028587D"/>
    <w:rsid w:val="002859AD"/>
    <w:rsid w:val="00285A1E"/>
    <w:rsid w:val="00285A56"/>
    <w:rsid w:val="00285AFC"/>
    <w:rsid w:val="00285B0C"/>
    <w:rsid w:val="00285D80"/>
    <w:rsid w:val="00285D82"/>
    <w:rsid w:val="00285E65"/>
    <w:rsid w:val="00285F67"/>
    <w:rsid w:val="00285F9B"/>
    <w:rsid w:val="00285FC0"/>
    <w:rsid w:val="002860A0"/>
    <w:rsid w:val="002860C1"/>
    <w:rsid w:val="00286179"/>
    <w:rsid w:val="00286185"/>
    <w:rsid w:val="0028634A"/>
    <w:rsid w:val="0028638C"/>
    <w:rsid w:val="002863BC"/>
    <w:rsid w:val="002863E1"/>
    <w:rsid w:val="002863F8"/>
    <w:rsid w:val="00286524"/>
    <w:rsid w:val="00286683"/>
    <w:rsid w:val="00286826"/>
    <w:rsid w:val="002868EC"/>
    <w:rsid w:val="0028693C"/>
    <w:rsid w:val="00286A40"/>
    <w:rsid w:val="00286A51"/>
    <w:rsid w:val="00286B06"/>
    <w:rsid w:val="00286B77"/>
    <w:rsid w:val="00286E67"/>
    <w:rsid w:val="00286E8B"/>
    <w:rsid w:val="00286F0D"/>
    <w:rsid w:val="00286F9B"/>
    <w:rsid w:val="0028710E"/>
    <w:rsid w:val="0028717F"/>
    <w:rsid w:val="002871B0"/>
    <w:rsid w:val="00287233"/>
    <w:rsid w:val="002872D4"/>
    <w:rsid w:val="002872E5"/>
    <w:rsid w:val="00287335"/>
    <w:rsid w:val="0028741B"/>
    <w:rsid w:val="00287447"/>
    <w:rsid w:val="00287532"/>
    <w:rsid w:val="0028758F"/>
    <w:rsid w:val="00287613"/>
    <w:rsid w:val="002876F6"/>
    <w:rsid w:val="002877A7"/>
    <w:rsid w:val="002877B8"/>
    <w:rsid w:val="0028785C"/>
    <w:rsid w:val="00287876"/>
    <w:rsid w:val="0028788C"/>
    <w:rsid w:val="002878AB"/>
    <w:rsid w:val="002878B3"/>
    <w:rsid w:val="002879AB"/>
    <w:rsid w:val="00287A47"/>
    <w:rsid w:val="00287B80"/>
    <w:rsid w:val="00287B97"/>
    <w:rsid w:val="00287BBD"/>
    <w:rsid w:val="00287CE7"/>
    <w:rsid w:val="00287EF8"/>
    <w:rsid w:val="00290012"/>
    <w:rsid w:val="00290013"/>
    <w:rsid w:val="00290128"/>
    <w:rsid w:val="00290140"/>
    <w:rsid w:val="00290143"/>
    <w:rsid w:val="0029014D"/>
    <w:rsid w:val="002901B3"/>
    <w:rsid w:val="00290374"/>
    <w:rsid w:val="002903D4"/>
    <w:rsid w:val="0029044A"/>
    <w:rsid w:val="0029052D"/>
    <w:rsid w:val="002905EB"/>
    <w:rsid w:val="0029072B"/>
    <w:rsid w:val="00290778"/>
    <w:rsid w:val="002907EB"/>
    <w:rsid w:val="00290849"/>
    <w:rsid w:val="00290A18"/>
    <w:rsid w:val="00290AF3"/>
    <w:rsid w:val="00290C83"/>
    <w:rsid w:val="00290EB2"/>
    <w:rsid w:val="00290F5B"/>
    <w:rsid w:val="00290F81"/>
    <w:rsid w:val="00290F93"/>
    <w:rsid w:val="00290FBF"/>
    <w:rsid w:val="00290FCE"/>
    <w:rsid w:val="00291034"/>
    <w:rsid w:val="00291101"/>
    <w:rsid w:val="0029113D"/>
    <w:rsid w:val="0029118E"/>
    <w:rsid w:val="00291246"/>
    <w:rsid w:val="00291352"/>
    <w:rsid w:val="00291372"/>
    <w:rsid w:val="0029141D"/>
    <w:rsid w:val="0029158D"/>
    <w:rsid w:val="00291622"/>
    <w:rsid w:val="00291649"/>
    <w:rsid w:val="002916CF"/>
    <w:rsid w:val="0029177A"/>
    <w:rsid w:val="00291893"/>
    <w:rsid w:val="0029199C"/>
    <w:rsid w:val="00291A2A"/>
    <w:rsid w:val="00291B1B"/>
    <w:rsid w:val="00291B5F"/>
    <w:rsid w:val="00291B79"/>
    <w:rsid w:val="00291C57"/>
    <w:rsid w:val="00291C70"/>
    <w:rsid w:val="00291D8F"/>
    <w:rsid w:val="00291EEE"/>
    <w:rsid w:val="00291FAC"/>
    <w:rsid w:val="00291FE3"/>
    <w:rsid w:val="00292140"/>
    <w:rsid w:val="00292188"/>
    <w:rsid w:val="0029240B"/>
    <w:rsid w:val="00292782"/>
    <w:rsid w:val="00292867"/>
    <w:rsid w:val="002929F7"/>
    <w:rsid w:val="00292A5F"/>
    <w:rsid w:val="00292B0D"/>
    <w:rsid w:val="00292B46"/>
    <w:rsid w:val="00292B76"/>
    <w:rsid w:val="00292D66"/>
    <w:rsid w:val="00292E05"/>
    <w:rsid w:val="00292E5E"/>
    <w:rsid w:val="00292F28"/>
    <w:rsid w:val="00292F71"/>
    <w:rsid w:val="002931C7"/>
    <w:rsid w:val="0029324F"/>
    <w:rsid w:val="00293280"/>
    <w:rsid w:val="0029328F"/>
    <w:rsid w:val="00293365"/>
    <w:rsid w:val="0029344D"/>
    <w:rsid w:val="00293520"/>
    <w:rsid w:val="00293530"/>
    <w:rsid w:val="002935B8"/>
    <w:rsid w:val="00293670"/>
    <w:rsid w:val="0029372B"/>
    <w:rsid w:val="00293798"/>
    <w:rsid w:val="0029379A"/>
    <w:rsid w:val="00293863"/>
    <w:rsid w:val="00293891"/>
    <w:rsid w:val="002939BE"/>
    <w:rsid w:val="00293AA2"/>
    <w:rsid w:val="00293AB3"/>
    <w:rsid w:val="00293D8B"/>
    <w:rsid w:val="00293F0A"/>
    <w:rsid w:val="00293F11"/>
    <w:rsid w:val="00294035"/>
    <w:rsid w:val="0029410D"/>
    <w:rsid w:val="0029426F"/>
    <w:rsid w:val="0029428C"/>
    <w:rsid w:val="002942A7"/>
    <w:rsid w:val="002943DA"/>
    <w:rsid w:val="00294520"/>
    <w:rsid w:val="00294554"/>
    <w:rsid w:val="002945A0"/>
    <w:rsid w:val="002945BA"/>
    <w:rsid w:val="002946B1"/>
    <w:rsid w:val="002946C2"/>
    <w:rsid w:val="00294745"/>
    <w:rsid w:val="0029483C"/>
    <w:rsid w:val="00294AA4"/>
    <w:rsid w:val="00294AE3"/>
    <w:rsid w:val="00294B48"/>
    <w:rsid w:val="00294B4B"/>
    <w:rsid w:val="00294B75"/>
    <w:rsid w:val="00294B7E"/>
    <w:rsid w:val="00294B91"/>
    <w:rsid w:val="00294C92"/>
    <w:rsid w:val="00294D78"/>
    <w:rsid w:val="00294E22"/>
    <w:rsid w:val="00294E6D"/>
    <w:rsid w:val="00294F1C"/>
    <w:rsid w:val="00294FCE"/>
    <w:rsid w:val="0029524A"/>
    <w:rsid w:val="002952C9"/>
    <w:rsid w:val="00295465"/>
    <w:rsid w:val="002955B2"/>
    <w:rsid w:val="0029569C"/>
    <w:rsid w:val="0029570B"/>
    <w:rsid w:val="002958BA"/>
    <w:rsid w:val="002958BE"/>
    <w:rsid w:val="00295A9E"/>
    <w:rsid w:val="00295ABB"/>
    <w:rsid w:val="00295B56"/>
    <w:rsid w:val="00295B8E"/>
    <w:rsid w:val="00295D16"/>
    <w:rsid w:val="00295DA1"/>
    <w:rsid w:val="00295ED2"/>
    <w:rsid w:val="00295F12"/>
    <w:rsid w:val="00295FEB"/>
    <w:rsid w:val="00296018"/>
    <w:rsid w:val="00296078"/>
    <w:rsid w:val="0029609A"/>
    <w:rsid w:val="002960F4"/>
    <w:rsid w:val="00296102"/>
    <w:rsid w:val="00296128"/>
    <w:rsid w:val="002962AD"/>
    <w:rsid w:val="00296507"/>
    <w:rsid w:val="0029650E"/>
    <w:rsid w:val="0029653A"/>
    <w:rsid w:val="002965B8"/>
    <w:rsid w:val="002965B9"/>
    <w:rsid w:val="0029660B"/>
    <w:rsid w:val="00296725"/>
    <w:rsid w:val="002967BF"/>
    <w:rsid w:val="002968D1"/>
    <w:rsid w:val="0029698A"/>
    <w:rsid w:val="00296A63"/>
    <w:rsid w:val="00296A6C"/>
    <w:rsid w:val="00296C23"/>
    <w:rsid w:val="00296CF5"/>
    <w:rsid w:val="00296D31"/>
    <w:rsid w:val="00296DD0"/>
    <w:rsid w:val="00296E26"/>
    <w:rsid w:val="00296E50"/>
    <w:rsid w:val="00296EAA"/>
    <w:rsid w:val="00296F86"/>
    <w:rsid w:val="0029703E"/>
    <w:rsid w:val="00297197"/>
    <w:rsid w:val="002971F2"/>
    <w:rsid w:val="00297380"/>
    <w:rsid w:val="0029738C"/>
    <w:rsid w:val="00297476"/>
    <w:rsid w:val="0029764D"/>
    <w:rsid w:val="00297794"/>
    <w:rsid w:val="002977D5"/>
    <w:rsid w:val="00297836"/>
    <w:rsid w:val="002979CE"/>
    <w:rsid w:val="002979FD"/>
    <w:rsid w:val="00297A28"/>
    <w:rsid w:val="00297AEF"/>
    <w:rsid w:val="00297E45"/>
    <w:rsid w:val="00297F07"/>
    <w:rsid w:val="00297FD2"/>
    <w:rsid w:val="002A0011"/>
    <w:rsid w:val="002A0048"/>
    <w:rsid w:val="002A00AD"/>
    <w:rsid w:val="002A00FC"/>
    <w:rsid w:val="002A021A"/>
    <w:rsid w:val="002A023A"/>
    <w:rsid w:val="002A02E5"/>
    <w:rsid w:val="002A02E8"/>
    <w:rsid w:val="002A0314"/>
    <w:rsid w:val="002A0330"/>
    <w:rsid w:val="002A03B4"/>
    <w:rsid w:val="002A0405"/>
    <w:rsid w:val="002A045D"/>
    <w:rsid w:val="002A0534"/>
    <w:rsid w:val="002A0540"/>
    <w:rsid w:val="002A05E7"/>
    <w:rsid w:val="002A06DC"/>
    <w:rsid w:val="002A06F8"/>
    <w:rsid w:val="002A0791"/>
    <w:rsid w:val="002A0A31"/>
    <w:rsid w:val="002A0A86"/>
    <w:rsid w:val="002A0B9A"/>
    <w:rsid w:val="002A0C25"/>
    <w:rsid w:val="002A0C4D"/>
    <w:rsid w:val="002A0CF5"/>
    <w:rsid w:val="002A0E49"/>
    <w:rsid w:val="002A0FE0"/>
    <w:rsid w:val="002A1146"/>
    <w:rsid w:val="002A1214"/>
    <w:rsid w:val="002A125E"/>
    <w:rsid w:val="002A1298"/>
    <w:rsid w:val="002A12B9"/>
    <w:rsid w:val="002A139B"/>
    <w:rsid w:val="002A1483"/>
    <w:rsid w:val="002A15E3"/>
    <w:rsid w:val="002A1677"/>
    <w:rsid w:val="002A16D2"/>
    <w:rsid w:val="002A1747"/>
    <w:rsid w:val="002A1829"/>
    <w:rsid w:val="002A18A2"/>
    <w:rsid w:val="002A19DB"/>
    <w:rsid w:val="002A1A9C"/>
    <w:rsid w:val="002A1B0B"/>
    <w:rsid w:val="002A1B99"/>
    <w:rsid w:val="002A1BC0"/>
    <w:rsid w:val="002A1BCB"/>
    <w:rsid w:val="002A1C98"/>
    <w:rsid w:val="002A1CCE"/>
    <w:rsid w:val="002A1CFA"/>
    <w:rsid w:val="002A1D4F"/>
    <w:rsid w:val="002A1F14"/>
    <w:rsid w:val="002A203A"/>
    <w:rsid w:val="002A2099"/>
    <w:rsid w:val="002A20B0"/>
    <w:rsid w:val="002A20CF"/>
    <w:rsid w:val="002A215B"/>
    <w:rsid w:val="002A22A5"/>
    <w:rsid w:val="002A2445"/>
    <w:rsid w:val="002A244C"/>
    <w:rsid w:val="002A2456"/>
    <w:rsid w:val="002A265F"/>
    <w:rsid w:val="002A274D"/>
    <w:rsid w:val="002A279E"/>
    <w:rsid w:val="002A2AEC"/>
    <w:rsid w:val="002A2AF5"/>
    <w:rsid w:val="002A2C16"/>
    <w:rsid w:val="002A2C35"/>
    <w:rsid w:val="002A2D2B"/>
    <w:rsid w:val="002A2E4B"/>
    <w:rsid w:val="002A2EAE"/>
    <w:rsid w:val="002A2FAD"/>
    <w:rsid w:val="002A302F"/>
    <w:rsid w:val="002A3075"/>
    <w:rsid w:val="002A31D8"/>
    <w:rsid w:val="002A325E"/>
    <w:rsid w:val="002A333A"/>
    <w:rsid w:val="002A3471"/>
    <w:rsid w:val="002A3496"/>
    <w:rsid w:val="002A34A1"/>
    <w:rsid w:val="002A3536"/>
    <w:rsid w:val="002A3569"/>
    <w:rsid w:val="002A35BA"/>
    <w:rsid w:val="002A35E0"/>
    <w:rsid w:val="002A379D"/>
    <w:rsid w:val="002A38EC"/>
    <w:rsid w:val="002A39CA"/>
    <w:rsid w:val="002A3A4B"/>
    <w:rsid w:val="002A3A4E"/>
    <w:rsid w:val="002A3BC2"/>
    <w:rsid w:val="002A3CC1"/>
    <w:rsid w:val="002A3D09"/>
    <w:rsid w:val="002A3DBD"/>
    <w:rsid w:val="002A3E1D"/>
    <w:rsid w:val="002A3FA9"/>
    <w:rsid w:val="002A401D"/>
    <w:rsid w:val="002A4153"/>
    <w:rsid w:val="002A41EE"/>
    <w:rsid w:val="002A44D4"/>
    <w:rsid w:val="002A45CB"/>
    <w:rsid w:val="002A4620"/>
    <w:rsid w:val="002A46D3"/>
    <w:rsid w:val="002A46D5"/>
    <w:rsid w:val="002A473E"/>
    <w:rsid w:val="002A47AA"/>
    <w:rsid w:val="002A4804"/>
    <w:rsid w:val="002A493D"/>
    <w:rsid w:val="002A494D"/>
    <w:rsid w:val="002A4A62"/>
    <w:rsid w:val="002A4A9D"/>
    <w:rsid w:val="002A4B65"/>
    <w:rsid w:val="002A4C72"/>
    <w:rsid w:val="002A4F37"/>
    <w:rsid w:val="002A4F3B"/>
    <w:rsid w:val="002A4F66"/>
    <w:rsid w:val="002A4F9D"/>
    <w:rsid w:val="002A5049"/>
    <w:rsid w:val="002A507C"/>
    <w:rsid w:val="002A50D8"/>
    <w:rsid w:val="002A5249"/>
    <w:rsid w:val="002A53F2"/>
    <w:rsid w:val="002A569F"/>
    <w:rsid w:val="002A56D2"/>
    <w:rsid w:val="002A57EA"/>
    <w:rsid w:val="002A5825"/>
    <w:rsid w:val="002A5899"/>
    <w:rsid w:val="002A5A58"/>
    <w:rsid w:val="002A5A82"/>
    <w:rsid w:val="002A5BDE"/>
    <w:rsid w:val="002A5D08"/>
    <w:rsid w:val="002A5D0B"/>
    <w:rsid w:val="002A5DE6"/>
    <w:rsid w:val="002A5E80"/>
    <w:rsid w:val="002A5F07"/>
    <w:rsid w:val="002A5F8F"/>
    <w:rsid w:val="002A5FA6"/>
    <w:rsid w:val="002A5FB5"/>
    <w:rsid w:val="002A60AE"/>
    <w:rsid w:val="002A60C6"/>
    <w:rsid w:val="002A6100"/>
    <w:rsid w:val="002A612B"/>
    <w:rsid w:val="002A619D"/>
    <w:rsid w:val="002A61C3"/>
    <w:rsid w:val="002A62A5"/>
    <w:rsid w:val="002A62F2"/>
    <w:rsid w:val="002A63AC"/>
    <w:rsid w:val="002A63E7"/>
    <w:rsid w:val="002A6494"/>
    <w:rsid w:val="002A6549"/>
    <w:rsid w:val="002A654F"/>
    <w:rsid w:val="002A65E6"/>
    <w:rsid w:val="002A672B"/>
    <w:rsid w:val="002A68DF"/>
    <w:rsid w:val="002A68E6"/>
    <w:rsid w:val="002A6A4C"/>
    <w:rsid w:val="002A6A7B"/>
    <w:rsid w:val="002A6C2C"/>
    <w:rsid w:val="002A6C3D"/>
    <w:rsid w:val="002A6D62"/>
    <w:rsid w:val="002A6F66"/>
    <w:rsid w:val="002A7010"/>
    <w:rsid w:val="002A71A0"/>
    <w:rsid w:val="002A71F6"/>
    <w:rsid w:val="002A7218"/>
    <w:rsid w:val="002A7263"/>
    <w:rsid w:val="002A729C"/>
    <w:rsid w:val="002A72C5"/>
    <w:rsid w:val="002A7316"/>
    <w:rsid w:val="002A7345"/>
    <w:rsid w:val="002A73AB"/>
    <w:rsid w:val="002A75E2"/>
    <w:rsid w:val="002A7621"/>
    <w:rsid w:val="002A7624"/>
    <w:rsid w:val="002A77B4"/>
    <w:rsid w:val="002A7838"/>
    <w:rsid w:val="002A785D"/>
    <w:rsid w:val="002A7901"/>
    <w:rsid w:val="002A7955"/>
    <w:rsid w:val="002A7AB9"/>
    <w:rsid w:val="002A7C79"/>
    <w:rsid w:val="002A7D44"/>
    <w:rsid w:val="002A7D4C"/>
    <w:rsid w:val="002A7D60"/>
    <w:rsid w:val="002A7D99"/>
    <w:rsid w:val="002A7EA7"/>
    <w:rsid w:val="002A7EAC"/>
    <w:rsid w:val="002A7F46"/>
    <w:rsid w:val="002B00C0"/>
    <w:rsid w:val="002B0124"/>
    <w:rsid w:val="002B0144"/>
    <w:rsid w:val="002B01BD"/>
    <w:rsid w:val="002B02E0"/>
    <w:rsid w:val="002B03F6"/>
    <w:rsid w:val="002B044D"/>
    <w:rsid w:val="002B04B4"/>
    <w:rsid w:val="002B070C"/>
    <w:rsid w:val="002B078A"/>
    <w:rsid w:val="002B07AD"/>
    <w:rsid w:val="002B0886"/>
    <w:rsid w:val="002B090B"/>
    <w:rsid w:val="002B09B6"/>
    <w:rsid w:val="002B0A37"/>
    <w:rsid w:val="002B0A6C"/>
    <w:rsid w:val="002B0AD5"/>
    <w:rsid w:val="002B0B37"/>
    <w:rsid w:val="002B0B7F"/>
    <w:rsid w:val="002B0C42"/>
    <w:rsid w:val="002B0C90"/>
    <w:rsid w:val="002B0CFA"/>
    <w:rsid w:val="002B0D18"/>
    <w:rsid w:val="002B0E52"/>
    <w:rsid w:val="002B0EC5"/>
    <w:rsid w:val="002B0EEC"/>
    <w:rsid w:val="002B0F22"/>
    <w:rsid w:val="002B10F0"/>
    <w:rsid w:val="002B13DC"/>
    <w:rsid w:val="002B1454"/>
    <w:rsid w:val="002B157D"/>
    <w:rsid w:val="002B15A5"/>
    <w:rsid w:val="002B15AE"/>
    <w:rsid w:val="002B15F3"/>
    <w:rsid w:val="002B1662"/>
    <w:rsid w:val="002B16BF"/>
    <w:rsid w:val="002B1830"/>
    <w:rsid w:val="002B1921"/>
    <w:rsid w:val="002B1A72"/>
    <w:rsid w:val="002B1E05"/>
    <w:rsid w:val="002B1E0E"/>
    <w:rsid w:val="002B1E2D"/>
    <w:rsid w:val="002B1E93"/>
    <w:rsid w:val="002B1EBE"/>
    <w:rsid w:val="002B2126"/>
    <w:rsid w:val="002B2202"/>
    <w:rsid w:val="002B228E"/>
    <w:rsid w:val="002B23E5"/>
    <w:rsid w:val="002B240A"/>
    <w:rsid w:val="002B2417"/>
    <w:rsid w:val="002B24A5"/>
    <w:rsid w:val="002B2765"/>
    <w:rsid w:val="002B2801"/>
    <w:rsid w:val="002B2819"/>
    <w:rsid w:val="002B29AC"/>
    <w:rsid w:val="002B29C9"/>
    <w:rsid w:val="002B2B4B"/>
    <w:rsid w:val="002B2BA8"/>
    <w:rsid w:val="002B2C37"/>
    <w:rsid w:val="002B2D12"/>
    <w:rsid w:val="002B2D28"/>
    <w:rsid w:val="002B2E62"/>
    <w:rsid w:val="002B2F4A"/>
    <w:rsid w:val="002B2FCA"/>
    <w:rsid w:val="002B310A"/>
    <w:rsid w:val="002B31E5"/>
    <w:rsid w:val="002B3358"/>
    <w:rsid w:val="002B33FE"/>
    <w:rsid w:val="002B340D"/>
    <w:rsid w:val="002B346B"/>
    <w:rsid w:val="002B348D"/>
    <w:rsid w:val="002B35F0"/>
    <w:rsid w:val="002B3863"/>
    <w:rsid w:val="002B3AE2"/>
    <w:rsid w:val="002B3B8B"/>
    <w:rsid w:val="002B3C41"/>
    <w:rsid w:val="002B3C62"/>
    <w:rsid w:val="002B3CC7"/>
    <w:rsid w:val="002B3D54"/>
    <w:rsid w:val="002B3E09"/>
    <w:rsid w:val="002B3FC6"/>
    <w:rsid w:val="002B4162"/>
    <w:rsid w:val="002B419D"/>
    <w:rsid w:val="002B41B4"/>
    <w:rsid w:val="002B42DA"/>
    <w:rsid w:val="002B42F6"/>
    <w:rsid w:val="002B432A"/>
    <w:rsid w:val="002B43F1"/>
    <w:rsid w:val="002B4453"/>
    <w:rsid w:val="002B44DE"/>
    <w:rsid w:val="002B484B"/>
    <w:rsid w:val="002B4889"/>
    <w:rsid w:val="002B48EC"/>
    <w:rsid w:val="002B48F0"/>
    <w:rsid w:val="002B4936"/>
    <w:rsid w:val="002B499F"/>
    <w:rsid w:val="002B4AE2"/>
    <w:rsid w:val="002B4D57"/>
    <w:rsid w:val="002B4E2F"/>
    <w:rsid w:val="002B4EBA"/>
    <w:rsid w:val="002B4EEE"/>
    <w:rsid w:val="002B4EF8"/>
    <w:rsid w:val="002B4F96"/>
    <w:rsid w:val="002B5053"/>
    <w:rsid w:val="002B51EC"/>
    <w:rsid w:val="002B5283"/>
    <w:rsid w:val="002B529B"/>
    <w:rsid w:val="002B53C6"/>
    <w:rsid w:val="002B5421"/>
    <w:rsid w:val="002B5497"/>
    <w:rsid w:val="002B54B3"/>
    <w:rsid w:val="002B558E"/>
    <w:rsid w:val="002B5676"/>
    <w:rsid w:val="002B568E"/>
    <w:rsid w:val="002B575C"/>
    <w:rsid w:val="002B577A"/>
    <w:rsid w:val="002B5794"/>
    <w:rsid w:val="002B58BE"/>
    <w:rsid w:val="002B5968"/>
    <w:rsid w:val="002B5983"/>
    <w:rsid w:val="002B5A92"/>
    <w:rsid w:val="002B5BC0"/>
    <w:rsid w:val="002B5D6A"/>
    <w:rsid w:val="002B5DB1"/>
    <w:rsid w:val="002B5E13"/>
    <w:rsid w:val="002B6050"/>
    <w:rsid w:val="002B60C8"/>
    <w:rsid w:val="002B60C9"/>
    <w:rsid w:val="002B612F"/>
    <w:rsid w:val="002B6138"/>
    <w:rsid w:val="002B61E0"/>
    <w:rsid w:val="002B62DD"/>
    <w:rsid w:val="002B637C"/>
    <w:rsid w:val="002B64AB"/>
    <w:rsid w:val="002B6560"/>
    <w:rsid w:val="002B656A"/>
    <w:rsid w:val="002B6573"/>
    <w:rsid w:val="002B6581"/>
    <w:rsid w:val="002B6605"/>
    <w:rsid w:val="002B6698"/>
    <w:rsid w:val="002B66D8"/>
    <w:rsid w:val="002B670D"/>
    <w:rsid w:val="002B679A"/>
    <w:rsid w:val="002B681E"/>
    <w:rsid w:val="002B684D"/>
    <w:rsid w:val="002B68B1"/>
    <w:rsid w:val="002B69D4"/>
    <w:rsid w:val="002B6A35"/>
    <w:rsid w:val="002B6A6B"/>
    <w:rsid w:val="002B6A77"/>
    <w:rsid w:val="002B6AF8"/>
    <w:rsid w:val="002B6B5C"/>
    <w:rsid w:val="002B6CD0"/>
    <w:rsid w:val="002B6D68"/>
    <w:rsid w:val="002B6DDD"/>
    <w:rsid w:val="002B6E53"/>
    <w:rsid w:val="002B71EB"/>
    <w:rsid w:val="002B72AE"/>
    <w:rsid w:val="002B72E6"/>
    <w:rsid w:val="002B7307"/>
    <w:rsid w:val="002B732E"/>
    <w:rsid w:val="002B73D4"/>
    <w:rsid w:val="002B7430"/>
    <w:rsid w:val="002B7594"/>
    <w:rsid w:val="002B76E1"/>
    <w:rsid w:val="002B77FD"/>
    <w:rsid w:val="002B7855"/>
    <w:rsid w:val="002B7881"/>
    <w:rsid w:val="002B7901"/>
    <w:rsid w:val="002B7986"/>
    <w:rsid w:val="002B79DD"/>
    <w:rsid w:val="002B79E6"/>
    <w:rsid w:val="002B7AD3"/>
    <w:rsid w:val="002B7B8D"/>
    <w:rsid w:val="002B7BDE"/>
    <w:rsid w:val="002B7BFB"/>
    <w:rsid w:val="002B7C0F"/>
    <w:rsid w:val="002B7C4C"/>
    <w:rsid w:val="002B7D4B"/>
    <w:rsid w:val="002B7E46"/>
    <w:rsid w:val="002B7ED3"/>
    <w:rsid w:val="002B7FBA"/>
    <w:rsid w:val="002C0103"/>
    <w:rsid w:val="002C01C8"/>
    <w:rsid w:val="002C0345"/>
    <w:rsid w:val="002C0407"/>
    <w:rsid w:val="002C058A"/>
    <w:rsid w:val="002C05E2"/>
    <w:rsid w:val="002C0661"/>
    <w:rsid w:val="002C069A"/>
    <w:rsid w:val="002C08DE"/>
    <w:rsid w:val="002C0AF5"/>
    <w:rsid w:val="002C0B0F"/>
    <w:rsid w:val="002C0D16"/>
    <w:rsid w:val="002C0E1C"/>
    <w:rsid w:val="002C0E84"/>
    <w:rsid w:val="002C1034"/>
    <w:rsid w:val="002C10D2"/>
    <w:rsid w:val="002C122A"/>
    <w:rsid w:val="002C13A1"/>
    <w:rsid w:val="002C146B"/>
    <w:rsid w:val="002C1481"/>
    <w:rsid w:val="002C153D"/>
    <w:rsid w:val="002C1637"/>
    <w:rsid w:val="002C1696"/>
    <w:rsid w:val="002C16CC"/>
    <w:rsid w:val="002C193E"/>
    <w:rsid w:val="002C19CC"/>
    <w:rsid w:val="002C1ABD"/>
    <w:rsid w:val="002C1AD6"/>
    <w:rsid w:val="002C1BAB"/>
    <w:rsid w:val="002C1BB8"/>
    <w:rsid w:val="002C1BBD"/>
    <w:rsid w:val="002C1C37"/>
    <w:rsid w:val="002C1C4F"/>
    <w:rsid w:val="002C1C62"/>
    <w:rsid w:val="002C1DA2"/>
    <w:rsid w:val="002C1E9F"/>
    <w:rsid w:val="002C20E5"/>
    <w:rsid w:val="002C20F2"/>
    <w:rsid w:val="002C2112"/>
    <w:rsid w:val="002C21C4"/>
    <w:rsid w:val="002C2223"/>
    <w:rsid w:val="002C229A"/>
    <w:rsid w:val="002C22D8"/>
    <w:rsid w:val="002C235E"/>
    <w:rsid w:val="002C23EC"/>
    <w:rsid w:val="002C24BF"/>
    <w:rsid w:val="002C25BF"/>
    <w:rsid w:val="002C25C7"/>
    <w:rsid w:val="002C2688"/>
    <w:rsid w:val="002C274A"/>
    <w:rsid w:val="002C277D"/>
    <w:rsid w:val="002C2793"/>
    <w:rsid w:val="002C287B"/>
    <w:rsid w:val="002C28DB"/>
    <w:rsid w:val="002C28E7"/>
    <w:rsid w:val="002C2978"/>
    <w:rsid w:val="002C29B8"/>
    <w:rsid w:val="002C2A1D"/>
    <w:rsid w:val="002C2B1B"/>
    <w:rsid w:val="002C2BDA"/>
    <w:rsid w:val="002C2D21"/>
    <w:rsid w:val="002C2D57"/>
    <w:rsid w:val="002C2E35"/>
    <w:rsid w:val="002C2E7E"/>
    <w:rsid w:val="002C2F94"/>
    <w:rsid w:val="002C2FCA"/>
    <w:rsid w:val="002C3064"/>
    <w:rsid w:val="002C30AE"/>
    <w:rsid w:val="002C30D6"/>
    <w:rsid w:val="002C3193"/>
    <w:rsid w:val="002C31E9"/>
    <w:rsid w:val="002C325D"/>
    <w:rsid w:val="002C3263"/>
    <w:rsid w:val="002C330C"/>
    <w:rsid w:val="002C3389"/>
    <w:rsid w:val="002C34A5"/>
    <w:rsid w:val="002C34F2"/>
    <w:rsid w:val="002C36CC"/>
    <w:rsid w:val="002C3707"/>
    <w:rsid w:val="002C37DB"/>
    <w:rsid w:val="002C37FB"/>
    <w:rsid w:val="002C3841"/>
    <w:rsid w:val="002C3874"/>
    <w:rsid w:val="002C3920"/>
    <w:rsid w:val="002C3923"/>
    <w:rsid w:val="002C398E"/>
    <w:rsid w:val="002C39AF"/>
    <w:rsid w:val="002C3DDA"/>
    <w:rsid w:val="002C3EE9"/>
    <w:rsid w:val="002C3F4E"/>
    <w:rsid w:val="002C3F90"/>
    <w:rsid w:val="002C3FF8"/>
    <w:rsid w:val="002C402A"/>
    <w:rsid w:val="002C40AD"/>
    <w:rsid w:val="002C40EB"/>
    <w:rsid w:val="002C42DD"/>
    <w:rsid w:val="002C43BF"/>
    <w:rsid w:val="002C43E2"/>
    <w:rsid w:val="002C43E6"/>
    <w:rsid w:val="002C4565"/>
    <w:rsid w:val="002C45C1"/>
    <w:rsid w:val="002C4624"/>
    <w:rsid w:val="002C46FD"/>
    <w:rsid w:val="002C4757"/>
    <w:rsid w:val="002C4780"/>
    <w:rsid w:val="002C47A5"/>
    <w:rsid w:val="002C4807"/>
    <w:rsid w:val="002C4832"/>
    <w:rsid w:val="002C4835"/>
    <w:rsid w:val="002C4858"/>
    <w:rsid w:val="002C487D"/>
    <w:rsid w:val="002C48A2"/>
    <w:rsid w:val="002C49E3"/>
    <w:rsid w:val="002C4BC0"/>
    <w:rsid w:val="002C4E31"/>
    <w:rsid w:val="002C4E42"/>
    <w:rsid w:val="002C4E90"/>
    <w:rsid w:val="002C4FD5"/>
    <w:rsid w:val="002C5293"/>
    <w:rsid w:val="002C5404"/>
    <w:rsid w:val="002C554D"/>
    <w:rsid w:val="002C55D0"/>
    <w:rsid w:val="002C55FE"/>
    <w:rsid w:val="002C563C"/>
    <w:rsid w:val="002C56FC"/>
    <w:rsid w:val="002C5783"/>
    <w:rsid w:val="002C5808"/>
    <w:rsid w:val="002C5823"/>
    <w:rsid w:val="002C58C6"/>
    <w:rsid w:val="002C596C"/>
    <w:rsid w:val="002C59BD"/>
    <w:rsid w:val="002C59BE"/>
    <w:rsid w:val="002C59DE"/>
    <w:rsid w:val="002C5A6C"/>
    <w:rsid w:val="002C5B39"/>
    <w:rsid w:val="002C5B3B"/>
    <w:rsid w:val="002C5D0A"/>
    <w:rsid w:val="002C5D4B"/>
    <w:rsid w:val="002C5D8B"/>
    <w:rsid w:val="002C5DB5"/>
    <w:rsid w:val="002C5EBD"/>
    <w:rsid w:val="002C5FAB"/>
    <w:rsid w:val="002C6105"/>
    <w:rsid w:val="002C611D"/>
    <w:rsid w:val="002C6220"/>
    <w:rsid w:val="002C6253"/>
    <w:rsid w:val="002C631F"/>
    <w:rsid w:val="002C65AA"/>
    <w:rsid w:val="002C65F1"/>
    <w:rsid w:val="002C6648"/>
    <w:rsid w:val="002C676A"/>
    <w:rsid w:val="002C6798"/>
    <w:rsid w:val="002C686F"/>
    <w:rsid w:val="002C6A30"/>
    <w:rsid w:val="002C6AC8"/>
    <w:rsid w:val="002C6D86"/>
    <w:rsid w:val="002C6DB0"/>
    <w:rsid w:val="002C6DE9"/>
    <w:rsid w:val="002C6E3E"/>
    <w:rsid w:val="002C6EB4"/>
    <w:rsid w:val="002C6F3C"/>
    <w:rsid w:val="002C6F69"/>
    <w:rsid w:val="002C6F95"/>
    <w:rsid w:val="002C71B1"/>
    <w:rsid w:val="002C7239"/>
    <w:rsid w:val="002C73C4"/>
    <w:rsid w:val="002C74AA"/>
    <w:rsid w:val="002C76B7"/>
    <w:rsid w:val="002C76BE"/>
    <w:rsid w:val="002C777A"/>
    <w:rsid w:val="002C7974"/>
    <w:rsid w:val="002C7A4E"/>
    <w:rsid w:val="002C7A88"/>
    <w:rsid w:val="002C7B4D"/>
    <w:rsid w:val="002C7B8D"/>
    <w:rsid w:val="002C7C37"/>
    <w:rsid w:val="002C7C80"/>
    <w:rsid w:val="002C7CCB"/>
    <w:rsid w:val="002C7CDE"/>
    <w:rsid w:val="002C7D0F"/>
    <w:rsid w:val="002D0359"/>
    <w:rsid w:val="002D035C"/>
    <w:rsid w:val="002D0366"/>
    <w:rsid w:val="002D03D2"/>
    <w:rsid w:val="002D047C"/>
    <w:rsid w:val="002D04F3"/>
    <w:rsid w:val="002D05B4"/>
    <w:rsid w:val="002D0800"/>
    <w:rsid w:val="002D0904"/>
    <w:rsid w:val="002D0A3A"/>
    <w:rsid w:val="002D0A68"/>
    <w:rsid w:val="002D0AC1"/>
    <w:rsid w:val="002D0B8E"/>
    <w:rsid w:val="002D0C39"/>
    <w:rsid w:val="002D0CAC"/>
    <w:rsid w:val="002D0CFC"/>
    <w:rsid w:val="002D0D37"/>
    <w:rsid w:val="002D0E52"/>
    <w:rsid w:val="002D0EA5"/>
    <w:rsid w:val="002D0EC2"/>
    <w:rsid w:val="002D0F08"/>
    <w:rsid w:val="002D1021"/>
    <w:rsid w:val="002D10B7"/>
    <w:rsid w:val="002D10CA"/>
    <w:rsid w:val="002D1109"/>
    <w:rsid w:val="002D1145"/>
    <w:rsid w:val="002D1175"/>
    <w:rsid w:val="002D11DD"/>
    <w:rsid w:val="002D127B"/>
    <w:rsid w:val="002D12CF"/>
    <w:rsid w:val="002D1335"/>
    <w:rsid w:val="002D1458"/>
    <w:rsid w:val="002D14FD"/>
    <w:rsid w:val="002D1510"/>
    <w:rsid w:val="002D153E"/>
    <w:rsid w:val="002D156D"/>
    <w:rsid w:val="002D1574"/>
    <w:rsid w:val="002D167C"/>
    <w:rsid w:val="002D16DE"/>
    <w:rsid w:val="002D16E4"/>
    <w:rsid w:val="002D1774"/>
    <w:rsid w:val="002D178D"/>
    <w:rsid w:val="002D17EB"/>
    <w:rsid w:val="002D17ED"/>
    <w:rsid w:val="002D1818"/>
    <w:rsid w:val="002D1BC9"/>
    <w:rsid w:val="002D1BFE"/>
    <w:rsid w:val="002D1EF3"/>
    <w:rsid w:val="002D1FD0"/>
    <w:rsid w:val="002D2004"/>
    <w:rsid w:val="002D2023"/>
    <w:rsid w:val="002D20AD"/>
    <w:rsid w:val="002D21AB"/>
    <w:rsid w:val="002D21EF"/>
    <w:rsid w:val="002D21F7"/>
    <w:rsid w:val="002D22D6"/>
    <w:rsid w:val="002D23E9"/>
    <w:rsid w:val="002D2615"/>
    <w:rsid w:val="002D26F9"/>
    <w:rsid w:val="002D2711"/>
    <w:rsid w:val="002D282B"/>
    <w:rsid w:val="002D2847"/>
    <w:rsid w:val="002D29E4"/>
    <w:rsid w:val="002D2A0A"/>
    <w:rsid w:val="002D2BA1"/>
    <w:rsid w:val="002D2BE8"/>
    <w:rsid w:val="002D2DB8"/>
    <w:rsid w:val="002D2EB7"/>
    <w:rsid w:val="002D2FA1"/>
    <w:rsid w:val="002D3014"/>
    <w:rsid w:val="002D31DB"/>
    <w:rsid w:val="002D31F5"/>
    <w:rsid w:val="002D337B"/>
    <w:rsid w:val="002D33B6"/>
    <w:rsid w:val="002D34CD"/>
    <w:rsid w:val="002D3520"/>
    <w:rsid w:val="002D3574"/>
    <w:rsid w:val="002D364A"/>
    <w:rsid w:val="002D376C"/>
    <w:rsid w:val="002D3860"/>
    <w:rsid w:val="002D3929"/>
    <w:rsid w:val="002D3935"/>
    <w:rsid w:val="002D3955"/>
    <w:rsid w:val="002D3A36"/>
    <w:rsid w:val="002D3B49"/>
    <w:rsid w:val="002D3BDD"/>
    <w:rsid w:val="002D3C59"/>
    <w:rsid w:val="002D3C78"/>
    <w:rsid w:val="002D3CF2"/>
    <w:rsid w:val="002D3D15"/>
    <w:rsid w:val="002D3D83"/>
    <w:rsid w:val="002D3E09"/>
    <w:rsid w:val="002D3E12"/>
    <w:rsid w:val="002D3E9B"/>
    <w:rsid w:val="002D3F09"/>
    <w:rsid w:val="002D3F5A"/>
    <w:rsid w:val="002D3FCF"/>
    <w:rsid w:val="002D3FF9"/>
    <w:rsid w:val="002D412F"/>
    <w:rsid w:val="002D415C"/>
    <w:rsid w:val="002D4205"/>
    <w:rsid w:val="002D4349"/>
    <w:rsid w:val="002D4424"/>
    <w:rsid w:val="002D449B"/>
    <w:rsid w:val="002D44F9"/>
    <w:rsid w:val="002D44FC"/>
    <w:rsid w:val="002D4506"/>
    <w:rsid w:val="002D452D"/>
    <w:rsid w:val="002D467E"/>
    <w:rsid w:val="002D4846"/>
    <w:rsid w:val="002D485F"/>
    <w:rsid w:val="002D487E"/>
    <w:rsid w:val="002D4A6B"/>
    <w:rsid w:val="002D4ACB"/>
    <w:rsid w:val="002D4AF5"/>
    <w:rsid w:val="002D4B35"/>
    <w:rsid w:val="002D4BAC"/>
    <w:rsid w:val="002D4D20"/>
    <w:rsid w:val="002D4DC1"/>
    <w:rsid w:val="002D4E21"/>
    <w:rsid w:val="002D4E35"/>
    <w:rsid w:val="002D4ECA"/>
    <w:rsid w:val="002D4FEE"/>
    <w:rsid w:val="002D50BB"/>
    <w:rsid w:val="002D51B1"/>
    <w:rsid w:val="002D5222"/>
    <w:rsid w:val="002D52BE"/>
    <w:rsid w:val="002D53F9"/>
    <w:rsid w:val="002D5405"/>
    <w:rsid w:val="002D546A"/>
    <w:rsid w:val="002D54A4"/>
    <w:rsid w:val="002D554A"/>
    <w:rsid w:val="002D55A7"/>
    <w:rsid w:val="002D55B2"/>
    <w:rsid w:val="002D5703"/>
    <w:rsid w:val="002D5708"/>
    <w:rsid w:val="002D5801"/>
    <w:rsid w:val="002D5919"/>
    <w:rsid w:val="002D5AF1"/>
    <w:rsid w:val="002D5B2B"/>
    <w:rsid w:val="002D5BAE"/>
    <w:rsid w:val="002D5BFD"/>
    <w:rsid w:val="002D5C2B"/>
    <w:rsid w:val="002D5D25"/>
    <w:rsid w:val="002D5DDB"/>
    <w:rsid w:val="002D5E58"/>
    <w:rsid w:val="002D5EFE"/>
    <w:rsid w:val="002D5FBF"/>
    <w:rsid w:val="002D60CC"/>
    <w:rsid w:val="002D6142"/>
    <w:rsid w:val="002D61C3"/>
    <w:rsid w:val="002D61F0"/>
    <w:rsid w:val="002D6210"/>
    <w:rsid w:val="002D6240"/>
    <w:rsid w:val="002D62F6"/>
    <w:rsid w:val="002D6348"/>
    <w:rsid w:val="002D63DF"/>
    <w:rsid w:val="002D64C7"/>
    <w:rsid w:val="002D655D"/>
    <w:rsid w:val="002D6666"/>
    <w:rsid w:val="002D6696"/>
    <w:rsid w:val="002D66E8"/>
    <w:rsid w:val="002D6929"/>
    <w:rsid w:val="002D6937"/>
    <w:rsid w:val="002D6A35"/>
    <w:rsid w:val="002D6A53"/>
    <w:rsid w:val="002D6A77"/>
    <w:rsid w:val="002D6A79"/>
    <w:rsid w:val="002D6AAB"/>
    <w:rsid w:val="002D6ABE"/>
    <w:rsid w:val="002D6B17"/>
    <w:rsid w:val="002D6B98"/>
    <w:rsid w:val="002D6C3C"/>
    <w:rsid w:val="002D6C8F"/>
    <w:rsid w:val="002D6F21"/>
    <w:rsid w:val="002D6F2D"/>
    <w:rsid w:val="002D7101"/>
    <w:rsid w:val="002D7212"/>
    <w:rsid w:val="002D727F"/>
    <w:rsid w:val="002D72AE"/>
    <w:rsid w:val="002D72FD"/>
    <w:rsid w:val="002D7430"/>
    <w:rsid w:val="002D748E"/>
    <w:rsid w:val="002D7536"/>
    <w:rsid w:val="002D7546"/>
    <w:rsid w:val="002D75A7"/>
    <w:rsid w:val="002D75F4"/>
    <w:rsid w:val="002D7607"/>
    <w:rsid w:val="002D7626"/>
    <w:rsid w:val="002D767D"/>
    <w:rsid w:val="002D7695"/>
    <w:rsid w:val="002D7734"/>
    <w:rsid w:val="002D77E2"/>
    <w:rsid w:val="002D7904"/>
    <w:rsid w:val="002D7AA6"/>
    <w:rsid w:val="002D7B05"/>
    <w:rsid w:val="002D7B2A"/>
    <w:rsid w:val="002D7C34"/>
    <w:rsid w:val="002D7DA9"/>
    <w:rsid w:val="002D7E01"/>
    <w:rsid w:val="002D7E71"/>
    <w:rsid w:val="002D7EC0"/>
    <w:rsid w:val="002D7FB5"/>
    <w:rsid w:val="002E0036"/>
    <w:rsid w:val="002E00FB"/>
    <w:rsid w:val="002E015F"/>
    <w:rsid w:val="002E0420"/>
    <w:rsid w:val="002E0685"/>
    <w:rsid w:val="002E068F"/>
    <w:rsid w:val="002E086B"/>
    <w:rsid w:val="002E089F"/>
    <w:rsid w:val="002E09A0"/>
    <w:rsid w:val="002E0A23"/>
    <w:rsid w:val="002E0A62"/>
    <w:rsid w:val="002E0B0D"/>
    <w:rsid w:val="002E0B3E"/>
    <w:rsid w:val="002E0BFC"/>
    <w:rsid w:val="002E0C16"/>
    <w:rsid w:val="002E0EDD"/>
    <w:rsid w:val="002E0FC7"/>
    <w:rsid w:val="002E1266"/>
    <w:rsid w:val="002E12EC"/>
    <w:rsid w:val="002E134F"/>
    <w:rsid w:val="002E1437"/>
    <w:rsid w:val="002E1550"/>
    <w:rsid w:val="002E1650"/>
    <w:rsid w:val="002E17F8"/>
    <w:rsid w:val="002E1854"/>
    <w:rsid w:val="002E191E"/>
    <w:rsid w:val="002E1999"/>
    <w:rsid w:val="002E1A3C"/>
    <w:rsid w:val="002E1AF6"/>
    <w:rsid w:val="002E1C0F"/>
    <w:rsid w:val="002E1C34"/>
    <w:rsid w:val="002E1CA2"/>
    <w:rsid w:val="002E1D42"/>
    <w:rsid w:val="002E1D7E"/>
    <w:rsid w:val="002E1E12"/>
    <w:rsid w:val="002E1E28"/>
    <w:rsid w:val="002E1F90"/>
    <w:rsid w:val="002E21F7"/>
    <w:rsid w:val="002E224B"/>
    <w:rsid w:val="002E22C2"/>
    <w:rsid w:val="002E23E2"/>
    <w:rsid w:val="002E23E5"/>
    <w:rsid w:val="002E2542"/>
    <w:rsid w:val="002E25A0"/>
    <w:rsid w:val="002E2613"/>
    <w:rsid w:val="002E2672"/>
    <w:rsid w:val="002E26F7"/>
    <w:rsid w:val="002E2784"/>
    <w:rsid w:val="002E28D0"/>
    <w:rsid w:val="002E2ACB"/>
    <w:rsid w:val="002E2B02"/>
    <w:rsid w:val="002E2C01"/>
    <w:rsid w:val="002E2C1A"/>
    <w:rsid w:val="002E2C53"/>
    <w:rsid w:val="002E2DF8"/>
    <w:rsid w:val="002E2E7C"/>
    <w:rsid w:val="002E2EE1"/>
    <w:rsid w:val="002E2F49"/>
    <w:rsid w:val="002E2FBA"/>
    <w:rsid w:val="002E2FFE"/>
    <w:rsid w:val="002E307F"/>
    <w:rsid w:val="002E30AB"/>
    <w:rsid w:val="002E3236"/>
    <w:rsid w:val="002E3320"/>
    <w:rsid w:val="002E3343"/>
    <w:rsid w:val="002E3493"/>
    <w:rsid w:val="002E3706"/>
    <w:rsid w:val="002E37D0"/>
    <w:rsid w:val="002E389F"/>
    <w:rsid w:val="002E3935"/>
    <w:rsid w:val="002E3988"/>
    <w:rsid w:val="002E39D5"/>
    <w:rsid w:val="002E39DA"/>
    <w:rsid w:val="002E3AA7"/>
    <w:rsid w:val="002E3AF4"/>
    <w:rsid w:val="002E3B48"/>
    <w:rsid w:val="002E3B52"/>
    <w:rsid w:val="002E3B71"/>
    <w:rsid w:val="002E3BA4"/>
    <w:rsid w:val="002E3BB3"/>
    <w:rsid w:val="002E3C7F"/>
    <w:rsid w:val="002E3CC1"/>
    <w:rsid w:val="002E3D33"/>
    <w:rsid w:val="002E3D65"/>
    <w:rsid w:val="002E3D7E"/>
    <w:rsid w:val="002E3E1A"/>
    <w:rsid w:val="002E3E34"/>
    <w:rsid w:val="002E3F53"/>
    <w:rsid w:val="002E40A1"/>
    <w:rsid w:val="002E4249"/>
    <w:rsid w:val="002E43AE"/>
    <w:rsid w:val="002E47D4"/>
    <w:rsid w:val="002E492A"/>
    <w:rsid w:val="002E4A8E"/>
    <w:rsid w:val="002E4BD0"/>
    <w:rsid w:val="002E4C2A"/>
    <w:rsid w:val="002E4D57"/>
    <w:rsid w:val="002E4D68"/>
    <w:rsid w:val="002E4DBE"/>
    <w:rsid w:val="002E4DCF"/>
    <w:rsid w:val="002E4DE5"/>
    <w:rsid w:val="002E4EA1"/>
    <w:rsid w:val="002E4F13"/>
    <w:rsid w:val="002E4FF2"/>
    <w:rsid w:val="002E5148"/>
    <w:rsid w:val="002E520B"/>
    <w:rsid w:val="002E52D7"/>
    <w:rsid w:val="002E533C"/>
    <w:rsid w:val="002E54A8"/>
    <w:rsid w:val="002E54BB"/>
    <w:rsid w:val="002E5565"/>
    <w:rsid w:val="002E56F4"/>
    <w:rsid w:val="002E5736"/>
    <w:rsid w:val="002E575F"/>
    <w:rsid w:val="002E57DB"/>
    <w:rsid w:val="002E5895"/>
    <w:rsid w:val="002E58C0"/>
    <w:rsid w:val="002E5956"/>
    <w:rsid w:val="002E59EE"/>
    <w:rsid w:val="002E5A37"/>
    <w:rsid w:val="002E5A80"/>
    <w:rsid w:val="002E5A87"/>
    <w:rsid w:val="002E5BF1"/>
    <w:rsid w:val="002E5D4F"/>
    <w:rsid w:val="002E5F5B"/>
    <w:rsid w:val="002E5FBD"/>
    <w:rsid w:val="002E608C"/>
    <w:rsid w:val="002E6105"/>
    <w:rsid w:val="002E61D2"/>
    <w:rsid w:val="002E62E5"/>
    <w:rsid w:val="002E62F1"/>
    <w:rsid w:val="002E63EB"/>
    <w:rsid w:val="002E6473"/>
    <w:rsid w:val="002E6495"/>
    <w:rsid w:val="002E64E7"/>
    <w:rsid w:val="002E654A"/>
    <w:rsid w:val="002E6556"/>
    <w:rsid w:val="002E65AF"/>
    <w:rsid w:val="002E6689"/>
    <w:rsid w:val="002E6750"/>
    <w:rsid w:val="002E68B9"/>
    <w:rsid w:val="002E6944"/>
    <w:rsid w:val="002E69B0"/>
    <w:rsid w:val="002E6ADC"/>
    <w:rsid w:val="002E6B48"/>
    <w:rsid w:val="002E6FBE"/>
    <w:rsid w:val="002E71AF"/>
    <w:rsid w:val="002E7236"/>
    <w:rsid w:val="002E7373"/>
    <w:rsid w:val="002E738C"/>
    <w:rsid w:val="002E744D"/>
    <w:rsid w:val="002E74A4"/>
    <w:rsid w:val="002E7590"/>
    <w:rsid w:val="002E7604"/>
    <w:rsid w:val="002E7682"/>
    <w:rsid w:val="002E76C3"/>
    <w:rsid w:val="002E76C8"/>
    <w:rsid w:val="002E7726"/>
    <w:rsid w:val="002E77CE"/>
    <w:rsid w:val="002E78C0"/>
    <w:rsid w:val="002E7A08"/>
    <w:rsid w:val="002E7ABC"/>
    <w:rsid w:val="002E7ADC"/>
    <w:rsid w:val="002E7B3A"/>
    <w:rsid w:val="002E7B82"/>
    <w:rsid w:val="002E7E1F"/>
    <w:rsid w:val="002E7EFC"/>
    <w:rsid w:val="002E7F9D"/>
    <w:rsid w:val="002E7FBB"/>
    <w:rsid w:val="002F0081"/>
    <w:rsid w:val="002F00D8"/>
    <w:rsid w:val="002F010C"/>
    <w:rsid w:val="002F016D"/>
    <w:rsid w:val="002F01CC"/>
    <w:rsid w:val="002F01DC"/>
    <w:rsid w:val="002F0252"/>
    <w:rsid w:val="002F03D1"/>
    <w:rsid w:val="002F04A8"/>
    <w:rsid w:val="002F0532"/>
    <w:rsid w:val="002F05D6"/>
    <w:rsid w:val="002F05E7"/>
    <w:rsid w:val="002F0639"/>
    <w:rsid w:val="002F0692"/>
    <w:rsid w:val="002F06FE"/>
    <w:rsid w:val="002F0714"/>
    <w:rsid w:val="002F0749"/>
    <w:rsid w:val="002F0794"/>
    <w:rsid w:val="002F08B5"/>
    <w:rsid w:val="002F091C"/>
    <w:rsid w:val="002F0B3A"/>
    <w:rsid w:val="002F0B56"/>
    <w:rsid w:val="002F0B5A"/>
    <w:rsid w:val="002F0CF3"/>
    <w:rsid w:val="002F0D71"/>
    <w:rsid w:val="002F0DF2"/>
    <w:rsid w:val="002F0DFB"/>
    <w:rsid w:val="002F0EA7"/>
    <w:rsid w:val="002F0F6E"/>
    <w:rsid w:val="002F0FDA"/>
    <w:rsid w:val="002F1243"/>
    <w:rsid w:val="002F1294"/>
    <w:rsid w:val="002F1299"/>
    <w:rsid w:val="002F13DC"/>
    <w:rsid w:val="002F144C"/>
    <w:rsid w:val="002F1511"/>
    <w:rsid w:val="002F1633"/>
    <w:rsid w:val="002F164B"/>
    <w:rsid w:val="002F1782"/>
    <w:rsid w:val="002F1800"/>
    <w:rsid w:val="002F180C"/>
    <w:rsid w:val="002F182D"/>
    <w:rsid w:val="002F1901"/>
    <w:rsid w:val="002F1A41"/>
    <w:rsid w:val="002F1A9B"/>
    <w:rsid w:val="002F1ABB"/>
    <w:rsid w:val="002F1ADA"/>
    <w:rsid w:val="002F1AEB"/>
    <w:rsid w:val="002F1B63"/>
    <w:rsid w:val="002F1BDA"/>
    <w:rsid w:val="002F1C07"/>
    <w:rsid w:val="002F1C35"/>
    <w:rsid w:val="002F1DCB"/>
    <w:rsid w:val="002F1E43"/>
    <w:rsid w:val="002F1ED7"/>
    <w:rsid w:val="002F1F2A"/>
    <w:rsid w:val="002F1F8E"/>
    <w:rsid w:val="002F1F99"/>
    <w:rsid w:val="002F1FA2"/>
    <w:rsid w:val="002F20A7"/>
    <w:rsid w:val="002F20D8"/>
    <w:rsid w:val="002F22A0"/>
    <w:rsid w:val="002F23FA"/>
    <w:rsid w:val="002F25A4"/>
    <w:rsid w:val="002F2686"/>
    <w:rsid w:val="002F2803"/>
    <w:rsid w:val="002F294B"/>
    <w:rsid w:val="002F2B89"/>
    <w:rsid w:val="002F2C2D"/>
    <w:rsid w:val="002F2C4A"/>
    <w:rsid w:val="002F2C96"/>
    <w:rsid w:val="002F2E4F"/>
    <w:rsid w:val="002F2FC1"/>
    <w:rsid w:val="002F317A"/>
    <w:rsid w:val="002F3244"/>
    <w:rsid w:val="002F342E"/>
    <w:rsid w:val="002F3645"/>
    <w:rsid w:val="002F36C2"/>
    <w:rsid w:val="002F37E0"/>
    <w:rsid w:val="002F3808"/>
    <w:rsid w:val="002F3948"/>
    <w:rsid w:val="002F3986"/>
    <w:rsid w:val="002F398E"/>
    <w:rsid w:val="002F3CE6"/>
    <w:rsid w:val="002F3E76"/>
    <w:rsid w:val="002F3EBD"/>
    <w:rsid w:val="002F3EE3"/>
    <w:rsid w:val="002F3F5B"/>
    <w:rsid w:val="002F4000"/>
    <w:rsid w:val="002F40D9"/>
    <w:rsid w:val="002F43F4"/>
    <w:rsid w:val="002F4461"/>
    <w:rsid w:val="002F4541"/>
    <w:rsid w:val="002F455D"/>
    <w:rsid w:val="002F4757"/>
    <w:rsid w:val="002F4799"/>
    <w:rsid w:val="002F47F4"/>
    <w:rsid w:val="002F4889"/>
    <w:rsid w:val="002F48DD"/>
    <w:rsid w:val="002F4926"/>
    <w:rsid w:val="002F4953"/>
    <w:rsid w:val="002F49B0"/>
    <w:rsid w:val="002F4A78"/>
    <w:rsid w:val="002F4AC1"/>
    <w:rsid w:val="002F4B48"/>
    <w:rsid w:val="002F4B4C"/>
    <w:rsid w:val="002F4BEF"/>
    <w:rsid w:val="002F4D5F"/>
    <w:rsid w:val="002F4DAA"/>
    <w:rsid w:val="002F4E82"/>
    <w:rsid w:val="002F4ED8"/>
    <w:rsid w:val="002F4EF8"/>
    <w:rsid w:val="002F4F17"/>
    <w:rsid w:val="002F50FB"/>
    <w:rsid w:val="002F5197"/>
    <w:rsid w:val="002F52CE"/>
    <w:rsid w:val="002F55D2"/>
    <w:rsid w:val="002F5683"/>
    <w:rsid w:val="002F5717"/>
    <w:rsid w:val="002F57DF"/>
    <w:rsid w:val="002F57F9"/>
    <w:rsid w:val="002F5909"/>
    <w:rsid w:val="002F591D"/>
    <w:rsid w:val="002F5940"/>
    <w:rsid w:val="002F59EF"/>
    <w:rsid w:val="002F5AA3"/>
    <w:rsid w:val="002F5ABA"/>
    <w:rsid w:val="002F5C1F"/>
    <w:rsid w:val="002F5D38"/>
    <w:rsid w:val="002F5D98"/>
    <w:rsid w:val="002F5E83"/>
    <w:rsid w:val="002F600C"/>
    <w:rsid w:val="002F6082"/>
    <w:rsid w:val="002F60CD"/>
    <w:rsid w:val="002F620A"/>
    <w:rsid w:val="002F620D"/>
    <w:rsid w:val="002F6279"/>
    <w:rsid w:val="002F6293"/>
    <w:rsid w:val="002F62CF"/>
    <w:rsid w:val="002F6308"/>
    <w:rsid w:val="002F63C4"/>
    <w:rsid w:val="002F63D5"/>
    <w:rsid w:val="002F6652"/>
    <w:rsid w:val="002F66DD"/>
    <w:rsid w:val="002F66E0"/>
    <w:rsid w:val="002F67A6"/>
    <w:rsid w:val="002F67E9"/>
    <w:rsid w:val="002F6910"/>
    <w:rsid w:val="002F6951"/>
    <w:rsid w:val="002F6AC2"/>
    <w:rsid w:val="002F6AD7"/>
    <w:rsid w:val="002F6AD8"/>
    <w:rsid w:val="002F6AFB"/>
    <w:rsid w:val="002F6B5E"/>
    <w:rsid w:val="002F6B9E"/>
    <w:rsid w:val="002F6C15"/>
    <w:rsid w:val="002F6CF8"/>
    <w:rsid w:val="002F6DF4"/>
    <w:rsid w:val="002F6E17"/>
    <w:rsid w:val="002F6E96"/>
    <w:rsid w:val="002F7007"/>
    <w:rsid w:val="002F7043"/>
    <w:rsid w:val="002F7049"/>
    <w:rsid w:val="002F70BA"/>
    <w:rsid w:val="002F7193"/>
    <w:rsid w:val="002F72DA"/>
    <w:rsid w:val="002F7344"/>
    <w:rsid w:val="002F73C8"/>
    <w:rsid w:val="002F73EF"/>
    <w:rsid w:val="002F7441"/>
    <w:rsid w:val="002F7551"/>
    <w:rsid w:val="002F7612"/>
    <w:rsid w:val="002F764F"/>
    <w:rsid w:val="002F7651"/>
    <w:rsid w:val="002F77A8"/>
    <w:rsid w:val="002F7871"/>
    <w:rsid w:val="002F7A03"/>
    <w:rsid w:val="002F7AAB"/>
    <w:rsid w:val="002F7B2D"/>
    <w:rsid w:val="002F7B61"/>
    <w:rsid w:val="002F7C39"/>
    <w:rsid w:val="002F7CAE"/>
    <w:rsid w:val="002F7D28"/>
    <w:rsid w:val="002F7D93"/>
    <w:rsid w:val="002F7DC5"/>
    <w:rsid w:val="002F7E0D"/>
    <w:rsid w:val="002F7E20"/>
    <w:rsid w:val="002F7F32"/>
    <w:rsid w:val="002F7F4A"/>
    <w:rsid w:val="0030005A"/>
    <w:rsid w:val="00300137"/>
    <w:rsid w:val="0030023E"/>
    <w:rsid w:val="00300261"/>
    <w:rsid w:val="00300265"/>
    <w:rsid w:val="0030026A"/>
    <w:rsid w:val="0030029D"/>
    <w:rsid w:val="00300438"/>
    <w:rsid w:val="003004D3"/>
    <w:rsid w:val="003004FE"/>
    <w:rsid w:val="0030050C"/>
    <w:rsid w:val="00300666"/>
    <w:rsid w:val="003006E7"/>
    <w:rsid w:val="00300747"/>
    <w:rsid w:val="003008D6"/>
    <w:rsid w:val="00300A1A"/>
    <w:rsid w:val="00300A36"/>
    <w:rsid w:val="00300A3E"/>
    <w:rsid w:val="00300BC2"/>
    <w:rsid w:val="00300D48"/>
    <w:rsid w:val="00300D7B"/>
    <w:rsid w:val="00300D9A"/>
    <w:rsid w:val="00300EC0"/>
    <w:rsid w:val="00300F05"/>
    <w:rsid w:val="00301053"/>
    <w:rsid w:val="00301162"/>
    <w:rsid w:val="003011EF"/>
    <w:rsid w:val="0030123A"/>
    <w:rsid w:val="003012AF"/>
    <w:rsid w:val="003012D0"/>
    <w:rsid w:val="003013EA"/>
    <w:rsid w:val="00301434"/>
    <w:rsid w:val="00301457"/>
    <w:rsid w:val="003014AE"/>
    <w:rsid w:val="003014BA"/>
    <w:rsid w:val="00301514"/>
    <w:rsid w:val="00301553"/>
    <w:rsid w:val="00301560"/>
    <w:rsid w:val="003015A6"/>
    <w:rsid w:val="003015B8"/>
    <w:rsid w:val="00301604"/>
    <w:rsid w:val="003016F8"/>
    <w:rsid w:val="00301741"/>
    <w:rsid w:val="0030180F"/>
    <w:rsid w:val="003018F6"/>
    <w:rsid w:val="003019F0"/>
    <w:rsid w:val="00301A78"/>
    <w:rsid w:val="00301A88"/>
    <w:rsid w:val="00301BA0"/>
    <w:rsid w:val="00301CF4"/>
    <w:rsid w:val="00301D30"/>
    <w:rsid w:val="00301D64"/>
    <w:rsid w:val="00302147"/>
    <w:rsid w:val="003021CA"/>
    <w:rsid w:val="003022AA"/>
    <w:rsid w:val="003022C1"/>
    <w:rsid w:val="003022EC"/>
    <w:rsid w:val="0030233C"/>
    <w:rsid w:val="003024A1"/>
    <w:rsid w:val="00302514"/>
    <w:rsid w:val="003025DD"/>
    <w:rsid w:val="00302689"/>
    <w:rsid w:val="00302773"/>
    <w:rsid w:val="00302821"/>
    <w:rsid w:val="0030287F"/>
    <w:rsid w:val="003028B0"/>
    <w:rsid w:val="003028D0"/>
    <w:rsid w:val="00302973"/>
    <w:rsid w:val="00302A09"/>
    <w:rsid w:val="00302AA1"/>
    <w:rsid w:val="00302AD2"/>
    <w:rsid w:val="00302ADD"/>
    <w:rsid w:val="00302B68"/>
    <w:rsid w:val="00302BD1"/>
    <w:rsid w:val="00302BE0"/>
    <w:rsid w:val="00302C1A"/>
    <w:rsid w:val="00302CFE"/>
    <w:rsid w:val="00302DC1"/>
    <w:rsid w:val="00302DD3"/>
    <w:rsid w:val="00302F53"/>
    <w:rsid w:val="00302F74"/>
    <w:rsid w:val="00302F8D"/>
    <w:rsid w:val="00302F93"/>
    <w:rsid w:val="003030DB"/>
    <w:rsid w:val="00303143"/>
    <w:rsid w:val="003031A4"/>
    <w:rsid w:val="00303239"/>
    <w:rsid w:val="003032FF"/>
    <w:rsid w:val="00303488"/>
    <w:rsid w:val="00303590"/>
    <w:rsid w:val="00303640"/>
    <w:rsid w:val="003036E7"/>
    <w:rsid w:val="003036EF"/>
    <w:rsid w:val="00303735"/>
    <w:rsid w:val="00303795"/>
    <w:rsid w:val="003037BD"/>
    <w:rsid w:val="00303808"/>
    <w:rsid w:val="003038B2"/>
    <w:rsid w:val="0030393D"/>
    <w:rsid w:val="00303B34"/>
    <w:rsid w:val="00303B99"/>
    <w:rsid w:val="00303BA9"/>
    <w:rsid w:val="00303CAA"/>
    <w:rsid w:val="00303D74"/>
    <w:rsid w:val="00303DAB"/>
    <w:rsid w:val="00303EEE"/>
    <w:rsid w:val="00303F7D"/>
    <w:rsid w:val="0030406A"/>
    <w:rsid w:val="00304133"/>
    <w:rsid w:val="0030416B"/>
    <w:rsid w:val="003042A4"/>
    <w:rsid w:val="00304400"/>
    <w:rsid w:val="00304535"/>
    <w:rsid w:val="003045B5"/>
    <w:rsid w:val="00304607"/>
    <w:rsid w:val="00304651"/>
    <w:rsid w:val="00304720"/>
    <w:rsid w:val="003047AD"/>
    <w:rsid w:val="003048C2"/>
    <w:rsid w:val="003048CD"/>
    <w:rsid w:val="00304902"/>
    <w:rsid w:val="00304927"/>
    <w:rsid w:val="00304929"/>
    <w:rsid w:val="003049CD"/>
    <w:rsid w:val="00304AD9"/>
    <w:rsid w:val="00304AE7"/>
    <w:rsid w:val="00304BBB"/>
    <w:rsid w:val="00304DBC"/>
    <w:rsid w:val="00304EBE"/>
    <w:rsid w:val="00304ECB"/>
    <w:rsid w:val="00304EDB"/>
    <w:rsid w:val="00304F07"/>
    <w:rsid w:val="00304F1A"/>
    <w:rsid w:val="00304F2A"/>
    <w:rsid w:val="00305133"/>
    <w:rsid w:val="00305206"/>
    <w:rsid w:val="0030520C"/>
    <w:rsid w:val="00305341"/>
    <w:rsid w:val="00305345"/>
    <w:rsid w:val="00305491"/>
    <w:rsid w:val="00305507"/>
    <w:rsid w:val="00305608"/>
    <w:rsid w:val="00305749"/>
    <w:rsid w:val="00305756"/>
    <w:rsid w:val="003057D0"/>
    <w:rsid w:val="003057D8"/>
    <w:rsid w:val="003058B8"/>
    <w:rsid w:val="003058C1"/>
    <w:rsid w:val="003058CF"/>
    <w:rsid w:val="00305939"/>
    <w:rsid w:val="00305951"/>
    <w:rsid w:val="003059DD"/>
    <w:rsid w:val="00305A1A"/>
    <w:rsid w:val="00305B07"/>
    <w:rsid w:val="00305B3A"/>
    <w:rsid w:val="00305B49"/>
    <w:rsid w:val="00305CCE"/>
    <w:rsid w:val="00305D02"/>
    <w:rsid w:val="00305D4C"/>
    <w:rsid w:val="00305D73"/>
    <w:rsid w:val="00305DC4"/>
    <w:rsid w:val="00305E14"/>
    <w:rsid w:val="00305E3C"/>
    <w:rsid w:val="00305EEA"/>
    <w:rsid w:val="00305F21"/>
    <w:rsid w:val="00305FA6"/>
    <w:rsid w:val="00305FFD"/>
    <w:rsid w:val="003060EE"/>
    <w:rsid w:val="00306198"/>
    <w:rsid w:val="003061B8"/>
    <w:rsid w:val="0030620E"/>
    <w:rsid w:val="003063F8"/>
    <w:rsid w:val="00306469"/>
    <w:rsid w:val="00306493"/>
    <w:rsid w:val="0030650D"/>
    <w:rsid w:val="0030656A"/>
    <w:rsid w:val="00306588"/>
    <w:rsid w:val="0030663F"/>
    <w:rsid w:val="0030668C"/>
    <w:rsid w:val="003066C7"/>
    <w:rsid w:val="00306712"/>
    <w:rsid w:val="0030671E"/>
    <w:rsid w:val="00306730"/>
    <w:rsid w:val="00306800"/>
    <w:rsid w:val="0030683E"/>
    <w:rsid w:val="0030684F"/>
    <w:rsid w:val="00306A0E"/>
    <w:rsid w:val="00306A3E"/>
    <w:rsid w:val="00306B2E"/>
    <w:rsid w:val="00306C96"/>
    <w:rsid w:val="00306DA6"/>
    <w:rsid w:val="00306F3C"/>
    <w:rsid w:val="00306FAF"/>
    <w:rsid w:val="00306FBB"/>
    <w:rsid w:val="00306FED"/>
    <w:rsid w:val="00306FFF"/>
    <w:rsid w:val="00307026"/>
    <w:rsid w:val="0030703F"/>
    <w:rsid w:val="0030704B"/>
    <w:rsid w:val="0030725C"/>
    <w:rsid w:val="003072B1"/>
    <w:rsid w:val="003073A5"/>
    <w:rsid w:val="0030741C"/>
    <w:rsid w:val="003074BB"/>
    <w:rsid w:val="0030761A"/>
    <w:rsid w:val="00307641"/>
    <w:rsid w:val="00307716"/>
    <w:rsid w:val="00307782"/>
    <w:rsid w:val="0030784D"/>
    <w:rsid w:val="003078BD"/>
    <w:rsid w:val="00307937"/>
    <w:rsid w:val="00307A85"/>
    <w:rsid w:val="00307AD8"/>
    <w:rsid w:val="00307B0D"/>
    <w:rsid w:val="00307B4A"/>
    <w:rsid w:val="00307C65"/>
    <w:rsid w:val="00307CE2"/>
    <w:rsid w:val="00307CF5"/>
    <w:rsid w:val="00307DBA"/>
    <w:rsid w:val="00307ED5"/>
    <w:rsid w:val="00307FF9"/>
    <w:rsid w:val="00310073"/>
    <w:rsid w:val="0031018F"/>
    <w:rsid w:val="003101E7"/>
    <w:rsid w:val="00310245"/>
    <w:rsid w:val="0031025D"/>
    <w:rsid w:val="00310276"/>
    <w:rsid w:val="0031037D"/>
    <w:rsid w:val="00310395"/>
    <w:rsid w:val="00310573"/>
    <w:rsid w:val="0031072D"/>
    <w:rsid w:val="00310738"/>
    <w:rsid w:val="0031074B"/>
    <w:rsid w:val="003107BF"/>
    <w:rsid w:val="00310930"/>
    <w:rsid w:val="0031099A"/>
    <w:rsid w:val="003109BC"/>
    <w:rsid w:val="00310A39"/>
    <w:rsid w:val="00310A5D"/>
    <w:rsid w:val="00310AD1"/>
    <w:rsid w:val="00310BF1"/>
    <w:rsid w:val="00310C07"/>
    <w:rsid w:val="00310D39"/>
    <w:rsid w:val="00310DA5"/>
    <w:rsid w:val="00310DD9"/>
    <w:rsid w:val="00310DEF"/>
    <w:rsid w:val="00310E10"/>
    <w:rsid w:val="00310EB3"/>
    <w:rsid w:val="00310EE1"/>
    <w:rsid w:val="00310F81"/>
    <w:rsid w:val="00311053"/>
    <w:rsid w:val="00311088"/>
    <w:rsid w:val="003110C6"/>
    <w:rsid w:val="00311182"/>
    <w:rsid w:val="0031124E"/>
    <w:rsid w:val="00311338"/>
    <w:rsid w:val="00311427"/>
    <w:rsid w:val="0031145C"/>
    <w:rsid w:val="0031150D"/>
    <w:rsid w:val="0031153E"/>
    <w:rsid w:val="00311716"/>
    <w:rsid w:val="003117C1"/>
    <w:rsid w:val="00311A9B"/>
    <w:rsid w:val="00311BDA"/>
    <w:rsid w:val="00311C7E"/>
    <w:rsid w:val="00311D7B"/>
    <w:rsid w:val="00311F06"/>
    <w:rsid w:val="00311F42"/>
    <w:rsid w:val="00311F62"/>
    <w:rsid w:val="0031201C"/>
    <w:rsid w:val="0031206C"/>
    <w:rsid w:val="0031224F"/>
    <w:rsid w:val="00312253"/>
    <w:rsid w:val="00312330"/>
    <w:rsid w:val="00312492"/>
    <w:rsid w:val="003124B4"/>
    <w:rsid w:val="003124F9"/>
    <w:rsid w:val="00312698"/>
    <w:rsid w:val="003126CB"/>
    <w:rsid w:val="00312A6A"/>
    <w:rsid w:val="00312AB0"/>
    <w:rsid w:val="00312B42"/>
    <w:rsid w:val="00312D54"/>
    <w:rsid w:val="00312D90"/>
    <w:rsid w:val="00312DD2"/>
    <w:rsid w:val="00312F0A"/>
    <w:rsid w:val="00313027"/>
    <w:rsid w:val="0031307F"/>
    <w:rsid w:val="003130A2"/>
    <w:rsid w:val="003130EA"/>
    <w:rsid w:val="00313108"/>
    <w:rsid w:val="00313146"/>
    <w:rsid w:val="0031315D"/>
    <w:rsid w:val="00313204"/>
    <w:rsid w:val="003132D9"/>
    <w:rsid w:val="003133BF"/>
    <w:rsid w:val="00313482"/>
    <w:rsid w:val="0031357D"/>
    <w:rsid w:val="003135B9"/>
    <w:rsid w:val="003135BE"/>
    <w:rsid w:val="003136E0"/>
    <w:rsid w:val="00313826"/>
    <w:rsid w:val="00313892"/>
    <w:rsid w:val="0031395A"/>
    <w:rsid w:val="00313D7B"/>
    <w:rsid w:val="00313DA8"/>
    <w:rsid w:val="00313DD3"/>
    <w:rsid w:val="00313DF2"/>
    <w:rsid w:val="00313F10"/>
    <w:rsid w:val="00313FC6"/>
    <w:rsid w:val="003140F6"/>
    <w:rsid w:val="003141B8"/>
    <w:rsid w:val="00314207"/>
    <w:rsid w:val="00314248"/>
    <w:rsid w:val="0031424A"/>
    <w:rsid w:val="003142E6"/>
    <w:rsid w:val="00314326"/>
    <w:rsid w:val="00314563"/>
    <w:rsid w:val="00314631"/>
    <w:rsid w:val="00314892"/>
    <w:rsid w:val="00314920"/>
    <w:rsid w:val="003149D3"/>
    <w:rsid w:val="003149E6"/>
    <w:rsid w:val="00314B7C"/>
    <w:rsid w:val="00314C82"/>
    <w:rsid w:val="00314DDC"/>
    <w:rsid w:val="00314E5D"/>
    <w:rsid w:val="00314F66"/>
    <w:rsid w:val="00315060"/>
    <w:rsid w:val="00315062"/>
    <w:rsid w:val="0031510D"/>
    <w:rsid w:val="0031510F"/>
    <w:rsid w:val="00315127"/>
    <w:rsid w:val="003151FB"/>
    <w:rsid w:val="003153BB"/>
    <w:rsid w:val="003153D0"/>
    <w:rsid w:val="0031552B"/>
    <w:rsid w:val="003155A5"/>
    <w:rsid w:val="00315605"/>
    <w:rsid w:val="00315629"/>
    <w:rsid w:val="00315669"/>
    <w:rsid w:val="0031574E"/>
    <w:rsid w:val="003157E8"/>
    <w:rsid w:val="003157F1"/>
    <w:rsid w:val="00315900"/>
    <w:rsid w:val="00315932"/>
    <w:rsid w:val="003159AC"/>
    <w:rsid w:val="00315A98"/>
    <w:rsid w:val="00315C5A"/>
    <w:rsid w:val="00315D45"/>
    <w:rsid w:val="00315EB2"/>
    <w:rsid w:val="00315EFA"/>
    <w:rsid w:val="00315F41"/>
    <w:rsid w:val="00315F4B"/>
    <w:rsid w:val="00315F65"/>
    <w:rsid w:val="00315FF5"/>
    <w:rsid w:val="003160BA"/>
    <w:rsid w:val="00316189"/>
    <w:rsid w:val="003161BD"/>
    <w:rsid w:val="0031621C"/>
    <w:rsid w:val="00316421"/>
    <w:rsid w:val="0031647C"/>
    <w:rsid w:val="00316480"/>
    <w:rsid w:val="003164CE"/>
    <w:rsid w:val="0031665A"/>
    <w:rsid w:val="00316686"/>
    <w:rsid w:val="00316712"/>
    <w:rsid w:val="0031675E"/>
    <w:rsid w:val="003169FE"/>
    <w:rsid w:val="00316AF3"/>
    <w:rsid w:val="00316B03"/>
    <w:rsid w:val="00316B8A"/>
    <w:rsid w:val="00316C8F"/>
    <w:rsid w:val="00316D6C"/>
    <w:rsid w:val="00316E1D"/>
    <w:rsid w:val="0031708A"/>
    <w:rsid w:val="003170F0"/>
    <w:rsid w:val="0031721B"/>
    <w:rsid w:val="0031737C"/>
    <w:rsid w:val="00317455"/>
    <w:rsid w:val="00317536"/>
    <w:rsid w:val="003175CE"/>
    <w:rsid w:val="003175DB"/>
    <w:rsid w:val="003176C6"/>
    <w:rsid w:val="00317842"/>
    <w:rsid w:val="003178A3"/>
    <w:rsid w:val="003179CC"/>
    <w:rsid w:val="00317A3F"/>
    <w:rsid w:val="00317BB5"/>
    <w:rsid w:val="00317BCF"/>
    <w:rsid w:val="00317C83"/>
    <w:rsid w:val="00317C85"/>
    <w:rsid w:val="00317C97"/>
    <w:rsid w:val="00317D9A"/>
    <w:rsid w:val="00317E0F"/>
    <w:rsid w:val="00317F5C"/>
    <w:rsid w:val="00317FF4"/>
    <w:rsid w:val="00320060"/>
    <w:rsid w:val="00320260"/>
    <w:rsid w:val="0032037B"/>
    <w:rsid w:val="0032040D"/>
    <w:rsid w:val="0032045A"/>
    <w:rsid w:val="003204A2"/>
    <w:rsid w:val="003209FF"/>
    <w:rsid w:val="00320ACF"/>
    <w:rsid w:val="00320C0D"/>
    <w:rsid w:val="00320C53"/>
    <w:rsid w:val="00320D2C"/>
    <w:rsid w:val="00320D8A"/>
    <w:rsid w:val="00320DC9"/>
    <w:rsid w:val="00320E9F"/>
    <w:rsid w:val="00320F81"/>
    <w:rsid w:val="00320F9D"/>
    <w:rsid w:val="00320FBE"/>
    <w:rsid w:val="003211A4"/>
    <w:rsid w:val="00321206"/>
    <w:rsid w:val="00321209"/>
    <w:rsid w:val="0032132D"/>
    <w:rsid w:val="003213C3"/>
    <w:rsid w:val="0032152C"/>
    <w:rsid w:val="00321609"/>
    <w:rsid w:val="0032162C"/>
    <w:rsid w:val="00321663"/>
    <w:rsid w:val="00321731"/>
    <w:rsid w:val="003217FB"/>
    <w:rsid w:val="00321854"/>
    <w:rsid w:val="00321906"/>
    <w:rsid w:val="003219A7"/>
    <w:rsid w:val="00321A01"/>
    <w:rsid w:val="00321DE7"/>
    <w:rsid w:val="00321F2C"/>
    <w:rsid w:val="00321F55"/>
    <w:rsid w:val="00321FF5"/>
    <w:rsid w:val="00322034"/>
    <w:rsid w:val="0032206D"/>
    <w:rsid w:val="0032206E"/>
    <w:rsid w:val="00322092"/>
    <w:rsid w:val="0032217E"/>
    <w:rsid w:val="00322209"/>
    <w:rsid w:val="003223A4"/>
    <w:rsid w:val="0032240A"/>
    <w:rsid w:val="003224D5"/>
    <w:rsid w:val="00322517"/>
    <w:rsid w:val="00322791"/>
    <w:rsid w:val="00322995"/>
    <w:rsid w:val="003229B2"/>
    <w:rsid w:val="003229B5"/>
    <w:rsid w:val="003229D2"/>
    <w:rsid w:val="00322A09"/>
    <w:rsid w:val="00322A3D"/>
    <w:rsid w:val="00322A4D"/>
    <w:rsid w:val="00322AA9"/>
    <w:rsid w:val="00322B72"/>
    <w:rsid w:val="00322C0D"/>
    <w:rsid w:val="00322C71"/>
    <w:rsid w:val="00322C89"/>
    <w:rsid w:val="00322CAA"/>
    <w:rsid w:val="00322D07"/>
    <w:rsid w:val="00322E59"/>
    <w:rsid w:val="00322EFA"/>
    <w:rsid w:val="00322F3E"/>
    <w:rsid w:val="00322F59"/>
    <w:rsid w:val="00323059"/>
    <w:rsid w:val="003230C8"/>
    <w:rsid w:val="00323157"/>
    <w:rsid w:val="003231F1"/>
    <w:rsid w:val="003231F2"/>
    <w:rsid w:val="00323208"/>
    <w:rsid w:val="00323391"/>
    <w:rsid w:val="00323585"/>
    <w:rsid w:val="0032380F"/>
    <w:rsid w:val="003238D5"/>
    <w:rsid w:val="0032395A"/>
    <w:rsid w:val="00323A7A"/>
    <w:rsid w:val="00323BB4"/>
    <w:rsid w:val="00323C1A"/>
    <w:rsid w:val="00323C1D"/>
    <w:rsid w:val="00323C5D"/>
    <w:rsid w:val="00323F74"/>
    <w:rsid w:val="00323FA7"/>
    <w:rsid w:val="003240ED"/>
    <w:rsid w:val="00324250"/>
    <w:rsid w:val="0032427D"/>
    <w:rsid w:val="003242AC"/>
    <w:rsid w:val="003242E7"/>
    <w:rsid w:val="0032446A"/>
    <w:rsid w:val="00324558"/>
    <w:rsid w:val="00324599"/>
    <w:rsid w:val="003245C3"/>
    <w:rsid w:val="0032465F"/>
    <w:rsid w:val="00324660"/>
    <w:rsid w:val="0032466B"/>
    <w:rsid w:val="00324677"/>
    <w:rsid w:val="00324695"/>
    <w:rsid w:val="0032480A"/>
    <w:rsid w:val="003249E2"/>
    <w:rsid w:val="00324B5D"/>
    <w:rsid w:val="00324C37"/>
    <w:rsid w:val="00324CE1"/>
    <w:rsid w:val="00324D30"/>
    <w:rsid w:val="00324DA3"/>
    <w:rsid w:val="00324ED2"/>
    <w:rsid w:val="00324F6E"/>
    <w:rsid w:val="00324FB8"/>
    <w:rsid w:val="00324FD5"/>
    <w:rsid w:val="0032500C"/>
    <w:rsid w:val="003250CB"/>
    <w:rsid w:val="003251B3"/>
    <w:rsid w:val="00325234"/>
    <w:rsid w:val="003252CD"/>
    <w:rsid w:val="003253A3"/>
    <w:rsid w:val="003253F5"/>
    <w:rsid w:val="0032561D"/>
    <w:rsid w:val="0032562C"/>
    <w:rsid w:val="003256A5"/>
    <w:rsid w:val="003256DA"/>
    <w:rsid w:val="0032573B"/>
    <w:rsid w:val="0032576B"/>
    <w:rsid w:val="0032581E"/>
    <w:rsid w:val="00325825"/>
    <w:rsid w:val="003258DB"/>
    <w:rsid w:val="00325980"/>
    <w:rsid w:val="0032599F"/>
    <w:rsid w:val="00325A31"/>
    <w:rsid w:val="00325AD5"/>
    <w:rsid w:val="00325AD6"/>
    <w:rsid w:val="00325AF4"/>
    <w:rsid w:val="00325D5A"/>
    <w:rsid w:val="00325EB4"/>
    <w:rsid w:val="00326008"/>
    <w:rsid w:val="00326079"/>
    <w:rsid w:val="003260D4"/>
    <w:rsid w:val="00326112"/>
    <w:rsid w:val="00326355"/>
    <w:rsid w:val="00326467"/>
    <w:rsid w:val="0032649C"/>
    <w:rsid w:val="00326628"/>
    <w:rsid w:val="00326657"/>
    <w:rsid w:val="0032667C"/>
    <w:rsid w:val="003266B8"/>
    <w:rsid w:val="003266E3"/>
    <w:rsid w:val="00326734"/>
    <w:rsid w:val="00326745"/>
    <w:rsid w:val="0032676F"/>
    <w:rsid w:val="00326854"/>
    <w:rsid w:val="00326AA8"/>
    <w:rsid w:val="00326B95"/>
    <w:rsid w:val="00326CA5"/>
    <w:rsid w:val="00326CAA"/>
    <w:rsid w:val="00326D56"/>
    <w:rsid w:val="00326E36"/>
    <w:rsid w:val="00326E7C"/>
    <w:rsid w:val="00326F26"/>
    <w:rsid w:val="003270B8"/>
    <w:rsid w:val="00327196"/>
    <w:rsid w:val="0032725A"/>
    <w:rsid w:val="003272B2"/>
    <w:rsid w:val="003274A3"/>
    <w:rsid w:val="0032750F"/>
    <w:rsid w:val="0032751D"/>
    <w:rsid w:val="00327574"/>
    <w:rsid w:val="003275B6"/>
    <w:rsid w:val="00327665"/>
    <w:rsid w:val="003276D4"/>
    <w:rsid w:val="003277D0"/>
    <w:rsid w:val="00327824"/>
    <w:rsid w:val="00327875"/>
    <w:rsid w:val="00327975"/>
    <w:rsid w:val="00327BB1"/>
    <w:rsid w:val="00327D79"/>
    <w:rsid w:val="0033006B"/>
    <w:rsid w:val="003300DA"/>
    <w:rsid w:val="0033015B"/>
    <w:rsid w:val="003301A5"/>
    <w:rsid w:val="003301F0"/>
    <w:rsid w:val="00330297"/>
    <w:rsid w:val="00330375"/>
    <w:rsid w:val="003303A8"/>
    <w:rsid w:val="00330430"/>
    <w:rsid w:val="00330445"/>
    <w:rsid w:val="003304E9"/>
    <w:rsid w:val="00330724"/>
    <w:rsid w:val="003307F8"/>
    <w:rsid w:val="00330862"/>
    <w:rsid w:val="003309E1"/>
    <w:rsid w:val="00330A34"/>
    <w:rsid w:val="00330B7C"/>
    <w:rsid w:val="00330C68"/>
    <w:rsid w:val="00330DD1"/>
    <w:rsid w:val="00330EE9"/>
    <w:rsid w:val="00330F54"/>
    <w:rsid w:val="003310D6"/>
    <w:rsid w:val="00331179"/>
    <w:rsid w:val="00331235"/>
    <w:rsid w:val="0033124F"/>
    <w:rsid w:val="003312DD"/>
    <w:rsid w:val="00331350"/>
    <w:rsid w:val="0033136D"/>
    <w:rsid w:val="003313B4"/>
    <w:rsid w:val="00331427"/>
    <w:rsid w:val="003314E6"/>
    <w:rsid w:val="00331599"/>
    <w:rsid w:val="0033164B"/>
    <w:rsid w:val="00331692"/>
    <w:rsid w:val="003316CD"/>
    <w:rsid w:val="003316EA"/>
    <w:rsid w:val="0033182F"/>
    <w:rsid w:val="00331830"/>
    <w:rsid w:val="00331901"/>
    <w:rsid w:val="00331992"/>
    <w:rsid w:val="003319DE"/>
    <w:rsid w:val="00331A84"/>
    <w:rsid w:val="00331AFA"/>
    <w:rsid w:val="00331BF8"/>
    <w:rsid w:val="00331CF9"/>
    <w:rsid w:val="00331D14"/>
    <w:rsid w:val="00331D65"/>
    <w:rsid w:val="00331D78"/>
    <w:rsid w:val="00331ECD"/>
    <w:rsid w:val="00331FA5"/>
    <w:rsid w:val="00332017"/>
    <w:rsid w:val="00332022"/>
    <w:rsid w:val="00332072"/>
    <w:rsid w:val="00332074"/>
    <w:rsid w:val="00332280"/>
    <w:rsid w:val="003323B2"/>
    <w:rsid w:val="0033245B"/>
    <w:rsid w:val="0033247D"/>
    <w:rsid w:val="003324D3"/>
    <w:rsid w:val="003324DB"/>
    <w:rsid w:val="00332556"/>
    <w:rsid w:val="0033256D"/>
    <w:rsid w:val="00332616"/>
    <w:rsid w:val="00332751"/>
    <w:rsid w:val="00332916"/>
    <w:rsid w:val="00332985"/>
    <w:rsid w:val="003329C8"/>
    <w:rsid w:val="003329D0"/>
    <w:rsid w:val="00332A0A"/>
    <w:rsid w:val="00332ADD"/>
    <w:rsid w:val="00332B00"/>
    <w:rsid w:val="00332B11"/>
    <w:rsid w:val="00332B68"/>
    <w:rsid w:val="00332BC2"/>
    <w:rsid w:val="00332C0F"/>
    <w:rsid w:val="00332F0F"/>
    <w:rsid w:val="00332F23"/>
    <w:rsid w:val="00332F42"/>
    <w:rsid w:val="00332F5A"/>
    <w:rsid w:val="0033301E"/>
    <w:rsid w:val="0033314C"/>
    <w:rsid w:val="003333CC"/>
    <w:rsid w:val="00333444"/>
    <w:rsid w:val="0033345B"/>
    <w:rsid w:val="00333486"/>
    <w:rsid w:val="003334CF"/>
    <w:rsid w:val="00333623"/>
    <w:rsid w:val="003336E7"/>
    <w:rsid w:val="00333854"/>
    <w:rsid w:val="003338C5"/>
    <w:rsid w:val="00333901"/>
    <w:rsid w:val="0033394D"/>
    <w:rsid w:val="003339E5"/>
    <w:rsid w:val="00333A0F"/>
    <w:rsid w:val="00333B63"/>
    <w:rsid w:val="00333C3F"/>
    <w:rsid w:val="00333C7D"/>
    <w:rsid w:val="00333D4C"/>
    <w:rsid w:val="00333DB4"/>
    <w:rsid w:val="00333DD1"/>
    <w:rsid w:val="00333E2C"/>
    <w:rsid w:val="00333E54"/>
    <w:rsid w:val="00333E63"/>
    <w:rsid w:val="00333E88"/>
    <w:rsid w:val="00333F13"/>
    <w:rsid w:val="00333F28"/>
    <w:rsid w:val="00333F31"/>
    <w:rsid w:val="00333F84"/>
    <w:rsid w:val="00333FF3"/>
    <w:rsid w:val="0033409E"/>
    <w:rsid w:val="00334316"/>
    <w:rsid w:val="00334543"/>
    <w:rsid w:val="003346D1"/>
    <w:rsid w:val="003346EE"/>
    <w:rsid w:val="00334987"/>
    <w:rsid w:val="00334A43"/>
    <w:rsid w:val="00334AB5"/>
    <w:rsid w:val="00334AB6"/>
    <w:rsid w:val="00334AFE"/>
    <w:rsid w:val="00334B0E"/>
    <w:rsid w:val="00334C0E"/>
    <w:rsid w:val="00334C4E"/>
    <w:rsid w:val="00334C76"/>
    <w:rsid w:val="00334EB9"/>
    <w:rsid w:val="00334EBA"/>
    <w:rsid w:val="00334EF8"/>
    <w:rsid w:val="00334FC2"/>
    <w:rsid w:val="0033509A"/>
    <w:rsid w:val="003350E1"/>
    <w:rsid w:val="00335174"/>
    <w:rsid w:val="00335271"/>
    <w:rsid w:val="00335293"/>
    <w:rsid w:val="003352E4"/>
    <w:rsid w:val="003352EE"/>
    <w:rsid w:val="003353EC"/>
    <w:rsid w:val="00335458"/>
    <w:rsid w:val="00335578"/>
    <w:rsid w:val="003355A1"/>
    <w:rsid w:val="0033566F"/>
    <w:rsid w:val="00335679"/>
    <w:rsid w:val="00335693"/>
    <w:rsid w:val="003357D6"/>
    <w:rsid w:val="0033589C"/>
    <w:rsid w:val="00335975"/>
    <w:rsid w:val="003359A1"/>
    <w:rsid w:val="00335D0F"/>
    <w:rsid w:val="00335D12"/>
    <w:rsid w:val="00335DAE"/>
    <w:rsid w:val="00335DF2"/>
    <w:rsid w:val="00335E9A"/>
    <w:rsid w:val="00335EDF"/>
    <w:rsid w:val="00335EE8"/>
    <w:rsid w:val="00336193"/>
    <w:rsid w:val="003361A7"/>
    <w:rsid w:val="00336280"/>
    <w:rsid w:val="003365AB"/>
    <w:rsid w:val="003365F2"/>
    <w:rsid w:val="00336719"/>
    <w:rsid w:val="003367E7"/>
    <w:rsid w:val="0033680E"/>
    <w:rsid w:val="0033694A"/>
    <w:rsid w:val="00336A3D"/>
    <w:rsid w:val="00336AF9"/>
    <w:rsid w:val="00336E4D"/>
    <w:rsid w:val="00336E50"/>
    <w:rsid w:val="00336E83"/>
    <w:rsid w:val="00336EB4"/>
    <w:rsid w:val="00336FA1"/>
    <w:rsid w:val="00337015"/>
    <w:rsid w:val="003370A7"/>
    <w:rsid w:val="003371B5"/>
    <w:rsid w:val="003372C7"/>
    <w:rsid w:val="003372EC"/>
    <w:rsid w:val="0033730A"/>
    <w:rsid w:val="00337433"/>
    <w:rsid w:val="00337439"/>
    <w:rsid w:val="0033752C"/>
    <w:rsid w:val="00337597"/>
    <w:rsid w:val="00337642"/>
    <w:rsid w:val="00337664"/>
    <w:rsid w:val="003377EB"/>
    <w:rsid w:val="003378CE"/>
    <w:rsid w:val="00337976"/>
    <w:rsid w:val="00337985"/>
    <w:rsid w:val="0033798E"/>
    <w:rsid w:val="00337999"/>
    <w:rsid w:val="003379B3"/>
    <w:rsid w:val="00337A4F"/>
    <w:rsid w:val="00337A5E"/>
    <w:rsid w:val="00337A76"/>
    <w:rsid w:val="00337AA5"/>
    <w:rsid w:val="00337B14"/>
    <w:rsid w:val="00337B56"/>
    <w:rsid w:val="00337C62"/>
    <w:rsid w:val="00337D24"/>
    <w:rsid w:val="00337D36"/>
    <w:rsid w:val="00337D3A"/>
    <w:rsid w:val="00337D7C"/>
    <w:rsid w:val="00337EB1"/>
    <w:rsid w:val="00337EB5"/>
    <w:rsid w:val="00337EE2"/>
    <w:rsid w:val="00337F1E"/>
    <w:rsid w:val="00337F8D"/>
    <w:rsid w:val="00337FAD"/>
    <w:rsid w:val="00337FE3"/>
    <w:rsid w:val="00340217"/>
    <w:rsid w:val="003402AB"/>
    <w:rsid w:val="003404EC"/>
    <w:rsid w:val="0034054F"/>
    <w:rsid w:val="0034057C"/>
    <w:rsid w:val="00340602"/>
    <w:rsid w:val="00340638"/>
    <w:rsid w:val="003406F7"/>
    <w:rsid w:val="003407E4"/>
    <w:rsid w:val="00340915"/>
    <w:rsid w:val="00340CF3"/>
    <w:rsid w:val="00340E02"/>
    <w:rsid w:val="00340EC4"/>
    <w:rsid w:val="00340F06"/>
    <w:rsid w:val="00340F6E"/>
    <w:rsid w:val="00341033"/>
    <w:rsid w:val="0034103C"/>
    <w:rsid w:val="003410E5"/>
    <w:rsid w:val="00341385"/>
    <w:rsid w:val="0034138E"/>
    <w:rsid w:val="00341527"/>
    <w:rsid w:val="00341541"/>
    <w:rsid w:val="003415A5"/>
    <w:rsid w:val="003415FD"/>
    <w:rsid w:val="00341622"/>
    <w:rsid w:val="0034167E"/>
    <w:rsid w:val="003416E2"/>
    <w:rsid w:val="003416FA"/>
    <w:rsid w:val="003417A7"/>
    <w:rsid w:val="00341833"/>
    <w:rsid w:val="0034187B"/>
    <w:rsid w:val="003418B7"/>
    <w:rsid w:val="00341ACD"/>
    <w:rsid w:val="00341AD9"/>
    <w:rsid w:val="00341AF1"/>
    <w:rsid w:val="00341C5E"/>
    <w:rsid w:val="00341C6C"/>
    <w:rsid w:val="00341D08"/>
    <w:rsid w:val="00341D51"/>
    <w:rsid w:val="00341DB9"/>
    <w:rsid w:val="0034200B"/>
    <w:rsid w:val="00342015"/>
    <w:rsid w:val="00342021"/>
    <w:rsid w:val="00342054"/>
    <w:rsid w:val="00342062"/>
    <w:rsid w:val="003420AA"/>
    <w:rsid w:val="003420E7"/>
    <w:rsid w:val="0034216A"/>
    <w:rsid w:val="003422E0"/>
    <w:rsid w:val="00342402"/>
    <w:rsid w:val="00342407"/>
    <w:rsid w:val="0034243D"/>
    <w:rsid w:val="00342586"/>
    <w:rsid w:val="003425E3"/>
    <w:rsid w:val="0034267B"/>
    <w:rsid w:val="0034298D"/>
    <w:rsid w:val="003429E1"/>
    <w:rsid w:val="00342A8A"/>
    <w:rsid w:val="00342B41"/>
    <w:rsid w:val="00342B88"/>
    <w:rsid w:val="00342C8B"/>
    <w:rsid w:val="00342CD2"/>
    <w:rsid w:val="00342D3D"/>
    <w:rsid w:val="00342D8D"/>
    <w:rsid w:val="00342DD4"/>
    <w:rsid w:val="00342EFB"/>
    <w:rsid w:val="00342FD4"/>
    <w:rsid w:val="00342FDD"/>
    <w:rsid w:val="00343085"/>
    <w:rsid w:val="0034308C"/>
    <w:rsid w:val="003430C4"/>
    <w:rsid w:val="003431BA"/>
    <w:rsid w:val="00343211"/>
    <w:rsid w:val="00343229"/>
    <w:rsid w:val="003432DB"/>
    <w:rsid w:val="003433A8"/>
    <w:rsid w:val="00343443"/>
    <w:rsid w:val="003434A1"/>
    <w:rsid w:val="003434C2"/>
    <w:rsid w:val="0034350E"/>
    <w:rsid w:val="0034352C"/>
    <w:rsid w:val="00343582"/>
    <w:rsid w:val="003435CF"/>
    <w:rsid w:val="00343618"/>
    <w:rsid w:val="0034364E"/>
    <w:rsid w:val="003436BA"/>
    <w:rsid w:val="00343816"/>
    <w:rsid w:val="00343963"/>
    <w:rsid w:val="00343B3B"/>
    <w:rsid w:val="00343C36"/>
    <w:rsid w:val="00343C52"/>
    <w:rsid w:val="00343DB4"/>
    <w:rsid w:val="00344023"/>
    <w:rsid w:val="00344108"/>
    <w:rsid w:val="00344171"/>
    <w:rsid w:val="00344173"/>
    <w:rsid w:val="003441B6"/>
    <w:rsid w:val="00344251"/>
    <w:rsid w:val="0034428E"/>
    <w:rsid w:val="003442F1"/>
    <w:rsid w:val="0034438D"/>
    <w:rsid w:val="0034440C"/>
    <w:rsid w:val="00344450"/>
    <w:rsid w:val="0034459E"/>
    <w:rsid w:val="003446D6"/>
    <w:rsid w:val="00344738"/>
    <w:rsid w:val="003448C9"/>
    <w:rsid w:val="003449E3"/>
    <w:rsid w:val="00344A1C"/>
    <w:rsid w:val="00344A3E"/>
    <w:rsid w:val="00344A57"/>
    <w:rsid w:val="00344A9D"/>
    <w:rsid w:val="00344AD3"/>
    <w:rsid w:val="00344B75"/>
    <w:rsid w:val="00344C43"/>
    <w:rsid w:val="00344C53"/>
    <w:rsid w:val="00344D4A"/>
    <w:rsid w:val="00344D9C"/>
    <w:rsid w:val="00344E0E"/>
    <w:rsid w:val="00344EA7"/>
    <w:rsid w:val="00344EE0"/>
    <w:rsid w:val="00344FB3"/>
    <w:rsid w:val="00345075"/>
    <w:rsid w:val="0034512D"/>
    <w:rsid w:val="0034549C"/>
    <w:rsid w:val="00345559"/>
    <w:rsid w:val="00345582"/>
    <w:rsid w:val="00345876"/>
    <w:rsid w:val="003458BC"/>
    <w:rsid w:val="003458C6"/>
    <w:rsid w:val="00345903"/>
    <w:rsid w:val="00345B3B"/>
    <w:rsid w:val="00345C5C"/>
    <w:rsid w:val="00345C87"/>
    <w:rsid w:val="00345DA5"/>
    <w:rsid w:val="00345FCD"/>
    <w:rsid w:val="0034603E"/>
    <w:rsid w:val="00346150"/>
    <w:rsid w:val="003461E7"/>
    <w:rsid w:val="00346290"/>
    <w:rsid w:val="003463AC"/>
    <w:rsid w:val="003463DA"/>
    <w:rsid w:val="003464BA"/>
    <w:rsid w:val="003464E3"/>
    <w:rsid w:val="00346606"/>
    <w:rsid w:val="00346661"/>
    <w:rsid w:val="00346672"/>
    <w:rsid w:val="0034671D"/>
    <w:rsid w:val="0034693C"/>
    <w:rsid w:val="00346977"/>
    <w:rsid w:val="00346A33"/>
    <w:rsid w:val="00346A46"/>
    <w:rsid w:val="00346A6D"/>
    <w:rsid w:val="00346AFF"/>
    <w:rsid w:val="00346C24"/>
    <w:rsid w:val="00346C40"/>
    <w:rsid w:val="00346C5F"/>
    <w:rsid w:val="00346D27"/>
    <w:rsid w:val="00346F1D"/>
    <w:rsid w:val="00347017"/>
    <w:rsid w:val="00347214"/>
    <w:rsid w:val="0034722F"/>
    <w:rsid w:val="0034727A"/>
    <w:rsid w:val="00347358"/>
    <w:rsid w:val="0034748F"/>
    <w:rsid w:val="003474BC"/>
    <w:rsid w:val="003474E2"/>
    <w:rsid w:val="0034754D"/>
    <w:rsid w:val="00347578"/>
    <w:rsid w:val="00347579"/>
    <w:rsid w:val="003476AE"/>
    <w:rsid w:val="0034776E"/>
    <w:rsid w:val="0034778E"/>
    <w:rsid w:val="003478EE"/>
    <w:rsid w:val="0034798E"/>
    <w:rsid w:val="00347AFE"/>
    <w:rsid w:val="00347BB7"/>
    <w:rsid w:val="00347BFA"/>
    <w:rsid w:val="00347DA5"/>
    <w:rsid w:val="00347DCF"/>
    <w:rsid w:val="00347F2B"/>
    <w:rsid w:val="0034E653"/>
    <w:rsid w:val="003500D8"/>
    <w:rsid w:val="00350117"/>
    <w:rsid w:val="0035012D"/>
    <w:rsid w:val="00350131"/>
    <w:rsid w:val="00350157"/>
    <w:rsid w:val="003502FA"/>
    <w:rsid w:val="00350374"/>
    <w:rsid w:val="003503FE"/>
    <w:rsid w:val="00350465"/>
    <w:rsid w:val="00350877"/>
    <w:rsid w:val="00350907"/>
    <w:rsid w:val="003509C3"/>
    <w:rsid w:val="00350A42"/>
    <w:rsid w:val="00350AA4"/>
    <w:rsid w:val="00350D14"/>
    <w:rsid w:val="0035111C"/>
    <w:rsid w:val="0035123B"/>
    <w:rsid w:val="00351313"/>
    <w:rsid w:val="00351380"/>
    <w:rsid w:val="0035147B"/>
    <w:rsid w:val="003514FF"/>
    <w:rsid w:val="00351554"/>
    <w:rsid w:val="00351604"/>
    <w:rsid w:val="00351613"/>
    <w:rsid w:val="00351731"/>
    <w:rsid w:val="003518DC"/>
    <w:rsid w:val="003519B5"/>
    <w:rsid w:val="00351A08"/>
    <w:rsid w:val="00351A7E"/>
    <w:rsid w:val="00351BA1"/>
    <w:rsid w:val="00351C33"/>
    <w:rsid w:val="00351DA4"/>
    <w:rsid w:val="00351E77"/>
    <w:rsid w:val="00351EFA"/>
    <w:rsid w:val="00351F11"/>
    <w:rsid w:val="00351F4A"/>
    <w:rsid w:val="00351F59"/>
    <w:rsid w:val="00351F64"/>
    <w:rsid w:val="00351F97"/>
    <w:rsid w:val="00351FDA"/>
    <w:rsid w:val="0035221A"/>
    <w:rsid w:val="0035229C"/>
    <w:rsid w:val="003522FE"/>
    <w:rsid w:val="00352320"/>
    <w:rsid w:val="0035246F"/>
    <w:rsid w:val="0035247E"/>
    <w:rsid w:val="0035250A"/>
    <w:rsid w:val="00352568"/>
    <w:rsid w:val="003525C0"/>
    <w:rsid w:val="0035265C"/>
    <w:rsid w:val="003529D4"/>
    <w:rsid w:val="00352B0D"/>
    <w:rsid w:val="00352B4D"/>
    <w:rsid w:val="00352B73"/>
    <w:rsid w:val="00352B94"/>
    <w:rsid w:val="00352D6D"/>
    <w:rsid w:val="00352E68"/>
    <w:rsid w:val="00352ECF"/>
    <w:rsid w:val="00352ED2"/>
    <w:rsid w:val="00352EEC"/>
    <w:rsid w:val="00352F7B"/>
    <w:rsid w:val="00353015"/>
    <w:rsid w:val="0035314B"/>
    <w:rsid w:val="003531D9"/>
    <w:rsid w:val="003532BB"/>
    <w:rsid w:val="003533A4"/>
    <w:rsid w:val="0035343B"/>
    <w:rsid w:val="0035354F"/>
    <w:rsid w:val="00353651"/>
    <w:rsid w:val="003536ED"/>
    <w:rsid w:val="00353733"/>
    <w:rsid w:val="00353803"/>
    <w:rsid w:val="00353862"/>
    <w:rsid w:val="0035387E"/>
    <w:rsid w:val="0035388F"/>
    <w:rsid w:val="00353897"/>
    <w:rsid w:val="003538B2"/>
    <w:rsid w:val="003539D0"/>
    <w:rsid w:val="00353A5C"/>
    <w:rsid w:val="00353BB1"/>
    <w:rsid w:val="00353E49"/>
    <w:rsid w:val="00353EB8"/>
    <w:rsid w:val="00353FE6"/>
    <w:rsid w:val="00354002"/>
    <w:rsid w:val="00354085"/>
    <w:rsid w:val="003540BA"/>
    <w:rsid w:val="00354323"/>
    <w:rsid w:val="0035443C"/>
    <w:rsid w:val="00354442"/>
    <w:rsid w:val="00354637"/>
    <w:rsid w:val="00354660"/>
    <w:rsid w:val="0035472E"/>
    <w:rsid w:val="00354750"/>
    <w:rsid w:val="00354944"/>
    <w:rsid w:val="003549A8"/>
    <w:rsid w:val="003549B7"/>
    <w:rsid w:val="00354A58"/>
    <w:rsid w:val="00354A66"/>
    <w:rsid w:val="00354A83"/>
    <w:rsid w:val="00354B09"/>
    <w:rsid w:val="00354BF7"/>
    <w:rsid w:val="00354C25"/>
    <w:rsid w:val="00354C92"/>
    <w:rsid w:val="00354D31"/>
    <w:rsid w:val="00354E2C"/>
    <w:rsid w:val="00354FDE"/>
    <w:rsid w:val="003551AC"/>
    <w:rsid w:val="003551AF"/>
    <w:rsid w:val="003551E6"/>
    <w:rsid w:val="003551F4"/>
    <w:rsid w:val="0035536B"/>
    <w:rsid w:val="003554A8"/>
    <w:rsid w:val="00355623"/>
    <w:rsid w:val="003556D1"/>
    <w:rsid w:val="0035580C"/>
    <w:rsid w:val="00355811"/>
    <w:rsid w:val="0035582E"/>
    <w:rsid w:val="00355863"/>
    <w:rsid w:val="0035587E"/>
    <w:rsid w:val="003558A9"/>
    <w:rsid w:val="003558FF"/>
    <w:rsid w:val="00355B39"/>
    <w:rsid w:val="00355B85"/>
    <w:rsid w:val="00355C53"/>
    <w:rsid w:val="00355C66"/>
    <w:rsid w:val="00355CF7"/>
    <w:rsid w:val="00355DF4"/>
    <w:rsid w:val="00355E04"/>
    <w:rsid w:val="00355E9E"/>
    <w:rsid w:val="00355EB3"/>
    <w:rsid w:val="00355F55"/>
    <w:rsid w:val="00355F96"/>
    <w:rsid w:val="00355FA6"/>
    <w:rsid w:val="00356059"/>
    <w:rsid w:val="0035605C"/>
    <w:rsid w:val="0035611C"/>
    <w:rsid w:val="00356178"/>
    <w:rsid w:val="00356258"/>
    <w:rsid w:val="0035625C"/>
    <w:rsid w:val="0035629E"/>
    <w:rsid w:val="00356645"/>
    <w:rsid w:val="0035685C"/>
    <w:rsid w:val="003569A2"/>
    <w:rsid w:val="00356A33"/>
    <w:rsid w:val="00356AF0"/>
    <w:rsid w:val="00356BFA"/>
    <w:rsid w:val="00356CB4"/>
    <w:rsid w:val="00356CBF"/>
    <w:rsid w:val="00356DD2"/>
    <w:rsid w:val="00356EF1"/>
    <w:rsid w:val="00356F28"/>
    <w:rsid w:val="00357090"/>
    <w:rsid w:val="003570E8"/>
    <w:rsid w:val="0035724D"/>
    <w:rsid w:val="003572EB"/>
    <w:rsid w:val="00357526"/>
    <w:rsid w:val="0035755E"/>
    <w:rsid w:val="003577A9"/>
    <w:rsid w:val="003577D0"/>
    <w:rsid w:val="003577DD"/>
    <w:rsid w:val="00357847"/>
    <w:rsid w:val="00357874"/>
    <w:rsid w:val="00357957"/>
    <w:rsid w:val="003579D4"/>
    <w:rsid w:val="00357A7B"/>
    <w:rsid w:val="00357B1A"/>
    <w:rsid w:val="00357BF7"/>
    <w:rsid w:val="00357C52"/>
    <w:rsid w:val="00357C94"/>
    <w:rsid w:val="00357CE1"/>
    <w:rsid w:val="00357D24"/>
    <w:rsid w:val="00357D2E"/>
    <w:rsid w:val="00357D7D"/>
    <w:rsid w:val="00360148"/>
    <w:rsid w:val="003601C4"/>
    <w:rsid w:val="003601E8"/>
    <w:rsid w:val="003602E1"/>
    <w:rsid w:val="0036032A"/>
    <w:rsid w:val="00360361"/>
    <w:rsid w:val="003604BA"/>
    <w:rsid w:val="003604DD"/>
    <w:rsid w:val="003605A4"/>
    <w:rsid w:val="003605F4"/>
    <w:rsid w:val="00360637"/>
    <w:rsid w:val="003606A9"/>
    <w:rsid w:val="003607FE"/>
    <w:rsid w:val="00360B2D"/>
    <w:rsid w:val="00360B7E"/>
    <w:rsid w:val="00360CBE"/>
    <w:rsid w:val="00360CE3"/>
    <w:rsid w:val="00360D09"/>
    <w:rsid w:val="00360D97"/>
    <w:rsid w:val="00360D9F"/>
    <w:rsid w:val="00360F9C"/>
    <w:rsid w:val="00360FC1"/>
    <w:rsid w:val="00360FE1"/>
    <w:rsid w:val="003611F0"/>
    <w:rsid w:val="00361261"/>
    <w:rsid w:val="0036126B"/>
    <w:rsid w:val="00361271"/>
    <w:rsid w:val="003612C7"/>
    <w:rsid w:val="00361376"/>
    <w:rsid w:val="003615BF"/>
    <w:rsid w:val="00361703"/>
    <w:rsid w:val="00361723"/>
    <w:rsid w:val="0036179C"/>
    <w:rsid w:val="003617BD"/>
    <w:rsid w:val="0036184F"/>
    <w:rsid w:val="003618EF"/>
    <w:rsid w:val="003618F0"/>
    <w:rsid w:val="00361AF1"/>
    <w:rsid w:val="00361BA1"/>
    <w:rsid w:val="00361CE1"/>
    <w:rsid w:val="00361CEC"/>
    <w:rsid w:val="00361D8E"/>
    <w:rsid w:val="00361F80"/>
    <w:rsid w:val="0036213D"/>
    <w:rsid w:val="00362175"/>
    <w:rsid w:val="00362226"/>
    <w:rsid w:val="0036231D"/>
    <w:rsid w:val="00362479"/>
    <w:rsid w:val="00362606"/>
    <w:rsid w:val="0036266E"/>
    <w:rsid w:val="00362746"/>
    <w:rsid w:val="003627CD"/>
    <w:rsid w:val="00362802"/>
    <w:rsid w:val="00362993"/>
    <w:rsid w:val="00362AFE"/>
    <w:rsid w:val="00362B73"/>
    <w:rsid w:val="00362B7A"/>
    <w:rsid w:val="00362BBF"/>
    <w:rsid w:val="00362C4F"/>
    <w:rsid w:val="00362CA2"/>
    <w:rsid w:val="00362D0E"/>
    <w:rsid w:val="00362E1E"/>
    <w:rsid w:val="00362E6D"/>
    <w:rsid w:val="00362EAD"/>
    <w:rsid w:val="00362EC8"/>
    <w:rsid w:val="00362F88"/>
    <w:rsid w:val="00362FDA"/>
    <w:rsid w:val="00363084"/>
    <w:rsid w:val="003630D3"/>
    <w:rsid w:val="003631F5"/>
    <w:rsid w:val="003632A5"/>
    <w:rsid w:val="003632BB"/>
    <w:rsid w:val="00363508"/>
    <w:rsid w:val="0036357E"/>
    <w:rsid w:val="0036359E"/>
    <w:rsid w:val="00363638"/>
    <w:rsid w:val="0036364C"/>
    <w:rsid w:val="003638F2"/>
    <w:rsid w:val="0036399E"/>
    <w:rsid w:val="00363A15"/>
    <w:rsid w:val="00363A9E"/>
    <w:rsid w:val="00363C23"/>
    <w:rsid w:val="00363C6C"/>
    <w:rsid w:val="00363C92"/>
    <w:rsid w:val="00363CA2"/>
    <w:rsid w:val="00363D76"/>
    <w:rsid w:val="00363E16"/>
    <w:rsid w:val="003640EA"/>
    <w:rsid w:val="003640F4"/>
    <w:rsid w:val="003640FA"/>
    <w:rsid w:val="00364170"/>
    <w:rsid w:val="0036420A"/>
    <w:rsid w:val="003643C4"/>
    <w:rsid w:val="003644ED"/>
    <w:rsid w:val="00364739"/>
    <w:rsid w:val="00364799"/>
    <w:rsid w:val="00364A19"/>
    <w:rsid w:val="00364A31"/>
    <w:rsid w:val="00364B1D"/>
    <w:rsid w:val="00364C79"/>
    <w:rsid w:val="00364C8A"/>
    <w:rsid w:val="00364D8F"/>
    <w:rsid w:val="00364E21"/>
    <w:rsid w:val="00365068"/>
    <w:rsid w:val="00365093"/>
    <w:rsid w:val="003650FB"/>
    <w:rsid w:val="003651C3"/>
    <w:rsid w:val="0036520A"/>
    <w:rsid w:val="003652F3"/>
    <w:rsid w:val="0036534A"/>
    <w:rsid w:val="00365521"/>
    <w:rsid w:val="003655C3"/>
    <w:rsid w:val="003656B2"/>
    <w:rsid w:val="00365711"/>
    <w:rsid w:val="00365734"/>
    <w:rsid w:val="003658BC"/>
    <w:rsid w:val="0036594D"/>
    <w:rsid w:val="0036595C"/>
    <w:rsid w:val="003659D2"/>
    <w:rsid w:val="00365A4C"/>
    <w:rsid w:val="00365B36"/>
    <w:rsid w:val="00365B3A"/>
    <w:rsid w:val="00365C29"/>
    <w:rsid w:val="00365DDA"/>
    <w:rsid w:val="00365E7B"/>
    <w:rsid w:val="00365F29"/>
    <w:rsid w:val="00365F4A"/>
    <w:rsid w:val="00365FFC"/>
    <w:rsid w:val="00365FFF"/>
    <w:rsid w:val="00366004"/>
    <w:rsid w:val="00366005"/>
    <w:rsid w:val="003660A5"/>
    <w:rsid w:val="003660AE"/>
    <w:rsid w:val="0036614B"/>
    <w:rsid w:val="0036633A"/>
    <w:rsid w:val="00366431"/>
    <w:rsid w:val="003664B2"/>
    <w:rsid w:val="00366570"/>
    <w:rsid w:val="003665C3"/>
    <w:rsid w:val="00366628"/>
    <w:rsid w:val="003666CD"/>
    <w:rsid w:val="00366755"/>
    <w:rsid w:val="0036676C"/>
    <w:rsid w:val="00366794"/>
    <w:rsid w:val="003667BF"/>
    <w:rsid w:val="00366875"/>
    <w:rsid w:val="00366A2E"/>
    <w:rsid w:val="00366A55"/>
    <w:rsid w:val="00366A6F"/>
    <w:rsid w:val="00366CAF"/>
    <w:rsid w:val="003670F3"/>
    <w:rsid w:val="00367135"/>
    <w:rsid w:val="003672B6"/>
    <w:rsid w:val="00367391"/>
    <w:rsid w:val="003674CB"/>
    <w:rsid w:val="003674F0"/>
    <w:rsid w:val="0036758E"/>
    <w:rsid w:val="00367756"/>
    <w:rsid w:val="00367793"/>
    <w:rsid w:val="003677DE"/>
    <w:rsid w:val="0036782B"/>
    <w:rsid w:val="003678F9"/>
    <w:rsid w:val="00367A82"/>
    <w:rsid w:val="00367ADB"/>
    <w:rsid w:val="00367C00"/>
    <w:rsid w:val="00367CE2"/>
    <w:rsid w:val="00367E03"/>
    <w:rsid w:val="00370038"/>
    <w:rsid w:val="0037011D"/>
    <w:rsid w:val="0037017D"/>
    <w:rsid w:val="0037019C"/>
    <w:rsid w:val="00370338"/>
    <w:rsid w:val="0037035E"/>
    <w:rsid w:val="003703FB"/>
    <w:rsid w:val="003704B6"/>
    <w:rsid w:val="00370601"/>
    <w:rsid w:val="00370622"/>
    <w:rsid w:val="0037063B"/>
    <w:rsid w:val="0037067B"/>
    <w:rsid w:val="00370708"/>
    <w:rsid w:val="0037072B"/>
    <w:rsid w:val="0037074A"/>
    <w:rsid w:val="003707C5"/>
    <w:rsid w:val="00370A31"/>
    <w:rsid w:val="00370B90"/>
    <w:rsid w:val="00370BA8"/>
    <w:rsid w:val="00370E03"/>
    <w:rsid w:val="003710C9"/>
    <w:rsid w:val="00371163"/>
    <w:rsid w:val="00371179"/>
    <w:rsid w:val="0037117F"/>
    <w:rsid w:val="0037118C"/>
    <w:rsid w:val="003712BC"/>
    <w:rsid w:val="003712ED"/>
    <w:rsid w:val="0037145F"/>
    <w:rsid w:val="003714D2"/>
    <w:rsid w:val="00371535"/>
    <w:rsid w:val="0037155F"/>
    <w:rsid w:val="00371621"/>
    <w:rsid w:val="00371777"/>
    <w:rsid w:val="00371781"/>
    <w:rsid w:val="003717D5"/>
    <w:rsid w:val="003718AF"/>
    <w:rsid w:val="00371900"/>
    <w:rsid w:val="00371936"/>
    <w:rsid w:val="00371A3C"/>
    <w:rsid w:val="00371A57"/>
    <w:rsid w:val="00371A85"/>
    <w:rsid w:val="00371AD3"/>
    <w:rsid w:val="00371C01"/>
    <w:rsid w:val="00371C13"/>
    <w:rsid w:val="00371C69"/>
    <w:rsid w:val="00371DCC"/>
    <w:rsid w:val="00371DEF"/>
    <w:rsid w:val="00371F06"/>
    <w:rsid w:val="00371FAC"/>
    <w:rsid w:val="00371FAD"/>
    <w:rsid w:val="00371FC6"/>
    <w:rsid w:val="00372099"/>
    <w:rsid w:val="00372107"/>
    <w:rsid w:val="00372115"/>
    <w:rsid w:val="0037225E"/>
    <w:rsid w:val="00372283"/>
    <w:rsid w:val="003722F2"/>
    <w:rsid w:val="00372438"/>
    <w:rsid w:val="0037248B"/>
    <w:rsid w:val="0037259D"/>
    <w:rsid w:val="003726C9"/>
    <w:rsid w:val="0037281E"/>
    <w:rsid w:val="003728BA"/>
    <w:rsid w:val="00372A52"/>
    <w:rsid w:val="00372A8B"/>
    <w:rsid w:val="00372AEB"/>
    <w:rsid w:val="00372BC6"/>
    <w:rsid w:val="00372EB7"/>
    <w:rsid w:val="00372EE9"/>
    <w:rsid w:val="00373007"/>
    <w:rsid w:val="00373099"/>
    <w:rsid w:val="003730DC"/>
    <w:rsid w:val="0037319B"/>
    <w:rsid w:val="00373250"/>
    <w:rsid w:val="0037336F"/>
    <w:rsid w:val="0037338A"/>
    <w:rsid w:val="003733A1"/>
    <w:rsid w:val="003733C2"/>
    <w:rsid w:val="00373412"/>
    <w:rsid w:val="00373480"/>
    <w:rsid w:val="003734CC"/>
    <w:rsid w:val="003735B0"/>
    <w:rsid w:val="00373629"/>
    <w:rsid w:val="00373710"/>
    <w:rsid w:val="003737A8"/>
    <w:rsid w:val="003738B9"/>
    <w:rsid w:val="00373C62"/>
    <w:rsid w:val="00373E39"/>
    <w:rsid w:val="00373EBB"/>
    <w:rsid w:val="00373F6A"/>
    <w:rsid w:val="0037420C"/>
    <w:rsid w:val="0037423D"/>
    <w:rsid w:val="0037437C"/>
    <w:rsid w:val="003744C0"/>
    <w:rsid w:val="00374574"/>
    <w:rsid w:val="00374681"/>
    <w:rsid w:val="003746F7"/>
    <w:rsid w:val="003747E0"/>
    <w:rsid w:val="003749DD"/>
    <w:rsid w:val="00374A4B"/>
    <w:rsid w:val="00374A6D"/>
    <w:rsid w:val="00374ACE"/>
    <w:rsid w:val="00374B2E"/>
    <w:rsid w:val="00374C9D"/>
    <w:rsid w:val="00374CCE"/>
    <w:rsid w:val="00374E6C"/>
    <w:rsid w:val="00374EFE"/>
    <w:rsid w:val="00374F0D"/>
    <w:rsid w:val="00375075"/>
    <w:rsid w:val="00375142"/>
    <w:rsid w:val="00375223"/>
    <w:rsid w:val="00375244"/>
    <w:rsid w:val="00375321"/>
    <w:rsid w:val="0037532E"/>
    <w:rsid w:val="003753C2"/>
    <w:rsid w:val="00375487"/>
    <w:rsid w:val="003754D9"/>
    <w:rsid w:val="0037579E"/>
    <w:rsid w:val="00375803"/>
    <w:rsid w:val="00375963"/>
    <w:rsid w:val="00375A7D"/>
    <w:rsid w:val="00375AC6"/>
    <w:rsid w:val="00375B8B"/>
    <w:rsid w:val="00375C0F"/>
    <w:rsid w:val="00375C3E"/>
    <w:rsid w:val="00375CDB"/>
    <w:rsid w:val="00375D5E"/>
    <w:rsid w:val="00375D68"/>
    <w:rsid w:val="00375DB3"/>
    <w:rsid w:val="00375DCB"/>
    <w:rsid w:val="00375F18"/>
    <w:rsid w:val="0037607B"/>
    <w:rsid w:val="00376083"/>
    <w:rsid w:val="003760BE"/>
    <w:rsid w:val="003760EE"/>
    <w:rsid w:val="00376239"/>
    <w:rsid w:val="00376423"/>
    <w:rsid w:val="003764CC"/>
    <w:rsid w:val="003767C2"/>
    <w:rsid w:val="00376876"/>
    <w:rsid w:val="00376896"/>
    <w:rsid w:val="003768BF"/>
    <w:rsid w:val="0037697F"/>
    <w:rsid w:val="00376AED"/>
    <w:rsid w:val="00376D85"/>
    <w:rsid w:val="00376F61"/>
    <w:rsid w:val="00376FA7"/>
    <w:rsid w:val="00377023"/>
    <w:rsid w:val="00377151"/>
    <w:rsid w:val="003771EA"/>
    <w:rsid w:val="00377250"/>
    <w:rsid w:val="003773BE"/>
    <w:rsid w:val="0037746B"/>
    <w:rsid w:val="00377492"/>
    <w:rsid w:val="0037752B"/>
    <w:rsid w:val="0037756F"/>
    <w:rsid w:val="00377693"/>
    <w:rsid w:val="00377756"/>
    <w:rsid w:val="0037783C"/>
    <w:rsid w:val="003778AE"/>
    <w:rsid w:val="00377913"/>
    <w:rsid w:val="00377A06"/>
    <w:rsid w:val="00377A8E"/>
    <w:rsid w:val="00377BDA"/>
    <w:rsid w:val="00377C39"/>
    <w:rsid w:val="00377CAF"/>
    <w:rsid w:val="00377CDD"/>
    <w:rsid w:val="00377CF1"/>
    <w:rsid w:val="00377D81"/>
    <w:rsid w:val="00377DBA"/>
    <w:rsid w:val="00377EBD"/>
    <w:rsid w:val="0038000A"/>
    <w:rsid w:val="00380015"/>
    <w:rsid w:val="00380091"/>
    <w:rsid w:val="003800D5"/>
    <w:rsid w:val="003802D8"/>
    <w:rsid w:val="003803A1"/>
    <w:rsid w:val="00380408"/>
    <w:rsid w:val="00380444"/>
    <w:rsid w:val="00380486"/>
    <w:rsid w:val="003804DF"/>
    <w:rsid w:val="00380584"/>
    <w:rsid w:val="00380605"/>
    <w:rsid w:val="00380625"/>
    <w:rsid w:val="00380751"/>
    <w:rsid w:val="00380780"/>
    <w:rsid w:val="00380876"/>
    <w:rsid w:val="00380936"/>
    <w:rsid w:val="00380A3D"/>
    <w:rsid w:val="00380A51"/>
    <w:rsid w:val="00380A79"/>
    <w:rsid w:val="00380CC6"/>
    <w:rsid w:val="00380F3F"/>
    <w:rsid w:val="00380FB7"/>
    <w:rsid w:val="00381081"/>
    <w:rsid w:val="003810BD"/>
    <w:rsid w:val="003812CB"/>
    <w:rsid w:val="00381395"/>
    <w:rsid w:val="00381571"/>
    <w:rsid w:val="00381589"/>
    <w:rsid w:val="00381659"/>
    <w:rsid w:val="00381703"/>
    <w:rsid w:val="003817D4"/>
    <w:rsid w:val="00381830"/>
    <w:rsid w:val="00381851"/>
    <w:rsid w:val="00381857"/>
    <w:rsid w:val="003818D4"/>
    <w:rsid w:val="00381917"/>
    <w:rsid w:val="003819F0"/>
    <w:rsid w:val="00381C30"/>
    <w:rsid w:val="00381C54"/>
    <w:rsid w:val="00381CDA"/>
    <w:rsid w:val="00381EBA"/>
    <w:rsid w:val="00381F06"/>
    <w:rsid w:val="003820AC"/>
    <w:rsid w:val="003820B0"/>
    <w:rsid w:val="003821A4"/>
    <w:rsid w:val="003821B5"/>
    <w:rsid w:val="003821E9"/>
    <w:rsid w:val="00382294"/>
    <w:rsid w:val="00382426"/>
    <w:rsid w:val="003824BC"/>
    <w:rsid w:val="0038250B"/>
    <w:rsid w:val="0038261A"/>
    <w:rsid w:val="00382638"/>
    <w:rsid w:val="00382652"/>
    <w:rsid w:val="003826A5"/>
    <w:rsid w:val="003827F1"/>
    <w:rsid w:val="003828BE"/>
    <w:rsid w:val="0038294E"/>
    <w:rsid w:val="003829D2"/>
    <w:rsid w:val="00382B3E"/>
    <w:rsid w:val="00382B75"/>
    <w:rsid w:val="00382B81"/>
    <w:rsid w:val="00382BD7"/>
    <w:rsid w:val="00382D1B"/>
    <w:rsid w:val="00382D4D"/>
    <w:rsid w:val="00382E8B"/>
    <w:rsid w:val="00382EBD"/>
    <w:rsid w:val="00382EDE"/>
    <w:rsid w:val="00382FB5"/>
    <w:rsid w:val="0038301A"/>
    <w:rsid w:val="00383092"/>
    <w:rsid w:val="003833FC"/>
    <w:rsid w:val="00383408"/>
    <w:rsid w:val="0038343B"/>
    <w:rsid w:val="00383499"/>
    <w:rsid w:val="003834F8"/>
    <w:rsid w:val="0038367E"/>
    <w:rsid w:val="00383758"/>
    <w:rsid w:val="003837E4"/>
    <w:rsid w:val="003837F6"/>
    <w:rsid w:val="0038385B"/>
    <w:rsid w:val="003838E9"/>
    <w:rsid w:val="003839C9"/>
    <w:rsid w:val="00383AEA"/>
    <w:rsid w:val="00383AFB"/>
    <w:rsid w:val="00383C09"/>
    <w:rsid w:val="00383C8B"/>
    <w:rsid w:val="00383E43"/>
    <w:rsid w:val="00383E80"/>
    <w:rsid w:val="00383EF8"/>
    <w:rsid w:val="00383F57"/>
    <w:rsid w:val="00383F59"/>
    <w:rsid w:val="00383F72"/>
    <w:rsid w:val="00384004"/>
    <w:rsid w:val="0038435B"/>
    <w:rsid w:val="00384500"/>
    <w:rsid w:val="0038451B"/>
    <w:rsid w:val="003846DE"/>
    <w:rsid w:val="00384795"/>
    <w:rsid w:val="00384814"/>
    <w:rsid w:val="003849B5"/>
    <w:rsid w:val="003849DB"/>
    <w:rsid w:val="00384BDF"/>
    <w:rsid w:val="00384C1E"/>
    <w:rsid w:val="00384D42"/>
    <w:rsid w:val="00384E71"/>
    <w:rsid w:val="00384E83"/>
    <w:rsid w:val="00384E86"/>
    <w:rsid w:val="00384FBD"/>
    <w:rsid w:val="00385097"/>
    <w:rsid w:val="00385171"/>
    <w:rsid w:val="00385185"/>
    <w:rsid w:val="0038527C"/>
    <w:rsid w:val="00385436"/>
    <w:rsid w:val="0038547C"/>
    <w:rsid w:val="003854AE"/>
    <w:rsid w:val="003854DB"/>
    <w:rsid w:val="003855BA"/>
    <w:rsid w:val="00385679"/>
    <w:rsid w:val="00385735"/>
    <w:rsid w:val="00385810"/>
    <w:rsid w:val="0038586E"/>
    <w:rsid w:val="003858D8"/>
    <w:rsid w:val="0038591F"/>
    <w:rsid w:val="00385ACD"/>
    <w:rsid w:val="00385BE2"/>
    <w:rsid w:val="00385DD6"/>
    <w:rsid w:val="00385DF6"/>
    <w:rsid w:val="00385F64"/>
    <w:rsid w:val="00385FE1"/>
    <w:rsid w:val="00385FE9"/>
    <w:rsid w:val="0038603E"/>
    <w:rsid w:val="00386115"/>
    <w:rsid w:val="00386165"/>
    <w:rsid w:val="003861A2"/>
    <w:rsid w:val="00386245"/>
    <w:rsid w:val="00386263"/>
    <w:rsid w:val="003862A6"/>
    <w:rsid w:val="00386426"/>
    <w:rsid w:val="003864C2"/>
    <w:rsid w:val="00386720"/>
    <w:rsid w:val="0038675F"/>
    <w:rsid w:val="003867C1"/>
    <w:rsid w:val="00386859"/>
    <w:rsid w:val="003868F4"/>
    <w:rsid w:val="0038694C"/>
    <w:rsid w:val="0038696F"/>
    <w:rsid w:val="00386A09"/>
    <w:rsid w:val="00386D00"/>
    <w:rsid w:val="00386E66"/>
    <w:rsid w:val="003871BD"/>
    <w:rsid w:val="003871E9"/>
    <w:rsid w:val="003871F4"/>
    <w:rsid w:val="00387297"/>
    <w:rsid w:val="0038742E"/>
    <w:rsid w:val="00387459"/>
    <w:rsid w:val="003874D5"/>
    <w:rsid w:val="00387580"/>
    <w:rsid w:val="003875B4"/>
    <w:rsid w:val="0038762D"/>
    <w:rsid w:val="0038764B"/>
    <w:rsid w:val="00387670"/>
    <w:rsid w:val="00387754"/>
    <w:rsid w:val="003877A4"/>
    <w:rsid w:val="00387938"/>
    <w:rsid w:val="003879A3"/>
    <w:rsid w:val="003879B4"/>
    <w:rsid w:val="003879C4"/>
    <w:rsid w:val="003879DB"/>
    <w:rsid w:val="00387B66"/>
    <w:rsid w:val="00387C57"/>
    <w:rsid w:val="00387CB8"/>
    <w:rsid w:val="00387E53"/>
    <w:rsid w:val="00387FD7"/>
    <w:rsid w:val="00390043"/>
    <w:rsid w:val="0039010A"/>
    <w:rsid w:val="00390135"/>
    <w:rsid w:val="003901B3"/>
    <w:rsid w:val="00390269"/>
    <w:rsid w:val="003904E4"/>
    <w:rsid w:val="0039068C"/>
    <w:rsid w:val="003906A1"/>
    <w:rsid w:val="0039070A"/>
    <w:rsid w:val="0039071A"/>
    <w:rsid w:val="00390720"/>
    <w:rsid w:val="00390772"/>
    <w:rsid w:val="00390797"/>
    <w:rsid w:val="0039079E"/>
    <w:rsid w:val="00390876"/>
    <w:rsid w:val="003908F1"/>
    <w:rsid w:val="00390BAB"/>
    <w:rsid w:val="00390BF3"/>
    <w:rsid w:val="00390BFA"/>
    <w:rsid w:val="00390C26"/>
    <w:rsid w:val="00390EEF"/>
    <w:rsid w:val="00391120"/>
    <w:rsid w:val="003911E8"/>
    <w:rsid w:val="00391209"/>
    <w:rsid w:val="00391363"/>
    <w:rsid w:val="00391563"/>
    <w:rsid w:val="0039159E"/>
    <w:rsid w:val="003916A5"/>
    <w:rsid w:val="003916DC"/>
    <w:rsid w:val="003917D3"/>
    <w:rsid w:val="0039190B"/>
    <w:rsid w:val="00391944"/>
    <w:rsid w:val="0039196A"/>
    <w:rsid w:val="003919BF"/>
    <w:rsid w:val="00391A1A"/>
    <w:rsid w:val="00391A69"/>
    <w:rsid w:val="00391C2D"/>
    <w:rsid w:val="00391C71"/>
    <w:rsid w:val="00391D2C"/>
    <w:rsid w:val="00391D54"/>
    <w:rsid w:val="00391D85"/>
    <w:rsid w:val="00391EB2"/>
    <w:rsid w:val="00391F85"/>
    <w:rsid w:val="003923D3"/>
    <w:rsid w:val="003923DE"/>
    <w:rsid w:val="0039244B"/>
    <w:rsid w:val="00392553"/>
    <w:rsid w:val="00392582"/>
    <w:rsid w:val="003926BB"/>
    <w:rsid w:val="0039271A"/>
    <w:rsid w:val="003927CD"/>
    <w:rsid w:val="00392830"/>
    <w:rsid w:val="003928D6"/>
    <w:rsid w:val="00392977"/>
    <w:rsid w:val="00392978"/>
    <w:rsid w:val="003929C8"/>
    <w:rsid w:val="00392AEF"/>
    <w:rsid w:val="00392B4B"/>
    <w:rsid w:val="00392C08"/>
    <w:rsid w:val="00392C12"/>
    <w:rsid w:val="00392E42"/>
    <w:rsid w:val="00392F87"/>
    <w:rsid w:val="00393079"/>
    <w:rsid w:val="00393097"/>
    <w:rsid w:val="00393264"/>
    <w:rsid w:val="003932B0"/>
    <w:rsid w:val="0039334E"/>
    <w:rsid w:val="00393389"/>
    <w:rsid w:val="003933C4"/>
    <w:rsid w:val="003933CC"/>
    <w:rsid w:val="00393495"/>
    <w:rsid w:val="003934D7"/>
    <w:rsid w:val="0039369D"/>
    <w:rsid w:val="00393812"/>
    <w:rsid w:val="00393868"/>
    <w:rsid w:val="00393C02"/>
    <w:rsid w:val="00393C12"/>
    <w:rsid w:val="00393CAC"/>
    <w:rsid w:val="00393CCB"/>
    <w:rsid w:val="00393CEF"/>
    <w:rsid w:val="00393DA8"/>
    <w:rsid w:val="00393E28"/>
    <w:rsid w:val="00393E95"/>
    <w:rsid w:val="003940C0"/>
    <w:rsid w:val="003940C6"/>
    <w:rsid w:val="0039412E"/>
    <w:rsid w:val="00394254"/>
    <w:rsid w:val="00394266"/>
    <w:rsid w:val="00394378"/>
    <w:rsid w:val="003943BE"/>
    <w:rsid w:val="003943DA"/>
    <w:rsid w:val="003943DF"/>
    <w:rsid w:val="00394434"/>
    <w:rsid w:val="003946CA"/>
    <w:rsid w:val="00394701"/>
    <w:rsid w:val="00394806"/>
    <w:rsid w:val="0039480F"/>
    <w:rsid w:val="00394844"/>
    <w:rsid w:val="00394974"/>
    <w:rsid w:val="00394B71"/>
    <w:rsid w:val="00394B75"/>
    <w:rsid w:val="00394BBC"/>
    <w:rsid w:val="00394BD7"/>
    <w:rsid w:val="00394E8B"/>
    <w:rsid w:val="00394EB6"/>
    <w:rsid w:val="00394EF0"/>
    <w:rsid w:val="00395030"/>
    <w:rsid w:val="003951A4"/>
    <w:rsid w:val="003951AB"/>
    <w:rsid w:val="003951CD"/>
    <w:rsid w:val="003951E7"/>
    <w:rsid w:val="00395283"/>
    <w:rsid w:val="003953C8"/>
    <w:rsid w:val="00395637"/>
    <w:rsid w:val="0039564F"/>
    <w:rsid w:val="003958FE"/>
    <w:rsid w:val="003959BE"/>
    <w:rsid w:val="00395B37"/>
    <w:rsid w:val="00395C4B"/>
    <w:rsid w:val="00395DC0"/>
    <w:rsid w:val="00395F3F"/>
    <w:rsid w:val="00395F8C"/>
    <w:rsid w:val="00395FD4"/>
    <w:rsid w:val="00395FF1"/>
    <w:rsid w:val="00396021"/>
    <w:rsid w:val="00396049"/>
    <w:rsid w:val="003960EB"/>
    <w:rsid w:val="00396189"/>
    <w:rsid w:val="0039618F"/>
    <w:rsid w:val="0039638C"/>
    <w:rsid w:val="00396465"/>
    <w:rsid w:val="00396714"/>
    <w:rsid w:val="0039682E"/>
    <w:rsid w:val="00396878"/>
    <w:rsid w:val="00396893"/>
    <w:rsid w:val="00396944"/>
    <w:rsid w:val="0039699B"/>
    <w:rsid w:val="003969A2"/>
    <w:rsid w:val="00396A2B"/>
    <w:rsid w:val="00396ABC"/>
    <w:rsid w:val="00396B2D"/>
    <w:rsid w:val="00396BC1"/>
    <w:rsid w:val="00396C0E"/>
    <w:rsid w:val="00396CDB"/>
    <w:rsid w:val="00396DCE"/>
    <w:rsid w:val="00396F2A"/>
    <w:rsid w:val="00396F49"/>
    <w:rsid w:val="00396F70"/>
    <w:rsid w:val="0039706A"/>
    <w:rsid w:val="00397162"/>
    <w:rsid w:val="00397185"/>
    <w:rsid w:val="0039725A"/>
    <w:rsid w:val="003972C1"/>
    <w:rsid w:val="00397408"/>
    <w:rsid w:val="00397459"/>
    <w:rsid w:val="0039748C"/>
    <w:rsid w:val="003974AD"/>
    <w:rsid w:val="0039760D"/>
    <w:rsid w:val="003976B6"/>
    <w:rsid w:val="0039771A"/>
    <w:rsid w:val="00397789"/>
    <w:rsid w:val="003977CF"/>
    <w:rsid w:val="003977FC"/>
    <w:rsid w:val="0039792D"/>
    <w:rsid w:val="0039799F"/>
    <w:rsid w:val="003979D4"/>
    <w:rsid w:val="003979DB"/>
    <w:rsid w:val="00397AA4"/>
    <w:rsid w:val="00397C35"/>
    <w:rsid w:val="00397C6B"/>
    <w:rsid w:val="00397CFF"/>
    <w:rsid w:val="00397E18"/>
    <w:rsid w:val="00397FBC"/>
    <w:rsid w:val="003A0093"/>
    <w:rsid w:val="003A00F4"/>
    <w:rsid w:val="003A02E8"/>
    <w:rsid w:val="003A0311"/>
    <w:rsid w:val="003A0341"/>
    <w:rsid w:val="003A0505"/>
    <w:rsid w:val="003A05D0"/>
    <w:rsid w:val="003A067E"/>
    <w:rsid w:val="003A0A03"/>
    <w:rsid w:val="003A0B66"/>
    <w:rsid w:val="003A0C67"/>
    <w:rsid w:val="003A0CE1"/>
    <w:rsid w:val="003A0FB0"/>
    <w:rsid w:val="003A112F"/>
    <w:rsid w:val="003A1185"/>
    <w:rsid w:val="003A1220"/>
    <w:rsid w:val="003A1383"/>
    <w:rsid w:val="003A13BC"/>
    <w:rsid w:val="003A1404"/>
    <w:rsid w:val="003A1675"/>
    <w:rsid w:val="003A176D"/>
    <w:rsid w:val="003A17B6"/>
    <w:rsid w:val="003A1871"/>
    <w:rsid w:val="003A18F0"/>
    <w:rsid w:val="003A1D14"/>
    <w:rsid w:val="003A1DB3"/>
    <w:rsid w:val="003A1DD9"/>
    <w:rsid w:val="003A1E9C"/>
    <w:rsid w:val="003A1F18"/>
    <w:rsid w:val="003A1F4D"/>
    <w:rsid w:val="003A1F9C"/>
    <w:rsid w:val="003A20C6"/>
    <w:rsid w:val="003A20D8"/>
    <w:rsid w:val="003A20D9"/>
    <w:rsid w:val="003A21A7"/>
    <w:rsid w:val="003A23D4"/>
    <w:rsid w:val="003A23DF"/>
    <w:rsid w:val="003A24E6"/>
    <w:rsid w:val="003A2618"/>
    <w:rsid w:val="003A2643"/>
    <w:rsid w:val="003A27AB"/>
    <w:rsid w:val="003A2A1A"/>
    <w:rsid w:val="003A2A84"/>
    <w:rsid w:val="003A2AE5"/>
    <w:rsid w:val="003A2B4E"/>
    <w:rsid w:val="003A2D20"/>
    <w:rsid w:val="003A2D61"/>
    <w:rsid w:val="003A2EE6"/>
    <w:rsid w:val="003A2F6A"/>
    <w:rsid w:val="003A308E"/>
    <w:rsid w:val="003A30FC"/>
    <w:rsid w:val="003A31A2"/>
    <w:rsid w:val="003A3224"/>
    <w:rsid w:val="003A3298"/>
    <w:rsid w:val="003A32C2"/>
    <w:rsid w:val="003A3397"/>
    <w:rsid w:val="003A33EF"/>
    <w:rsid w:val="003A3569"/>
    <w:rsid w:val="003A35CD"/>
    <w:rsid w:val="003A3611"/>
    <w:rsid w:val="003A36A5"/>
    <w:rsid w:val="003A371B"/>
    <w:rsid w:val="003A3748"/>
    <w:rsid w:val="003A3892"/>
    <w:rsid w:val="003A39E4"/>
    <w:rsid w:val="003A3A7C"/>
    <w:rsid w:val="003A3AB2"/>
    <w:rsid w:val="003A3BE0"/>
    <w:rsid w:val="003A3C1E"/>
    <w:rsid w:val="003A3C7A"/>
    <w:rsid w:val="003A3CD4"/>
    <w:rsid w:val="003A3CE7"/>
    <w:rsid w:val="003A3D5E"/>
    <w:rsid w:val="003A3D87"/>
    <w:rsid w:val="003A3D97"/>
    <w:rsid w:val="003A3E14"/>
    <w:rsid w:val="003A3E54"/>
    <w:rsid w:val="003A40BE"/>
    <w:rsid w:val="003A419D"/>
    <w:rsid w:val="003A41C0"/>
    <w:rsid w:val="003A41DB"/>
    <w:rsid w:val="003A4283"/>
    <w:rsid w:val="003A44B9"/>
    <w:rsid w:val="003A44BD"/>
    <w:rsid w:val="003A4622"/>
    <w:rsid w:val="003A46CA"/>
    <w:rsid w:val="003A4775"/>
    <w:rsid w:val="003A4810"/>
    <w:rsid w:val="003A4815"/>
    <w:rsid w:val="003A487D"/>
    <w:rsid w:val="003A4A1C"/>
    <w:rsid w:val="003A4C82"/>
    <w:rsid w:val="003A4CB5"/>
    <w:rsid w:val="003A4D43"/>
    <w:rsid w:val="003A4D46"/>
    <w:rsid w:val="003A4FCC"/>
    <w:rsid w:val="003A5067"/>
    <w:rsid w:val="003A50A5"/>
    <w:rsid w:val="003A518E"/>
    <w:rsid w:val="003A54F4"/>
    <w:rsid w:val="003A55E8"/>
    <w:rsid w:val="003A56E3"/>
    <w:rsid w:val="003A56FB"/>
    <w:rsid w:val="003A5718"/>
    <w:rsid w:val="003A58C9"/>
    <w:rsid w:val="003A59EA"/>
    <w:rsid w:val="003A5AA9"/>
    <w:rsid w:val="003A5ADA"/>
    <w:rsid w:val="003A5BD7"/>
    <w:rsid w:val="003A5C6A"/>
    <w:rsid w:val="003A5C9E"/>
    <w:rsid w:val="003A5CB1"/>
    <w:rsid w:val="003A60A2"/>
    <w:rsid w:val="003A60A3"/>
    <w:rsid w:val="003A60C6"/>
    <w:rsid w:val="003A61C0"/>
    <w:rsid w:val="003A62A4"/>
    <w:rsid w:val="003A62A8"/>
    <w:rsid w:val="003A6300"/>
    <w:rsid w:val="003A6371"/>
    <w:rsid w:val="003A64E5"/>
    <w:rsid w:val="003A65A3"/>
    <w:rsid w:val="003A6631"/>
    <w:rsid w:val="003A6795"/>
    <w:rsid w:val="003A679A"/>
    <w:rsid w:val="003A6839"/>
    <w:rsid w:val="003A68B2"/>
    <w:rsid w:val="003A68B6"/>
    <w:rsid w:val="003A6AD6"/>
    <w:rsid w:val="003A6B0D"/>
    <w:rsid w:val="003A6BE1"/>
    <w:rsid w:val="003A6C36"/>
    <w:rsid w:val="003A6D23"/>
    <w:rsid w:val="003A6E27"/>
    <w:rsid w:val="003A7062"/>
    <w:rsid w:val="003A70CB"/>
    <w:rsid w:val="003A71A8"/>
    <w:rsid w:val="003A72E6"/>
    <w:rsid w:val="003A7351"/>
    <w:rsid w:val="003A74D8"/>
    <w:rsid w:val="003A7729"/>
    <w:rsid w:val="003A772A"/>
    <w:rsid w:val="003A7819"/>
    <w:rsid w:val="003A781C"/>
    <w:rsid w:val="003A7A43"/>
    <w:rsid w:val="003A7A4E"/>
    <w:rsid w:val="003A7A7D"/>
    <w:rsid w:val="003A7B23"/>
    <w:rsid w:val="003A7B60"/>
    <w:rsid w:val="003A7C18"/>
    <w:rsid w:val="003A7C5B"/>
    <w:rsid w:val="003A7CED"/>
    <w:rsid w:val="003A7DBB"/>
    <w:rsid w:val="003A7DDD"/>
    <w:rsid w:val="003A7E11"/>
    <w:rsid w:val="003A7F76"/>
    <w:rsid w:val="003A7FB7"/>
    <w:rsid w:val="003B00B3"/>
    <w:rsid w:val="003B00B6"/>
    <w:rsid w:val="003B00CB"/>
    <w:rsid w:val="003B0196"/>
    <w:rsid w:val="003B01C8"/>
    <w:rsid w:val="003B0275"/>
    <w:rsid w:val="003B04A2"/>
    <w:rsid w:val="003B07EE"/>
    <w:rsid w:val="003B08F0"/>
    <w:rsid w:val="003B08F4"/>
    <w:rsid w:val="003B0A0A"/>
    <w:rsid w:val="003B0A0C"/>
    <w:rsid w:val="003B0A3C"/>
    <w:rsid w:val="003B0B30"/>
    <w:rsid w:val="003B0B62"/>
    <w:rsid w:val="003B0B9E"/>
    <w:rsid w:val="003B0C9A"/>
    <w:rsid w:val="003B0DF7"/>
    <w:rsid w:val="003B0E0E"/>
    <w:rsid w:val="003B0E9F"/>
    <w:rsid w:val="003B0F12"/>
    <w:rsid w:val="003B0FA2"/>
    <w:rsid w:val="003B102F"/>
    <w:rsid w:val="003B1054"/>
    <w:rsid w:val="003B13C5"/>
    <w:rsid w:val="003B1408"/>
    <w:rsid w:val="003B164D"/>
    <w:rsid w:val="003B1753"/>
    <w:rsid w:val="003B184D"/>
    <w:rsid w:val="003B1852"/>
    <w:rsid w:val="003B1A45"/>
    <w:rsid w:val="003B1A7C"/>
    <w:rsid w:val="003B1AF2"/>
    <w:rsid w:val="003B1C29"/>
    <w:rsid w:val="003B1C6E"/>
    <w:rsid w:val="003B1D88"/>
    <w:rsid w:val="003B1E0E"/>
    <w:rsid w:val="003B1E1E"/>
    <w:rsid w:val="003B1E7A"/>
    <w:rsid w:val="003B1EB5"/>
    <w:rsid w:val="003B1F88"/>
    <w:rsid w:val="003B208D"/>
    <w:rsid w:val="003B2165"/>
    <w:rsid w:val="003B217C"/>
    <w:rsid w:val="003B2304"/>
    <w:rsid w:val="003B233E"/>
    <w:rsid w:val="003B2359"/>
    <w:rsid w:val="003B23D6"/>
    <w:rsid w:val="003B2444"/>
    <w:rsid w:val="003B24ED"/>
    <w:rsid w:val="003B2579"/>
    <w:rsid w:val="003B25AB"/>
    <w:rsid w:val="003B25D3"/>
    <w:rsid w:val="003B26C7"/>
    <w:rsid w:val="003B2726"/>
    <w:rsid w:val="003B27CE"/>
    <w:rsid w:val="003B283D"/>
    <w:rsid w:val="003B2861"/>
    <w:rsid w:val="003B2A86"/>
    <w:rsid w:val="003B2B95"/>
    <w:rsid w:val="003B2BA7"/>
    <w:rsid w:val="003B2BD7"/>
    <w:rsid w:val="003B2D9B"/>
    <w:rsid w:val="003B2DB4"/>
    <w:rsid w:val="003B2F95"/>
    <w:rsid w:val="003B2F9B"/>
    <w:rsid w:val="003B2FE3"/>
    <w:rsid w:val="003B3037"/>
    <w:rsid w:val="003B3099"/>
    <w:rsid w:val="003B3101"/>
    <w:rsid w:val="003B3144"/>
    <w:rsid w:val="003B32C1"/>
    <w:rsid w:val="003B32D9"/>
    <w:rsid w:val="003B3375"/>
    <w:rsid w:val="003B3414"/>
    <w:rsid w:val="003B3519"/>
    <w:rsid w:val="003B35F1"/>
    <w:rsid w:val="003B361F"/>
    <w:rsid w:val="003B373A"/>
    <w:rsid w:val="003B38AA"/>
    <w:rsid w:val="003B3952"/>
    <w:rsid w:val="003B397F"/>
    <w:rsid w:val="003B3AD6"/>
    <w:rsid w:val="003B3B3E"/>
    <w:rsid w:val="003B3B6E"/>
    <w:rsid w:val="003B3CAB"/>
    <w:rsid w:val="003B3CC2"/>
    <w:rsid w:val="003B3D9B"/>
    <w:rsid w:val="003B3DA2"/>
    <w:rsid w:val="003B3E61"/>
    <w:rsid w:val="003B3ED2"/>
    <w:rsid w:val="003B4257"/>
    <w:rsid w:val="003B42A9"/>
    <w:rsid w:val="003B437D"/>
    <w:rsid w:val="003B43EE"/>
    <w:rsid w:val="003B446D"/>
    <w:rsid w:val="003B4564"/>
    <w:rsid w:val="003B46C7"/>
    <w:rsid w:val="003B46EF"/>
    <w:rsid w:val="003B481D"/>
    <w:rsid w:val="003B48E5"/>
    <w:rsid w:val="003B49AB"/>
    <w:rsid w:val="003B4A38"/>
    <w:rsid w:val="003B4C2D"/>
    <w:rsid w:val="003B4C4C"/>
    <w:rsid w:val="003B4C52"/>
    <w:rsid w:val="003B4CB7"/>
    <w:rsid w:val="003B4D5C"/>
    <w:rsid w:val="003B4D6B"/>
    <w:rsid w:val="003B4D7C"/>
    <w:rsid w:val="003B4DAA"/>
    <w:rsid w:val="003B4E55"/>
    <w:rsid w:val="003B4F18"/>
    <w:rsid w:val="003B4F95"/>
    <w:rsid w:val="003B4FC8"/>
    <w:rsid w:val="003B5107"/>
    <w:rsid w:val="003B5116"/>
    <w:rsid w:val="003B5183"/>
    <w:rsid w:val="003B523E"/>
    <w:rsid w:val="003B526B"/>
    <w:rsid w:val="003B52A2"/>
    <w:rsid w:val="003B5524"/>
    <w:rsid w:val="003B559E"/>
    <w:rsid w:val="003B55CC"/>
    <w:rsid w:val="003B57AA"/>
    <w:rsid w:val="003B5817"/>
    <w:rsid w:val="003B5922"/>
    <w:rsid w:val="003B59F5"/>
    <w:rsid w:val="003B5A66"/>
    <w:rsid w:val="003B5CEE"/>
    <w:rsid w:val="003B5D39"/>
    <w:rsid w:val="003B5D49"/>
    <w:rsid w:val="003B5D90"/>
    <w:rsid w:val="003B5EF6"/>
    <w:rsid w:val="003B5F2F"/>
    <w:rsid w:val="003B600F"/>
    <w:rsid w:val="003B61C2"/>
    <w:rsid w:val="003B61E4"/>
    <w:rsid w:val="003B6227"/>
    <w:rsid w:val="003B6301"/>
    <w:rsid w:val="003B631A"/>
    <w:rsid w:val="003B661A"/>
    <w:rsid w:val="003B693B"/>
    <w:rsid w:val="003B694E"/>
    <w:rsid w:val="003B69DA"/>
    <w:rsid w:val="003B6A45"/>
    <w:rsid w:val="003B6A56"/>
    <w:rsid w:val="003B6AA5"/>
    <w:rsid w:val="003B6AAC"/>
    <w:rsid w:val="003B6DA9"/>
    <w:rsid w:val="003B6E0D"/>
    <w:rsid w:val="003B6E68"/>
    <w:rsid w:val="003B6EDC"/>
    <w:rsid w:val="003B6EF0"/>
    <w:rsid w:val="003B6F27"/>
    <w:rsid w:val="003B6FB3"/>
    <w:rsid w:val="003B700F"/>
    <w:rsid w:val="003B7014"/>
    <w:rsid w:val="003B7203"/>
    <w:rsid w:val="003B7209"/>
    <w:rsid w:val="003B72DA"/>
    <w:rsid w:val="003B7367"/>
    <w:rsid w:val="003B7422"/>
    <w:rsid w:val="003B74D7"/>
    <w:rsid w:val="003B74ED"/>
    <w:rsid w:val="003B7512"/>
    <w:rsid w:val="003B7531"/>
    <w:rsid w:val="003B7588"/>
    <w:rsid w:val="003B75EB"/>
    <w:rsid w:val="003B764E"/>
    <w:rsid w:val="003B766F"/>
    <w:rsid w:val="003B79A0"/>
    <w:rsid w:val="003B7B5B"/>
    <w:rsid w:val="003B7B9A"/>
    <w:rsid w:val="003B7B9D"/>
    <w:rsid w:val="003B7E04"/>
    <w:rsid w:val="003B7E20"/>
    <w:rsid w:val="003B7EE3"/>
    <w:rsid w:val="003B7EFA"/>
    <w:rsid w:val="003C00EF"/>
    <w:rsid w:val="003C022E"/>
    <w:rsid w:val="003C03D5"/>
    <w:rsid w:val="003C0422"/>
    <w:rsid w:val="003C0524"/>
    <w:rsid w:val="003C05B9"/>
    <w:rsid w:val="003C0648"/>
    <w:rsid w:val="003C075E"/>
    <w:rsid w:val="003C0817"/>
    <w:rsid w:val="003C088F"/>
    <w:rsid w:val="003C08FC"/>
    <w:rsid w:val="003C0932"/>
    <w:rsid w:val="003C0942"/>
    <w:rsid w:val="003C0A53"/>
    <w:rsid w:val="003C0B29"/>
    <w:rsid w:val="003C0B4A"/>
    <w:rsid w:val="003C0B92"/>
    <w:rsid w:val="003C0BA9"/>
    <w:rsid w:val="003C0BBE"/>
    <w:rsid w:val="003C0C52"/>
    <w:rsid w:val="003C0DFB"/>
    <w:rsid w:val="003C0E3C"/>
    <w:rsid w:val="003C0E86"/>
    <w:rsid w:val="003C0EC7"/>
    <w:rsid w:val="003C0FCD"/>
    <w:rsid w:val="003C0FD9"/>
    <w:rsid w:val="003C1040"/>
    <w:rsid w:val="003C10B3"/>
    <w:rsid w:val="003C10CB"/>
    <w:rsid w:val="003C117C"/>
    <w:rsid w:val="003C1245"/>
    <w:rsid w:val="003C13CC"/>
    <w:rsid w:val="003C1497"/>
    <w:rsid w:val="003C14A7"/>
    <w:rsid w:val="003C1527"/>
    <w:rsid w:val="003C1553"/>
    <w:rsid w:val="003C15CD"/>
    <w:rsid w:val="003C1631"/>
    <w:rsid w:val="003C16B3"/>
    <w:rsid w:val="003C16E1"/>
    <w:rsid w:val="003C17A7"/>
    <w:rsid w:val="003C1B6F"/>
    <w:rsid w:val="003C1C44"/>
    <w:rsid w:val="003C1D8D"/>
    <w:rsid w:val="003C1E4E"/>
    <w:rsid w:val="003C1FEC"/>
    <w:rsid w:val="003C2052"/>
    <w:rsid w:val="003C20E3"/>
    <w:rsid w:val="003C211C"/>
    <w:rsid w:val="003C22A2"/>
    <w:rsid w:val="003C23A7"/>
    <w:rsid w:val="003C240A"/>
    <w:rsid w:val="003C2524"/>
    <w:rsid w:val="003C26B7"/>
    <w:rsid w:val="003C27D9"/>
    <w:rsid w:val="003C28EE"/>
    <w:rsid w:val="003C2A33"/>
    <w:rsid w:val="003C2BCE"/>
    <w:rsid w:val="003C2CBF"/>
    <w:rsid w:val="003C2DE7"/>
    <w:rsid w:val="003C2F0E"/>
    <w:rsid w:val="003C300A"/>
    <w:rsid w:val="003C31E0"/>
    <w:rsid w:val="003C329A"/>
    <w:rsid w:val="003C33C3"/>
    <w:rsid w:val="003C347E"/>
    <w:rsid w:val="003C34FC"/>
    <w:rsid w:val="003C3507"/>
    <w:rsid w:val="003C3694"/>
    <w:rsid w:val="003C36D0"/>
    <w:rsid w:val="003C38E9"/>
    <w:rsid w:val="003C39AA"/>
    <w:rsid w:val="003C3A96"/>
    <w:rsid w:val="003C3B5A"/>
    <w:rsid w:val="003C3C5F"/>
    <w:rsid w:val="003C3C95"/>
    <w:rsid w:val="003C3D80"/>
    <w:rsid w:val="003C3E16"/>
    <w:rsid w:val="003C3F17"/>
    <w:rsid w:val="003C3F46"/>
    <w:rsid w:val="003C3F66"/>
    <w:rsid w:val="003C3FCD"/>
    <w:rsid w:val="003C40B0"/>
    <w:rsid w:val="003C4135"/>
    <w:rsid w:val="003C41A1"/>
    <w:rsid w:val="003C4217"/>
    <w:rsid w:val="003C4255"/>
    <w:rsid w:val="003C430E"/>
    <w:rsid w:val="003C440F"/>
    <w:rsid w:val="003C44C5"/>
    <w:rsid w:val="003C44FA"/>
    <w:rsid w:val="003C4630"/>
    <w:rsid w:val="003C46C6"/>
    <w:rsid w:val="003C46D1"/>
    <w:rsid w:val="003C4702"/>
    <w:rsid w:val="003C4899"/>
    <w:rsid w:val="003C4A88"/>
    <w:rsid w:val="003C4ADF"/>
    <w:rsid w:val="003C4B8D"/>
    <w:rsid w:val="003C4CB3"/>
    <w:rsid w:val="003C4CC2"/>
    <w:rsid w:val="003C4CD2"/>
    <w:rsid w:val="003C4E56"/>
    <w:rsid w:val="003C4EA7"/>
    <w:rsid w:val="003C5045"/>
    <w:rsid w:val="003C52DF"/>
    <w:rsid w:val="003C52E8"/>
    <w:rsid w:val="003C5307"/>
    <w:rsid w:val="003C53B7"/>
    <w:rsid w:val="003C5437"/>
    <w:rsid w:val="003C5469"/>
    <w:rsid w:val="003C547C"/>
    <w:rsid w:val="003C553D"/>
    <w:rsid w:val="003C5579"/>
    <w:rsid w:val="003C561E"/>
    <w:rsid w:val="003C56C2"/>
    <w:rsid w:val="003C56CA"/>
    <w:rsid w:val="003C56D0"/>
    <w:rsid w:val="003C57EA"/>
    <w:rsid w:val="003C59F9"/>
    <w:rsid w:val="003C5A60"/>
    <w:rsid w:val="003C5C66"/>
    <w:rsid w:val="003C5CFC"/>
    <w:rsid w:val="003C5D24"/>
    <w:rsid w:val="003C5D60"/>
    <w:rsid w:val="003C5DE1"/>
    <w:rsid w:val="003C5DF8"/>
    <w:rsid w:val="003C5E07"/>
    <w:rsid w:val="003C5ED9"/>
    <w:rsid w:val="003C5F81"/>
    <w:rsid w:val="003C6152"/>
    <w:rsid w:val="003C6252"/>
    <w:rsid w:val="003C6365"/>
    <w:rsid w:val="003C6396"/>
    <w:rsid w:val="003C661B"/>
    <w:rsid w:val="003C672E"/>
    <w:rsid w:val="003C6758"/>
    <w:rsid w:val="003C67C6"/>
    <w:rsid w:val="003C6843"/>
    <w:rsid w:val="003C6857"/>
    <w:rsid w:val="003C6870"/>
    <w:rsid w:val="003C68CD"/>
    <w:rsid w:val="003C6986"/>
    <w:rsid w:val="003C6993"/>
    <w:rsid w:val="003C6ACC"/>
    <w:rsid w:val="003C6AFE"/>
    <w:rsid w:val="003C6BC5"/>
    <w:rsid w:val="003C6D10"/>
    <w:rsid w:val="003C6D87"/>
    <w:rsid w:val="003C6E7D"/>
    <w:rsid w:val="003C6F48"/>
    <w:rsid w:val="003C6FFA"/>
    <w:rsid w:val="003C70B4"/>
    <w:rsid w:val="003C7208"/>
    <w:rsid w:val="003C7271"/>
    <w:rsid w:val="003C73D3"/>
    <w:rsid w:val="003C7435"/>
    <w:rsid w:val="003C7495"/>
    <w:rsid w:val="003C7588"/>
    <w:rsid w:val="003C7662"/>
    <w:rsid w:val="003C76FD"/>
    <w:rsid w:val="003C7750"/>
    <w:rsid w:val="003C777B"/>
    <w:rsid w:val="003C777E"/>
    <w:rsid w:val="003C7792"/>
    <w:rsid w:val="003C781D"/>
    <w:rsid w:val="003C7853"/>
    <w:rsid w:val="003C78A7"/>
    <w:rsid w:val="003C78DB"/>
    <w:rsid w:val="003C7AB4"/>
    <w:rsid w:val="003C7B59"/>
    <w:rsid w:val="003C7C1B"/>
    <w:rsid w:val="003C7C3E"/>
    <w:rsid w:val="003C7CA0"/>
    <w:rsid w:val="003C7CCD"/>
    <w:rsid w:val="003C7EBA"/>
    <w:rsid w:val="003C7EEF"/>
    <w:rsid w:val="003C7F31"/>
    <w:rsid w:val="003C7F5D"/>
    <w:rsid w:val="003D005A"/>
    <w:rsid w:val="003D0098"/>
    <w:rsid w:val="003D018B"/>
    <w:rsid w:val="003D0242"/>
    <w:rsid w:val="003D0283"/>
    <w:rsid w:val="003D037F"/>
    <w:rsid w:val="003D0403"/>
    <w:rsid w:val="003D0419"/>
    <w:rsid w:val="003D0427"/>
    <w:rsid w:val="003D0445"/>
    <w:rsid w:val="003D04B7"/>
    <w:rsid w:val="003D04F7"/>
    <w:rsid w:val="003D050B"/>
    <w:rsid w:val="003D055E"/>
    <w:rsid w:val="003D0567"/>
    <w:rsid w:val="003D05B3"/>
    <w:rsid w:val="003D05EF"/>
    <w:rsid w:val="003D0602"/>
    <w:rsid w:val="003D0614"/>
    <w:rsid w:val="003D0728"/>
    <w:rsid w:val="003D074A"/>
    <w:rsid w:val="003D079C"/>
    <w:rsid w:val="003D08C0"/>
    <w:rsid w:val="003D09EC"/>
    <w:rsid w:val="003D0BF3"/>
    <w:rsid w:val="003D0C32"/>
    <w:rsid w:val="003D0C87"/>
    <w:rsid w:val="003D0CCA"/>
    <w:rsid w:val="003D0D14"/>
    <w:rsid w:val="003D0E04"/>
    <w:rsid w:val="003D0E41"/>
    <w:rsid w:val="003D0F5A"/>
    <w:rsid w:val="003D0F69"/>
    <w:rsid w:val="003D0FFB"/>
    <w:rsid w:val="003D10CB"/>
    <w:rsid w:val="003D10FA"/>
    <w:rsid w:val="003D12AA"/>
    <w:rsid w:val="003D12C3"/>
    <w:rsid w:val="003D13B3"/>
    <w:rsid w:val="003D13D0"/>
    <w:rsid w:val="003D13EF"/>
    <w:rsid w:val="003D13F9"/>
    <w:rsid w:val="003D141F"/>
    <w:rsid w:val="003D1425"/>
    <w:rsid w:val="003D156D"/>
    <w:rsid w:val="003D1592"/>
    <w:rsid w:val="003D15B5"/>
    <w:rsid w:val="003D17B0"/>
    <w:rsid w:val="003D181C"/>
    <w:rsid w:val="003D18DB"/>
    <w:rsid w:val="003D19A4"/>
    <w:rsid w:val="003D1A24"/>
    <w:rsid w:val="003D1A3D"/>
    <w:rsid w:val="003D1AEB"/>
    <w:rsid w:val="003D1B30"/>
    <w:rsid w:val="003D1D0C"/>
    <w:rsid w:val="003D1D67"/>
    <w:rsid w:val="003D1D96"/>
    <w:rsid w:val="003D1E68"/>
    <w:rsid w:val="003D1E99"/>
    <w:rsid w:val="003D1EA0"/>
    <w:rsid w:val="003D1EF4"/>
    <w:rsid w:val="003D1FE8"/>
    <w:rsid w:val="003D2062"/>
    <w:rsid w:val="003D2070"/>
    <w:rsid w:val="003D2134"/>
    <w:rsid w:val="003D2163"/>
    <w:rsid w:val="003D2166"/>
    <w:rsid w:val="003D21A8"/>
    <w:rsid w:val="003D2212"/>
    <w:rsid w:val="003D2268"/>
    <w:rsid w:val="003D228D"/>
    <w:rsid w:val="003D240A"/>
    <w:rsid w:val="003D24B2"/>
    <w:rsid w:val="003D261F"/>
    <w:rsid w:val="003D26A0"/>
    <w:rsid w:val="003D2705"/>
    <w:rsid w:val="003D2949"/>
    <w:rsid w:val="003D2B54"/>
    <w:rsid w:val="003D2C3C"/>
    <w:rsid w:val="003D2C78"/>
    <w:rsid w:val="003D2C79"/>
    <w:rsid w:val="003D2C7B"/>
    <w:rsid w:val="003D2CDE"/>
    <w:rsid w:val="003D2EFB"/>
    <w:rsid w:val="003D2F13"/>
    <w:rsid w:val="003D2F38"/>
    <w:rsid w:val="003D3123"/>
    <w:rsid w:val="003D313D"/>
    <w:rsid w:val="003D316B"/>
    <w:rsid w:val="003D3232"/>
    <w:rsid w:val="003D3258"/>
    <w:rsid w:val="003D3277"/>
    <w:rsid w:val="003D32C2"/>
    <w:rsid w:val="003D32CD"/>
    <w:rsid w:val="003D32EE"/>
    <w:rsid w:val="003D32F6"/>
    <w:rsid w:val="003D3543"/>
    <w:rsid w:val="003D3551"/>
    <w:rsid w:val="003D36CB"/>
    <w:rsid w:val="003D36F0"/>
    <w:rsid w:val="003D3723"/>
    <w:rsid w:val="003D3779"/>
    <w:rsid w:val="003D37FD"/>
    <w:rsid w:val="003D38C1"/>
    <w:rsid w:val="003D393A"/>
    <w:rsid w:val="003D3994"/>
    <w:rsid w:val="003D3BAE"/>
    <w:rsid w:val="003D3E05"/>
    <w:rsid w:val="003D3FB4"/>
    <w:rsid w:val="003D421A"/>
    <w:rsid w:val="003D4373"/>
    <w:rsid w:val="003D4469"/>
    <w:rsid w:val="003D44C3"/>
    <w:rsid w:val="003D4556"/>
    <w:rsid w:val="003D45E2"/>
    <w:rsid w:val="003D466B"/>
    <w:rsid w:val="003D46A4"/>
    <w:rsid w:val="003D46DD"/>
    <w:rsid w:val="003D46FB"/>
    <w:rsid w:val="003D486E"/>
    <w:rsid w:val="003D48B4"/>
    <w:rsid w:val="003D48BC"/>
    <w:rsid w:val="003D48E2"/>
    <w:rsid w:val="003D4920"/>
    <w:rsid w:val="003D4984"/>
    <w:rsid w:val="003D4A7E"/>
    <w:rsid w:val="003D4B21"/>
    <w:rsid w:val="003D4B4E"/>
    <w:rsid w:val="003D4BB2"/>
    <w:rsid w:val="003D4D23"/>
    <w:rsid w:val="003D4DC7"/>
    <w:rsid w:val="003D4EA8"/>
    <w:rsid w:val="003D4F93"/>
    <w:rsid w:val="003D50F7"/>
    <w:rsid w:val="003D519F"/>
    <w:rsid w:val="003D51B9"/>
    <w:rsid w:val="003D51FE"/>
    <w:rsid w:val="003D527F"/>
    <w:rsid w:val="003D5301"/>
    <w:rsid w:val="003D540B"/>
    <w:rsid w:val="003D5498"/>
    <w:rsid w:val="003D54CB"/>
    <w:rsid w:val="003D5663"/>
    <w:rsid w:val="003D5902"/>
    <w:rsid w:val="003D595F"/>
    <w:rsid w:val="003D5963"/>
    <w:rsid w:val="003D597F"/>
    <w:rsid w:val="003D599E"/>
    <w:rsid w:val="003D59D1"/>
    <w:rsid w:val="003D5B5F"/>
    <w:rsid w:val="003D5BA4"/>
    <w:rsid w:val="003D5BAB"/>
    <w:rsid w:val="003D5D77"/>
    <w:rsid w:val="003D5E1C"/>
    <w:rsid w:val="003D5E4C"/>
    <w:rsid w:val="003D5F25"/>
    <w:rsid w:val="003D5F3E"/>
    <w:rsid w:val="003D60AE"/>
    <w:rsid w:val="003D62E4"/>
    <w:rsid w:val="003D6417"/>
    <w:rsid w:val="003D6443"/>
    <w:rsid w:val="003D64A3"/>
    <w:rsid w:val="003D6571"/>
    <w:rsid w:val="003D657E"/>
    <w:rsid w:val="003D66B6"/>
    <w:rsid w:val="003D6726"/>
    <w:rsid w:val="003D6774"/>
    <w:rsid w:val="003D678C"/>
    <w:rsid w:val="003D6843"/>
    <w:rsid w:val="003D6892"/>
    <w:rsid w:val="003D6AE4"/>
    <w:rsid w:val="003D6B55"/>
    <w:rsid w:val="003D6BC5"/>
    <w:rsid w:val="003D6BCB"/>
    <w:rsid w:val="003D6BE6"/>
    <w:rsid w:val="003D6C03"/>
    <w:rsid w:val="003D6C16"/>
    <w:rsid w:val="003D6C2A"/>
    <w:rsid w:val="003D6D25"/>
    <w:rsid w:val="003D6DD9"/>
    <w:rsid w:val="003D6DE7"/>
    <w:rsid w:val="003D6DEB"/>
    <w:rsid w:val="003D6DF1"/>
    <w:rsid w:val="003D705E"/>
    <w:rsid w:val="003D70C6"/>
    <w:rsid w:val="003D7129"/>
    <w:rsid w:val="003D719C"/>
    <w:rsid w:val="003D724C"/>
    <w:rsid w:val="003D757F"/>
    <w:rsid w:val="003D7759"/>
    <w:rsid w:val="003D77AE"/>
    <w:rsid w:val="003D77C0"/>
    <w:rsid w:val="003D7824"/>
    <w:rsid w:val="003D7834"/>
    <w:rsid w:val="003D7861"/>
    <w:rsid w:val="003D79AA"/>
    <w:rsid w:val="003D79AF"/>
    <w:rsid w:val="003D7A06"/>
    <w:rsid w:val="003D7B6D"/>
    <w:rsid w:val="003D7B73"/>
    <w:rsid w:val="003D7D7E"/>
    <w:rsid w:val="003D7DA8"/>
    <w:rsid w:val="003D7DB8"/>
    <w:rsid w:val="003D7E7F"/>
    <w:rsid w:val="003D7F74"/>
    <w:rsid w:val="003D7F98"/>
    <w:rsid w:val="003E0237"/>
    <w:rsid w:val="003E02BC"/>
    <w:rsid w:val="003E0312"/>
    <w:rsid w:val="003E044A"/>
    <w:rsid w:val="003E0470"/>
    <w:rsid w:val="003E04B1"/>
    <w:rsid w:val="003E05A9"/>
    <w:rsid w:val="003E05B1"/>
    <w:rsid w:val="003E05C2"/>
    <w:rsid w:val="003E0691"/>
    <w:rsid w:val="003E073B"/>
    <w:rsid w:val="003E07D3"/>
    <w:rsid w:val="003E07D7"/>
    <w:rsid w:val="003E09B1"/>
    <w:rsid w:val="003E0AFF"/>
    <w:rsid w:val="003E0B2E"/>
    <w:rsid w:val="003E0B89"/>
    <w:rsid w:val="003E0C1E"/>
    <w:rsid w:val="003E0C6B"/>
    <w:rsid w:val="003E0D6F"/>
    <w:rsid w:val="003E0DE0"/>
    <w:rsid w:val="003E0E0B"/>
    <w:rsid w:val="003E1040"/>
    <w:rsid w:val="003E1054"/>
    <w:rsid w:val="003E1056"/>
    <w:rsid w:val="003E10B6"/>
    <w:rsid w:val="003E1357"/>
    <w:rsid w:val="003E13B0"/>
    <w:rsid w:val="003E1438"/>
    <w:rsid w:val="003E1624"/>
    <w:rsid w:val="003E16A6"/>
    <w:rsid w:val="003E16C7"/>
    <w:rsid w:val="003E16D6"/>
    <w:rsid w:val="003E1784"/>
    <w:rsid w:val="003E1843"/>
    <w:rsid w:val="003E18BA"/>
    <w:rsid w:val="003E18BB"/>
    <w:rsid w:val="003E1AFD"/>
    <w:rsid w:val="003E1B39"/>
    <w:rsid w:val="003E1B88"/>
    <w:rsid w:val="003E1BB7"/>
    <w:rsid w:val="003E1CA9"/>
    <w:rsid w:val="003E1D14"/>
    <w:rsid w:val="003E1D5D"/>
    <w:rsid w:val="003E1E21"/>
    <w:rsid w:val="003E1EEF"/>
    <w:rsid w:val="003E2036"/>
    <w:rsid w:val="003E204C"/>
    <w:rsid w:val="003E2109"/>
    <w:rsid w:val="003E228A"/>
    <w:rsid w:val="003E235F"/>
    <w:rsid w:val="003E2463"/>
    <w:rsid w:val="003E2538"/>
    <w:rsid w:val="003E253C"/>
    <w:rsid w:val="003E27CC"/>
    <w:rsid w:val="003E283E"/>
    <w:rsid w:val="003E28F0"/>
    <w:rsid w:val="003E2939"/>
    <w:rsid w:val="003E2AAE"/>
    <w:rsid w:val="003E2B62"/>
    <w:rsid w:val="003E2BC8"/>
    <w:rsid w:val="003E2C80"/>
    <w:rsid w:val="003E2CA1"/>
    <w:rsid w:val="003E2DDD"/>
    <w:rsid w:val="003E2E9B"/>
    <w:rsid w:val="003E2EEB"/>
    <w:rsid w:val="003E2F14"/>
    <w:rsid w:val="003E30E6"/>
    <w:rsid w:val="003E310C"/>
    <w:rsid w:val="003E33D3"/>
    <w:rsid w:val="003E3691"/>
    <w:rsid w:val="003E3693"/>
    <w:rsid w:val="003E3695"/>
    <w:rsid w:val="003E36B6"/>
    <w:rsid w:val="003E36C6"/>
    <w:rsid w:val="003E36D6"/>
    <w:rsid w:val="003E376B"/>
    <w:rsid w:val="003E37A9"/>
    <w:rsid w:val="003E39DA"/>
    <w:rsid w:val="003E3A1C"/>
    <w:rsid w:val="003E3A26"/>
    <w:rsid w:val="003E3A2C"/>
    <w:rsid w:val="003E3A31"/>
    <w:rsid w:val="003E3A5A"/>
    <w:rsid w:val="003E3AF3"/>
    <w:rsid w:val="003E3B7B"/>
    <w:rsid w:val="003E3BD2"/>
    <w:rsid w:val="003E3CB5"/>
    <w:rsid w:val="003E3E31"/>
    <w:rsid w:val="003E3F1A"/>
    <w:rsid w:val="003E3F8B"/>
    <w:rsid w:val="003E4165"/>
    <w:rsid w:val="003E41EA"/>
    <w:rsid w:val="003E4256"/>
    <w:rsid w:val="003E4273"/>
    <w:rsid w:val="003E438B"/>
    <w:rsid w:val="003E43D4"/>
    <w:rsid w:val="003E4430"/>
    <w:rsid w:val="003E4554"/>
    <w:rsid w:val="003E460A"/>
    <w:rsid w:val="003E466C"/>
    <w:rsid w:val="003E470C"/>
    <w:rsid w:val="003E474A"/>
    <w:rsid w:val="003E4881"/>
    <w:rsid w:val="003E4930"/>
    <w:rsid w:val="003E4986"/>
    <w:rsid w:val="003E4B48"/>
    <w:rsid w:val="003E4B88"/>
    <w:rsid w:val="003E4CDD"/>
    <w:rsid w:val="003E4D67"/>
    <w:rsid w:val="003E4DFD"/>
    <w:rsid w:val="003E4DFE"/>
    <w:rsid w:val="003E4E1E"/>
    <w:rsid w:val="003E501B"/>
    <w:rsid w:val="003E5024"/>
    <w:rsid w:val="003E505C"/>
    <w:rsid w:val="003E5155"/>
    <w:rsid w:val="003E52AF"/>
    <w:rsid w:val="003E5369"/>
    <w:rsid w:val="003E5452"/>
    <w:rsid w:val="003E5647"/>
    <w:rsid w:val="003E5720"/>
    <w:rsid w:val="003E58D4"/>
    <w:rsid w:val="003E59A6"/>
    <w:rsid w:val="003E5AD6"/>
    <w:rsid w:val="003E5CEF"/>
    <w:rsid w:val="003E5E06"/>
    <w:rsid w:val="003E5F16"/>
    <w:rsid w:val="003E5F24"/>
    <w:rsid w:val="003E5F36"/>
    <w:rsid w:val="003E5F3A"/>
    <w:rsid w:val="003E5FE5"/>
    <w:rsid w:val="003E6014"/>
    <w:rsid w:val="003E609B"/>
    <w:rsid w:val="003E60CC"/>
    <w:rsid w:val="003E611A"/>
    <w:rsid w:val="003E611D"/>
    <w:rsid w:val="003E61C5"/>
    <w:rsid w:val="003E61E0"/>
    <w:rsid w:val="003E61F1"/>
    <w:rsid w:val="003E6233"/>
    <w:rsid w:val="003E628C"/>
    <w:rsid w:val="003E63CA"/>
    <w:rsid w:val="003E647A"/>
    <w:rsid w:val="003E64F6"/>
    <w:rsid w:val="003E6585"/>
    <w:rsid w:val="003E65E4"/>
    <w:rsid w:val="003E663A"/>
    <w:rsid w:val="003E66A1"/>
    <w:rsid w:val="003E66E9"/>
    <w:rsid w:val="003E6856"/>
    <w:rsid w:val="003E685B"/>
    <w:rsid w:val="003E6881"/>
    <w:rsid w:val="003E6948"/>
    <w:rsid w:val="003E6953"/>
    <w:rsid w:val="003E69DB"/>
    <w:rsid w:val="003E6A9E"/>
    <w:rsid w:val="003E6ADF"/>
    <w:rsid w:val="003E6B07"/>
    <w:rsid w:val="003E6B5C"/>
    <w:rsid w:val="003E6BB6"/>
    <w:rsid w:val="003E6BD5"/>
    <w:rsid w:val="003E6BF5"/>
    <w:rsid w:val="003E6CB3"/>
    <w:rsid w:val="003E6CCB"/>
    <w:rsid w:val="003E6D91"/>
    <w:rsid w:val="003E6DCD"/>
    <w:rsid w:val="003E6E16"/>
    <w:rsid w:val="003E6EA8"/>
    <w:rsid w:val="003E6FDD"/>
    <w:rsid w:val="003E7120"/>
    <w:rsid w:val="003E7174"/>
    <w:rsid w:val="003E724D"/>
    <w:rsid w:val="003E7476"/>
    <w:rsid w:val="003E74E8"/>
    <w:rsid w:val="003E74FB"/>
    <w:rsid w:val="003E75F0"/>
    <w:rsid w:val="003E7651"/>
    <w:rsid w:val="003E76C3"/>
    <w:rsid w:val="003E7730"/>
    <w:rsid w:val="003E773A"/>
    <w:rsid w:val="003E779C"/>
    <w:rsid w:val="003E77E0"/>
    <w:rsid w:val="003E7948"/>
    <w:rsid w:val="003E7BC7"/>
    <w:rsid w:val="003E7C24"/>
    <w:rsid w:val="003E7CD4"/>
    <w:rsid w:val="003E7DAF"/>
    <w:rsid w:val="003E7E81"/>
    <w:rsid w:val="003E7FCC"/>
    <w:rsid w:val="003F001A"/>
    <w:rsid w:val="003F0271"/>
    <w:rsid w:val="003F02DA"/>
    <w:rsid w:val="003F033E"/>
    <w:rsid w:val="003F03C5"/>
    <w:rsid w:val="003F03CF"/>
    <w:rsid w:val="003F0402"/>
    <w:rsid w:val="003F0435"/>
    <w:rsid w:val="003F044D"/>
    <w:rsid w:val="003F0450"/>
    <w:rsid w:val="003F05C2"/>
    <w:rsid w:val="003F05DD"/>
    <w:rsid w:val="003F06BE"/>
    <w:rsid w:val="003F07FA"/>
    <w:rsid w:val="003F0883"/>
    <w:rsid w:val="003F09A2"/>
    <w:rsid w:val="003F0B32"/>
    <w:rsid w:val="003F0C37"/>
    <w:rsid w:val="003F0CA5"/>
    <w:rsid w:val="003F0DA0"/>
    <w:rsid w:val="003F0DAE"/>
    <w:rsid w:val="003F0E80"/>
    <w:rsid w:val="003F0EE3"/>
    <w:rsid w:val="003F101A"/>
    <w:rsid w:val="003F103E"/>
    <w:rsid w:val="003F107D"/>
    <w:rsid w:val="003F11F5"/>
    <w:rsid w:val="003F1204"/>
    <w:rsid w:val="003F1303"/>
    <w:rsid w:val="003F13B6"/>
    <w:rsid w:val="003F1514"/>
    <w:rsid w:val="003F168D"/>
    <w:rsid w:val="003F16C1"/>
    <w:rsid w:val="003F173C"/>
    <w:rsid w:val="003F1814"/>
    <w:rsid w:val="003F185C"/>
    <w:rsid w:val="003F194D"/>
    <w:rsid w:val="003F19D1"/>
    <w:rsid w:val="003F1A84"/>
    <w:rsid w:val="003F1BAC"/>
    <w:rsid w:val="003F1BCE"/>
    <w:rsid w:val="003F1C76"/>
    <w:rsid w:val="003F1C9C"/>
    <w:rsid w:val="003F1DB9"/>
    <w:rsid w:val="003F205D"/>
    <w:rsid w:val="003F205E"/>
    <w:rsid w:val="003F2079"/>
    <w:rsid w:val="003F207F"/>
    <w:rsid w:val="003F20A6"/>
    <w:rsid w:val="003F2145"/>
    <w:rsid w:val="003F21A5"/>
    <w:rsid w:val="003F21F6"/>
    <w:rsid w:val="003F220B"/>
    <w:rsid w:val="003F226D"/>
    <w:rsid w:val="003F2347"/>
    <w:rsid w:val="003F238E"/>
    <w:rsid w:val="003F24C5"/>
    <w:rsid w:val="003F24CA"/>
    <w:rsid w:val="003F25E9"/>
    <w:rsid w:val="003F2633"/>
    <w:rsid w:val="003F267A"/>
    <w:rsid w:val="003F271E"/>
    <w:rsid w:val="003F28E1"/>
    <w:rsid w:val="003F29AE"/>
    <w:rsid w:val="003F29EB"/>
    <w:rsid w:val="003F2A17"/>
    <w:rsid w:val="003F2AA6"/>
    <w:rsid w:val="003F2B58"/>
    <w:rsid w:val="003F2B61"/>
    <w:rsid w:val="003F2BD6"/>
    <w:rsid w:val="003F2D9A"/>
    <w:rsid w:val="003F2E57"/>
    <w:rsid w:val="003F2EA1"/>
    <w:rsid w:val="003F2F06"/>
    <w:rsid w:val="003F2F8A"/>
    <w:rsid w:val="003F2F9D"/>
    <w:rsid w:val="003F3078"/>
    <w:rsid w:val="003F30CD"/>
    <w:rsid w:val="003F31EB"/>
    <w:rsid w:val="003F3245"/>
    <w:rsid w:val="003F3383"/>
    <w:rsid w:val="003F3444"/>
    <w:rsid w:val="003F3445"/>
    <w:rsid w:val="003F3557"/>
    <w:rsid w:val="003F35D2"/>
    <w:rsid w:val="003F35DB"/>
    <w:rsid w:val="003F36D2"/>
    <w:rsid w:val="003F36E9"/>
    <w:rsid w:val="003F372D"/>
    <w:rsid w:val="003F389F"/>
    <w:rsid w:val="003F3965"/>
    <w:rsid w:val="003F39E4"/>
    <w:rsid w:val="003F3A37"/>
    <w:rsid w:val="003F3C07"/>
    <w:rsid w:val="003F3C84"/>
    <w:rsid w:val="003F3D30"/>
    <w:rsid w:val="003F3D90"/>
    <w:rsid w:val="003F3DF5"/>
    <w:rsid w:val="003F3E84"/>
    <w:rsid w:val="003F3E9D"/>
    <w:rsid w:val="003F3F3D"/>
    <w:rsid w:val="003F40B9"/>
    <w:rsid w:val="003F418D"/>
    <w:rsid w:val="003F433F"/>
    <w:rsid w:val="003F439C"/>
    <w:rsid w:val="003F465D"/>
    <w:rsid w:val="003F469C"/>
    <w:rsid w:val="003F469E"/>
    <w:rsid w:val="003F46E9"/>
    <w:rsid w:val="003F4722"/>
    <w:rsid w:val="003F4774"/>
    <w:rsid w:val="003F47D0"/>
    <w:rsid w:val="003F481A"/>
    <w:rsid w:val="003F49D0"/>
    <w:rsid w:val="003F4AAA"/>
    <w:rsid w:val="003F4AE3"/>
    <w:rsid w:val="003F4C63"/>
    <w:rsid w:val="003F4CB1"/>
    <w:rsid w:val="003F4DDD"/>
    <w:rsid w:val="003F4E42"/>
    <w:rsid w:val="003F4E9E"/>
    <w:rsid w:val="003F50CC"/>
    <w:rsid w:val="003F50EA"/>
    <w:rsid w:val="003F5237"/>
    <w:rsid w:val="003F5296"/>
    <w:rsid w:val="003F529D"/>
    <w:rsid w:val="003F53E0"/>
    <w:rsid w:val="003F542F"/>
    <w:rsid w:val="003F5462"/>
    <w:rsid w:val="003F5487"/>
    <w:rsid w:val="003F5667"/>
    <w:rsid w:val="003F5851"/>
    <w:rsid w:val="003F595D"/>
    <w:rsid w:val="003F596B"/>
    <w:rsid w:val="003F59B5"/>
    <w:rsid w:val="003F5B84"/>
    <w:rsid w:val="003F5BE2"/>
    <w:rsid w:val="003F5CAE"/>
    <w:rsid w:val="003F5CB6"/>
    <w:rsid w:val="003F5D2F"/>
    <w:rsid w:val="003F5E92"/>
    <w:rsid w:val="003F5EB5"/>
    <w:rsid w:val="003F5EFD"/>
    <w:rsid w:val="003F5F47"/>
    <w:rsid w:val="003F5F4B"/>
    <w:rsid w:val="003F5FE5"/>
    <w:rsid w:val="003F60E8"/>
    <w:rsid w:val="003F626F"/>
    <w:rsid w:val="003F62D1"/>
    <w:rsid w:val="003F62D3"/>
    <w:rsid w:val="003F62E4"/>
    <w:rsid w:val="003F635A"/>
    <w:rsid w:val="003F6494"/>
    <w:rsid w:val="003F64DD"/>
    <w:rsid w:val="003F653F"/>
    <w:rsid w:val="003F65D8"/>
    <w:rsid w:val="003F6662"/>
    <w:rsid w:val="003F6808"/>
    <w:rsid w:val="003F688E"/>
    <w:rsid w:val="003F69C3"/>
    <w:rsid w:val="003F6AA1"/>
    <w:rsid w:val="003F6C9A"/>
    <w:rsid w:val="003F6CC2"/>
    <w:rsid w:val="003F6D11"/>
    <w:rsid w:val="003F6D9F"/>
    <w:rsid w:val="003F6E90"/>
    <w:rsid w:val="003F6EBD"/>
    <w:rsid w:val="003F6FC8"/>
    <w:rsid w:val="003F7054"/>
    <w:rsid w:val="003F709B"/>
    <w:rsid w:val="003F7177"/>
    <w:rsid w:val="003F733A"/>
    <w:rsid w:val="003F7441"/>
    <w:rsid w:val="003F74D6"/>
    <w:rsid w:val="003F755D"/>
    <w:rsid w:val="003F757F"/>
    <w:rsid w:val="003F76D9"/>
    <w:rsid w:val="003F772A"/>
    <w:rsid w:val="003F774E"/>
    <w:rsid w:val="003F774F"/>
    <w:rsid w:val="003F789B"/>
    <w:rsid w:val="003F78A7"/>
    <w:rsid w:val="003F7A86"/>
    <w:rsid w:val="003F7AAA"/>
    <w:rsid w:val="003F7AAB"/>
    <w:rsid w:val="003F7B22"/>
    <w:rsid w:val="003F7B67"/>
    <w:rsid w:val="003F7C1A"/>
    <w:rsid w:val="003F7CB8"/>
    <w:rsid w:val="003F7F54"/>
    <w:rsid w:val="004001AC"/>
    <w:rsid w:val="004001B6"/>
    <w:rsid w:val="004001BC"/>
    <w:rsid w:val="0040020F"/>
    <w:rsid w:val="00400215"/>
    <w:rsid w:val="004002E5"/>
    <w:rsid w:val="00400364"/>
    <w:rsid w:val="00400443"/>
    <w:rsid w:val="0040047D"/>
    <w:rsid w:val="004004C4"/>
    <w:rsid w:val="0040050C"/>
    <w:rsid w:val="00400556"/>
    <w:rsid w:val="00400603"/>
    <w:rsid w:val="004006CE"/>
    <w:rsid w:val="00400716"/>
    <w:rsid w:val="00400808"/>
    <w:rsid w:val="00400839"/>
    <w:rsid w:val="00400854"/>
    <w:rsid w:val="0040086B"/>
    <w:rsid w:val="0040090B"/>
    <w:rsid w:val="004009A0"/>
    <w:rsid w:val="00400AEC"/>
    <w:rsid w:val="00400BA5"/>
    <w:rsid w:val="00400C56"/>
    <w:rsid w:val="00400C63"/>
    <w:rsid w:val="00400CA9"/>
    <w:rsid w:val="00400CCE"/>
    <w:rsid w:val="00400D3E"/>
    <w:rsid w:val="00400D72"/>
    <w:rsid w:val="00400DCF"/>
    <w:rsid w:val="00400E4E"/>
    <w:rsid w:val="00400E6C"/>
    <w:rsid w:val="00400F57"/>
    <w:rsid w:val="00401017"/>
    <w:rsid w:val="00401182"/>
    <w:rsid w:val="00401214"/>
    <w:rsid w:val="00401223"/>
    <w:rsid w:val="004012B7"/>
    <w:rsid w:val="004012DA"/>
    <w:rsid w:val="004013B8"/>
    <w:rsid w:val="0040145B"/>
    <w:rsid w:val="0040149A"/>
    <w:rsid w:val="0040167C"/>
    <w:rsid w:val="00401777"/>
    <w:rsid w:val="00401804"/>
    <w:rsid w:val="00401830"/>
    <w:rsid w:val="0040183E"/>
    <w:rsid w:val="004018DA"/>
    <w:rsid w:val="004018F1"/>
    <w:rsid w:val="0040191F"/>
    <w:rsid w:val="0040194D"/>
    <w:rsid w:val="0040196D"/>
    <w:rsid w:val="00401BB5"/>
    <w:rsid w:val="00401BF1"/>
    <w:rsid w:val="00401CCA"/>
    <w:rsid w:val="00401D6A"/>
    <w:rsid w:val="00401DB3"/>
    <w:rsid w:val="00401DCF"/>
    <w:rsid w:val="00401E24"/>
    <w:rsid w:val="00401EB5"/>
    <w:rsid w:val="00402027"/>
    <w:rsid w:val="00402310"/>
    <w:rsid w:val="00402341"/>
    <w:rsid w:val="0040237D"/>
    <w:rsid w:val="00402434"/>
    <w:rsid w:val="0040255E"/>
    <w:rsid w:val="0040257D"/>
    <w:rsid w:val="00402592"/>
    <w:rsid w:val="004025C3"/>
    <w:rsid w:val="004025F0"/>
    <w:rsid w:val="0040267B"/>
    <w:rsid w:val="004026EC"/>
    <w:rsid w:val="0040270D"/>
    <w:rsid w:val="00402729"/>
    <w:rsid w:val="004027B8"/>
    <w:rsid w:val="00402806"/>
    <w:rsid w:val="00402843"/>
    <w:rsid w:val="00402875"/>
    <w:rsid w:val="004029E2"/>
    <w:rsid w:val="00402B75"/>
    <w:rsid w:val="00402C6B"/>
    <w:rsid w:val="00402CAD"/>
    <w:rsid w:val="00402CB2"/>
    <w:rsid w:val="00402D41"/>
    <w:rsid w:val="00402E09"/>
    <w:rsid w:val="00402E0F"/>
    <w:rsid w:val="00402E85"/>
    <w:rsid w:val="00402F3E"/>
    <w:rsid w:val="00402FFC"/>
    <w:rsid w:val="004030AA"/>
    <w:rsid w:val="004030AC"/>
    <w:rsid w:val="00403288"/>
    <w:rsid w:val="004033D3"/>
    <w:rsid w:val="00403483"/>
    <w:rsid w:val="004034C2"/>
    <w:rsid w:val="004036A2"/>
    <w:rsid w:val="004036E0"/>
    <w:rsid w:val="00403797"/>
    <w:rsid w:val="004037A0"/>
    <w:rsid w:val="004037B0"/>
    <w:rsid w:val="004037C7"/>
    <w:rsid w:val="004038C9"/>
    <w:rsid w:val="00403A96"/>
    <w:rsid w:val="00403AFA"/>
    <w:rsid w:val="00403B72"/>
    <w:rsid w:val="00403B8E"/>
    <w:rsid w:val="00403BAC"/>
    <w:rsid w:val="00403C28"/>
    <w:rsid w:val="00403CC6"/>
    <w:rsid w:val="00403EB9"/>
    <w:rsid w:val="00403EE1"/>
    <w:rsid w:val="00403F46"/>
    <w:rsid w:val="00403F81"/>
    <w:rsid w:val="00403FE2"/>
    <w:rsid w:val="0040400A"/>
    <w:rsid w:val="0040400F"/>
    <w:rsid w:val="00404050"/>
    <w:rsid w:val="0040409E"/>
    <w:rsid w:val="004040F6"/>
    <w:rsid w:val="00404109"/>
    <w:rsid w:val="00404232"/>
    <w:rsid w:val="0040432E"/>
    <w:rsid w:val="00404393"/>
    <w:rsid w:val="0040440B"/>
    <w:rsid w:val="004045A2"/>
    <w:rsid w:val="004045E2"/>
    <w:rsid w:val="00404601"/>
    <w:rsid w:val="0040460C"/>
    <w:rsid w:val="00404618"/>
    <w:rsid w:val="00404622"/>
    <w:rsid w:val="00404696"/>
    <w:rsid w:val="004046B5"/>
    <w:rsid w:val="00404703"/>
    <w:rsid w:val="00404708"/>
    <w:rsid w:val="0040470B"/>
    <w:rsid w:val="00404744"/>
    <w:rsid w:val="004047D2"/>
    <w:rsid w:val="004048EB"/>
    <w:rsid w:val="00404950"/>
    <w:rsid w:val="00404990"/>
    <w:rsid w:val="004049D6"/>
    <w:rsid w:val="00404AAB"/>
    <w:rsid w:val="00404B62"/>
    <w:rsid w:val="00404B8D"/>
    <w:rsid w:val="00404CD7"/>
    <w:rsid w:val="00404D4F"/>
    <w:rsid w:val="00404D54"/>
    <w:rsid w:val="00404E86"/>
    <w:rsid w:val="00404E88"/>
    <w:rsid w:val="00404F3B"/>
    <w:rsid w:val="00405131"/>
    <w:rsid w:val="00405146"/>
    <w:rsid w:val="004051DE"/>
    <w:rsid w:val="00405218"/>
    <w:rsid w:val="004052D2"/>
    <w:rsid w:val="004053A0"/>
    <w:rsid w:val="004053B4"/>
    <w:rsid w:val="004053F4"/>
    <w:rsid w:val="004054CB"/>
    <w:rsid w:val="00405590"/>
    <w:rsid w:val="0040571F"/>
    <w:rsid w:val="004058B6"/>
    <w:rsid w:val="004058F8"/>
    <w:rsid w:val="00405A6A"/>
    <w:rsid w:val="00405AA5"/>
    <w:rsid w:val="00405AD1"/>
    <w:rsid w:val="00405BFF"/>
    <w:rsid w:val="00405C72"/>
    <w:rsid w:val="00405C7E"/>
    <w:rsid w:val="00405E78"/>
    <w:rsid w:val="004061B3"/>
    <w:rsid w:val="004061FA"/>
    <w:rsid w:val="0040624C"/>
    <w:rsid w:val="004062B7"/>
    <w:rsid w:val="0040640D"/>
    <w:rsid w:val="00406437"/>
    <w:rsid w:val="0040658C"/>
    <w:rsid w:val="004065AA"/>
    <w:rsid w:val="00406641"/>
    <w:rsid w:val="00406821"/>
    <w:rsid w:val="004069E2"/>
    <w:rsid w:val="00406A21"/>
    <w:rsid w:val="00406ABF"/>
    <w:rsid w:val="00406C27"/>
    <w:rsid w:val="00406CDF"/>
    <w:rsid w:val="00406CF1"/>
    <w:rsid w:val="00406DE4"/>
    <w:rsid w:val="00407165"/>
    <w:rsid w:val="004072CE"/>
    <w:rsid w:val="0040732A"/>
    <w:rsid w:val="004074F2"/>
    <w:rsid w:val="0040762D"/>
    <w:rsid w:val="0040763E"/>
    <w:rsid w:val="00407730"/>
    <w:rsid w:val="004078F1"/>
    <w:rsid w:val="004079E3"/>
    <w:rsid w:val="00407A18"/>
    <w:rsid w:val="00407A4E"/>
    <w:rsid w:val="00407AAE"/>
    <w:rsid w:val="00407B3D"/>
    <w:rsid w:val="00407B8A"/>
    <w:rsid w:val="00407CA8"/>
    <w:rsid w:val="00407CF9"/>
    <w:rsid w:val="00407D40"/>
    <w:rsid w:val="00407D69"/>
    <w:rsid w:val="00407D9A"/>
    <w:rsid w:val="00407E59"/>
    <w:rsid w:val="00407E7E"/>
    <w:rsid w:val="00407FC1"/>
    <w:rsid w:val="00410095"/>
    <w:rsid w:val="004100DA"/>
    <w:rsid w:val="004101F6"/>
    <w:rsid w:val="0041037A"/>
    <w:rsid w:val="0041041D"/>
    <w:rsid w:val="00410480"/>
    <w:rsid w:val="00410496"/>
    <w:rsid w:val="00410519"/>
    <w:rsid w:val="0041058C"/>
    <w:rsid w:val="004105D1"/>
    <w:rsid w:val="00410673"/>
    <w:rsid w:val="0041068C"/>
    <w:rsid w:val="004106FD"/>
    <w:rsid w:val="004107A7"/>
    <w:rsid w:val="0041088E"/>
    <w:rsid w:val="0041095E"/>
    <w:rsid w:val="004109CE"/>
    <w:rsid w:val="00410A07"/>
    <w:rsid w:val="00410BCD"/>
    <w:rsid w:val="00410CA2"/>
    <w:rsid w:val="00410CC2"/>
    <w:rsid w:val="00410D79"/>
    <w:rsid w:val="00410D7E"/>
    <w:rsid w:val="00410E5C"/>
    <w:rsid w:val="00410F91"/>
    <w:rsid w:val="00410FE4"/>
    <w:rsid w:val="00411012"/>
    <w:rsid w:val="0041101C"/>
    <w:rsid w:val="0041130D"/>
    <w:rsid w:val="00411343"/>
    <w:rsid w:val="0041134D"/>
    <w:rsid w:val="004113DA"/>
    <w:rsid w:val="0041140E"/>
    <w:rsid w:val="004114DE"/>
    <w:rsid w:val="004114DF"/>
    <w:rsid w:val="00411545"/>
    <w:rsid w:val="00411561"/>
    <w:rsid w:val="004115A0"/>
    <w:rsid w:val="004115E2"/>
    <w:rsid w:val="00411644"/>
    <w:rsid w:val="00411723"/>
    <w:rsid w:val="0041180E"/>
    <w:rsid w:val="00411992"/>
    <w:rsid w:val="00411B5C"/>
    <w:rsid w:val="00411C21"/>
    <w:rsid w:val="00411C36"/>
    <w:rsid w:val="00411CB3"/>
    <w:rsid w:val="00411CE7"/>
    <w:rsid w:val="00411D34"/>
    <w:rsid w:val="00411D5F"/>
    <w:rsid w:val="0041206D"/>
    <w:rsid w:val="00412146"/>
    <w:rsid w:val="00412226"/>
    <w:rsid w:val="00412314"/>
    <w:rsid w:val="0041234A"/>
    <w:rsid w:val="00412352"/>
    <w:rsid w:val="0041259C"/>
    <w:rsid w:val="0041263B"/>
    <w:rsid w:val="00412678"/>
    <w:rsid w:val="004127C9"/>
    <w:rsid w:val="00412842"/>
    <w:rsid w:val="0041285A"/>
    <w:rsid w:val="00412876"/>
    <w:rsid w:val="0041287A"/>
    <w:rsid w:val="00412918"/>
    <w:rsid w:val="00412942"/>
    <w:rsid w:val="00412A24"/>
    <w:rsid w:val="00412AED"/>
    <w:rsid w:val="00412B13"/>
    <w:rsid w:val="00412CA4"/>
    <w:rsid w:val="00412F4D"/>
    <w:rsid w:val="0041306B"/>
    <w:rsid w:val="00413192"/>
    <w:rsid w:val="004132B2"/>
    <w:rsid w:val="00413336"/>
    <w:rsid w:val="00413447"/>
    <w:rsid w:val="004134B8"/>
    <w:rsid w:val="0041356A"/>
    <w:rsid w:val="00413598"/>
    <w:rsid w:val="004135F7"/>
    <w:rsid w:val="0041360F"/>
    <w:rsid w:val="004136C6"/>
    <w:rsid w:val="004137F2"/>
    <w:rsid w:val="00413944"/>
    <w:rsid w:val="00413977"/>
    <w:rsid w:val="00413B8A"/>
    <w:rsid w:val="00413C42"/>
    <w:rsid w:val="00413DA8"/>
    <w:rsid w:val="00413E4A"/>
    <w:rsid w:val="00413E92"/>
    <w:rsid w:val="00413F47"/>
    <w:rsid w:val="00413F70"/>
    <w:rsid w:val="00414057"/>
    <w:rsid w:val="0041422E"/>
    <w:rsid w:val="004143B9"/>
    <w:rsid w:val="0041444C"/>
    <w:rsid w:val="0041450E"/>
    <w:rsid w:val="00414631"/>
    <w:rsid w:val="0041488F"/>
    <w:rsid w:val="00414906"/>
    <w:rsid w:val="00414963"/>
    <w:rsid w:val="00414983"/>
    <w:rsid w:val="00414ABF"/>
    <w:rsid w:val="00414ADC"/>
    <w:rsid w:val="00414AE9"/>
    <w:rsid w:val="00414D41"/>
    <w:rsid w:val="00414D85"/>
    <w:rsid w:val="00414DDC"/>
    <w:rsid w:val="00414F43"/>
    <w:rsid w:val="0041502B"/>
    <w:rsid w:val="00415084"/>
    <w:rsid w:val="004150FE"/>
    <w:rsid w:val="00415317"/>
    <w:rsid w:val="00415376"/>
    <w:rsid w:val="00415384"/>
    <w:rsid w:val="004153E5"/>
    <w:rsid w:val="004153FF"/>
    <w:rsid w:val="00415596"/>
    <w:rsid w:val="004155F6"/>
    <w:rsid w:val="004156A3"/>
    <w:rsid w:val="004156D0"/>
    <w:rsid w:val="004156E4"/>
    <w:rsid w:val="00415712"/>
    <w:rsid w:val="00415732"/>
    <w:rsid w:val="00415755"/>
    <w:rsid w:val="00415862"/>
    <w:rsid w:val="004158C9"/>
    <w:rsid w:val="004158DF"/>
    <w:rsid w:val="00415A19"/>
    <w:rsid w:val="00415A71"/>
    <w:rsid w:val="00415A72"/>
    <w:rsid w:val="00415B0F"/>
    <w:rsid w:val="00415BC2"/>
    <w:rsid w:val="00415D4D"/>
    <w:rsid w:val="00415D84"/>
    <w:rsid w:val="00415DE6"/>
    <w:rsid w:val="00415FC4"/>
    <w:rsid w:val="00415FD6"/>
    <w:rsid w:val="004160DE"/>
    <w:rsid w:val="0041613B"/>
    <w:rsid w:val="004162C1"/>
    <w:rsid w:val="004162F5"/>
    <w:rsid w:val="00416376"/>
    <w:rsid w:val="0041638B"/>
    <w:rsid w:val="0041649E"/>
    <w:rsid w:val="004164ED"/>
    <w:rsid w:val="0041653D"/>
    <w:rsid w:val="004165DA"/>
    <w:rsid w:val="0041665B"/>
    <w:rsid w:val="00416673"/>
    <w:rsid w:val="0041667A"/>
    <w:rsid w:val="00416723"/>
    <w:rsid w:val="004167A4"/>
    <w:rsid w:val="00416838"/>
    <w:rsid w:val="0041695A"/>
    <w:rsid w:val="004169A0"/>
    <w:rsid w:val="004169F7"/>
    <w:rsid w:val="00416B0B"/>
    <w:rsid w:val="00416B18"/>
    <w:rsid w:val="00416B4E"/>
    <w:rsid w:val="00416D10"/>
    <w:rsid w:val="00416D68"/>
    <w:rsid w:val="00416F10"/>
    <w:rsid w:val="004170AE"/>
    <w:rsid w:val="004170DF"/>
    <w:rsid w:val="0041719D"/>
    <w:rsid w:val="00417208"/>
    <w:rsid w:val="0041720D"/>
    <w:rsid w:val="004172F2"/>
    <w:rsid w:val="004173CE"/>
    <w:rsid w:val="0041741D"/>
    <w:rsid w:val="004174B1"/>
    <w:rsid w:val="0041762B"/>
    <w:rsid w:val="004176CB"/>
    <w:rsid w:val="004177DC"/>
    <w:rsid w:val="0041785C"/>
    <w:rsid w:val="00417876"/>
    <w:rsid w:val="004178E3"/>
    <w:rsid w:val="00417975"/>
    <w:rsid w:val="00417985"/>
    <w:rsid w:val="004179F6"/>
    <w:rsid w:val="00417ACF"/>
    <w:rsid w:val="00417C1C"/>
    <w:rsid w:val="00417C38"/>
    <w:rsid w:val="00417C3F"/>
    <w:rsid w:val="00417CBA"/>
    <w:rsid w:val="00417CE9"/>
    <w:rsid w:val="00417D4B"/>
    <w:rsid w:val="00417DEF"/>
    <w:rsid w:val="00417E5D"/>
    <w:rsid w:val="00417ED1"/>
    <w:rsid w:val="00417EDD"/>
    <w:rsid w:val="00417F72"/>
    <w:rsid w:val="00417F85"/>
    <w:rsid w:val="00417F9E"/>
    <w:rsid w:val="00417FCE"/>
    <w:rsid w:val="0042006F"/>
    <w:rsid w:val="00420078"/>
    <w:rsid w:val="004200F1"/>
    <w:rsid w:val="00420103"/>
    <w:rsid w:val="0042017C"/>
    <w:rsid w:val="004201D6"/>
    <w:rsid w:val="00420291"/>
    <w:rsid w:val="004202FB"/>
    <w:rsid w:val="004205A0"/>
    <w:rsid w:val="0042060A"/>
    <w:rsid w:val="004206A7"/>
    <w:rsid w:val="0042081D"/>
    <w:rsid w:val="004209A7"/>
    <w:rsid w:val="004209B1"/>
    <w:rsid w:val="00420A3B"/>
    <w:rsid w:val="00420CCF"/>
    <w:rsid w:val="00420D0D"/>
    <w:rsid w:val="00420D0E"/>
    <w:rsid w:val="00420D66"/>
    <w:rsid w:val="00420E43"/>
    <w:rsid w:val="00420F89"/>
    <w:rsid w:val="00420FC0"/>
    <w:rsid w:val="00420FD5"/>
    <w:rsid w:val="0042108A"/>
    <w:rsid w:val="004210C6"/>
    <w:rsid w:val="00421147"/>
    <w:rsid w:val="00421209"/>
    <w:rsid w:val="00421271"/>
    <w:rsid w:val="004212E1"/>
    <w:rsid w:val="00421487"/>
    <w:rsid w:val="004214B9"/>
    <w:rsid w:val="0042161B"/>
    <w:rsid w:val="0042162D"/>
    <w:rsid w:val="0042169F"/>
    <w:rsid w:val="00421765"/>
    <w:rsid w:val="004217AD"/>
    <w:rsid w:val="004217C6"/>
    <w:rsid w:val="00421886"/>
    <w:rsid w:val="004219D1"/>
    <w:rsid w:val="00421A17"/>
    <w:rsid w:val="00421AAE"/>
    <w:rsid w:val="00421B83"/>
    <w:rsid w:val="00421BE2"/>
    <w:rsid w:val="00421C0A"/>
    <w:rsid w:val="00421C41"/>
    <w:rsid w:val="00421D11"/>
    <w:rsid w:val="00421D6E"/>
    <w:rsid w:val="00421EED"/>
    <w:rsid w:val="00421F68"/>
    <w:rsid w:val="00422014"/>
    <w:rsid w:val="004221BD"/>
    <w:rsid w:val="00422206"/>
    <w:rsid w:val="004222A1"/>
    <w:rsid w:val="004222CC"/>
    <w:rsid w:val="00422329"/>
    <w:rsid w:val="00422396"/>
    <w:rsid w:val="004223E9"/>
    <w:rsid w:val="0042241B"/>
    <w:rsid w:val="00422579"/>
    <w:rsid w:val="004225C1"/>
    <w:rsid w:val="004226C9"/>
    <w:rsid w:val="00422776"/>
    <w:rsid w:val="004228FE"/>
    <w:rsid w:val="00422957"/>
    <w:rsid w:val="004229F2"/>
    <w:rsid w:val="00422A3C"/>
    <w:rsid w:val="00422A5C"/>
    <w:rsid w:val="00422B59"/>
    <w:rsid w:val="00422BFD"/>
    <w:rsid w:val="00422C17"/>
    <w:rsid w:val="00422DDB"/>
    <w:rsid w:val="00422DE0"/>
    <w:rsid w:val="00422F42"/>
    <w:rsid w:val="00423052"/>
    <w:rsid w:val="0042305C"/>
    <w:rsid w:val="0042325C"/>
    <w:rsid w:val="00423268"/>
    <w:rsid w:val="00423376"/>
    <w:rsid w:val="0042338B"/>
    <w:rsid w:val="004233BF"/>
    <w:rsid w:val="004233FD"/>
    <w:rsid w:val="0042354E"/>
    <w:rsid w:val="00423569"/>
    <w:rsid w:val="00423798"/>
    <w:rsid w:val="00423859"/>
    <w:rsid w:val="004238C6"/>
    <w:rsid w:val="0042391F"/>
    <w:rsid w:val="004239CE"/>
    <w:rsid w:val="004239E0"/>
    <w:rsid w:val="00423AC1"/>
    <w:rsid w:val="00423B52"/>
    <w:rsid w:val="00423BC8"/>
    <w:rsid w:val="00423C4A"/>
    <w:rsid w:val="00423D11"/>
    <w:rsid w:val="00423D1D"/>
    <w:rsid w:val="00423F01"/>
    <w:rsid w:val="00423F1E"/>
    <w:rsid w:val="00423F75"/>
    <w:rsid w:val="00424192"/>
    <w:rsid w:val="004241D5"/>
    <w:rsid w:val="004241E5"/>
    <w:rsid w:val="004242FF"/>
    <w:rsid w:val="00424313"/>
    <w:rsid w:val="0042436D"/>
    <w:rsid w:val="00424571"/>
    <w:rsid w:val="004245B0"/>
    <w:rsid w:val="0042465E"/>
    <w:rsid w:val="004247D5"/>
    <w:rsid w:val="004247DD"/>
    <w:rsid w:val="00424810"/>
    <w:rsid w:val="0042484A"/>
    <w:rsid w:val="00424961"/>
    <w:rsid w:val="00424A58"/>
    <w:rsid w:val="00424A92"/>
    <w:rsid w:val="00424AF1"/>
    <w:rsid w:val="00424B5D"/>
    <w:rsid w:val="00424BE4"/>
    <w:rsid w:val="00424D0A"/>
    <w:rsid w:val="00424EAF"/>
    <w:rsid w:val="00424EB8"/>
    <w:rsid w:val="00424EFA"/>
    <w:rsid w:val="004250B2"/>
    <w:rsid w:val="004252AD"/>
    <w:rsid w:val="004252C5"/>
    <w:rsid w:val="0042536C"/>
    <w:rsid w:val="004254B4"/>
    <w:rsid w:val="004254EB"/>
    <w:rsid w:val="0042550E"/>
    <w:rsid w:val="00425580"/>
    <w:rsid w:val="00425652"/>
    <w:rsid w:val="00425680"/>
    <w:rsid w:val="004256B8"/>
    <w:rsid w:val="004257D7"/>
    <w:rsid w:val="004258C5"/>
    <w:rsid w:val="0042593A"/>
    <w:rsid w:val="004259DE"/>
    <w:rsid w:val="004259E6"/>
    <w:rsid w:val="00425AD4"/>
    <w:rsid w:val="00425B7E"/>
    <w:rsid w:val="00425BB2"/>
    <w:rsid w:val="00425C04"/>
    <w:rsid w:val="00425CB0"/>
    <w:rsid w:val="00425D43"/>
    <w:rsid w:val="00425DA1"/>
    <w:rsid w:val="00425E07"/>
    <w:rsid w:val="00425F12"/>
    <w:rsid w:val="00425F79"/>
    <w:rsid w:val="00426181"/>
    <w:rsid w:val="00426185"/>
    <w:rsid w:val="004261B3"/>
    <w:rsid w:val="004261F0"/>
    <w:rsid w:val="00426351"/>
    <w:rsid w:val="00426381"/>
    <w:rsid w:val="00426393"/>
    <w:rsid w:val="004263AC"/>
    <w:rsid w:val="00426419"/>
    <w:rsid w:val="0042641B"/>
    <w:rsid w:val="004264B5"/>
    <w:rsid w:val="004265AB"/>
    <w:rsid w:val="004265C2"/>
    <w:rsid w:val="004265D5"/>
    <w:rsid w:val="00426619"/>
    <w:rsid w:val="00426681"/>
    <w:rsid w:val="00426687"/>
    <w:rsid w:val="004266A8"/>
    <w:rsid w:val="00426703"/>
    <w:rsid w:val="0042674A"/>
    <w:rsid w:val="00426892"/>
    <w:rsid w:val="00426B59"/>
    <w:rsid w:val="00426CF1"/>
    <w:rsid w:val="00426D28"/>
    <w:rsid w:val="00426E63"/>
    <w:rsid w:val="00426EE7"/>
    <w:rsid w:val="00426EF1"/>
    <w:rsid w:val="00427025"/>
    <w:rsid w:val="00427102"/>
    <w:rsid w:val="0042719F"/>
    <w:rsid w:val="004271EA"/>
    <w:rsid w:val="0042728C"/>
    <w:rsid w:val="004272AC"/>
    <w:rsid w:val="0042734E"/>
    <w:rsid w:val="004274CA"/>
    <w:rsid w:val="0042751B"/>
    <w:rsid w:val="0042758B"/>
    <w:rsid w:val="004275BA"/>
    <w:rsid w:val="004276A4"/>
    <w:rsid w:val="004276BB"/>
    <w:rsid w:val="0042774A"/>
    <w:rsid w:val="0042776A"/>
    <w:rsid w:val="004277A5"/>
    <w:rsid w:val="004277FE"/>
    <w:rsid w:val="00427966"/>
    <w:rsid w:val="00427AF8"/>
    <w:rsid w:val="00427B6F"/>
    <w:rsid w:val="00427BAB"/>
    <w:rsid w:val="00427BCB"/>
    <w:rsid w:val="00427C53"/>
    <w:rsid w:val="00427D14"/>
    <w:rsid w:val="00427D47"/>
    <w:rsid w:val="00427E0F"/>
    <w:rsid w:val="0043000C"/>
    <w:rsid w:val="00430049"/>
    <w:rsid w:val="004302C7"/>
    <w:rsid w:val="004302FC"/>
    <w:rsid w:val="00430472"/>
    <w:rsid w:val="004304CE"/>
    <w:rsid w:val="004305BE"/>
    <w:rsid w:val="004306F7"/>
    <w:rsid w:val="00430700"/>
    <w:rsid w:val="0043071C"/>
    <w:rsid w:val="004307B1"/>
    <w:rsid w:val="0043082F"/>
    <w:rsid w:val="004308E5"/>
    <w:rsid w:val="00430979"/>
    <w:rsid w:val="00430999"/>
    <w:rsid w:val="00430A73"/>
    <w:rsid w:val="00430B4C"/>
    <w:rsid w:val="00430C86"/>
    <w:rsid w:val="00430E46"/>
    <w:rsid w:val="00430FA7"/>
    <w:rsid w:val="004310D6"/>
    <w:rsid w:val="00431198"/>
    <w:rsid w:val="004311A9"/>
    <w:rsid w:val="004311DF"/>
    <w:rsid w:val="00431259"/>
    <w:rsid w:val="00431262"/>
    <w:rsid w:val="0043127B"/>
    <w:rsid w:val="004312D5"/>
    <w:rsid w:val="0043146D"/>
    <w:rsid w:val="004314E7"/>
    <w:rsid w:val="00431558"/>
    <w:rsid w:val="004315B7"/>
    <w:rsid w:val="004315F5"/>
    <w:rsid w:val="0043186D"/>
    <w:rsid w:val="0043187F"/>
    <w:rsid w:val="004318B2"/>
    <w:rsid w:val="00431A98"/>
    <w:rsid w:val="00431ACC"/>
    <w:rsid w:val="00431CDB"/>
    <w:rsid w:val="00431D00"/>
    <w:rsid w:val="00432117"/>
    <w:rsid w:val="004322F0"/>
    <w:rsid w:val="00432315"/>
    <w:rsid w:val="0043239D"/>
    <w:rsid w:val="004323BE"/>
    <w:rsid w:val="00432408"/>
    <w:rsid w:val="004324BE"/>
    <w:rsid w:val="00432558"/>
    <w:rsid w:val="0043264C"/>
    <w:rsid w:val="00432662"/>
    <w:rsid w:val="00432730"/>
    <w:rsid w:val="004328D8"/>
    <w:rsid w:val="004328EC"/>
    <w:rsid w:val="0043292E"/>
    <w:rsid w:val="00432936"/>
    <w:rsid w:val="004329D3"/>
    <w:rsid w:val="00432A0E"/>
    <w:rsid w:val="00432A9E"/>
    <w:rsid w:val="00432ABD"/>
    <w:rsid w:val="00432C0F"/>
    <w:rsid w:val="00432C12"/>
    <w:rsid w:val="00432C99"/>
    <w:rsid w:val="00432D1A"/>
    <w:rsid w:val="00432D32"/>
    <w:rsid w:val="00432D5A"/>
    <w:rsid w:val="00432EDE"/>
    <w:rsid w:val="00432F32"/>
    <w:rsid w:val="00433011"/>
    <w:rsid w:val="00433156"/>
    <w:rsid w:val="00433283"/>
    <w:rsid w:val="004332AB"/>
    <w:rsid w:val="00433354"/>
    <w:rsid w:val="004334BE"/>
    <w:rsid w:val="0043350B"/>
    <w:rsid w:val="00433528"/>
    <w:rsid w:val="004335C3"/>
    <w:rsid w:val="00433659"/>
    <w:rsid w:val="00433723"/>
    <w:rsid w:val="004339D2"/>
    <w:rsid w:val="00433A3B"/>
    <w:rsid w:val="00433A53"/>
    <w:rsid w:val="00433AA2"/>
    <w:rsid w:val="00433B09"/>
    <w:rsid w:val="00433B1A"/>
    <w:rsid w:val="00433D3B"/>
    <w:rsid w:val="00433D4B"/>
    <w:rsid w:val="00433DC2"/>
    <w:rsid w:val="00433EA3"/>
    <w:rsid w:val="0043420F"/>
    <w:rsid w:val="0043425F"/>
    <w:rsid w:val="004342A1"/>
    <w:rsid w:val="0043431D"/>
    <w:rsid w:val="00434346"/>
    <w:rsid w:val="00434360"/>
    <w:rsid w:val="00434414"/>
    <w:rsid w:val="0043459D"/>
    <w:rsid w:val="00434633"/>
    <w:rsid w:val="0043464A"/>
    <w:rsid w:val="0043464C"/>
    <w:rsid w:val="00434694"/>
    <w:rsid w:val="00434826"/>
    <w:rsid w:val="004348C6"/>
    <w:rsid w:val="00434951"/>
    <w:rsid w:val="004349BD"/>
    <w:rsid w:val="00434A07"/>
    <w:rsid w:val="00434A16"/>
    <w:rsid w:val="00434B82"/>
    <w:rsid w:val="00434BC2"/>
    <w:rsid w:val="00434BF8"/>
    <w:rsid w:val="00434D7D"/>
    <w:rsid w:val="00434F58"/>
    <w:rsid w:val="00434F5E"/>
    <w:rsid w:val="0043501D"/>
    <w:rsid w:val="004351F8"/>
    <w:rsid w:val="00435231"/>
    <w:rsid w:val="004352ED"/>
    <w:rsid w:val="00435379"/>
    <w:rsid w:val="004353EB"/>
    <w:rsid w:val="0043551B"/>
    <w:rsid w:val="0043555D"/>
    <w:rsid w:val="0043556E"/>
    <w:rsid w:val="004356B9"/>
    <w:rsid w:val="0043576D"/>
    <w:rsid w:val="004357BF"/>
    <w:rsid w:val="004357C4"/>
    <w:rsid w:val="004359D9"/>
    <w:rsid w:val="00435A9A"/>
    <w:rsid w:val="00435B94"/>
    <w:rsid w:val="00435C4E"/>
    <w:rsid w:val="00435C87"/>
    <w:rsid w:val="00435F8E"/>
    <w:rsid w:val="00435FED"/>
    <w:rsid w:val="00436017"/>
    <w:rsid w:val="0043606C"/>
    <w:rsid w:val="00436254"/>
    <w:rsid w:val="00436309"/>
    <w:rsid w:val="0043634C"/>
    <w:rsid w:val="0043650F"/>
    <w:rsid w:val="00436535"/>
    <w:rsid w:val="00436700"/>
    <w:rsid w:val="00436759"/>
    <w:rsid w:val="004367BA"/>
    <w:rsid w:val="00436823"/>
    <w:rsid w:val="00436A67"/>
    <w:rsid w:val="00436AF4"/>
    <w:rsid w:val="00436B1D"/>
    <w:rsid w:val="00436B24"/>
    <w:rsid w:val="00436C53"/>
    <w:rsid w:val="00436C9D"/>
    <w:rsid w:val="00436D52"/>
    <w:rsid w:val="00436D82"/>
    <w:rsid w:val="00436F7C"/>
    <w:rsid w:val="0043707B"/>
    <w:rsid w:val="00437097"/>
    <w:rsid w:val="004370D4"/>
    <w:rsid w:val="004371E8"/>
    <w:rsid w:val="00437267"/>
    <w:rsid w:val="004372C6"/>
    <w:rsid w:val="004372DA"/>
    <w:rsid w:val="00437307"/>
    <w:rsid w:val="0043744D"/>
    <w:rsid w:val="004375A1"/>
    <w:rsid w:val="004375C6"/>
    <w:rsid w:val="004376D7"/>
    <w:rsid w:val="00437764"/>
    <w:rsid w:val="0043777A"/>
    <w:rsid w:val="004377FD"/>
    <w:rsid w:val="00437939"/>
    <w:rsid w:val="00437995"/>
    <w:rsid w:val="004379C7"/>
    <w:rsid w:val="00437A43"/>
    <w:rsid w:val="00437ADD"/>
    <w:rsid w:val="00437BEF"/>
    <w:rsid w:val="00437C35"/>
    <w:rsid w:val="00437DA9"/>
    <w:rsid w:val="00437DDD"/>
    <w:rsid w:val="00437E12"/>
    <w:rsid w:val="00437E5C"/>
    <w:rsid w:val="004400C6"/>
    <w:rsid w:val="0044022D"/>
    <w:rsid w:val="0044029D"/>
    <w:rsid w:val="004403CA"/>
    <w:rsid w:val="004403D5"/>
    <w:rsid w:val="004404EE"/>
    <w:rsid w:val="004404F2"/>
    <w:rsid w:val="0044053B"/>
    <w:rsid w:val="004405CC"/>
    <w:rsid w:val="004406E7"/>
    <w:rsid w:val="004406ED"/>
    <w:rsid w:val="00440789"/>
    <w:rsid w:val="004407D1"/>
    <w:rsid w:val="00440855"/>
    <w:rsid w:val="0044089D"/>
    <w:rsid w:val="004408DF"/>
    <w:rsid w:val="004409B6"/>
    <w:rsid w:val="00440AD7"/>
    <w:rsid w:val="00440B86"/>
    <w:rsid w:val="00440BEC"/>
    <w:rsid w:val="00440C5E"/>
    <w:rsid w:val="00440C9B"/>
    <w:rsid w:val="00440DBD"/>
    <w:rsid w:val="00440DC0"/>
    <w:rsid w:val="00440E93"/>
    <w:rsid w:val="00440EB4"/>
    <w:rsid w:val="0044105E"/>
    <w:rsid w:val="0044115D"/>
    <w:rsid w:val="004411BE"/>
    <w:rsid w:val="004411C2"/>
    <w:rsid w:val="00441306"/>
    <w:rsid w:val="004413AD"/>
    <w:rsid w:val="004413C3"/>
    <w:rsid w:val="00441449"/>
    <w:rsid w:val="00441561"/>
    <w:rsid w:val="00441592"/>
    <w:rsid w:val="00441629"/>
    <w:rsid w:val="004418B3"/>
    <w:rsid w:val="0044195C"/>
    <w:rsid w:val="00441966"/>
    <w:rsid w:val="00441BCD"/>
    <w:rsid w:val="00441C26"/>
    <w:rsid w:val="00441C70"/>
    <w:rsid w:val="00441D2E"/>
    <w:rsid w:val="00441E44"/>
    <w:rsid w:val="00441E8E"/>
    <w:rsid w:val="00441EA9"/>
    <w:rsid w:val="00441F35"/>
    <w:rsid w:val="00441FC3"/>
    <w:rsid w:val="00442026"/>
    <w:rsid w:val="0044203C"/>
    <w:rsid w:val="00442092"/>
    <w:rsid w:val="00442106"/>
    <w:rsid w:val="00442118"/>
    <w:rsid w:val="00442180"/>
    <w:rsid w:val="0044241C"/>
    <w:rsid w:val="00442425"/>
    <w:rsid w:val="0044243C"/>
    <w:rsid w:val="004424C1"/>
    <w:rsid w:val="0044257C"/>
    <w:rsid w:val="0044260A"/>
    <w:rsid w:val="00442648"/>
    <w:rsid w:val="004426BB"/>
    <w:rsid w:val="0044277C"/>
    <w:rsid w:val="00442823"/>
    <w:rsid w:val="00442826"/>
    <w:rsid w:val="004429AC"/>
    <w:rsid w:val="00442A2B"/>
    <w:rsid w:val="00442AD0"/>
    <w:rsid w:val="00442B6A"/>
    <w:rsid w:val="00442C4E"/>
    <w:rsid w:val="00442C6B"/>
    <w:rsid w:val="00442CE1"/>
    <w:rsid w:val="00442D29"/>
    <w:rsid w:val="00442D37"/>
    <w:rsid w:val="00442E0A"/>
    <w:rsid w:val="00442FA8"/>
    <w:rsid w:val="00443013"/>
    <w:rsid w:val="004430DB"/>
    <w:rsid w:val="004432C4"/>
    <w:rsid w:val="004432CD"/>
    <w:rsid w:val="0044331D"/>
    <w:rsid w:val="004433B4"/>
    <w:rsid w:val="0044340F"/>
    <w:rsid w:val="00443438"/>
    <w:rsid w:val="004434DF"/>
    <w:rsid w:val="00443750"/>
    <w:rsid w:val="0044375B"/>
    <w:rsid w:val="00443875"/>
    <w:rsid w:val="00443A49"/>
    <w:rsid w:val="00443B40"/>
    <w:rsid w:val="00443C41"/>
    <w:rsid w:val="00443D9D"/>
    <w:rsid w:val="00443DA3"/>
    <w:rsid w:val="00443DA6"/>
    <w:rsid w:val="00443E4A"/>
    <w:rsid w:val="00443F36"/>
    <w:rsid w:val="00443F86"/>
    <w:rsid w:val="00443FFC"/>
    <w:rsid w:val="00443FFF"/>
    <w:rsid w:val="0044424D"/>
    <w:rsid w:val="00444282"/>
    <w:rsid w:val="004442F2"/>
    <w:rsid w:val="004443BB"/>
    <w:rsid w:val="00444417"/>
    <w:rsid w:val="00444423"/>
    <w:rsid w:val="00444446"/>
    <w:rsid w:val="0044447C"/>
    <w:rsid w:val="0044455A"/>
    <w:rsid w:val="004446ED"/>
    <w:rsid w:val="0044491F"/>
    <w:rsid w:val="00444922"/>
    <w:rsid w:val="00444943"/>
    <w:rsid w:val="0044496D"/>
    <w:rsid w:val="004449A0"/>
    <w:rsid w:val="00444AB3"/>
    <w:rsid w:val="00444C08"/>
    <w:rsid w:val="00444C3E"/>
    <w:rsid w:val="00444CA2"/>
    <w:rsid w:val="00444CD2"/>
    <w:rsid w:val="00444CD8"/>
    <w:rsid w:val="00444D01"/>
    <w:rsid w:val="00444E2F"/>
    <w:rsid w:val="00444EE1"/>
    <w:rsid w:val="00444FB5"/>
    <w:rsid w:val="00445000"/>
    <w:rsid w:val="00445052"/>
    <w:rsid w:val="004452C1"/>
    <w:rsid w:val="0044531C"/>
    <w:rsid w:val="004453CC"/>
    <w:rsid w:val="00445483"/>
    <w:rsid w:val="0044551D"/>
    <w:rsid w:val="0044561C"/>
    <w:rsid w:val="00445741"/>
    <w:rsid w:val="00445766"/>
    <w:rsid w:val="00445833"/>
    <w:rsid w:val="00445840"/>
    <w:rsid w:val="00445855"/>
    <w:rsid w:val="0044587B"/>
    <w:rsid w:val="004458D6"/>
    <w:rsid w:val="0044595B"/>
    <w:rsid w:val="00445B1D"/>
    <w:rsid w:val="00445B5A"/>
    <w:rsid w:val="00445B85"/>
    <w:rsid w:val="00445B94"/>
    <w:rsid w:val="00445BCF"/>
    <w:rsid w:val="00445BD9"/>
    <w:rsid w:val="00445C36"/>
    <w:rsid w:val="00445D2F"/>
    <w:rsid w:val="00445DC6"/>
    <w:rsid w:val="00446032"/>
    <w:rsid w:val="00446088"/>
    <w:rsid w:val="00446152"/>
    <w:rsid w:val="004461BC"/>
    <w:rsid w:val="0044638E"/>
    <w:rsid w:val="004463B5"/>
    <w:rsid w:val="00446421"/>
    <w:rsid w:val="00446452"/>
    <w:rsid w:val="0044662A"/>
    <w:rsid w:val="004466B3"/>
    <w:rsid w:val="00446804"/>
    <w:rsid w:val="00446934"/>
    <w:rsid w:val="004469A5"/>
    <w:rsid w:val="004469FE"/>
    <w:rsid w:val="00446ABC"/>
    <w:rsid w:val="00446B52"/>
    <w:rsid w:val="00446C62"/>
    <w:rsid w:val="00446CF6"/>
    <w:rsid w:val="00446D75"/>
    <w:rsid w:val="00446DB2"/>
    <w:rsid w:val="00446DBE"/>
    <w:rsid w:val="00446FD9"/>
    <w:rsid w:val="00447031"/>
    <w:rsid w:val="00447102"/>
    <w:rsid w:val="004471CF"/>
    <w:rsid w:val="004472B7"/>
    <w:rsid w:val="004472CC"/>
    <w:rsid w:val="00447322"/>
    <w:rsid w:val="00447355"/>
    <w:rsid w:val="00447380"/>
    <w:rsid w:val="00447414"/>
    <w:rsid w:val="004474E7"/>
    <w:rsid w:val="0044766E"/>
    <w:rsid w:val="004476F1"/>
    <w:rsid w:val="00447702"/>
    <w:rsid w:val="004477BB"/>
    <w:rsid w:val="00447836"/>
    <w:rsid w:val="00447887"/>
    <w:rsid w:val="004478E4"/>
    <w:rsid w:val="00447904"/>
    <w:rsid w:val="00447A0D"/>
    <w:rsid w:val="00447CE3"/>
    <w:rsid w:val="00447CE7"/>
    <w:rsid w:val="00447D0E"/>
    <w:rsid w:val="00447E9B"/>
    <w:rsid w:val="0045018B"/>
    <w:rsid w:val="004501CD"/>
    <w:rsid w:val="004501D7"/>
    <w:rsid w:val="00450304"/>
    <w:rsid w:val="004504D6"/>
    <w:rsid w:val="0045079A"/>
    <w:rsid w:val="004507D7"/>
    <w:rsid w:val="00450823"/>
    <w:rsid w:val="004508D1"/>
    <w:rsid w:val="004508F4"/>
    <w:rsid w:val="00450915"/>
    <w:rsid w:val="00450932"/>
    <w:rsid w:val="00450A48"/>
    <w:rsid w:val="00450AA8"/>
    <w:rsid w:val="00450AED"/>
    <w:rsid w:val="00450B04"/>
    <w:rsid w:val="00450B68"/>
    <w:rsid w:val="00450C6D"/>
    <w:rsid w:val="00450C7D"/>
    <w:rsid w:val="00450D40"/>
    <w:rsid w:val="0045105D"/>
    <w:rsid w:val="00451124"/>
    <w:rsid w:val="004511E6"/>
    <w:rsid w:val="00451232"/>
    <w:rsid w:val="0045129B"/>
    <w:rsid w:val="004512B3"/>
    <w:rsid w:val="004512CA"/>
    <w:rsid w:val="00451330"/>
    <w:rsid w:val="00451361"/>
    <w:rsid w:val="00451371"/>
    <w:rsid w:val="004513FC"/>
    <w:rsid w:val="004514AE"/>
    <w:rsid w:val="004514BE"/>
    <w:rsid w:val="004514DF"/>
    <w:rsid w:val="00451590"/>
    <w:rsid w:val="0045175A"/>
    <w:rsid w:val="00451890"/>
    <w:rsid w:val="0045189A"/>
    <w:rsid w:val="004518F6"/>
    <w:rsid w:val="00451933"/>
    <w:rsid w:val="004519E8"/>
    <w:rsid w:val="00451A20"/>
    <w:rsid w:val="00451A56"/>
    <w:rsid w:val="00451B20"/>
    <w:rsid w:val="00451CFE"/>
    <w:rsid w:val="00451D29"/>
    <w:rsid w:val="00451D9E"/>
    <w:rsid w:val="00451E65"/>
    <w:rsid w:val="00451FDE"/>
    <w:rsid w:val="00452083"/>
    <w:rsid w:val="00452153"/>
    <w:rsid w:val="004523B6"/>
    <w:rsid w:val="00452588"/>
    <w:rsid w:val="004525F4"/>
    <w:rsid w:val="00452660"/>
    <w:rsid w:val="004526B4"/>
    <w:rsid w:val="004526F5"/>
    <w:rsid w:val="00452741"/>
    <w:rsid w:val="00452934"/>
    <w:rsid w:val="004529AF"/>
    <w:rsid w:val="00452A6F"/>
    <w:rsid w:val="00452BC7"/>
    <w:rsid w:val="00452C52"/>
    <w:rsid w:val="00452DC1"/>
    <w:rsid w:val="00452EEF"/>
    <w:rsid w:val="00452F04"/>
    <w:rsid w:val="00452F7D"/>
    <w:rsid w:val="0045301A"/>
    <w:rsid w:val="0045307D"/>
    <w:rsid w:val="0045309C"/>
    <w:rsid w:val="004530CE"/>
    <w:rsid w:val="00453252"/>
    <w:rsid w:val="0045330C"/>
    <w:rsid w:val="00453515"/>
    <w:rsid w:val="00453534"/>
    <w:rsid w:val="0045354C"/>
    <w:rsid w:val="00453610"/>
    <w:rsid w:val="00453758"/>
    <w:rsid w:val="00453783"/>
    <w:rsid w:val="004537DF"/>
    <w:rsid w:val="00453910"/>
    <w:rsid w:val="00453944"/>
    <w:rsid w:val="004539B8"/>
    <w:rsid w:val="00453A17"/>
    <w:rsid w:val="00453AAE"/>
    <w:rsid w:val="00453ABA"/>
    <w:rsid w:val="00453AC0"/>
    <w:rsid w:val="00453AF6"/>
    <w:rsid w:val="00453C36"/>
    <w:rsid w:val="00453C4C"/>
    <w:rsid w:val="00453CD2"/>
    <w:rsid w:val="00453E3E"/>
    <w:rsid w:val="00453E8B"/>
    <w:rsid w:val="00453F6B"/>
    <w:rsid w:val="00454007"/>
    <w:rsid w:val="00454029"/>
    <w:rsid w:val="004540F4"/>
    <w:rsid w:val="00454108"/>
    <w:rsid w:val="004541A8"/>
    <w:rsid w:val="00454200"/>
    <w:rsid w:val="00454242"/>
    <w:rsid w:val="0045435D"/>
    <w:rsid w:val="004543FD"/>
    <w:rsid w:val="00454459"/>
    <w:rsid w:val="00454504"/>
    <w:rsid w:val="0045453C"/>
    <w:rsid w:val="00454572"/>
    <w:rsid w:val="004545EA"/>
    <w:rsid w:val="004545F1"/>
    <w:rsid w:val="0045461D"/>
    <w:rsid w:val="00454914"/>
    <w:rsid w:val="004549EE"/>
    <w:rsid w:val="00454AED"/>
    <w:rsid w:val="00454C24"/>
    <w:rsid w:val="00454C54"/>
    <w:rsid w:val="00454D3E"/>
    <w:rsid w:val="00454DA9"/>
    <w:rsid w:val="00454DE9"/>
    <w:rsid w:val="00454EA2"/>
    <w:rsid w:val="00454EF0"/>
    <w:rsid w:val="00454F4F"/>
    <w:rsid w:val="00455060"/>
    <w:rsid w:val="004550F4"/>
    <w:rsid w:val="00455173"/>
    <w:rsid w:val="004551E5"/>
    <w:rsid w:val="0045522E"/>
    <w:rsid w:val="004552E7"/>
    <w:rsid w:val="00455341"/>
    <w:rsid w:val="00455348"/>
    <w:rsid w:val="00455359"/>
    <w:rsid w:val="00455383"/>
    <w:rsid w:val="0045549A"/>
    <w:rsid w:val="004554C0"/>
    <w:rsid w:val="00455793"/>
    <w:rsid w:val="004557CB"/>
    <w:rsid w:val="004557D1"/>
    <w:rsid w:val="00455850"/>
    <w:rsid w:val="0045588D"/>
    <w:rsid w:val="00455DA7"/>
    <w:rsid w:val="00455E66"/>
    <w:rsid w:val="00456072"/>
    <w:rsid w:val="004561DF"/>
    <w:rsid w:val="0045621D"/>
    <w:rsid w:val="0045626D"/>
    <w:rsid w:val="00456287"/>
    <w:rsid w:val="00456342"/>
    <w:rsid w:val="00456343"/>
    <w:rsid w:val="00456429"/>
    <w:rsid w:val="0045642E"/>
    <w:rsid w:val="00456442"/>
    <w:rsid w:val="00456814"/>
    <w:rsid w:val="00456998"/>
    <w:rsid w:val="00456A20"/>
    <w:rsid w:val="00456A29"/>
    <w:rsid w:val="00456B04"/>
    <w:rsid w:val="00456BD0"/>
    <w:rsid w:val="00456CAE"/>
    <w:rsid w:val="00456CE4"/>
    <w:rsid w:val="00456D21"/>
    <w:rsid w:val="00456D96"/>
    <w:rsid w:val="00456DDE"/>
    <w:rsid w:val="00456E2B"/>
    <w:rsid w:val="00456EFC"/>
    <w:rsid w:val="00456F18"/>
    <w:rsid w:val="00456F7D"/>
    <w:rsid w:val="00457122"/>
    <w:rsid w:val="004571A2"/>
    <w:rsid w:val="00457244"/>
    <w:rsid w:val="004572B2"/>
    <w:rsid w:val="00457333"/>
    <w:rsid w:val="00457339"/>
    <w:rsid w:val="00457381"/>
    <w:rsid w:val="004573D3"/>
    <w:rsid w:val="004574BC"/>
    <w:rsid w:val="004574D2"/>
    <w:rsid w:val="00457553"/>
    <w:rsid w:val="004576A0"/>
    <w:rsid w:val="00457728"/>
    <w:rsid w:val="00457750"/>
    <w:rsid w:val="00457A18"/>
    <w:rsid w:val="00457A60"/>
    <w:rsid w:val="00457BE5"/>
    <w:rsid w:val="00457C40"/>
    <w:rsid w:val="00457CE8"/>
    <w:rsid w:val="00457D78"/>
    <w:rsid w:val="00457D88"/>
    <w:rsid w:val="00457DBC"/>
    <w:rsid w:val="00457E06"/>
    <w:rsid w:val="00457E42"/>
    <w:rsid w:val="00457ED1"/>
    <w:rsid w:val="00457EF3"/>
    <w:rsid w:val="00457EFC"/>
    <w:rsid w:val="00457F38"/>
    <w:rsid w:val="00457F4D"/>
    <w:rsid w:val="0046003E"/>
    <w:rsid w:val="004602E4"/>
    <w:rsid w:val="004603CB"/>
    <w:rsid w:val="00460498"/>
    <w:rsid w:val="0046049D"/>
    <w:rsid w:val="00460513"/>
    <w:rsid w:val="00460582"/>
    <w:rsid w:val="004606CB"/>
    <w:rsid w:val="004606DF"/>
    <w:rsid w:val="00460742"/>
    <w:rsid w:val="004607E2"/>
    <w:rsid w:val="004608C5"/>
    <w:rsid w:val="00460913"/>
    <w:rsid w:val="0046094B"/>
    <w:rsid w:val="00460957"/>
    <w:rsid w:val="00460A1D"/>
    <w:rsid w:val="00460B22"/>
    <w:rsid w:val="00460BD3"/>
    <w:rsid w:val="00460D07"/>
    <w:rsid w:val="00460DBE"/>
    <w:rsid w:val="00460DFA"/>
    <w:rsid w:val="00460E0E"/>
    <w:rsid w:val="00460E6D"/>
    <w:rsid w:val="00460F49"/>
    <w:rsid w:val="00461006"/>
    <w:rsid w:val="00461048"/>
    <w:rsid w:val="0046106A"/>
    <w:rsid w:val="004610F1"/>
    <w:rsid w:val="00461104"/>
    <w:rsid w:val="0046118A"/>
    <w:rsid w:val="0046118E"/>
    <w:rsid w:val="004612F1"/>
    <w:rsid w:val="00461371"/>
    <w:rsid w:val="0046142F"/>
    <w:rsid w:val="004614A4"/>
    <w:rsid w:val="00461575"/>
    <w:rsid w:val="00461583"/>
    <w:rsid w:val="00461612"/>
    <w:rsid w:val="00461632"/>
    <w:rsid w:val="004617FE"/>
    <w:rsid w:val="0046195B"/>
    <w:rsid w:val="004619C8"/>
    <w:rsid w:val="00461ADA"/>
    <w:rsid w:val="00461AE1"/>
    <w:rsid w:val="00461B09"/>
    <w:rsid w:val="00461C63"/>
    <w:rsid w:val="00461C94"/>
    <w:rsid w:val="004620C0"/>
    <w:rsid w:val="00462108"/>
    <w:rsid w:val="0046212C"/>
    <w:rsid w:val="00462159"/>
    <w:rsid w:val="0046229D"/>
    <w:rsid w:val="00462380"/>
    <w:rsid w:val="00462553"/>
    <w:rsid w:val="0046266C"/>
    <w:rsid w:val="0046270F"/>
    <w:rsid w:val="004627BF"/>
    <w:rsid w:val="004629C3"/>
    <w:rsid w:val="004629D4"/>
    <w:rsid w:val="00462AAE"/>
    <w:rsid w:val="00462BCF"/>
    <w:rsid w:val="00462C69"/>
    <w:rsid w:val="00462C95"/>
    <w:rsid w:val="00462CEC"/>
    <w:rsid w:val="00462D01"/>
    <w:rsid w:val="00462E56"/>
    <w:rsid w:val="00462E63"/>
    <w:rsid w:val="00462F62"/>
    <w:rsid w:val="0046301A"/>
    <w:rsid w:val="0046322E"/>
    <w:rsid w:val="004632AC"/>
    <w:rsid w:val="0046331B"/>
    <w:rsid w:val="00463366"/>
    <w:rsid w:val="00463544"/>
    <w:rsid w:val="00463620"/>
    <w:rsid w:val="0046370D"/>
    <w:rsid w:val="00463741"/>
    <w:rsid w:val="004637C6"/>
    <w:rsid w:val="00463804"/>
    <w:rsid w:val="00463A2E"/>
    <w:rsid w:val="00463B24"/>
    <w:rsid w:val="00463B46"/>
    <w:rsid w:val="00463FC6"/>
    <w:rsid w:val="0046402B"/>
    <w:rsid w:val="0046412F"/>
    <w:rsid w:val="0046418C"/>
    <w:rsid w:val="004642C7"/>
    <w:rsid w:val="00464318"/>
    <w:rsid w:val="00464338"/>
    <w:rsid w:val="00464469"/>
    <w:rsid w:val="004647B7"/>
    <w:rsid w:val="004647DE"/>
    <w:rsid w:val="0046496A"/>
    <w:rsid w:val="004649EE"/>
    <w:rsid w:val="00464A1F"/>
    <w:rsid w:val="00464A25"/>
    <w:rsid w:val="00464AF7"/>
    <w:rsid w:val="00464B16"/>
    <w:rsid w:val="00464B8F"/>
    <w:rsid w:val="00464D62"/>
    <w:rsid w:val="00464E11"/>
    <w:rsid w:val="00464F36"/>
    <w:rsid w:val="00464FC3"/>
    <w:rsid w:val="0046509C"/>
    <w:rsid w:val="004650C4"/>
    <w:rsid w:val="004650D1"/>
    <w:rsid w:val="0046514A"/>
    <w:rsid w:val="004651B0"/>
    <w:rsid w:val="00465220"/>
    <w:rsid w:val="0046522E"/>
    <w:rsid w:val="004652D9"/>
    <w:rsid w:val="00465485"/>
    <w:rsid w:val="00465698"/>
    <w:rsid w:val="00465735"/>
    <w:rsid w:val="004657D4"/>
    <w:rsid w:val="004657EC"/>
    <w:rsid w:val="00465895"/>
    <w:rsid w:val="004658CE"/>
    <w:rsid w:val="004659D8"/>
    <w:rsid w:val="00465AAA"/>
    <w:rsid w:val="00465CA9"/>
    <w:rsid w:val="00465DA8"/>
    <w:rsid w:val="00465E9A"/>
    <w:rsid w:val="00465EB6"/>
    <w:rsid w:val="00465F03"/>
    <w:rsid w:val="00465F9A"/>
    <w:rsid w:val="00465FFB"/>
    <w:rsid w:val="00466091"/>
    <w:rsid w:val="004660C2"/>
    <w:rsid w:val="004661B3"/>
    <w:rsid w:val="0046625D"/>
    <w:rsid w:val="004662B1"/>
    <w:rsid w:val="00466340"/>
    <w:rsid w:val="004663D9"/>
    <w:rsid w:val="0046669B"/>
    <w:rsid w:val="00466857"/>
    <w:rsid w:val="00466922"/>
    <w:rsid w:val="00466A2B"/>
    <w:rsid w:val="00466A30"/>
    <w:rsid w:val="00466AAA"/>
    <w:rsid w:val="00466BEB"/>
    <w:rsid w:val="00466C2F"/>
    <w:rsid w:val="00466CEB"/>
    <w:rsid w:val="00466D30"/>
    <w:rsid w:val="00466DB6"/>
    <w:rsid w:val="00466F38"/>
    <w:rsid w:val="00466FD7"/>
    <w:rsid w:val="00467216"/>
    <w:rsid w:val="00467333"/>
    <w:rsid w:val="00467443"/>
    <w:rsid w:val="004674FD"/>
    <w:rsid w:val="004675DF"/>
    <w:rsid w:val="004677A3"/>
    <w:rsid w:val="004679A1"/>
    <w:rsid w:val="00467A47"/>
    <w:rsid w:val="00467AB9"/>
    <w:rsid w:val="00467AD5"/>
    <w:rsid w:val="00467C21"/>
    <w:rsid w:val="00467E40"/>
    <w:rsid w:val="00470036"/>
    <w:rsid w:val="0047022F"/>
    <w:rsid w:val="00470254"/>
    <w:rsid w:val="0047028A"/>
    <w:rsid w:val="0047031E"/>
    <w:rsid w:val="004704FE"/>
    <w:rsid w:val="004705DF"/>
    <w:rsid w:val="0047068F"/>
    <w:rsid w:val="0047077B"/>
    <w:rsid w:val="0047078A"/>
    <w:rsid w:val="00470799"/>
    <w:rsid w:val="0047081D"/>
    <w:rsid w:val="00470894"/>
    <w:rsid w:val="00470911"/>
    <w:rsid w:val="00470986"/>
    <w:rsid w:val="00470ABF"/>
    <w:rsid w:val="00470B0C"/>
    <w:rsid w:val="00470B95"/>
    <w:rsid w:val="00470BF4"/>
    <w:rsid w:val="00470CD3"/>
    <w:rsid w:val="00470D1A"/>
    <w:rsid w:val="00470F9F"/>
    <w:rsid w:val="00471136"/>
    <w:rsid w:val="0047119C"/>
    <w:rsid w:val="0047122C"/>
    <w:rsid w:val="0047126A"/>
    <w:rsid w:val="00471306"/>
    <w:rsid w:val="0047141B"/>
    <w:rsid w:val="0047168B"/>
    <w:rsid w:val="0047187C"/>
    <w:rsid w:val="004718EC"/>
    <w:rsid w:val="0047197E"/>
    <w:rsid w:val="004719D0"/>
    <w:rsid w:val="00471B31"/>
    <w:rsid w:val="00471BE4"/>
    <w:rsid w:val="00471CC0"/>
    <w:rsid w:val="00471D00"/>
    <w:rsid w:val="00471ECE"/>
    <w:rsid w:val="00471F80"/>
    <w:rsid w:val="00471FAD"/>
    <w:rsid w:val="00471FF8"/>
    <w:rsid w:val="0047200C"/>
    <w:rsid w:val="0047202F"/>
    <w:rsid w:val="00472077"/>
    <w:rsid w:val="0047207D"/>
    <w:rsid w:val="0047215F"/>
    <w:rsid w:val="004721A5"/>
    <w:rsid w:val="004722A6"/>
    <w:rsid w:val="0047237C"/>
    <w:rsid w:val="0047261A"/>
    <w:rsid w:val="00472742"/>
    <w:rsid w:val="00472890"/>
    <w:rsid w:val="00472B66"/>
    <w:rsid w:val="00472B89"/>
    <w:rsid w:val="00472DCC"/>
    <w:rsid w:val="00472E66"/>
    <w:rsid w:val="00472F3C"/>
    <w:rsid w:val="00472FAF"/>
    <w:rsid w:val="00473239"/>
    <w:rsid w:val="00473295"/>
    <w:rsid w:val="004732D4"/>
    <w:rsid w:val="00473322"/>
    <w:rsid w:val="004733D3"/>
    <w:rsid w:val="004735EE"/>
    <w:rsid w:val="0047365B"/>
    <w:rsid w:val="004737F0"/>
    <w:rsid w:val="0047383C"/>
    <w:rsid w:val="004738CA"/>
    <w:rsid w:val="00473969"/>
    <w:rsid w:val="0047397C"/>
    <w:rsid w:val="00473A1E"/>
    <w:rsid w:val="00473A28"/>
    <w:rsid w:val="00473A89"/>
    <w:rsid w:val="00473B90"/>
    <w:rsid w:val="00473BD0"/>
    <w:rsid w:val="00473BD7"/>
    <w:rsid w:val="00473BEF"/>
    <w:rsid w:val="00473BF4"/>
    <w:rsid w:val="00473CB0"/>
    <w:rsid w:val="00473D02"/>
    <w:rsid w:val="00473D4F"/>
    <w:rsid w:val="00473DD8"/>
    <w:rsid w:val="00473E14"/>
    <w:rsid w:val="00473F1B"/>
    <w:rsid w:val="00473F38"/>
    <w:rsid w:val="00473F50"/>
    <w:rsid w:val="00473F54"/>
    <w:rsid w:val="00473F85"/>
    <w:rsid w:val="00473F92"/>
    <w:rsid w:val="00473F9C"/>
    <w:rsid w:val="00474160"/>
    <w:rsid w:val="004741DB"/>
    <w:rsid w:val="004741F2"/>
    <w:rsid w:val="004742BB"/>
    <w:rsid w:val="0047441A"/>
    <w:rsid w:val="00474452"/>
    <w:rsid w:val="004746C4"/>
    <w:rsid w:val="00474936"/>
    <w:rsid w:val="004749AA"/>
    <w:rsid w:val="00474A81"/>
    <w:rsid w:val="00474C48"/>
    <w:rsid w:val="00474D0D"/>
    <w:rsid w:val="00474D8C"/>
    <w:rsid w:val="00474E7B"/>
    <w:rsid w:val="00474EB9"/>
    <w:rsid w:val="0047514B"/>
    <w:rsid w:val="004754B0"/>
    <w:rsid w:val="00475595"/>
    <w:rsid w:val="00475657"/>
    <w:rsid w:val="004756E5"/>
    <w:rsid w:val="00475911"/>
    <w:rsid w:val="00475965"/>
    <w:rsid w:val="0047598B"/>
    <w:rsid w:val="004759AB"/>
    <w:rsid w:val="004759F9"/>
    <w:rsid w:val="00475BDB"/>
    <w:rsid w:val="00475C16"/>
    <w:rsid w:val="00475C3B"/>
    <w:rsid w:val="00475D3E"/>
    <w:rsid w:val="00475D42"/>
    <w:rsid w:val="00475E90"/>
    <w:rsid w:val="00475F31"/>
    <w:rsid w:val="00475F64"/>
    <w:rsid w:val="004761B8"/>
    <w:rsid w:val="004763AB"/>
    <w:rsid w:val="004763B0"/>
    <w:rsid w:val="004763FD"/>
    <w:rsid w:val="00476427"/>
    <w:rsid w:val="00476436"/>
    <w:rsid w:val="0047643B"/>
    <w:rsid w:val="00476458"/>
    <w:rsid w:val="0047654B"/>
    <w:rsid w:val="004766C4"/>
    <w:rsid w:val="004766CB"/>
    <w:rsid w:val="00476705"/>
    <w:rsid w:val="004768EB"/>
    <w:rsid w:val="00476925"/>
    <w:rsid w:val="004769F9"/>
    <w:rsid w:val="00476A31"/>
    <w:rsid w:val="00476A7E"/>
    <w:rsid w:val="00476C67"/>
    <w:rsid w:val="00476CB5"/>
    <w:rsid w:val="00476D4D"/>
    <w:rsid w:val="00476D98"/>
    <w:rsid w:val="00476DA9"/>
    <w:rsid w:val="00476F6A"/>
    <w:rsid w:val="004770BE"/>
    <w:rsid w:val="0047723F"/>
    <w:rsid w:val="004772E8"/>
    <w:rsid w:val="004773CF"/>
    <w:rsid w:val="004775DB"/>
    <w:rsid w:val="00477825"/>
    <w:rsid w:val="0047782D"/>
    <w:rsid w:val="00477889"/>
    <w:rsid w:val="004778C6"/>
    <w:rsid w:val="004778E8"/>
    <w:rsid w:val="00477958"/>
    <w:rsid w:val="004779BF"/>
    <w:rsid w:val="004779C3"/>
    <w:rsid w:val="00477AA2"/>
    <w:rsid w:val="00477C6D"/>
    <w:rsid w:val="00477C9E"/>
    <w:rsid w:val="00477CB6"/>
    <w:rsid w:val="00477DA1"/>
    <w:rsid w:val="00480045"/>
    <w:rsid w:val="004800C8"/>
    <w:rsid w:val="004802F9"/>
    <w:rsid w:val="00480342"/>
    <w:rsid w:val="00480349"/>
    <w:rsid w:val="004803E7"/>
    <w:rsid w:val="004805B4"/>
    <w:rsid w:val="004806E1"/>
    <w:rsid w:val="004806F1"/>
    <w:rsid w:val="004807B2"/>
    <w:rsid w:val="00480899"/>
    <w:rsid w:val="00480972"/>
    <w:rsid w:val="00480A09"/>
    <w:rsid w:val="00480AED"/>
    <w:rsid w:val="00480BF9"/>
    <w:rsid w:val="00480C1F"/>
    <w:rsid w:val="00480D71"/>
    <w:rsid w:val="00480E39"/>
    <w:rsid w:val="00480EBA"/>
    <w:rsid w:val="00480F3E"/>
    <w:rsid w:val="0048118C"/>
    <w:rsid w:val="00481292"/>
    <w:rsid w:val="00481383"/>
    <w:rsid w:val="004813A6"/>
    <w:rsid w:val="004813C9"/>
    <w:rsid w:val="004815E7"/>
    <w:rsid w:val="00481696"/>
    <w:rsid w:val="004818B5"/>
    <w:rsid w:val="0048192E"/>
    <w:rsid w:val="00481BB8"/>
    <w:rsid w:val="00481CEB"/>
    <w:rsid w:val="00481D87"/>
    <w:rsid w:val="00481DBB"/>
    <w:rsid w:val="00481DD4"/>
    <w:rsid w:val="00481EB6"/>
    <w:rsid w:val="00481EED"/>
    <w:rsid w:val="00481F83"/>
    <w:rsid w:val="00482098"/>
    <w:rsid w:val="004820AA"/>
    <w:rsid w:val="00482110"/>
    <w:rsid w:val="004821D2"/>
    <w:rsid w:val="0048224A"/>
    <w:rsid w:val="0048224C"/>
    <w:rsid w:val="004822E2"/>
    <w:rsid w:val="00482369"/>
    <w:rsid w:val="00482401"/>
    <w:rsid w:val="0048245F"/>
    <w:rsid w:val="0048248E"/>
    <w:rsid w:val="00482569"/>
    <w:rsid w:val="004825B3"/>
    <w:rsid w:val="004826B0"/>
    <w:rsid w:val="004826CF"/>
    <w:rsid w:val="00482828"/>
    <w:rsid w:val="0048286F"/>
    <w:rsid w:val="004829ED"/>
    <w:rsid w:val="00482BD4"/>
    <w:rsid w:val="00482C32"/>
    <w:rsid w:val="00482D68"/>
    <w:rsid w:val="00482D7E"/>
    <w:rsid w:val="00482D8A"/>
    <w:rsid w:val="00482E26"/>
    <w:rsid w:val="00482F3E"/>
    <w:rsid w:val="00482F87"/>
    <w:rsid w:val="00483027"/>
    <w:rsid w:val="00483036"/>
    <w:rsid w:val="004830C4"/>
    <w:rsid w:val="00483119"/>
    <w:rsid w:val="00483191"/>
    <w:rsid w:val="004831BF"/>
    <w:rsid w:val="00483203"/>
    <w:rsid w:val="00483232"/>
    <w:rsid w:val="004833AB"/>
    <w:rsid w:val="0048351C"/>
    <w:rsid w:val="0048355D"/>
    <w:rsid w:val="004836A6"/>
    <w:rsid w:val="0048370F"/>
    <w:rsid w:val="004837CA"/>
    <w:rsid w:val="004837DB"/>
    <w:rsid w:val="00483828"/>
    <w:rsid w:val="0048382C"/>
    <w:rsid w:val="004838F5"/>
    <w:rsid w:val="00483962"/>
    <w:rsid w:val="004839F9"/>
    <w:rsid w:val="00483A0D"/>
    <w:rsid w:val="00483A37"/>
    <w:rsid w:val="00483A7E"/>
    <w:rsid w:val="00483B1C"/>
    <w:rsid w:val="00483C06"/>
    <w:rsid w:val="00483E65"/>
    <w:rsid w:val="00483EE2"/>
    <w:rsid w:val="0048406C"/>
    <w:rsid w:val="004841AB"/>
    <w:rsid w:val="004841E3"/>
    <w:rsid w:val="0048424E"/>
    <w:rsid w:val="004842A4"/>
    <w:rsid w:val="004842BC"/>
    <w:rsid w:val="004842F2"/>
    <w:rsid w:val="00484358"/>
    <w:rsid w:val="00484364"/>
    <w:rsid w:val="004843C7"/>
    <w:rsid w:val="004844DB"/>
    <w:rsid w:val="00484664"/>
    <w:rsid w:val="00484759"/>
    <w:rsid w:val="00484820"/>
    <w:rsid w:val="0048486A"/>
    <w:rsid w:val="004849C9"/>
    <w:rsid w:val="00484BA9"/>
    <w:rsid w:val="00484C45"/>
    <w:rsid w:val="00484CCF"/>
    <w:rsid w:val="00484DEB"/>
    <w:rsid w:val="00484EC8"/>
    <w:rsid w:val="00484F5F"/>
    <w:rsid w:val="00485059"/>
    <w:rsid w:val="0048506B"/>
    <w:rsid w:val="004850BE"/>
    <w:rsid w:val="004850EB"/>
    <w:rsid w:val="00485258"/>
    <w:rsid w:val="00485289"/>
    <w:rsid w:val="0048530A"/>
    <w:rsid w:val="00485323"/>
    <w:rsid w:val="0048533E"/>
    <w:rsid w:val="00485478"/>
    <w:rsid w:val="00485494"/>
    <w:rsid w:val="004854BA"/>
    <w:rsid w:val="004855DC"/>
    <w:rsid w:val="00485626"/>
    <w:rsid w:val="00485684"/>
    <w:rsid w:val="004857CC"/>
    <w:rsid w:val="00485923"/>
    <w:rsid w:val="00485ABB"/>
    <w:rsid w:val="00485BA6"/>
    <w:rsid w:val="00485C60"/>
    <w:rsid w:val="00485D63"/>
    <w:rsid w:val="00485D9C"/>
    <w:rsid w:val="00485E37"/>
    <w:rsid w:val="00485F6E"/>
    <w:rsid w:val="0048604E"/>
    <w:rsid w:val="004860C2"/>
    <w:rsid w:val="00486127"/>
    <w:rsid w:val="00486139"/>
    <w:rsid w:val="0048620E"/>
    <w:rsid w:val="004862AB"/>
    <w:rsid w:val="004862EB"/>
    <w:rsid w:val="00486361"/>
    <w:rsid w:val="0048639C"/>
    <w:rsid w:val="0048651C"/>
    <w:rsid w:val="0048659C"/>
    <w:rsid w:val="004865A0"/>
    <w:rsid w:val="004866DA"/>
    <w:rsid w:val="00486874"/>
    <w:rsid w:val="00486957"/>
    <w:rsid w:val="00486ADB"/>
    <w:rsid w:val="00486B5F"/>
    <w:rsid w:val="00486B67"/>
    <w:rsid w:val="00486B7F"/>
    <w:rsid w:val="00486C86"/>
    <w:rsid w:val="00486D0F"/>
    <w:rsid w:val="00486D74"/>
    <w:rsid w:val="00486E5A"/>
    <w:rsid w:val="00486EB8"/>
    <w:rsid w:val="00486F7B"/>
    <w:rsid w:val="00486FB3"/>
    <w:rsid w:val="00486FB7"/>
    <w:rsid w:val="00487166"/>
    <w:rsid w:val="004871A6"/>
    <w:rsid w:val="00487202"/>
    <w:rsid w:val="00487269"/>
    <w:rsid w:val="004872BB"/>
    <w:rsid w:val="004872F7"/>
    <w:rsid w:val="00487324"/>
    <w:rsid w:val="00487344"/>
    <w:rsid w:val="0048736D"/>
    <w:rsid w:val="00487557"/>
    <w:rsid w:val="0048755F"/>
    <w:rsid w:val="00487599"/>
    <w:rsid w:val="004876DC"/>
    <w:rsid w:val="004876DD"/>
    <w:rsid w:val="004876FD"/>
    <w:rsid w:val="0048781D"/>
    <w:rsid w:val="00487843"/>
    <w:rsid w:val="004878D7"/>
    <w:rsid w:val="00487A95"/>
    <w:rsid w:val="00487B7D"/>
    <w:rsid w:val="00487C53"/>
    <w:rsid w:val="00487C97"/>
    <w:rsid w:val="00487C9D"/>
    <w:rsid w:val="00487D32"/>
    <w:rsid w:val="00487F87"/>
    <w:rsid w:val="0049004D"/>
    <w:rsid w:val="00490094"/>
    <w:rsid w:val="004900F6"/>
    <w:rsid w:val="00490122"/>
    <w:rsid w:val="004901CB"/>
    <w:rsid w:val="004902B9"/>
    <w:rsid w:val="004903A1"/>
    <w:rsid w:val="004903C5"/>
    <w:rsid w:val="00490446"/>
    <w:rsid w:val="0049045E"/>
    <w:rsid w:val="00490473"/>
    <w:rsid w:val="0049062C"/>
    <w:rsid w:val="004907C5"/>
    <w:rsid w:val="00490A4E"/>
    <w:rsid w:val="00490B58"/>
    <w:rsid w:val="00490C1F"/>
    <w:rsid w:val="00490C8D"/>
    <w:rsid w:val="00490C9E"/>
    <w:rsid w:val="00490CD4"/>
    <w:rsid w:val="00490EB1"/>
    <w:rsid w:val="00491174"/>
    <w:rsid w:val="0049124E"/>
    <w:rsid w:val="0049128A"/>
    <w:rsid w:val="00491307"/>
    <w:rsid w:val="00491544"/>
    <w:rsid w:val="0049157A"/>
    <w:rsid w:val="00491662"/>
    <w:rsid w:val="0049173C"/>
    <w:rsid w:val="00491799"/>
    <w:rsid w:val="00491815"/>
    <w:rsid w:val="0049189D"/>
    <w:rsid w:val="004918C3"/>
    <w:rsid w:val="00491D1B"/>
    <w:rsid w:val="00491D90"/>
    <w:rsid w:val="00491DA6"/>
    <w:rsid w:val="00491DEB"/>
    <w:rsid w:val="00491DFE"/>
    <w:rsid w:val="00491E42"/>
    <w:rsid w:val="00491F9B"/>
    <w:rsid w:val="0049218A"/>
    <w:rsid w:val="004921D5"/>
    <w:rsid w:val="0049220F"/>
    <w:rsid w:val="00492236"/>
    <w:rsid w:val="004924F3"/>
    <w:rsid w:val="004925BF"/>
    <w:rsid w:val="00492613"/>
    <w:rsid w:val="004926B7"/>
    <w:rsid w:val="00492795"/>
    <w:rsid w:val="00492806"/>
    <w:rsid w:val="00492829"/>
    <w:rsid w:val="00492993"/>
    <w:rsid w:val="00492B0C"/>
    <w:rsid w:val="00492CE2"/>
    <w:rsid w:val="00492E7C"/>
    <w:rsid w:val="00492F12"/>
    <w:rsid w:val="00493097"/>
    <w:rsid w:val="004930B9"/>
    <w:rsid w:val="0049325A"/>
    <w:rsid w:val="004932F1"/>
    <w:rsid w:val="0049332A"/>
    <w:rsid w:val="004933A0"/>
    <w:rsid w:val="00493487"/>
    <w:rsid w:val="0049349D"/>
    <w:rsid w:val="004934B0"/>
    <w:rsid w:val="00493630"/>
    <w:rsid w:val="0049363E"/>
    <w:rsid w:val="004936F3"/>
    <w:rsid w:val="004938CF"/>
    <w:rsid w:val="00493AAB"/>
    <w:rsid w:val="00493D10"/>
    <w:rsid w:val="00493D35"/>
    <w:rsid w:val="00493E02"/>
    <w:rsid w:val="00493E94"/>
    <w:rsid w:val="00493ED0"/>
    <w:rsid w:val="00493EFC"/>
    <w:rsid w:val="00494038"/>
    <w:rsid w:val="004941EA"/>
    <w:rsid w:val="004942F2"/>
    <w:rsid w:val="00494396"/>
    <w:rsid w:val="004943EE"/>
    <w:rsid w:val="0049446A"/>
    <w:rsid w:val="00494563"/>
    <w:rsid w:val="00494742"/>
    <w:rsid w:val="0049479C"/>
    <w:rsid w:val="00494865"/>
    <w:rsid w:val="0049488D"/>
    <w:rsid w:val="004949C8"/>
    <w:rsid w:val="00494BCD"/>
    <w:rsid w:val="00494CB9"/>
    <w:rsid w:val="00494DCD"/>
    <w:rsid w:val="00494F28"/>
    <w:rsid w:val="00494FC2"/>
    <w:rsid w:val="00495042"/>
    <w:rsid w:val="0049504B"/>
    <w:rsid w:val="0049509D"/>
    <w:rsid w:val="004950DE"/>
    <w:rsid w:val="0049512C"/>
    <w:rsid w:val="00495188"/>
    <w:rsid w:val="004951A6"/>
    <w:rsid w:val="004951FD"/>
    <w:rsid w:val="00495237"/>
    <w:rsid w:val="0049525A"/>
    <w:rsid w:val="0049531F"/>
    <w:rsid w:val="004953AB"/>
    <w:rsid w:val="004953C6"/>
    <w:rsid w:val="0049545D"/>
    <w:rsid w:val="00495576"/>
    <w:rsid w:val="004956E3"/>
    <w:rsid w:val="00495704"/>
    <w:rsid w:val="00495714"/>
    <w:rsid w:val="00495826"/>
    <w:rsid w:val="0049599F"/>
    <w:rsid w:val="00495A4A"/>
    <w:rsid w:val="00495CE5"/>
    <w:rsid w:val="00495D27"/>
    <w:rsid w:val="00495FD0"/>
    <w:rsid w:val="0049615A"/>
    <w:rsid w:val="004961B7"/>
    <w:rsid w:val="004961FF"/>
    <w:rsid w:val="00496212"/>
    <w:rsid w:val="00496250"/>
    <w:rsid w:val="004962EB"/>
    <w:rsid w:val="004962FB"/>
    <w:rsid w:val="004963A2"/>
    <w:rsid w:val="004963C1"/>
    <w:rsid w:val="0049646A"/>
    <w:rsid w:val="00496479"/>
    <w:rsid w:val="0049656D"/>
    <w:rsid w:val="004965EB"/>
    <w:rsid w:val="00496667"/>
    <w:rsid w:val="004967E2"/>
    <w:rsid w:val="004969BF"/>
    <w:rsid w:val="00496AC0"/>
    <w:rsid w:val="00496B11"/>
    <w:rsid w:val="00496B2C"/>
    <w:rsid w:val="00496B31"/>
    <w:rsid w:val="00496B65"/>
    <w:rsid w:val="00496B7F"/>
    <w:rsid w:val="00496E31"/>
    <w:rsid w:val="0049709A"/>
    <w:rsid w:val="004970F9"/>
    <w:rsid w:val="0049723A"/>
    <w:rsid w:val="004974A4"/>
    <w:rsid w:val="00497611"/>
    <w:rsid w:val="0049771B"/>
    <w:rsid w:val="004977AF"/>
    <w:rsid w:val="004978A8"/>
    <w:rsid w:val="0049795B"/>
    <w:rsid w:val="00497A9C"/>
    <w:rsid w:val="00497ABC"/>
    <w:rsid w:val="00497AFF"/>
    <w:rsid w:val="00497B60"/>
    <w:rsid w:val="00497B8A"/>
    <w:rsid w:val="00497C64"/>
    <w:rsid w:val="00497D7F"/>
    <w:rsid w:val="00497F98"/>
    <w:rsid w:val="004A006C"/>
    <w:rsid w:val="004A00B4"/>
    <w:rsid w:val="004A00CD"/>
    <w:rsid w:val="004A00FC"/>
    <w:rsid w:val="004A015E"/>
    <w:rsid w:val="004A01AB"/>
    <w:rsid w:val="004A0239"/>
    <w:rsid w:val="004A0354"/>
    <w:rsid w:val="004A0391"/>
    <w:rsid w:val="004A0464"/>
    <w:rsid w:val="004A0520"/>
    <w:rsid w:val="004A06AF"/>
    <w:rsid w:val="004A06DB"/>
    <w:rsid w:val="004A07AD"/>
    <w:rsid w:val="004A0964"/>
    <w:rsid w:val="004A0A17"/>
    <w:rsid w:val="004A0A28"/>
    <w:rsid w:val="004A0A7C"/>
    <w:rsid w:val="004A0B55"/>
    <w:rsid w:val="004A0D01"/>
    <w:rsid w:val="004A0D1B"/>
    <w:rsid w:val="004A0D85"/>
    <w:rsid w:val="004A0E86"/>
    <w:rsid w:val="004A0F44"/>
    <w:rsid w:val="004A0F4C"/>
    <w:rsid w:val="004A1022"/>
    <w:rsid w:val="004A10B2"/>
    <w:rsid w:val="004A1184"/>
    <w:rsid w:val="004A1284"/>
    <w:rsid w:val="004A1286"/>
    <w:rsid w:val="004A1294"/>
    <w:rsid w:val="004A1321"/>
    <w:rsid w:val="004A1425"/>
    <w:rsid w:val="004A1474"/>
    <w:rsid w:val="004A1518"/>
    <w:rsid w:val="004A15CE"/>
    <w:rsid w:val="004A160F"/>
    <w:rsid w:val="004A1654"/>
    <w:rsid w:val="004A16B0"/>
    <w:rsid w:val="004A170D"/>
    <w:rsid w:val="004A1721"/>
    <w:rsid w:val="004A173D"/>
    <w:rsid w:val="004A1762"/>
    <w:rsid w:val="004A1860"/>
    <w:rsid w:val="004A18E2"/>
    <w:rsid w:val="004A1AD5"/>
    <w:rsid w:val="004A1CD7"/>
    <w:rsid w:val="004A1F68"/>
    <w:rsid w:val="004A1F7E"/>
    <w:rsid w:val="004A1F8E"/>
    <w:rsid w:val="004A1F93"/>
    <w:rsid w:val="004A1FD0"/>
    <w:rsid w:val="004A1FEF"/>
    <w:rsid w:val="004A2048"/>
    <w:rsid w:val="004A209D"/>
    <w:rsid w:val="004A21C2"/>
    <w:rsid w:val="004A234B"/>
    <w:rsid w:val="004A23B1"/>
    <w:rsid w:val="004A24A7"/>
    <w:rsid w:val="004A24A9"/>
    <w:rsid w:val="004A2517"/>
    <w:rsid w:val="004A255F"/>
    <w:rsid w:val="004A271A"/>
    <w:rsid w:val="004A276E"/>
    <w:rsid w:val="004A2885"/>
    <w:rsid w:val="004A290F"/>
    <w:rsid w:val="004A29B0"/>
    <w:rsid w:val="004A2B60"/>
    <w:rsid w:val="004A2BDF"/>
    <w:rsid w:val="004A2CC4"/>
    <w:rsid w:val="004A2CCA"/>
    <w:rsid w:val="004A2CF8"/>
    <w:rsid w:val="004A2CFF"/>
    <w:rsid w:val="004A2E00"/>
    <w:rsid w:val="004A2E14"/>
    <w:rsid w:val="004A2E8E"/>
    <w:rsid w:val="004A2EF6"/>
    <w:rsid w:val="004A2F9F"/>
    <w:rsid w:val="004A3003"/>
    <w:rsid w:val="004A3045"/>
    <w:rsid w:val="004A3124"/>
    <w:rsid w:val="004A3149"/>
    <w:rsid w:val="004A31DA"/>
    <w:rsid w:val="004A3308"/>
    <w:rsid w:val="004A3434"/>
    <w:rsid w:val="004A344A"/>
    <w:rsid w:val="004A352E"/>
    <w:rsid w:val="004A3620"/>
    <w:rsid w:val="004A3742"/>
    <w:rsid w:val="004A3791"/>
    <w:rsid w:val="004A3959"/>
    <w:rsid w:val="004A39AF"/>
    <w:rsid w:val="004A3AE1"/>
    <w:rsid w:val="004A3D4B"/>
    <w:rsid w:val="004A3D9A"/>
    <w:rsid w:val="004A3F03"/>
    <w:rsid w:val="004A3FDA"/>
    <w:rsid w:val="004A4042"/>
    <w:rsid w:val="004A4120"/>
    <w:rsid w:val="004A419B"/>
    <w:rsid w:val="004A41DA"/>
    <w:rsid w:val="004A41EA"/>
    <w:rsid w:val="004A4298"/>
    <w:rsid w:val="004A42B0"/>
    <w:rsid w:val="004A42FC"/>
    <w:rsid w:val="004A4408"/>
    <w:rsid w:val="004A44C6"/>
    <w:rsid w:val="004A464C"/>
    <w:rsid w:val="004A4939"/>
    <w:rsid w:val="004A4987"/>
    <w:rsid w:val="004A49FC"/>
    <w:rsid w:val="004A4A3F"/>
    <w:rsid w:val="004A4AAD"/>
    <w:rsid w:val="004A4B26"/>
    <w:rsid w:val="004A4BF0"/>
    <w:rsid w:val="004A4C87"/>
    <w:rsid w:val="004A4CFC"/>
    <w:rsid w:val="004A4D60"/>
    <w:rsid w:val="004A4E30"/>
    <w:rsid w:val="004A4E99"/>
    <w:rsid w:val="004A4FAD"/>
    <w:rsid w:val="004A503C"/>
    <w:rsid w:val="004A5063"/>
    <w:rsid w:val="004A5084"/>
    <w:rsid w:val="004A529A"/>
    <w:rsid w:val="004A5385"/>
    <w:rsid w:val="004A5418"/>
    <w:rsid w:val="004A5493"/>
    <w:rsid w:val="004A54D5"/>
    <w:rsid w:val="004A5512"/>
    <w:rsid w:val="004A55B6"/>
    <w:rsid w:val="004A55E7"/>
    <w:rsid w:val="004A55FD"/>
    <w:rsid w:val="004A5605"/>
    <w:rsid w:val="004A5748"/>
    <w:rsid w:val="004A576F"/>
    <w:rsid w:val="004A5898"/>
    <w:rsid w:val="004A59D6"/>
    <w:rsid w:val="004A5A16"/>
    <w:rsid w:val="004A5A18"/>
    <w:rsid w:val="004A5A4A"/>
    <w:rsid w:val="004A5B66"/>
    <w:rsid w:val="004A5B69"/>
    <w:rsid w:val="004A5BFF"/>
    <w:rsid w:val="004A5C10"/>
    <w:rsid w:val="004A5C38"/>
    <w:rsid w:val="004A5C48"/>
    <w:rsid w:val="004A5D3C"/>
    <w:rsid w:val="004A5E96"/>
    <w:rsid w:val="004A5FB7"/>
    <w:rsid w:val="004A604A"/>
    <w:rsid w:val="004A606E"/>
    <w:rsid w:val="004A608F"/>
    <w:rsid w:val="004A61AF"/>
    <w:rsid w:val="004A62A6"/>
    <w:rsid w:val="004A62D5"/>
    <w:rsid w:val="004A62F0"/>
    <w:rsid w:val="004A635B"/>
    <w:rsid w:val="004A63E0"/>
    <w:rsid w:val="004A64DE"/>
    <w:rsid w:val="004A6549"/>
    <w:rsid w:val="004A6562"/>
    <w:rsid w:val="004A669F"/>
    <w:rsid w:val="004A68F2"/>
    <w:rsid w:val="004A6973"/>
    <w:rsid w:val="004A6CC1"/>
    <w:rsid w:val="004A6CFB"/>
    <w:rsid w:val="004A6DE5"/>
    <w:rsid w:val="004A6EB8"/>
    <w:rsid w:val="004A6EC8"/>
    <w:rsid w:val="004A6ED7"/>
    <w:rsid w:val="004A6F44"/>
    <w:rsid w:val="004A6FFA"/>
    <w:rsid w:val="004A7001"/>
    <w:rsid w:val="004A703F"/>
    <w:rsid w:val="004A70E0"/>
    <w:rsid w:val="004A70E8"/>
    <w:rsid w:val="004A710B"/>
    <w:rsid w:val="004A73E9"/>
    <w:rsid w:val="004A7409"/>
    <w:rsid w:val="004A7477"/>
    <w:rsid w:val="004A7644"/>
    <w:rsid w:val="004A764A"/>
    <w:rsid w:val="004A76A4"/>
    <w:rsid w:val="004A7710"/>
    <w:rsid w:val="004A784D"/>
    <w:rsid w:val="004A78C7"/>
    <w:rsid w:val="004A78D3"/>
    <w:rsid w:val="004A7A8A"/>
    <w:rsid w:val="004A7A9C"/>
    <w:rsid w:val="004A7BB2"/>
    <w:rsid w:val="004A7C35"/>
    <w:rsid w:val="004A7D66"/>
    <w:rsid w:val="004A7D76"/>
    <w:rsid w:val="004A7E91"/>
    <w:rsid w:val="004A7EE9"/>
    <w:rsid w:val="004A7F49"/>
    <w:rsid w:val="004A7F97"/>
    <w:rsid w:val="004B0047"/>
    <w:rsid w:val="004B00D7"/>
    <w:rsid w:val="004B013B"/>
    <w:rsid w:val="004B02F7"/>
    <w:rsid w:val="004B0486"/>
    <w:rsid w:val="004B053E"/>
    <w:rsid w:val="004B070F"/>
    <w:rsid w:val="004B09B9"/>
    <w:rsid w:val="004B09ED"/>
    <w:rsid w:val="004B0B2A"/>
    <w:rsid w:val="004B0C25"/>
    <w:rsid w:val="004B0D92"/>
    <w:rsid w:val="004B0F15"/>
    <w:rsid w:val="004B0FB2"/>
    <w:rsid w:val="004B1000"/>
    <w:rsid w:val="004B1011"/>
    <w:rsid w:val="004B105C"/>
    <w:rsid w:val="004B1094"/>
    <w:rsid w:val="004B10AD"/>
    <w:rsid w:val="004B1290"/>
    <w:rsid w:val="004B12E0"/>
    <w:rsid w:val="004B137C"/>
    <w:rsid w:val="004B156E"/>
    <w:rsid w:val="004B1607"/>
    <w:rsid w:val="004B172F"/>
    <w:rsid w:val="004B17A1"/>
    <w:rsid w:val="004B1810"/>
    <w:rsid w:val="004B1840"/>
    <w:rsid w:val="004B1960"/>
    <w:rsid w:val="004B1BD5"/>
    <w:rsid w:val="004B1BFD"/>
    <w:rsid w:val="004B1CB4"/>
    <w:rsid w:val="004B1E89"/>
    <w:rsid w:val="004B1FB9"/>
    <w:rsid w:val="004B2002"/>
    <w:rsid w:val="004B20F1"/>
    <w:rsid w:val="004B20F4"/>
    <w:rsid w:val="004B2102"/>
    <w:rsid w:val="004B22A9"/>
    <w:rsid w:val="004B2492"/>
    <w:rsid w:val="004B260B"/>
    <w:rsid w:val="004B272D"/>
    <w:rsid w:val="004B27BC"/>
    <w:rsid w:val="004B2853"/>
    <w:rsid w:val="004B28D7"/>
    <w:rsid w:val="004B2B73"/>
    <w:rsid w:val="004B2CC6"/>
    <w:rsid w:val="004B2CFF"/>
    <w:rsid w:val="004B2E54"/>
    <w:rsid w:val="004B2E65"/>
    <w:rsid w:val="004B2EAE"/>
    <w:rsid w:val="004B2F04"/>
    <w:rsid w:val="004B2F08"/>
    <w:rsid w:val="004B3277"/>
    <w:rsid w:val="004B329D"/>
    <w:rsid w:val="004B32EF"/>
    <w:rsid w:val="004B332A"/>
    <w:rsid w:val="004B334F"/>
    <w:rsid w:val="004B335D"/>
    <w:rsid w:val="004B33FA"/>
    <w:rsid w:val="004B34AE"/>
    <w:rsid w:val="004B34BC"/>
    <w:rsid w:val="004B352B"/>
    <w:rsid w:val="004B35FD"/>
    <w:rsid w:val="004B364B"/>
    <w:rsid w:val="004B3699"/>
    <w:rsid w:val="004B37B6"/>
    <w:rsid w:val="004B381C"/>
    <w:rsid w:val="004B3A10"/>
    <w:rsid w:val="004B3ACD"/>
    <w:rsid w:val="004B3BD7"/>
    <w:rsid w:val="004B3D07"/>
    <w:rsid w:val="004B3DC8"/>
    <w:rsid w:val="004B3E11"/>
    <w:rsid w:val="004B3ECF"/>
    <w:rsid w:val="004B3F2D"/>
    <w:rsid w:val="004B3FBA"/>
    <w:rsid w:val="004B408C"/>
    <w:rsid w:val="004B428A"/>
    <w:rsid w:val="004B42BB"/>
    <w:rsid w:val="004B436A"/>
    <w:rsid w:val="004B43D2"/>
    <w:rsid w:val="004B446E"/>
    <w:rsid w:val="004B4642"/>
    <w:rsid w:val="004B468A"/>
    <w:rsid w:val="004B469B"/>
    <w:rsid w:val="004B48DD"/>
    <w:rsid w:val="004B4952"/>
    <w:rsid w:val="004B49AB"/>
    <w:rsid w:val="004B49F3"/>
    <w:rsid w:val="004B4A12"/>
    <w:rsid w:val="004B4A30"/>
    <w:rsid w:val="004B4A6B"/>
    <w:rsid w:val="004B4A77"/>
    <w:rsid w:val="004B4C97"/>
    <w:rsid w:val="004B4CC0"/>
    <w:rsid w:val="004B4CDB"/>
    <w:rsid w:val="004B4DF4"/>
    <w:rsid w:val="004B4DFE"/>
    <w:rsid w:val="004B4E64"/>
    <w:rsid w:val="004B4E79"/>
    <w:rsid w:val="004B4F0E"/>
    <w:rsid w:val="004B4FDF"/>
    <w:rsid w:val="004B506C"/>
    <w:rsid w:val="004B50A8"/>
    <w:rsid w:val="004B50BF"/>
    <w:rsid w:val="004B5118"/>
    <w:rsid w:val="004B516C"/>
    <w:rsid w:val="004B529C"/>
    <w:rsid w:val="004B52C5"/>
    <w:rsid w:val="004B52D4"/>
    <w:rsid w:val="004B564C"/>
    <w:rsid w:val="004B57EE"/>
    <w:rsid w:val="004B5816"/>
    <w:rsid w:val="004B59E3"/>
    <w:rsid w:val="004B5A15"/>
    <w:rsid w:val="004B5ABB"/>
    <w:rsid w:val="004B5AE5"/>
    <w:rsid w:val="004B5B6B"/>
    <w:rsid w:val="004B602D"/>
    <w:rsid w:val="004B60D5"/>
    <w:rsid w:val="004B61DF"/>
    <w:rsid w:val="004B6209"/>
    <w:rsid w:val="004B63AF"/>
    <w:rsid w:val="004B648E"/>
    <w:rsid w:val="004B6666"/>
    <w:rsid w:val="004B668B"/>
    <w:rsid w:val="004B6725"/>
    <w:rsid w:val="004B673E"/>
    <w:rsid w:val="004B67DC"/>
    <w:rsid w:val="004B6875"/>
    <w:rsid w:val="004B6914"/>
    <w:rsid w:val="004B69BB"/>
    <w:rsid w:val="004B6C03"/>
    <w:rsid w:val="004B6D23"/>
    <w:rsid w:val="004B6D31"/>
    <w:rsid w:val="004B6DF6"/>
    <w:rsid w:val="004B6F99"/>
    <w:rsid w:val="004B708C"/>
    <w:rsid w:val="004B70DF"/>
    <w:rsid w:val="004B713F"/>
    <w:rsid w:val="004B7291"/>
    <w:rsid w:val="004B730B"/>
    <w:rsid w:val="004B73E4"/>
    <w:rsid w:val="004B749D"/>
    <w:rsid w:val="004B76DF"/>
    <w:rsid w:val="004B774D"/>
    <w:rsid w:val="004B77EE"/>
    <w:rsid w:val="004B781A"/>
    <w:rsid w:val="004B7940"/>
    <w:rsid w:val="004B798B"/>
    <w:rsid w:val="004B799E"/>
    <w:rsid w:val="004B79D9"/>
    <w:rsid w:val="004B7BDF"/>
    <w:rsid w:val="004B7CAA"/>
    <w:rsid w:val="004B7E24"/>
    <w:rsid w:val="004B7E91"/>
    <w:rsid w:val="004B7EDE"/>
    <w:rsid w:val="004B7F1E"/>
    <w:rsid w:val="004C0069"/>
    <w:rsid w:val="004C00B2"/>
    <w:rsid w:val="004C0136"/>
    <w:rsid w:val="004C015B"/>
    <w:rsid w:val="004C0245"/>
    <w:rsid w:val="004C0297"/>
    <w:rsid w:val="004C0395"/>
    <w:rsid w:val="004C03B8"/>
    <w:rsid w:val="004C0401"/>
    <w:rsid w:val="004C04A2"/>
    <w:rsid w:val="004C066A"/>
    <w:rsid w:val="004C0675"/>
    <w:rsid w:val="004C071F"/>
    <w:rsid w:val="004C07FF"/>
    <w:rsid w:val="004C08BF"/>
    <w:rsid w:val="004C093A"/>
    <w:rsid w:val="004C0A07"/>
    <w:rsid w:val="004C0B9B"/>
    <w:rsid w:val="004C0BB8"/>
    <w:rsid w:val="004C0BDD"/>
    <w:rsid w:val="004C0C27"/>
    <w:rsid w:val="004C0DD2"/>
    <w:rsid w:val="004C0FC0"/>
    <w:rsid w:val="004C0FEF"/>
    <w:rsid w:val="004C1054"/>
    <w:rsid w:val="004C1072"/>
    <w:rsid w:val="004C1088"/>
    <w:rsid w:val="004C10D6"/>
    <w:rsid w:val="004C11C5"/>
    <w:rsid w:val="004C1248"/>
    <w:rsid w:val="004C125C"/>
    <w:rsid w:val="004C12F3"/>
    <w:rsid w:val="004C1459"/>
    <w:rsid w:val="004C1464"/>
    <w:rsid w:val="004C146E"/>
    <w:rsid w:val="004C14E0"/>
    <w:rsid w:val="004C1502"/>
    <w:rsid w:val="004C15A9"/>
    <w:rsid w:val="004C15AA"/>
    <w:rsid w:val="004C15B4"/>
    <w:rsid w:val="004C1669"/>
    <w:rsid w:val="004C166F"/>
    <w:rsid w:val="004C1672"/>
    <w:rsid w:val="004C167C"/>
    <w:rsid w:val="004C168F"/>
    <w:rsid w:val="004C17D0"/>
    <w:rsid w:val="004C182A"/>
    <w:rsid w:val="004C19F7"/>
    <w:rsid w:val="004C1B12"/>
    <w:rsid w:val="004C1BFB"/>
    <w:rsid w:val="004C1D22"/>
    <w:rsid w:val="004C1DE0"/>
    <w:rsid w:val="004C1F97"/>
    <w:rsid w:val="004C1FB7"/>
    <w:rsid w:val="004C2102"/>
    <w:rsid w:val="004C217F"/>
    <w:rsid w:val="004C258F"/>
    <w:rsid w:val="004C25EB"/>
    <w:rsid w:val="004C264F"/>
    <w:rsid w:val="004C2682"/>
    <w:rsid w:val="004C27B7"/>
    <w:rsid w:val="004C28C0"/>
    <w:rsid w:val="004C2941"/>
    <w:rsid w:val="004C2A9B"/>
    <w:rsid w:val="004C2B0D"/>
    <w:rsid w:val="004C2D1F"/>
    <w:rsid w:val="004C2DFC"/>
    <w:rsid w:val="004C2E29"/>
    <w:rsid w:val="004C2E9B"/>
    <w:rsid w:val="004C2F27"/>
    <w:rsid w:val="004C303D"/>
    <w:rsid w:val="004C30B6"/>
    <w:rsid w:val="004C3120"/>
    <w:rsid w:val="004C319F"/>
    <w:rsid w:val="004C31C9"/>
    <w:rsid w:val="004C3259"/>
    <w:rsid w:val="004C3281"/>
    <w:rsid w:val="004C32A6"/>
    <w:rsid w:val="004C33F5"/>
    <w:rsid w:val="004C3443"/>
    <w:rsid w:val="004C3455"/>
    <w:rsid w:val="004C34D4"/>
    <w:rsid w:val="004C350D"/>
    <w:rsid w:val="004C364F"/>
    <w:rsid w:val="004C36BA"/>
    <w:rsid w:val="004C36C7"/>
    <w:rsid w:val="004C37CC"/>
    <w:rsid w:val="004C3809"/>
    <w:rsid w:val="004C3885"/>
    <w:rsid w:val="004C3918"/>
    <w:rsid w:val="004C3952"/>
    <w:rsid w:val="004C3AE2"/>
    <w:rsid w:val="004C3B84"/>
    <w:rsid w:val="004C3BED"/>
    <w:rsid w:val="004C3BFF"/>
    <w:rsid w:val="004C3CB0"/>
    <w:rsid w:val="004C3CF1"/>
    <w:rsid w:val="004C3CFF"/>
    <w:rsid w:val="004C3E7E"/>
    <w:rsid w:val="004C3E83"/>
    <w:rsid w:val="004C3EB6"/>
    <w:rsid w:val="004C40A4"/>
    <w:rsid w:val="004C42C6"/>
    <w:rsid w:val="004C42DA"/>
    <w:rsid w:val="004C42E0"/>
    <w:rsid w:val="004C4326"/>
    <w:rsid w:val="004C43EE"/>
    <w:rsid w:val="004C4454"/>
    <w:rsid w:val="004C45DF"/>
    <w:rsid w:val="004C4694"/>
    <w:rsid w:val="004C4793"/>
    <w:rsid w:val="004C4865"/>
    <w:rsid w:val="004C4886"/>
    <w:rsid w:val="004C48AB"/>
    <w:rsid w:val="004C4927"/>
    <w:rsid w:val="004C4A92"/>
    <w:rsid w:val="004C4AC0"/>
    <w:rsid w:val="004C4B29"/>
    <w:rsid w:val="004C4BA0"/>
    <w:rsid w:val="004C4C2C"/>
    <w:rsid w:val="004C4C5B"/>
    <w:rsid w:val="004C4D95"/>
    <w:rsid w:val="004C4DF1"/>
    <w:rsid w:val="004C4E3D"/>
    <w:rsid w:val="004C4FEF"/>
    <w:rsid w:val="004C5002"/>
    <w:rsid w:val="004C5049"/>
    <w:rsid w:val="004C509A"/>
    <w:rsid w:val="004C528F"/>
    <w:rsid w:val="004C5310"/>
    <w:rsid w:val="004C537D"/>
    <w:rsid w:val="004C538B"/>
    <w:rsid w:val="004C5592"/>
    <w:rsid w:val="004C5621"/>
    <w:rsid w:val="004C567C"/>
    <w:rsid w:val="004C56B7"/>
    <w:rsid w:val="004C5705"/>
    <w:rsid w:val="004C5728"/>
    <w:rsid w:val="004C57D8"/>
    <w:rsid w:val="004C57FD"/>
    <w:rsid w:val="004C591B"/>
    <w:rsid w:val="004C5A22"/>
    <w:rsid w:val="004C5C48"/>
    <w:rsid w:val="004C5C71"/>
    <w:rsid w:val="004C5C85"/>
    <w:rsid w:val="004C5CAC"/>
    <w:rsid w:val="004C5DAA"/>
    <w:rsid w:val="004C5DF5"/>
    <w:rsid w:val="004C5F91"/>
    <w:rsid w:val="004C5FE3"/>
    <w:rsid w:val="004C6021"/>
    <w:rsid w:val="004C60F5"/>
    <w:rsid w:val="004C610F"/>
    <w:rsid w:val="004C6126"/>
    <w:rsid w:val="004C61C1"/>
    <w:rsid w:val="004C622B"/>
    <w:rsid w:val="004C62B8"/>
    <w:rsid w:val="004C6489"/>
    <w:rsid w:val="004C6580"/>
    <w:rsid w:val="004C6708"/>
    <w:rsid w:val="004C6780"/>
    <w:rsid w:val="004C68AF"/>
    <w:rsid w:val="004C69F4"/>
    <w:rsid w:val="004C6A65"/>
    <w:rsid w:val="004C6A75"/>
    <w:rsid w:val="004C6B5A"/>
    <w:rsid w:val="004C6D08"/>
    <w:rsid w:val="004C6D70"/>
    <w:rsid w:val="004C6F17"/>
    <w:rsid w:val="004C6FD1"/>
    <w:rsid w:val="004C7019"/>
    <w:rsid w:val="004C70AF"/>
    <w:rsid w:val="004C7109"/>
    <w:rsid w:val="004C71FC"/>
    <w:rsid w:val="004C73B6"/>
    <w:rsid w:val="004C7427"/>
    <w:rsid w:val="004C7443"/>
    <w:rsid w:val="004C7444"/>
    <w:rsid w:val="004C776A"/>
    <w:rsid w:val="004C790D"/>
    <w:rsid w:val="004C79D0"/>
    <w:rsid w:val="004C7F0D"/>
    <w:rsid w:val="004D006C"/>
    <w:rsid w:val="004D01AD"/>
    <w:rsid w:val="004D01B6"/>
    <w:rsid w:val="004D01DE"/>
    <w:rsid w:val="004D045F"/>
    <w:rsid w:val="004D048C"/>
    <w:rsid w:val="004D053B"/>
    <w:rsid w:val="004D05E1"/>
    <w:rsid w:val="004D05F0"/>
    <w:rsid w:val="004D0639"/>
    <w:rsid w:val="004D07EF"/>
    <w:rsid w:val="004D082F"/>
    <w:rsid w:val="004D08B2"/>
    <w:rsid w:val="004D08FD"/>
    <w:rsid w:val="004D094A"/>
    <w:rsid w:val="004D09F3"/>
    <w:rsid w:val="004D09FA"/>
    <w:rsid w:val="004D0B6B"/>
    <w:rsid w:val="004D0BC1"/>
    <w:rsid w:val="004D0C79"/>
    <w:rsid w:val="004D0CC6"/>
    <w:rsid w:val="004D0E0C"/>
    <w:rsid w:val="004D0E70"/>
    <w:rsid w:val="004D10D6"/>
    <w:rsid w:val="004D1168"/>
    <w:rsid w:val="004D11BD"/>
    <w:rsid w:val="004D11FD"/>
    <w:rsid w:val="004D1288"/>
    <w:rsid w:val="004D1470"/>
    <w:rsid w:val="004D1599"/>
    <w:rsid w:val="004D15CF"/>
    <w:rsid w:val="004D177C"/>
    <w:rsid w:val="004D1795"/>
    <w:rsid w:val="004D1820"/>
    <w:rsid w:val="004D1933"/>
    <w:rsid w:val="004D1A1C"/>
    <w:rsid w:val="004D1B4E"/>
    <w:rsid w:val="004D1B54"/>
    <w:rsid w:val="004D1D33"/>
    <w:rsid w:val="004D1F57"/>
    <w:rsid w:val="004D1FCE"/>
    <w:rsid w:val="004D1FF6"/>
    <w:rsid w:val="004D2032"/>
    <w:rsid w:val="004D20BF"/>
    <w:rsid w:val="004D2208"/>
    <w:rsid w:val="004D22D2"/>
    <w:rsid w:val="004D2523"/>
    <w:rsid w:val="004D2664"/>
    <w:rsid w:val="004D2787"/>
    <w:rsid w:val="004D2A24"/>
    <w:rsid w:val="004D2E16"/>
    <w:rsid w:val="004D2E75"/>
    <w:rsid w:val="004D2EA9"/>
    <w:rsid w:val="004D2FEF"/>
    <w:rsid w:val="004D3092"/>
    <w:rsid w:val="004D30C6"/>
    <w:rsid w:val="004D32F3"/>
    <w:rsid w:val="004D32F7"/>
    <w:rsid w:val="004D3359"/>
    <w:rsid w:val="004D33BB"/>
    <w:rsid w:val="004D3466"/>
    <w:rsid w:val="004D350F"/>
    <w:rsid w:val="004D351D"/>
    <w:rsid w:val="004D356C"/>
    <w:rsid w:val="004D3584"/>
    <w:rsid w:val="004D3701"/>
    <w:rsid w:val="004D3739"/>
    <w:rsid w:val="004D378E"/>
    <w:rsid w:val="004D37A0"/>
    <w:rsid w:val="004D3837"/>
    <w:rsid w:val="004D38B7"/>
    <w:rsid w:val="004D3A2B"/>
    <w:rsid w:val="004D3A98"/>
    <w:rsid w:val="004D3C9B"/>
    <w:rsid w:val="004D3DF4"/>
    <w:rsid w:val="004D3DF9"/>
    <w:rsid w:val="004D3E5C"/>
    <w:rsid w:val="004D3E8E"/>
    <w:rsid w:val="004D3FF9"/>
    <w:rsid w:val="004D407D"/>
    <w:rsid w:val="004D43F5"/>
    <w:rsid w:val="004D4477"/>
    <w:rsid w:val="004D45DD"/>
    <w:rsid w:val="004D46F2"/>
    <w:rsid w:val="004D4714"/>
    <w:rsid w:val="004D478D"/>
    <w:rsid w:val="004D48BD"/>
    <w:rsid w:val="004D492C"/>
    <w:rsid w:val="004D4969"/>
    <w:rsid w:val="004D4A3E"/>
    <w:rsid w:val="004D4A98"/>
    <w:rsid w:val="004D4BB2"/>
    <w:rsid w:val="004D4E00"/>
    <w:rsid w:val="004D4EA5"/>
    <w:rsid w:val="004D4EB2"/>
    <w:rsid w:val="004D4FC0"/>
    <w:rsid w:val="004D500B"/>
    <w:rsid w:val="004D5513"/>
    <w:rsid w:val="004D5522"/>
    <w:rsid w:val="004D5587"/>
    <w:rsid w:val="004D56DC"/>
    <w:rsid w:val="004D570A"/>
    <w:rsid w:val="004D57DB"/>
    <w:rsid w:val="004D57EE"/>
    <w:rsid w:val="004D5801"/>
    <w:rsid w:val="004D583B"/>
    <w:rsid w:val="004D5841"/>
    <w:rsid w:val="004D5903"/>
    <w:rsid w:val="004D5906"/>
    <w:rsid w:val="004D5921"/>
    <w:rsid w:val="004D59D2"/>
    <w:rsid w:val="004D5A9D"/>
    <w:rsid w:val="004D5B36"/>
    <w:rsid w:val="004D5B5E"/>
    <w:rsid w:val="004D5B71"/>
    <w:rsid w:val="004D5BA0"/>
    <w:rsid w:val="004D5BF6"/>
    <w:rsid w:val="004D5CCB"/>
    <w:rsid w:val="004D5E15"/>
    <w:rsid w:val="004D5F93"/>
    <w:rsid w:val="004D60F4"/>
    <w:rsid w:val="004D6164"/>
    <w:rsid w:val="004D616C"/>
    <w:rsid w:val="004D6184"/>
    <w:rsid w:val="004D61F5"/>
    <w:rsid w:val="004D62BF"/>
    <w:rsid w:val="004D62D6"/>
    <w:rsid w:val="004D6312"/>
    <w:rsid w:val="004D6367"/>
    <w:rsid w:val="004D66A3"/>
    <w:rsid w:val="004D68B1"/>
    <w:rsid w:val="004D68B8"/>
    <w:rsid w:val="004D68BB"/>
    <w:rsid w:val="004D693D"/>
    <w:rsid w:val="004D6A74"/>
    <w:rsid w:val="004D6AD5"/>
    <w:rsid w:val="004D6B17"/>
    <w:rsid w:val="004D6BFF"/>
    <w:rsid w:val="004D6CB2"/>
    <w:rsid w:val="004D6D49"/>
    <w:rsid w:val="004D6D51"/>
    <w:rsid w:val="004D6DAD"/>
    <w:rsid w:val="004D6E18"/>
    <w:rsid w:val="004D6E7D"/>
    <w:rsid w:val="004D6FAA"/>
    <w:rsid w:val="004D70B0"/>
    <w:rsid w:val="004D70B4"/>
    <w:rsid w:val="004D70EF"/>
    <w:rsid w:val="004D711A"/>
    <w:rsid w:val="004D7179"/>
    <w:rsid w:val="004D721E"/>
    <w:rsid w:val="004D731C"/>
    <w:rsid w:val="004D73CB"/>
    <w:rsid w:val="004D747A"/>
    <w:rsid w:val="004D74A1"/>
    <w:rsid w:val="004D75CA"/>
    <w:rsid w:val="004D76EE"/>
    <w:rsid w:val="004D7730"/>
    <w:rsid w:val="004D78DD"/>
    <w:rsid w:val="004D797C"/>
    <w:rsid w:val="004D7AEE"/>
    <w:rsid w:val="004D7BC8"/>
    <w:rsid w:val="004D7E4C"/>
    <w:rsid w:val="004D7FF8"/>
    <w:rsid w:val="004E003C"/>
    <w:rsid w:val="004E003E"/>
    <w:rsid w:val="004E0041"/>
    <w:rsid w:val="004E00D8"/>
    <w:rsid w:val="004E03D6"/>
    <w:rsid w:val="004E05E4"/>
    <w:rsid w:val="004E0648"/>
    <w:rsid w:val="004E0659"/>
    <w:rsid w:val="004E0703"/>
    <w:rsid w:val="004E07C3"/>
    <w:rsid w:val="004E08F0"/>
    <w:rsid w:val="004E0A3A"/>
    <w:rsid w:val="004E0BCE"/>
    <w:rsid w:val="004E0D32"/>
    <w:rsid w:val="004E0DA2"/>
    <w:rsid w:val="004E0E52"/>
    <w:rsid w:val="004E1021"/>
    <w:rsid w:val="004E1152"/>
    <w:rsid w:val="004E11F6"/>
    <w:rsid w:val="004E12CC"/>
    <w:rsid w:val="004E13CE"/>
    <w:rsid w:val="004E1529"/>
    <w:rsid w:val="004E154B"/>
    <w:rsid w:val="004E15A6"/>
    <w:rsid w:val="004E163A"/>
    <w:rsid w:val="004E16BC"/>
    <w:rsid w:val="004E16F7"/>
    <w:rsid w:val="004E184B"/>
    <w:rsid w:val="004E18A6"/>
    <w:rsid w:val="004E1913"/>
    <w:rsid w:val="004E1A18"/>
    <w:rsid w:val="004E1A41"/>
    <w:rsid w:val="004E1AE0"/>
    <w:rsid w:val="004E1B1D"/>
    <w:rsid w:val="004E1C09"/>
    <w:rsid w:val="004E1D81"/>
    <w:rsid w:val="004E1E48"/>
    <w:rsid w:val="004E1EA7"/>
    <w:rsid w:val="004E200F"/>
    <w:rsid w:val="004E2036"/>
    <w:rsid w:val="004E20AE"/>
    <w:rsid w:val="004E2163"/>
    <w:rsid w:val="004E23CB"/>
    <w:rsid w:val="004E2551"/>
    <w:rsid w:val="004E277D"/>
    <w:rsid w:val="004E2814"/>
    <w:rsid w:val="004E28FE"/>
    <w:rsid w:val="004E2912"/>
    <w:rsid w:val="004E2985"/>
    <w:rsid w:val="004E29FB"/>
    <w:rsid w:val="004E2AFD"/>
    <w:rsid w:val="004E2B33"/>
    <w:rsid w:val="004E2CB6"/>
    <w:rsid w:val="004E2D08"/>
    <w:rsid w:val="004E2DFD"/>
    <w:rsid w:val="004E2EB9"/>
    <w:rsid w:val="004E2F42"/>
    <w:rsid w:val="004E2F58"/>
    <w:rsid w:val="004E301A"/>
    <w:rsid w:val="004E3168"/>
    <w:rsid w:val="004E32C0"/>
    <w:rsid w:val="004E3385"/>
    <w:rsid w:val="004E3402"/>
    <w:rsid w:val="004E3438"/>
    <w:rsid w:val="004E347A"/>
    <w:rsid w:val="004E3927"/>
    <w:rsid w:val="004E397E"/>
    <w:rsid w:val="004E3A12"/>
    <w:rsid w:val="004E3A14"/>
    <w:rsid w:val="004E3AB0"/>
    <w:rsid w:val="004E3AF2"/>
    <w:rsid w:val="004E3B07"/>
    <w:rsid w:val="004E3B47"/>
    <w:rsid w:val="004E3C1C"/>
    <w:rsid w:val="004E3DB5"/>
    <w:rsid w:val="004E3EC1"/>
    <w:rsid w:val="004E3F33"/>
    <w:rsid w:val="004E3F7D"/>
    <w:rsid w:val="004E400B"/>
    <w:rsid w:val="004E40D6"/>
    <w:rsid w:val="004E414C"/>
    <w:rsid w:val="004E416E"/>
    <w:rsid w:val="004E41E4"/>
    <w:rsid w:val="004E420A"/>
    <w:rsid w:val="004E421A"/>
    <w:rsid w:val="004E422C"/>
    <w:rsid w:val="004E422E"/>
    <w:rsid w:val="004E4255"/>
    <w:rsid w:val="004E42CF"/>
    <w:rsid w:val="004E430D"/>
    <w:rsid w:val="004E4314"/>
    <w:rsid w:val="004E4495"/>
    <w:rsid w:val="004E44B8"/>
    <w:rsid w:val="004E4543"/>
    <w:rsid w:val="004E46B1"/>
    <w:rsid w:val="004E473D"/>
    <w:rsid w:val="004E4804"/>
    <w:rsid w:val="004E481B"/>
    <w:rsid w:val="004E482E"/>
    <w:rsid w:val="004E4834"/>
    <w:rsid w:val="004E4883"/>
    <w:rsid w:val="004E4894"/>
    <w:rsid w:val="004E48EA"/>
    <w:rsid w:val="004E490A"/>
    <w:rsid w:val="004E4ABB"/>
    <w:rsid w:val="004E4AEE"/>
    <w:rsid w:val="004E4B75"/>
    <w:rsid w:val="004E4BCB"/>
    <w:rsid w:val="004E4BE7"/>
    <w:rsid w:val="004E4CB0"/>
    <w:rsid w:val="004E4D5D"/>
    <w:rsid w:val="004E4D84"/>
    <w:rsid w:val="004E4DCD"/>
    <w:rsid w:val="004E4DE2"/>
    <w:rsid w:val="004E4E6A"/>
    <w:rsid w:val="004E4F77"/>
    <w:rsid w:val="004E502F"/>
    <w:rsid w:val="004E537D"/>
    <w:rsid w:val="004E53A9"/>
    <w:rsid w:val="004E57D0"/>
    <w:rsid w:val="004E5852"/>
    <w:rsid w:val="004E58BF"/>
    <w:rsid w:val="004E59FA"/>
    <w:rsid w:val="004E5A5C"/>
    <w:rsid w:val="004E5ACB"/>
    <w:rsid w:val="004E5AD5"/>
    <w:rsid w:val="004E5B57"/>
    <w:rsid w:val="004E5BD8"/>
    <w:rsid w:val="004E5F23"/>
    <w:rsid w:val="004E5F9F"/>
    <w:rsid w:val="004E5FA3"/>
    <w:rsid w:val="004E5FD1"/>
    <w:rsid w:val="004E6048"/>
    <w:rsid w:val="004E6122"/>
    <w:rsid w:val="004E6187"/>
    <w:rsid w:val="004E62F4"/>
    <w:rsid w:val="004E6314"/>
    <w:rsid w:val="004E631A"/>
    <w:rsid w:val="004E6404"/>
    <w:rsid w:val="004E6477"/>
    <w:rsid w:val="004E6529"/>
    <w:rsid w:val="004E656B"/>
    <w:rsid w:val="004E65BF"/>
    <w:rsid w:val="004E6650"/>
    <w:rsid w:val="004E6737"/>
    <w:rsid w:val="004E67A5"/>
    <w:rsid w:val="004E67C3"/>
    <w:rsid w:val="004E6850"/>
    <w:rsid w:val="004E688E"/>
    <w:rsid w:val="004E6980"/>
    <w:rsid w:val="004E6CA9"/>
    <w:rsid w:val="004E6D89"/>
    <w:rsid w:val="004E6F5D"/>
    <w:rsid w:val="004E7042"/>
    <w:rsid w:val="004E7061"/>
    <w:rsid w:val="004E7084"/>
    <w:rsid w:val="004E70E5"/>
    <w:rsid w:val="004E70F4"/>
    <w:rsid w:val="004E712A"/>
    <w:rsid w:val="004E71AC"/>
    <w:rsid w:val="004E7284"/>
    <w:rsid w:val="004E7400"/>
    <w:rsid w:val="004E7455"/>
    <w:rsid w:val="004E7554"/>
    <w:rsid w:val="004E756C"/>
    <w:rsid w:val="004E75F8"/>
    <w:rsid w:val="004E7726"/>
    <w:rsid w:val="004E787E"/>
    <w:rsid w:val="004E7A01"/>
    <w:rsid w:val="004E7A19"/>
    <w:rsid w:val="004E7A24"/>
    <w:rsid w:val="004E7BE0"/>
    <w:rsid w:val="004E7CD0"/>
    <w:rsid w:val="004E7D81"/>
    <w:rsid w:val="004E7E4D"/>
    <w:rsid w:val="004E7EF6"/>
    <w:rsid w:val="004E7F01"/>
    <w:rsid w:val="004F00C3"/>
    <w:rsid w:val="004F010F"/>
    <w:rsid w:val="004F01BA"/>
    <w:rsid w:val="004F026C"/>
    <w:rsid w:val="004F0474"/>
    <w:rsid w:val="004F04B7"/>
    <w:rsid w:val="004F05C6"/>
    <w:rsid w:val="004F074C"/>
    <w:rsid w:val="004F082A"/>
    <w:rsid w:val="004F08C5"/>
    <w:rsid w:val="004F093E"/>
    <w:rsid w:val="004F09BE"/>
    <w:rsid w:val="004F0A42"/>
    <w:rsid w:val="004F0A7E"/>
    <w:rsid w:val="004F0A94"/>
    <w:rsid w:val="004F0AB9"/>
    <w:rsid w:val="004F0ABA"/>
    <w:rsid w:val="004F0C19"/>
    <w:rsid w:val="004F0CFE"/>
    <w:rsid w:val="004F0EC8"/>
    <w:rsid w:val="004F0ED9"/>
    <w:rsid w:val="004F0F1B"/>
    <w:rsid w:val="004F1061"/>
    <w:rsid w:val="004F10B9"/>
    <w:rsid w:val="004F1118"/>
    <w:rsid w:val="004F1155"/>
    <w:rsid w:val="004F1163"/>
    <w:rsid w:val="004F11A9"/>
    <w:rsid w:val="004F1226"/>
    <w:rsid w:val="004F12A2"/>
    <w:rsid w:val="004F12BA"/>
    <w:rsid w:val="004F1362"/>
    <w:rsid w:val="004F14AA"/>
    <w:rsid w:val="004F14C8"/>
    <w:rsid w:val="004F1569"/>
    <w:rsid w:val="004F15F5"/>
    <w:rsid w:val="004F1830"/>
    <w:rsid w:val="004F1833"/>
    <w:rsid w:val="004F1889"/>
    <w:rsid w:val="004F19D9"/>
    <w:rsid w:val="004F1C3D"/>
    <w:rsid w:val="004F1C50"/>
    <w:rsid w:val="004F1D3A"/>
    <w:rsid w:val="004F1D42"/>
    <w:rsid w:val="004F1D7B"/>
    <w:rsid w:val="004F1FF6"/>
    <w:rsid w:val="004F20F3"/>
    <w:rsid w:val="004F21EC"/>
    <w:rsid w:val="004F22E5"/>
    <w:rsid w:val="004F2383"/>
    <w:rsid w:val="004F2432"/>
    <w:rsid w:val="004F28E8"/>
    <w:rsid w:val="004F2A23"/>
    <w:rsid w:val="004F2CED"/>
    <w:rsid w:val="004F2E6B"/>
    <w:rsid w:val="004F2E7F"/>
    <w:rsid w:val="004F2ECE"/>
    <w:rsid w:val="004F2ED9"/>
    <w:rsid w:val="004F305B"/>
    <w:rsid w:val="004F320C"/>
    <w:rsid w:val="004F324A"/>
    <w:rsid w:val="004F3346"/>
    <w:rsid w:val="004F33B6"/>
    <w:rsid w:val="004F345A"/>
    <w:rsid w:val="004F34A3"/>
    <w:rsid w:val="004F37D3"/>
    <w:rsid w:val="004F3875"/>
    <w:rsid w:val="004F38E5"/>
    <w:rsid w:val="004F3912"/>
    <w:rsid w:val="004F39DC"/>
    <w:rsid w:val="004F3A55"/>
    <w:rsid w:val="004F3A8A"/>
    <w:rsid w:val="004F3B46"/>
    <w:rsid w:val="004F3B97"/>
    <w:rsid w:val="004F3D31"/>
    <w:rsid w:val="004F3EF7"/>
    <w:rsid w:val="004F3F44"/>
    <w:rsid w:val="004F402E"/>
    <w:rsid w:val="004F404C"/>
    <w:rsid w:val="004F4054"/>
    <w:rsid w:val="004F4180"/>
    <w:rsid w:val="004F420A"/>
    <w:rsid w:val="004F4236"/>
    <w:rsid w:val="004F42B9"/>
    <w:rsid w:val="004F4306"/>
    <w:rsid w:val="004F4413"/>
    <w:rsid w:val="004F4451"/>
    <w:rsid w:val="004F4543"/>
    <w:rsid w:val="004F45C6"/>
    <w:rsid w:val="004F4619"/>
    <w:rsid w:val="004F4674"/>
    <w:rsid w:val="004F46F1"/>
    <w:rsid w:val="004F46F5"/>
    <w:rsid w:val="004F4768"/>
    <w:rsid w:val="004F476E"/>
    <w:rsid w:val="004F4827"/>
    <w:rsid w:val="004F49E8"/>
    <w:rsid w:val="004F4AD1"/>
    <w:rsid w:val="004F4D15"/>
    <w:rsid w:val="004F4E14"/>
    <w:rsid w:val="004F4EF4"/>
    <w:rsid w:val="004F51C4"/>
    <w:rsid w:val="004F528B"/>
    <w:rsid w:val="004F5359"/>
    <w:rsid w:val="004F5479"/>
    <w:rsid w:val="004F5753"/>
    <w:rsid w:val="004F58AF"/>
    <w:rsid w:val="004F5947"/>
    <w:rsid w:val="004F5A3D"/>
    <w:rsid w:val="004F5B6E"/>
    <w:rsid w:val="004F5B74"/>
    <w:rsid w:val="004F5DB2"/>
    <w:rsid w:val="004F5DF5"/>
    <w:rsid w:val="004F5FD1"/>
    <w:rsid w:val="004F6078"/>
    <w:rsid w:val="004F613B"/>
    <w:rsid w:val="004F64D3"/>
    <w:rsid w:val="004F64E7"/>
    <w:rsid w:val="004F64EE"/>
    <w:rsid w:val="004F68BB"/>
    <w:rsid w:val="004F6903"/>
    <w:rsid w:val="004F6955"/>
    <w:rsid w:val="004F69D2"/>
    <w:rsid w:val="004F6ABB"/>
    <w:rsid w:val="004F6AE4"/>
    <w:rsid w:val="004F6B8D"/>
    <w:rsid w:val="004F6B98"/>
    <w:rsid w:val="004F6C4E"/>
    <w:rsid w:val="004F6CCB"/>
    <w:rsid w:val="004F6D3A"/>
    <w:rsid w:val="004F6D8B"/>
    <w:rsid w:val="004F6D90"/>
    <w:rsid w:val="004F6DE4"/>
    <w:rsid w:val="004F6F13"/>
    <w:rsid w:val="004F6F17"/>
    <w:rsid w:val="004F6F44"/>
    <w:rsid w:val="004F6F8F"/>
    <w:rsid w:val="004F6F9A"/>
    <w:rsid w:val="004F6FEA"/>
    <w:rsid w:val="004F7012"/>
    <w:rsid w:val="004F706C"/>
    <w:rsid w:val="004F7076"/>
    <w:rsid w:val="004F72DB"/>
    <w:rsid w:val="004F731F"/>
    <w:rsid w:val="004F7430"/>
    <w:rsid w:val="004F76D8"/>
    <w:rsid w:val="004F76ED"/>
    <w:rsid w:val="004F78D6"/>
    <w:rsid w:val="004F7961"/>
    <w:rsid w:val="004F7B48"/>
    <w:rsid w:val="004F7BD8"/>
    <w:rsid w:val="004F7C67"/>
    <w:rsid w:val="004F7CBC"/>
    <w:rsid w:val="004F7E54"/>
    <w:rsid w:val="004F7EFF"/>
    <w:rsid w:val="00500180"/>
    <w:rsid w:val="0050027C"/>
    <w:rsid w:val="0050029B"/>
    <w:rsid w:val="0050031D"/>
    <w:rsid w:val="005003FA"/>
    <w:rsid w:val="005003FB"/>
    <w:rsid w:val="0050045E"/>
    <w:rsid w:val="00500562"/>
    <w:rsid w:val="005005F9"/>
    <w:rsid w:val="00500601"/>
    <w:rsid w:val="005007B9"/>
    <w:rsid w:val="005007FC"/>
    <w:rsid w:val="00500949"/>
    <w:rsid w:val="0050096C"/>
    <w:rsid w:val="00500B60"/>
    <w:rsid w:val="00500BD4"/>
    <w:rsid w:val="00500BFF"/>
    <w:rsid w:val="00500C1E"/>
    <w:rsid w:val="00500C4D"/>
    <w:rsid w:val="00500DA6"/>
    <w:rsid w:val="00500DB6"/>
    <w:rsid w:val="00500E39"/>
    <w:rsid w:val="00500E4B"/>
    <w:rsid w:val="00500ECA"/>
    <w:rsid w:val="00500FE7"/>
    <w:rsid w:val="00501046"/>
    <w:rsid w:val="0050107F"/>
    <w:rsid w:val="0050115B"/>
    <w:rsid w:val="00501292"/>
    <w:rsid w:val="0050130F"/>
    <w:rsid w:val="005013AF"/>
    <w:rsid w:val="005014A9"/>
    <w:rsid w:val="005014FC"/>
    <w:rsid w:val="005015A8"/>
    <w:rsid w:val="005015DD"/>
    <w:rsid w:val="005015F7"/>
    <w:rsid w:val="00501691"/>
    <w:rsid w:val="00501728"/>
    <w:rsid w:val="0050176F"/>
    <w:rsid w:val="0050184E"/>
    <w:rsid w:val="005018DA"/>
    <w:rsid w:val="00501911"/>
    <w:rsid w:val="00501966"/>
    <w:rsid w:val="005019ED"/>
    <w:rsid w:val="00501A3B"/>
    <w:rsid w:val="00501B11"/>
    <w:rsid w:val="00501CEB"/>
    <w:rsid w:val="00501D60"/>
    <w:rsid w:val="00501E9D"/>
    <w:rsid w:val="00501EB5"/>
    <w:rsid w:val="00501F2E"/>
    <w:rsid w:val="00501F95"/>
    <w:rsid w:val="00502003"/>
    <w:rsid w:val="00502065"/>
    <w:rsid w:val="00502093"/>
    <w:rsid w:val="005020B6"/>
    <w:rsid w:val="0050223C"/>
    <w:rsid w:val="00502306"/>
    <w:rsid w:val="00502340"/>
    <w:rsid w:val="00502389"/>
    <w:rsid w:val="0050239A"/>
    <w:rsid w:val="00502414"/>
    <w:rsid w:val="00502460"/>
    <w:rsid w:val="0050250A"/>
    <w:rsid w:val="00502531"/>
    <w:rsid w:val="00502559"/>
    <w:rsid w:val="00502575"/>
    <w:rsid w:val="005025E2"/>
    <w:rsid w:val="00502654"/>
    <w:rsid w:val="0050267D"/>
    <w:rsid w:val="005026B3"/>
    <w:rsid w:val="005026C8"/>
    <w:rsid w:val="00502745"/>
    <w:rsid w:val="00502819"/>
    <w:rsid w:val="005028A0"/>
    <w:rsid w:val="00502973"/>
    <w:rsid w:val="005029FA"/>
    <w:rsid w:val="00502A09"/>
    <w:rsid w:val="00502AC2"/>
    <w:rsid w:val="00502B02"/>
    <w:rsid w:val="00502BEE"/>
    <w:rsid w:val="00502E1A"/>
    <w:rsid w:val="00502E56"/>
    <w:rsid w:val="00502E6C"/>
    <w:rsid w:val="00502EB4"/>
    <w:rsid w:val="00503003"/>
    <w:rsid w:val="00503220"/>
    <w:rsid w:val="00503424"/>
    <w:rsid w:val="00503492"/>
    <w:rsid w:val="005034F5"/>
    <w:rsid w:val="0050351B"/>
    <w:rsid w:val="00503576"/>
    <w:rsid w:val="0050358B"/>
    <w:rsid w:val="005035BD"/>
    <w:rsid w:val="005035DB"/>
    <w:rsid w:val="0050374B"/>
    <w:rsid w:val="0050376D"/>
    <w:rsid w:val="005037E3"/>
    <w:rsid w:val="005038C8"/>
    <w:rsid w:val="005039B8"/>
    <w:rsid w:val="00503A4C"/>
    <w:rsid w:val="00503A72"/>
    <w:rsid w:val="00503B31"/>
    <w:rsid w:val="00503BCA"/>
    <w:rsid w:val="00504091"/>
    <w:rsid w:val="0050413B"/>
    <w:rsid w:val="00504154"/>
    <w:rsid w:val="00504156"/>
    <w:rsid w:val="0050427B"/>
    <w:rsid w:val="005045C4"/>
    <w:rsid w:val="005046DC"/>
    <w:rsid w:val="0050475B"/>
    <w:rsid w:val="00504853"/>
    <w:rsid w:val="0050485E"/>
    <w:rsid w:val="00504B43"/>
    <w:rsid w:val="00504CE7"/>
    <w:rsid w:val="00504D02"/>
    <w:rsid w:val="00504EB6"/>
    <w:rsid w:val="00504F02"/>
    <w:rsid w:val="0050506A"/>
    <w:rsid w:val="005050CA"/>
    <w:rsid w:val="0050512F"/>
    <w:rsid w:val="0050513F"/>
    <w:rsid w:val="005051B8"/>
    <w:rsid w:val="00505215"/>
    <w:rsid w:val="005052FD"/>
    <w:rsid w:val="0050537D"/>
    <w:rsid w:val="00505423"/>
    <w:rsid w:val="005055FD"/>
    <w:rsid w:val="005056CC"/>
    <w:rsid w:val="005056DF"/>
    <w:rsid w:val="00505862"/>
    <w:rsid w:val="00505893"/>
    <w:rsid w:val="00505915"/>
    <w:rsid w:val="00505932"/>
    <w:rsid w:val="00505977"/>
    <w:rsid w:val="00505A29"/>
    <w:rsid w:val="00505C00"/>
    <w:rsid w:val="00505C61"/>
    <w:rsid w:val="00505CBA"/>
    <w:rsid w:val="00505D2F"/>
    <w:rsid w:val="00505DD1"/>
    <w:rsid w:val="00505E45"/>
    <w:rsid w:val="00505E5F"/>
    <w:rsid w:val="00505E64"/>
    <w:rsid w:val="00505E7E"/>
    <w:rsid w:val="00505EF1"/>
    <w:rsid w:val="00505F75"/>
    <w:rsid w:val="0050602A"/>
    <w:rsid w:val="00506141"/>
    <w:rsid w:val="0050615D"/>
    <w:rsid w:val="005061AA"/>
    <w:rsid w:val="00506251"/>
    <w:rsid w:val="0050633D"/>
    <w:rsid w:val="0050634E"/>
    <w:rsid w:val="00506362"/>
    <w:rsid w:val="00506463"/>
    <w:rsid w:val="005064F3"/>
    <w:rsid w:val="005064FE"/>
    <w:rsid w:val="005065D3"/>
    <w:rsid w:val="005065FF"/>
    <w:rsid w:val="00506860"/>
    <w:rsid w:val="00506901"/>
    <w:rsid w:val="005069D1"/>
    <w:rsid w:val="00506B7D"/>
    <w:rsid w:val="00506BFC"/>
    <w:rsid w:val="00506BFF"/>
    <w:rsid w:val="00506C05"/>
    <w:rsid w:val="00506C38"/>
    <w:rsid w:val="00506CCC"/>
    <w:rsid w:val="00506D37"/>
    <w:rsid w:val="00506D49"/>
    <w:rsid w:val="00506D76"/>
    <w:rsid w:val="00506D92"/>
    <w:rsid w:val="00506DAE"/>
    <w:rsid w:val="00506DD7"/>
    <w:rsid w:val="005070A6"/>
    <w:rsid w:val="00507325"/>
    <w:rsid w:val="00507482"/>
    <w:rsid w:val="00507553"/>
    <w:rsid w:val="005075F1"/>
    <w:rsid w:val="005076B7"/>
    <w:rsid w:val="005076EA"/>
    <w:rsid w:val="00507710"/>
    <w:rsid w:val="00507816"/>
    <w:rsid w:val="005079D5"/>
    <w:rsid w:val="00507AF6"/>
    <w:rsid w:val="00507B67"/>
    <w:rsid w:val="00507C4E"/>
    <w:rsid w:val="00507C9C"/>
    <w:rsid w:val="00507D2C"/>
    <w:rsid w:val="00507D7A"/>
    <w:rsid w:val="00507E01"/>
    <w:rsid w:val="00507ECA"/>
    <w:rsid w:val="00507F0F"/>
    <w:rsid w:val="005102DF"/>
    <w:rsid w:val="00510491"/>
    <w:rsid w:val="005104E1"/>
    <w:rsid w:val="005105A1"/>
    <w:rsid w:val="005106AE"/>
    <w:rsid w:val="005106E6"/>
    <w:rsid w:val="005106F6"/>
    <w:rsid w:val="0051083F"/>
    <w:rsid w:val="00510890"/>
    <w:rsid w:val="00510934"/>
    <w:rsid w:val="00510993"/>
    <w:rsid w:val="00510B5D"/>
    <w:rsid w:val="00510EF8"/>
    <w:rsid w:val="00510FC8"/>
    <w:rsid w:val="005110DC"/>
    <w:rsid w:val="005110E2"/>
    <w:rsid w:val="005111E4"/>
    <w:rsid w:val="0051122B"/>
    <w:rsid w:val="0051136C"/>
    <w:rsid w:val="005113CA"/>
    <w:rsid w:val="00511498"/>
    <w:rsid w:val="005114D1"/>
    <w:rsid w:val="005114D3"/>
    <w:rsid w:val="00511505"/>
    <w:rsid w:val="00511639"/>
    <w:rsid w:val="00511691"/>
    <w:rsid w:val="005117F2"/>
    <w:rsid w:val="0051182D"/>
    <w:rsid w:val="0051186F"/>
    <w:rsid w:val="0051198C"/>
    <w:rsid w:val="00511ABF"/>
    <w:rsid w:val="00511ADF"/>
    <w:rsid w:val="00511C81"/>
    <w:rsid w:val="00511DBA"/>
    <w:rsid w:val="00511F1C"/>
    <w:rsid w:val="00511FD5"/>
    <w:rsid w:val="005122AF"/>
    <w:rsid w:val="0051236B"/>
    <w:rsid w:val="0051273E"/>
    <w:rsid w:val="00512765"/>
    <w:rsid w:val="005127B5"/>
    <w:rsid w:val="0051296E"/>
    <w:rsid w:val="00512B63"/>
    <w:rsid w:val="00512B9C"/>
    <w:rsid w:val="00512C01"/>
    <w:rsid w:val="00512C17"/>
    <w:rsid w:val="00512CB1"/>
    <w:rsid w:val="00512D3D"/>
    <w:rsid w:val="00512DCD"/>
    <w:rsid w:val="00513010"/>
    <w:rsid w:val="00513073"/>
    <w:rsid w:val="00513092"/>
    <w:rsid w:val="005130F9"/>
    <w:rsid w:val="00513169"/>
    <w:rsid w:val="00513202"/>
    <w:rsid w:val="00513454"/>
    <w:rsid w:val="00513468"/>
    <w:rsid w:val="00513491"/>
    <w:rsid w:val="005134E1"/>
    <w:rsid w:val="00513521"/>
    <w:rsid w:val="00513540"/>
    <w:rsid w:val="005136AD"/>
    <w:rsid w:val="0051392B"/>
    <w:rsid w:val="005139D8"/>
    <w:rsid w:val="005139DD"/>
    <w:rsid w:val="005139FA"/>
    <w:rsid w:val="00513A2E"/>
    <w:rsid w:val="00513A82"/>
    <w:rsid w:val="00513CF9"/>
    <w:rsid w:val="00513D14"/>
    <w:rsid w:val="00513D22"/>
    <w:rsid w:val="00513DD0"/>
    <w:rsid w:val="00513E11"/>
    <w:rsid w:val="00513ECC"/>
    <w:rsid w:val="00514078"/>
    <w:rsid w:val="00514085"/>
    <w:rsid w:val="00514101"/>
    <w:rsid w:val="005141DA"/>
    <w:rsid w:val="005141E8"/>
    <w:rsid w:val="00514205"/>
    <w:rsid w:val="0051420C"/>
    <w:rsid w:val="0051420F"/>
    <w:rsid w:val="0051429E"/>
    <w:rsid w:val="005142AF"/>
    <w:rsid w:val="005142D8"/>
    <w:rsid w:val="00514343"/>
    <w:rsid w:val="005143F6"/>
    <w:rsid w:val="00514467"/>
    <w:rsid w:val="0051457D"/>
    <w:rsid w:val="005145AA"/>
    <w:rsid w:val="00514645"/>
    <w:rsid w:val="005146A6"/>
    <w:rsid w:val="00514719"/>
    <w:rsid w:val="005147B9"/>
    <w:rsid w:val="00514895"/>
    <w:rsid w:val="00514A08"/>
    <w:rsid w:val="00514AFE"/>
    <w:rsid w:val="00514B14"/>
    <w:rsid w:val="00514B24"/>
    <w:rsid w:val="00514BC5"/>
    <w:rsid w:val="00514BD9"/>
    <w:rsid w:val="00514D5A"/>
    <w:rsid w:val="00514D67"/>
    <w:rsid w:val="00514D98"/>
    <w:rsid w:val="00514DEE"/>
    <w:rsid w:val="00514EA6"/>
    <w:rsid w:val="00514F6D"/>
    <w:rsid w:val="00515023"/>
    <w:rsid w:val="00515062"/>
    <w:rsid w:val="00515268"/>
    <w:rsid w:val="0051528A"/>
    <w:rsid w:val="005152A4"/>
    <w:rsid w:val="005152C1"/>
    <w:rsid w:val="0051539C"/>
    <w:rsid w:val="0051543F"/>
    <w:rsid w:val="00515597"/>
    <w:rsid w:val="005156CF"/>
    <w:rsid w:val="00515797"/>
    <w:rsid w:val="00515801"/>
    <w:rsid w:val="0051583E"/>
    <w:rsid w:val="0051584D"/>
    <w:rsid w:val="0051589A"/>
    <w:rsid w:val="00515937"/>
    <w:rsid w:val="00515A20"/>
    <w:rsid w:val="00515A41"/>
    <w:rsid w:val="00515A6F"/>
    <w:rsid w:val="00515AFA"/>
    <w:rsid w:val="00515BE9"/>
    <w:rsid w:val="00515C59"/>
    <w:rsid w:val="00515C88"/>
    <w:rsid w:val="00515CAC"/>
    <w:rsid w:val="00515CC3"/>
    <w:rsid w:val="00515DE8"/>
    <w:rsid w:val="00515E9D"/>
    <w:rsid w:val="00515FCD"/>
    <w:rsid w:val="00516047"/>
    <w:rsid w:val="005161D2"/>
    <w:rsid w:val="00516277"/>
    <w:rsid w:val="00516340"/>
    <w:rsid w:val="0051635C"/>
    <w:rsid w:val="0051645C"/>
    <w:rsid w:val="00516541"/>
    <w:rsid w:val="005166E2"/>
    <w:rsid w:val="005166EA"/>
    <w:rsid w:val="005167AE"/>
    <w:rsid w:val="005168AF"/>
    <w:rsid w:val="005168E7"/>
    <w:rsid w:val="00516909"/>
    <w:rsid w:val="00516953"/>
    <w:rsid w:val="00516A07"/>
    <w:rsid w:val="00516C3D"/>
    <w:rsid w:val="00516E2A"/>
    <w:rsid w:val="00516E7A"/>
    <w:rsid w:val="00516E9B"/>
    <w:rsid w:val="00516EA5"/>
    <w:rsid w:val="00516F00"/>
    <w:rsid w:val="00516F62"/>
    <w:rsid w:val="00517008"/>
    <w:rsid w:val="0051701F"/>
    <w:rsid w:val="005171A8"/>
    <w:rsid w:val="00517206"/>
    <w:rsid w:val="00517417"/>
    <w:rsid w:val="00517492"/>
    <w:rsid w:val="00517533"/>
    <w:rsid w:val="00517586"/>
    <w:rsid w:val="0051770F"/>
    <w:rsid w:val="0051772A"/>
    <w:rsid w:val="0051787B"/>
    <w:rsid w:val="0051787F"/>
    <w:rsid w:val="005178D8"/>
    <w:rsid w:val="005179C9"/>
    <w:rsid w:val="00517A0C"/>
    <w:rsid w:val="00517A1A"/>
    <w:rsid w:val="00517A87"/>
    <w:rsid w:val="00517AF8"/>
    <w:rsid w:val="00517B08"/>
    <w:rsid w:val="00517B43"/>
    <w:rsid w:val="00517CA3"/>
    <w:rsid w:val="0052007E"/>
    <w:rsid w:val="0052009E"/>
    <w:rsid w:val="005200FE"/>
    <w:rsid w:val="00520277"/>
    <w:rsid w:val="005202F4"/>
    <w:rsid w:val="00520334"/>
    <w:rsid w:val="005203FA"/>
    <w:rsid w:val="005204FA"/>
    <w:rsid w:val="00520596"/>
    <w:rsid w:val="005206AF"/>
    <w:rsid w:val="00520761"/>
    <w:rsid w:val="005208EA"/>
    <w:rsid w:val="0052098D"/>
    <w:rsid w:val="005209A6"/>
    <w:rsid w:val="00520A1F"/>
    <w:rsid w:val="00520ABB"/>
    <w:rsid w:val="00520B0C"/>
    <w:rsid w:val="00520C4C"/>
    <w:rsid w:val="00520DA1"/>
    <w:rsid w:val="00520EBB"/>
    <w:rsid w:val="00520ED0"/>
    <w:rsid w:val="00520EF5"/>
    <w:rsid w:val="00520F01"/>
    <w:rsid w:val="005210B5"/>
    <w:rsid w:val="005210CB"/>
    <w:rsid w:val="0052110D"/>
    <w:rsid w:val="00521292"/>
    <w:rsid w:val="00521499"/>
    <w:rsid w:val="00521666"/>
    <w:rsid w:val="00521A09"/>
    <w:rsid w:val="00521C02"/>
    <w:rsid w:val="00521D80"/>
    <w:rsid w:val="00521DBA"/>
    <w:rsid w:val="00521E77"/>
    <w:rsid w:val="00521EDD"/>
    <w:rsid w:val="00521F3D"/>
    <w:rsid w:val="00521F61"/>
    <w:rsid w:val="00522103"/>
    <w:rsid w:val="005221E8"/>
    <w:rsid w:val="00522476"/>
    <w:rsid w:val="00522504"/>
    <w:rsid w:val="00522645"/>
    <w:rsid w:val="005226A9"/>
    <w:rsid w:val="0052272E"/>
    <w:rsid w:val="00522786"/>
    <w:rsid w:val="005227CE"/>
    <w:rsid w:val="00522B0D"/>
    <w:rsid w:val="00522BA5"/>
    <w:rsid w:val="00522BF4"/>
    <w:rsid w:val="00522D04"/>
    <w:rsid w:val="00522D0F"/>
    <w:rsid w:val="00522E3E"/>
    <w:rsid w:val="00522FE7"/>
    <w:rsid w:val="00523018"/>
    <w:rsid w:val="005231DE"/>
    <w:rsid w:val="005232E7"/>
    <w:rsid w:val="00523300"/>
    <w:rsid w:val="0052330A"/>
    <w:rsid w:val="005233C5"/>
    <w:rsid w:val="00523473"/>
    <w:rsid w:val="0052347E"/>
    <w:rsid w:val="00523484"/>
    <w:rsid w:val="005234C9"/>
    <w:rsid w:val="00523521"/>
    <w:rsid w:val="0052358B"/>
    <w:rsid w:val="005235E8"/>
    <w:rsid w:val="00523614"/>
    <w:rsid w:val="00523685"/>
    <w:rsid w:val="00523719"/>
    <w:rsid w:val="0052383E"/>
    <w:rsid w:val="00523942"/>
    <w:rsid w:val="005239E4"/>
    <w:rsid w:val="00523B1B"/>
    <w:rsid w:val="00523B5F"/>
    <w:rsid w:val="00523C0E"/>
    <w:rsid w:val="00523C21"/>
    <w:rsid w:val="00523C24"/>
    <w:rsid w:val="00523C58"/>
    <w:rsid w:val="00523CCE"/>
    <w:rsid w:val="00523D38"/>
    <w:rsid w:val="00523D87"/>
    <w:rsid w:val="00523DC0"/>
    <w:rsid w:val="00523EC7"/>
    <w:rsid w:val="00523FFC"/>
    <w:rsid w:val="00524091"/>
    <w:rsid w:val="005240A3"/>
    <w:rsid w:val="00524107"/>
    <w:rsid w:val="0052413A"/>
    <w:rsid w:val="00524183"/>
    <w:rsid w:val="005241F8"/>
    <w:rsid w:val="00524241"/>
    <w:rsid w:val="005243A9"/>
    <w:rsid w:val="00524505"/>
    <w:rsid w:val="00524625"/>
    <w:rsid w:val="00524634"/>
    <w:rsid w:val="00524651"/>
    <w:rsid w:val="00524777"/>
    <w:rsid w:val="005247D7"/>
    <w:rsid w:val="00524823"/>
    <w:rsid w:val="0052482F"/>
    <w:rsid w:val="00524892"/>
    <w:rsid w:val="005249E0"/>
    <w:rsid w:val="005249ED"/>
    <w:rsid w:val="00524A1F"/>
    <w:rsid w:val="00524A36"/>
    <w:rsid w:val="00524AA3"/>
    <w:rsid w:val="00524B99"/>
    <w:rsid w:val="00524C7C"/>
    <w:rsid w:val="00524D28"/>
    <w:rsid w:val="00524D73"/>
    <w:rsid w:val="00524E14"/>
    <w:rsid w:val="00524E33"/>
    <w:rsid w:val="00524F32"/>
    <w:rsid w:val="00525178"/>
    <w:rsid w:val="00525266"/>
    <w:rsid w:val="0052527C"/>
    <w:rsid w:val="005252EB"/>
    <w:rsid w:val="00525350"/>
    <w:rsid w:val="00525354"/>
    <w:rsid w:val="005256E9"/>
    <w:rsid w:val="0052580F"/>
    <w:rsid w:val="00525873"/>
    <w:rsid w:val="00525AE9"/>
    <w:rsid w:val="00525B15"/>
    <w:rsid w:val="00525B86"/>
    <w:rsid w:val="00525D29"/>
    <w:rsid w:val="00525D78"/>
    <w:rsid w:val="00525DFF"/>
    <w:rsid w:val="00525E89"/>
    <w:rsid w:val="00525EC3"/>
    <w:rsid w:val="00525EDA"/>
    <w:rsid w:val="00526075"/>
    <w:rsid w:val="005260B6"/>
    <w:rsid w:val="005260E4"/>
    <w:rsid w:val="00526224"/>
    <w:rsid w:val="0052623D"/>
    <w:rsid w:val="005262F6"/>
    <w:rsid w:val="00526326"/>
    <w:rsid w:val="0052634A"/>
    <w:rsid w:val="005263B1"/>
    <w:rsid w:val="00526519"/>
    <w:rsid w:val="0052651E"/>
    <w:rsid w:val="00526538"/>
    <w:rsid w:val="0052666C"/>
    <w:rsid w:val="00526733"/>
    <w:rsid w:val="0052684E"/>
    <w:rsid w:val="005268AD"/>
    <w:rsid w:val="005268DF"/>
    <w:rsid w:val="005268F0"/>
    <w:rsid w:val="005268FF"/>
    <w:rsid w:val="00526958"/>
    <w:rsid w:val="00526A4D"/>
    <w:rsid w:val="00526CCD"/>
    <w:rsid w:val="00526CE3"/>
    <w:rsid w:val="00526E3C"/>
    <w:rsid w:val="00527062"/>
    <w:rsid w:val="0052706A"/>
    <w:rsid w:val="00527161"/>
    <w:rsid w:val="0052731B"/>
    <w:rsid w:val="0052734B"/>
    <w:rsid w:val="00527360"/>
    <w:rsid w:val="0052739D"/>
    <w:rsid w:val="005275BF"/>
    <w:rsid w:val="005277A4"/>
    <w:rsid w:val="005277C2"/>
    <w:rsid w:val="005279DF"/>
    <w:rsid w:val="00527A91"/>
    <w:rsid w:val="00527B28"/>
    <w:rsid w:val="00527BA2"/>
    <w:rsid w:val="00527CEE"/>
    <w:rsid w:val="00527E6D"/>
    <w:rsid w:val="00527F64"/>
    <w:rsid w:val="00527FAA"/>
    <w:rsid w:val="00527FDC"/>
    <w:rsid w:val="005300D6"/>
    <w:rsid w:val="0053019D"/>
    <w:rsid w:val="005302A7"/>
    <w:rsid w:val="00530319"/>
    <w:rsid w:val="005303DA"/>
    <w:rsid w:val="005303F8"/>
    <w:rsid w:val="00530525"/>
    <w:rsid w:val="0053054B"/>
    <w:rsid w:val="0053064E"/>
    <w:rsid w:val="00530739"/>
    <w:rsid w:val="00530797"/>
    <w:rsid w:val="005307B1"/>
    <w:rsid w:val="00530994"/>
    <w:rsid w:val="00530A03"/>
    <w:rsid w:val="00530A41"/>
    <w:rsid w:val="00530B88"/>
    <w:rsid w:val="00530BFD"/>
    <w:rsid w:val="00530D09"/>
    <w:rsid w:val="00530DB5"/>
    <w:rsid w:val="00530DCE"/>
    <w:rsid w:val="00530E59"/>
    <w:rsid w:val="00530FFE"/>
    <w:rsid w:val="0053109D"/>
    <w:rsid w:val="005310F1"/>
    <w:rsid w:val="0053119A"/>
    <w:rsid w:val="00531206"/>
    <w:rsid w:val="0053129C"/>
    <w:rsid w:val="005312A1"/>
    <w:rsid w:val="00531353"/>
    <w:rsid w:val="00531381"/>
    <w:rsid w:val="00531396"/>
    <w:rsid w:val="0053143D"/>
    <w:rsid w:val="005314F6"/>
    <w:rsid w:val="005315DE"/>
    <w:rsid w:val="00531600"/>
    <w:rsid w:val="0053163F"/>
    <w:rsid w:val="00531780"/>
    <w:rsid w:val="00531782"/>
    <w:rsid w:val="005317B4"/>
    <w:rsid w:val="005318E8"/>
    <w:rsid w:val="00531973"/>
    <w:rsid w:val="00531983"/>
    <w:rsid w:val="00531B0B"/>
    <w:rsid w:val="00531B3B"/>
    <w:rsid w:val="00531B69"/>
    <w:rsid w:val="00531BDD"/>
    <w:rsid w:val="00531BF0"/>
    <w:rsid w:val="00531C1E"/>
    <w:rsid w:val="00531E35"/>
    <w:rsid w:val="00531E45"/>
    <w:rsid w:val="00531E91"/>
    <w:rsid w:val="00531F6C"/>
    <w:rsid w:val="00531FAE"/>
    <w:rsid w:val="005320EE"/>
    <w:rsid w:val="00532197"/>
    <w:rsid w:val="00532406"/>
    <w:rsid w:val="0053249D"/>
    <w:rsid w:val="005324FA"/>
    <w:rsid w:val="005325E2"/>
    <w:rsid w:val="00532613"/>
    <w:rsid w:val="0053267C"/>
    <w:rsid w:val="005326EA"/>
    <w:rsid w:val="005326F9"/>
    <w:rsid w:val="00532715"/>
    <w:rsid w:val="00532723"/>
    <w:rsid w:val="00532807"/>
    <w:rsid w:val="00532828"/>
    <w:rsid w:val="00532A9C"/>
    <w:rsid w:val="00532BBB"/>
    <w:rsid w:val="00532BE0"/>
    <w:rsid w:val="00532CCA"/>
    <w:rsid w:val="00532DB0"/>
    <w:rsid w:val="00532FCD"/>
    <w:rsid w:val="0053309B"/>
    <w:rsid w:val="005332D6"/>
    <w:rsid w:val="0053348B"/>
    <w:rsid w:val="005334BD"/>
    <w:rsid w:val="005334DE"/>
    <w:rsid w:val="0053353F"/>
    <w:rsid w:val="00533587"/>
    <w:rsid w:val="005336A8"/>
    <w:rsid w:val="00533819"/>
    <w:rsid w:val="00533853"/>
    <w:rsid w:val="00533998"/>
    <w:rsid w:val="005339EF"/>
    <w:rsid w:val="00533A17"/>
    <w:rsid w:val="00533A2D"/>
    <w:rsid w:val="00533B2A"/>
    <w:rsid w:val="00533C22"/>
    <w:rsid w:val="00533C2C"/>
    <w:rsid w:val="00533DF9"/>
    <w:rsid w:val="00533EC8"/>
    <w:rsid w:val="00533FCC"/>
    <w:rsid w:val="00534062"/>
    <w:rsid w:val="00534195"/>
    <w:rsid w:val="005342C5"/>
    <w:rsid w:val="00534423"/>
    <w:rsid w:val="0053460F"/>
    <w:rsid w:val="00534618"/>
    <w:rsid w:val="00534762"/>
    <w:rsid w:val="005347BB"/>
    <w:rsid w:val="005347EC"/>
    <w:rsid w:val="00534849"/>
    <w:rsid w:val="00534A07"/>
    <w:rsid w:val="00534A0D"/>
    <w:rsid w:val="00534A7C"/>
    <w:rsid w:val="00534B92"/>
    <w:rsid w:val="00534BE8"/>
    <w:rsid w:val="00534D1E"/>
    <w:rsid w:val="00534D85"/>
    <w:rsid w:val="00534E21"/>
    <w:rsid w:val="00534EA2"/>
    <w:rsid w:val="00534EC4"/>
    <w:rsid w:val="00534FEB"/>
    <w:rsid w:val="005350C5"/>
    <w:rsid w:val="00535303"/>
    <w:rsid w:val="00535393"/>
    <w:rsid w:val="005354BF"/>
    <w:rsid w:val="005356A0"/>
    <w:rsid w:val="005356EC"/>
    <w:rsid w:val="00535759"/>
    <w:rsid w:val="00535770"/>
    <w:rsid w:val="00535898"/>
    <w:rsid w:val="00535A14"/>
    <w:rsid w:val="00535A71"/>
    <w:rsid w:val="00535AF6"/>
    <w:rsid w:val="00535B04"/>
    <w:rsid w:val="00535BFF"/>
    <w:rsid w:val="00535C78"/>
    <w:rsid w:val="00535D0B"/>
    <w:rsid w:val="00535DD3"/>
    <w:rsid w:val="00536160"/>
    <w:rsid w:val="00536326"/>
    <w:rsid w:val="005363EA"/>
    <w:rsid w:val="005364C2"/>
    <w:rsid w:val="00536559"/>
    <w:rsid w:val="0053669C"/>
    <w:rsid w:val="005366BA"/>
    <w:rsid w:val="005366C0"/>
    <w:rsid w:val="005366CD"/>
    <w:rsid w:val="00536739"/>
    <w:rsid w:val="00536835"/>
    <w:rsid w:val="005368D9"/>
    <w:rsid w:val="00536ACD"/>
    <w:rsid w:val="00536AD6"/>
    <w:rsid w:val="00536C59"/>
    <w:rsid w:val="00536C87"/>
    <w:rsid w:val="00536C9B"/>
    <w:rsid w:val="00536CBB"/>
    <w:rsid w:val="00536CCB"/>
    <w:rsid w:val="00536CFE"/>
    <w:rsid w:val="00536D2D"/>
    <w:rsid w:val="00536D92"/>
    <w:rsid w:val="00536E5D"/>
    <w:rsid w:val="00536EE1"/>
    <w:rsid w:val="00536F01"/>
    <w:rsid w:val="00537008"/>
    <w:rsid w:val="0053701C"/>
    <w:rsid w:val="0053716F"/>
    <w:rsid w:val="0053719D"/>
    <w:rsid w:val="00537257"/>
    <w:rsid w:val="005372B1"/>
    <w:rsid w:val="00537467"/>
    <w:rsid w:val="00537474"/>
    <w:rsid w:val="005375E7"/>
    <w:rsid w:val="0053771F"/>
    <w:rsid w:val="00537732"/>
    <w:rsid w:val="00537791"/>
    <w:rsid w:val="00537797"/>
    <w:rsid w:val="00537807"/>
    <w:rsid w:val="00537852"/>
    <w:rsid w:val="0053795A"/>
    <w:rsid w:val="0053796C"/>
    <w:rsid w:val="005379BB"/>
    <w:rsid w:val="00537B43"/>
    <w:rsid w:val="00537B45"/>
    <w:rsid w:val="00537B7B"/>
    <w:rsid w:val="00537C8D"/>
    <w:rsid w:val="00537D11"/>
    <w:rsid w:val="00537D5B"/>
    <w:rsid w:val="00537D91"/>
    <w:rsid w:val="00537DD6"/>
    <w:rsid w:val="00537E99"/>
    <w:rsid w:val="00537F5A"/>
    <w:rsid w:val="00537F72"/>
    <w:rsid w:val="00537F96"/>
    <w:rsid w:val="00537FB9"/>
    <w:rsid w:val="00540015"/>
    <w:rsid w:val="005400F0"/>
    <w:rsid w:val="00540274"/>
    <w:rsid w:val="00540362"/>
    <w:rsid w:val="00540473"/>
    <w:rsid w:val="005405BF"/>
    <w:rsid w:val="00540637"/>
    <w:rsid w:val="005406AD"/>
    <w:rsid w:val="005406C3"/>
    <w:rsid w:val="0054071B"/>
    <w:rsid w:val="005407AF"/>
    <w:rsid w:val="005407CC"/>
    <w:rsid w:val="00540867"/>
    <w:rsid w:val="00540951"/>
    <w:rsid w:val="00540A15"/>
    <w:rsid w:val="00540A17"/>
    <w:rsid w:val="00540A7B"/>
    <w:rsid w:val="00540BCC"/>
    <w:rsid w:val="00540C32"/>
    <w:rsid w:val="00540ED0"/>
    <w:rsid w:val="00540EF0"/>
    <w:rsid w:val="00540F4C"/>
    <w:rsid w:val="00540F4F"/>
    <w:rsid w:val="00540FD1"/>
    <w:rsid w:val="00541067"/>
    <w:rsid w:val="00541082"/>
    <w:rsid w:val="0054127C"/>
    <w:rsid w:val="00541373"/>
    <w:rsid w:val="0054144C"/>
    <w:rsid w:val="005414C4"/>
    <w:rsid w:val="005414E4"/>
    <w:rsid w:val="005414F8"/>
    <w:rsid w:val="00541689"/>
    <w:rsid w:val="0054168A"/>
    <w:rsid w:val="00541861"/>
    <w:rsid w:val="0054190F"/>
    <w:rsid w:val="00541974"/>
    <w:rsid w:val="00541A32"/>
    <w:rsid w:val="00541B41"/>
    <w:rsid w:val="00541C5B"/>
    <w:rsid w:val="00541C79"/>
    <w:rsid w:val="00541E2A"/>
    <w:rsid w:val="00541F35"/>
    <w:rsid w:val="00541FF2"/>
    <w:rsid w:val="00542035"/>
    <w:rsid w:val="00542069"/>
    <w:rsid w:val="005420EA"/>
    <w:rsid w:val="0054215E"/>
    <w:rsid w:val="0054229A"/>
    <w:rsid w:val="00542300"/>
    <w:rsid w:val="00542349"/>
    <w:rsid w:val="00542379"/>
    <w:rsid w:val="00542425"/>
    <w:rsid w:val="00542426"/>
    <w:rsid w:val="00542431"/>
    <w:rsid w:val="0054247D"/>
    <w:rsid w:val="005424A5"/>
    <w:rsid w:val="00542760"/>
    <w:rsid w:val="005427A0"/>
    <w:rsid w:val="00542816"/>
    <w:rsid w:val="00542963"/>
    <w:rsid w:val="00542AB2"/>
    <w:rsid w:val="00542B46"/>
    <w:rsid w:val="00542C19"/>
    <w:rsid w:val="00542D0E"/>
    <w:rsid w:val="00542D47"/>
    <w:rsid w:val="00542D74"/>
    <w:rsid w:val="00542DB6"/>
    <w:rsid w:val="00542DD5"/>
    <w:rsid w:val="00542DE5"/>
    <w:rsid w:val="00542E53"/>
    <w:rsid w:val="00542F27"/>
    <w:rsid w:val="00543086"/>
    <w:rsid w:val="0054319B"/>
    <w:rsid w:val="0054324A"/>
    <w:rsid w:val="005433B7"/>
    <w:rsid w:val="00543480"/>
    <w:rsid w:val="0054349F"/>
    <w:rsid w:val="0054358A"/>
    <w:rsid w:val="005435A7"/>
    <w:rsid w:val="00543607"/>
    <w:rsid w:val="00543700"/>
    <w:rsid w:val="00543757"/>
    <w:rsid w:val="005437E6"/>
    <w:rsid w:val="0054380F"/>
    <w:rsid w:val="00543824"/>
    <w:rsid w:val="005438B9"/>
    <w:rsid w:val="005438F9"/>
    <w:rsid w:val="00543AAF"/>
    <w:rsid w:val="00543C2F"/>
    <w:rsid w:val="00543E4E"/>
    <w:rsid w:val="00543E66"/>
    <w:rsid w:val="00543EFC"/>
    <w:rsid w:val="0054401A"/>
    <w:rsid w:val="00544128"/>
    <w:rsid w:val="0054424B"/>
    <w:rsid w:val="005442E6"/>
    <w:rsid w:val="0054438D"/>
    <w:rsid w:val="00544437"/>
    <w:rsid w:val="005444C1"/>
    <w:rsid w:val="0054468A"/>
    <w:rsid w:val="005446DA"/>
    <w:rsid w:val="00544728"/>
    <w:rsid w:val="0054477F"/>
    <w:rsid w:val="0054479B"/>
    <w:rsid w:val="005447B5"/>
    <w:rsid w:val="00544833"/>
    <w:rsid w:val="0054488C"/>
    <w:rsid w:val="00544A6B"/>
    <w:rsid w:val="00544AC8"/>
    <w:rsid w:val="00544B10"/>
    <w:rsid w:val="00544CB1"/>
    <w:rsid w:val="00544D89"/>
    <w:rsid w:val="00544DFD"/>
    <w:rsid w:val="00544ED4"/>
    <w:rsid w:val="00544FD4"/>
    <w:rsid w:val="00544FE0"/>
    <w:rsid w:val="00544FE1"/>
    <w:rsid w:val="005450C2"/>
    <w:rsid w:val="005451B0"/>
    <w:rsid w:val="005452C0"/>
    <w:rsid w:val="005452FE"/>
    <w:rsid w:val="00545380"/>
    <w:rsid w:val="00545382"/>
    <w:rsid w:val="0054538F"/>
    <w:rsid w:val="005453B4"/>
    <w:rsid w:val="005453D6"/>
    <w:rsid w:val="00545410"/>
    <w:rsid w:val="00545571"/>
    <w:rsid w:val="00545715"/>
    <w:rsid w:val="005457C4"/>
    <w:rsid w:val="00545C0B"/>
    <w:rsid w:val="00545E2F"/>
    <w:rsid w:val="00545EE3"/>
    <w:rsid w:val="00545EEC"/>
    <w:rsid w:val="00545FE5"/>
    <w:rsid w:val="005460BD"/>
    <w:rsid w:val="00546134"/>
    <w:rsid w:val="005462B0"/>
    <w:rsid w:val="005462FD"/>
    <w:rsid w:val="00546339"/>
    <w:rsid w:val="00546437"/>
    <w:rsid w:val="00546503"/>
    <w:rsid w:val="005465DB"/>
    <w:rsid w:val="005465EA"/>
    <w:rsid w:val="00546670"/>
    <w:rsid w:val="00546741"/>
    <w:rsid w:val="005468B9"/>
    <w:rsid w:val="005468CC"/>
    <w:rsid w:val="00546988"/>
    <w:rsid w:val="00546ABE"/>
    <w:rsid w:val="00546AD0"/>
    <w:rsid w:val="00546C3C"/>
    <w:rsid w:val="00546CF5"/>
    <w:rsid w:val="005471EE"/>
    <w:rsid w:val="00547269"/>
    <w:rsid w:val="00547337"/>
    <w:rsid w:val="00547438"/>
    <w:rsid w:val="00547457"/>
    <w:rsid w:val="005474F7"/>
    <w:rsid w:val="0054758A"/>
    <w:rsid w:val="00547855"/>
    <w:rsid w:val="0054786E"/>
    <w:rsid w:val="005478E0"/>
    <w:rsid w:val="00547BF2"/>
    <w:rsid w:val="00547C19"/>
    <w:rsid w:val="00547EE9"/>
    <w:rsid w:val="005500C7"/>
    <w:rsid w:val="005501C0"/>
    <w:rsid w:val="005501E5"/>
    <w:rsid w:val="0055035D"/>
    <w:rsid w:val="005503C7"/>
    <w:rsid w:val="00550428"/>
    <w:rsid w:val="0055056F"/>
    <w:rsid w:val="00550571"/>
    <w:rsid w:val="005506AB"/>
    <w:rsid w:val="0055074C"/>
    <w:rsid w:val="0055086C"/>
    <w:rsid w:val="0055086E"/>
    <w:rsid w:val="00550889"/>
    <w:rsid w:val="005508F7"/>
    <w:rsid w:val="0055090C"/>
    <w:rsid w:val="005509FC"/>
    <w:rsid w:val="00550B1F"/>
    <w:rsid w:val="00550C43"/>
    <w:rsid w:val="00550E73"/>
    <w:rsid w:val="00550EEA"/>
    <w:rsid w:val="00551029"/>
    <w:rsid w:val="00551031"/>
    <w:rsid w:val="00551197"/>
    <w:rsid w:val="0055128C"/>
    <w:rsid w:val="00551387"/>
    <w:rsid w:val="005513D1"/>
    <w:rsid w:val="0055140C"/>
    <w:rsid w:val="00551540"/>
    <w:rsid w:val="00551654"/>
    <w:rsid w:val="005517F0"/>
    <w:rsid w:val="00551864"/>
    <w:rsid w:val="00551998"/>
    <w:rsid w:val="005519A4"/>
    <w:rsid w:val="00551A75"/>
    <w:rsid w:val="00551AF2"/>
    <w:rsid w:val="00551B0B"/>
    <w:rsid w:val="00551B29"/>
    <w:rsid w:val="00551CF5"/>
    <w:rsid w:val="00551D6E"/>
    <w:rsid w:val="00551E91"/>
    <w:rsid w:val="00552043"/>
    <w:rsid w:val="00552068"/>
    <w:rsid w:val="0055217A"/>
    <w:rsid w:val="005521EE"/>
    <w:rsid w:val="005522A3"/>
    <w:rsid w:val="005522E8"/>
    <w:rsid w:val="00552357"/>
    <w:rsid w:val="00552407"/>
    <w:rsid w:val="00552458"/>
    <w:rsid w:val="00552560"/>
    <w:rsid w:val="00552702"/>
    <w:rsid w:val="00552720"/>
    <w:rsid w:val="0055278A"/>
    <w:rsid w:val="00552822"/>
    <w:rsid w:val="00552829"/>
    <w:rsid w:val="005529EB"/>
    <w:rsid w:val="00552B2D"/>
    <w:rsid w:val="00552CD0"/>
    <w:rsid w:val="00552D58"/>
    <w:rsid w:val="00552D84"/>
    <w:rsid w:val="00552FD1"/>
    <w:rsid w:val="00553025"/>
    <w:rsid w:val="005530A6"/>
    <w:rsid w:val="005531AB"/>
    <w:rsid w:val="005531B8"/>
    <w:rsid w:val="005531E1"/>
    <w:rsid w:val="005531FC"/>
    <w:rsid w:val="0055326B"/>
    <w:rsid w:val="005533DC"/>
    <w:rsid w:val="00553404"/>
    <w:rsid w:val="005534CA"/>
    <w:rsid w:val="005535C7"/>
    <w:rsid w:val="00553667"/>
    <w:rsid w:val="00553757"/>
    <w:rsid w:val="00553779"/>
    <w:rsid w:val="005537CE"/>
    <w:rsid w:val="0055381B"/>
    <w:rsid w:val="0055385F"/>
    <w:rsid w:val="00553A4E"/>
    <w:rsid w:val="00553ADC"/>
    <w:rsid w:val="00553B89"/>
    <w:rsid w:val="00553BA6"/>
    <w:rsid w:val="00553C0C"/>
    <w:rsid w:val="00553DB2"/>
    <w:rsid w:val="00553E15"/>
    <w:rsid w:val="00553E79"/>
    <w:rsid w:val="00553F53"/>
    <w:rsid w:val="00553F85"/>
    <w:rsid w:val="00553F89"/>
    <w:rsid w:val="00553F97"/>
    <w:rsid w:val="00553FA8"/>
    <w:rsid w:val="00554031"/>
    <w:rsid w:val="00554135"/>
    <w:rsid w:val="0055417A"/>
    <w:rsid w:val="0055420A"/>
    <w:rsid w:val="00554321"/>
    <w:rsid w:val="0055442E"/>
    <w:rsid w:val="00554446"/>
    <w:rsid w:val="00554471"/>
    <w:rsid w:val="00554495"/>
    <w:rsid w:val="00554583"/>
    <w:rsid w:val="005545C8"/>
    <w:rsid w:val="00554739"/>
    <w:rsid w:val="0055477B"/>
    <w:rsid w:val="00554845"/>
    <w:rsid w:val="005548B7"/>
    <w:rsid w:val="00554994"/>
    <w:rsid w:val="00554A40"/>
    <w:rsid w:val="00554BAE"/>
    <w:rsid w:val="00554C46"/>
    <w:rsid w:val="00554D3B"/>
    <w:rsid w:val="00554D85"/>
    <w:rsid w:val="00554D8F"/>
    <w:rsid w:val="00554DA8"/>
    <w:rsid w:val="00554E0E"/>
    <w:rsid w:val="00554F72"/>
    <w:rsid w:val="00554F81"/>
    <w:rsid w:val="0055506B"/>
    <w:rsid w:val="005550E7"/>
    <w:rsid w:val="005551A4"/>
    <w:rsid w:val="005551C5"/>
    <w:rsid w:val="0055522D"/>
    <w:rsid w:val="00555475"/>
    <w:rsid w:val="0055556E"/>
    <w:rsid w:val="005557F0"/>
    <w:rsid w:val="00555857"/>
    <w:rsid w:val="0055585F"/>
    <w:rsid w:val="00555865"/>
    <w:rsid w:val="00555945"/>
    <w:rsid w:val="00555CD5"/>
    <w:rsid w:val="00555D0A"/>
    <w:rsid w:val="00555D6F"/>
    <w:rsid w:val="00555DA8"/>
    <w:rsid w:val="00555DC3"/>
    <w:rsid w:val="00555DCB"/>
    <w:rsid w:val="00555E3F"/>
    <w:rsid w:val="00555ED7"/>
    <w:rsid w:val="00556077"/>
    <w:rsid w:val="0055641C"/>
    <w:rsid w:val="00556486"/>
    <w:rsid w:val="005564C5"/>
    <w:rsid w:val="005565BA"/>
    <w:rsid w:val="005565BD"/>
    <w:rsid w:val="005565EF"/>
    <w:rsid w:val="005566C3"/>
    <w:rsid w:val="005567D5"/>
    <w:rsid w:val="005567FC"/>
    <w:rsid w:val="005569FE"/>
    <w:rsid w:val="00556A0F"/>
    <w:rsid w:val="00556A1E"/>
    <w:rsid w:val="00556A6E"/>
    <w:rsid w:val="00556C38"/>
    <w:rsid w:val="00556C7E"/>
    <w:rsid w:val="00556DC3"/>
    <w:rsid w:val="00556EA9"/>
    <w:rsid w:val="00556F36"/>
    <w:rsid w:val="00557021"/>
    <w:rsid w:val="0055707E"/>
    <w:rsid w:val="00557088"/>
    <w:rsid w:val="0055724F"/>
    <w:rsid w:val="0055732F"/>
    <w:rsid w:val="0055746D"/>
    <w:rsid w:val="0055747E"/>
    <w:rsid w:val="005574AB"/>
    <w:rsid w:val="00557556"/>
    <w:rsid w:val="00557588"/>
    <w:rsid w:val="00557628"/>
    <w:rsid w:val="00557654"/>
    <w:rsid w:val="00557713"/>
    <w:rsid w:val="00557778"/>
    <w:rsid w:val="005577BC"/>
    <w:rsid w:val="005577F6"/>
    <w:rsid w:val="005577FB"/>
    <w:rsid w:val="005578C1"/>
    <w:rsid w:val="005578D9"/>
    <w:rsid w:val="005578F9"/>
    <w:rsid w:val="00557946"/>
    <w:rsid w:val="00557A9B"/>
    <w:rsid w:val="00557E0F"/>
    <w:rsid w:val="00557E1D"/>
    <w:rsid w:val="00557E24"/>
    <w:rsid w:val="00557E63"/>
    <w:rsid w:val="00557FF6"/>
    <w:rsid w:val="00560049"/>
    <w:rsid w:val="00560142"/>
    <w:rsid w:val="005601C0"/>
    <w:rsid w:val="00560257"/>
    <w:rsid w:val="005602A0"/>
    <w:rsid w:val="005603CD"/>
    <w:rsid w:val="005603DB"/>
    <w:rsid w:val="00560408"/>
    <w:rsid w:val="00560415"/>
    <w:rsid w:val="00560442"/>
    <w:rsid w:val="0056045B"/>
    <w:rsid w:val="00560594"/>
    <w:rsid w:val="00560801"/>
    <w:rsid w:val="00560887"/>
    <w:rsid w:val="0056095B"/>
    <w:rsid w:val="005609DF"/>
    <w:rsid w:val="00560B4C"/>
    <w:rsid w:val="00560B80"/>
    <w:rsid w:val="00560B81"/>
    <w:rsid w:val="00560BDE"/>
    <w:rsid w:val="00560C3E"/>
    <w:rsid w:val="00560C77"/>
    <w:rsid w:val="00560D78"/>
    <w:rsid w:val="00560D82"/>
    <w:rsid w:val="00560DF2"/>
    <w:rsid w:val="005610CD"/>
    <w:rsid w:val="00561132"/>
    <w:rsid w:val="005612EE"/>
    <w:rsid w:val="005613D0"/>
    <w:rsid w:val="0056146C"/>
    <w:rsid w:val="0056169F"/>
    <w:rsid w:val="0056174D"/>
    <w:rsid w:val="0056184A"/>
    <w:rsid w:val="005618B9"/>
    <w:rsid w:val="005619E2"/>
    <w:rsid w:val="00561C31"/>
    <w:rsid w:val="00561CBC"/>
    <w:rsid w:val="00561D75"/>
    <w:rsid w:val="00561EF0"/>
    <w:rsid w:val="00561FD3"/>
    <w:rsid w:val="00562085"/>
    <w:rsid w:val="005621F4"/>
    <w:rsid w:val="00562337"/>
    <w:rsid w:val="0056247B"/>
    <w:rsid w:val="0056247C"/>
    <w:rsid w:val="00562517"/>
    <w:rsid w:val="00562521"/>
    <w:rsid w:val="00562546"/>
    <w:rsid w:val="005625F2"/>
    <w:rsid w:val="0056261A"/>
    <w:rsid w:val="005626F5"/>
    <w:rsid w:val="0056286D"/>
    <w:rsid w:val="0056293E"/>
    <w:rsid w:val="005629EC"/>
    <w:rsid w:val="00562B4B"/>
    <w:rsid w:val="00562B5F"/>
    <w:rsid w:val="00562BFE"/>
    <w:rsid w:val="00562DC8"/>
    <w:rsid w:val="00562E1C"/>
    <w:rsid w:val="00562E2E"/>
    <w:rsid w:val="00562F59"/>
    <w:rsid w:val="00562F66"/>
    <w:rsid w:val="00563025"/>
    <w:rsid w:val="0056307E"/>
    <w:rsid w:val="005630FA"/>
    <w:rsid w:val="00563137"/>
    <w:rsid w:val="00563176"/>
    <w:rsid w:val="00563243"/>
    <w:rsid w:val="005632F0"/>
    <w:rsid w:val="00563313"/>
    <w:rsid w:val="005633FE"/>
    <w:rsid w:val="0056345A"/>
    <w:rsid w:val="00563487"/>
    <w:rsid w:val="005634AD"/>
    <w:rsid w:val="00563600"/>
    <w:rsid w:val="00563642"/>
    <w:rsid w:val="00563680"/>
    <w:rsid w:val="005637A7"/>
    <w:rsid w:val="005637FC"/>
    <w:rsid w:val="0056386A"/>
    <w:rsid w:val="005639D6"/>
    <w:rsid w:val="00563A1D"/>
    <w:rsid w:val="00563AAF"/>
    <w:rsid w:val="00563D05"/>
    <w:rsid w:val="00563DE1"/>
    <w:rsid w:val="00563EC5"/>
    <w:rsid w:val="00563F4C"/>
    <w:rsid w:val="00563F5F"/>
    <w:rsid w:val="00563FE1"/>
    <w:rsid w:val="00563FEA"/>
    <w:rsid w:val="005640A2"/>
    <w:rsid w:val="005641A5"/>
    <w:rsid w:val="0056428C"/>
    <w:rsid w:val="00564329"/>
    <w:rsid w:val="0056440B"/>
    <w:rsid w:val="0056445B"/>
    <w:rsid w:val="0056457F"/>
    <w:rsid w:val="00564681"/>
    <w:rsid w:val="005648DC"/>
    <w:rsid w:val="00564BF7"/>
    <w:rsid w:val="00564C45"/>
    <w:rsid w:val="00564CD5"/>
    <w:rsid w:val="00564D2C"/>
    <w:rsid w:val="00564E27"/>
    <w:rsid w:val="00564FDD"/>
    <w:rsid w:val="005650C7"/>
    <w:rsid w:val="0056512F"/>
    <w:rsid w:val="005651AA"/>
    <w:rsid w:val="00565228"/>
    <w:rsid w:val="00565268"/>
    <w:rsid w:val="0056527C"/>
    <w:rsid w:val="005652B9"/>
    <w:rsid w:val="005652BA"/>
    <w:rsid w:val="005653C8"/>
    <w:rsid w:val="0056555C"/>
    <w:rsid w:val="00565598"/>
    <w:rsid w:val="00565602"/>
    <w:rsid w:val="00565635"/>
    <w:rsid w:val="005656C5"/>
    <w:rsid w:val="005656C6"/>
    <w:rsid w:val="0056575B"/>
    <w:rsid w:val="005659C3"/>
    <w:rsid w:val="00565B26"/>
    <w:rsid w:val="00565B98"/>
    <w:rsid w:val="00565BD6"/>
    <w:rsid w:val="00565BFB"/>
    <w:rsid w:val="00565CCB"/>
    <w:rsid w:val="00565CFE"/>
    <w:rsid w:val="00565D70"/>
    <w:rsid w:val="00565D74"/>
    <w:rsid w:val="005661B2"/>
    <w:rsid w:val="00566227"/>
    <w:rsid w:val="0056624E"/>
    <w:rsid w:val="005662A9"/>
    <w:rsid w:val="005663C7"/>
    <w:rsid w:val="00566400"/>
    <w:rsid w:val="0056642F"/>
    <w:rsid w:val="00566514"/>
    <w:rsid w:val="00566716"/>
    <w:rsid w:val="00566804"/>
    <w:rsid w:val="00566866"/>
    <w:rsid w:val="0056699B"/>
    <w:rsid w:val="005669BA"/>
    <w:rsid w:val="00566A26"/>
    <w:rsid w:val="00566AF2"/>
    <w:rsid w:val="00566C08"/>
    <w:rsid w:val="00566C2E"/>
    <w:rsid w:val="00566D01"/>
    <w:rsid w:val="00566D78"/>
    <w:rsid w:val="00566DA1"/>
    <w:rsid w:val="00566E33"/>
    <w:rsid w:val="00566E3E"/>
    <w:rsid w:val="00566EA8"/>
    <w:rsid w:val="00566F07"/>
    <w:rsid w:val="00566F1C"/>
    <w:rsid w:val="005670BD"/>
    <w:rsid w:val="0056718E"/>
    <w:rsid w:val="005671F5"/>
    <w:rsid w:val="005672A6"/>
    <w:rsid w:val="0056737F"/>
    <w:rsid w:val="0056749B"/>
    <w:rsid w:val="0056750B"/>
    <w:rsid w:val="00567524"/>
    <w:rsid w:val="005675A0"/>
    <w:rsid w:val="00567692"/>
    <w:rsid w:val="005677C3"/>
    <w:rsid w:val="0056789E"/>
    <w:rsid w:val="005678AF"/>
    <w:rsid w:val="005679CC"/>
    <w:rsid w:val="00567A7A"/>
    <w:rsid w:val="00567B30"/>
    <w:rsid w:val="00567B99"/>
    <w:rsid w:val="00567C7C"/>
    <w:rsid w:val="00567CEA"/>
    <w:rsid w:val="00567D9D"/>
    <w:rsid w:val="00567E6F"/>
    <w:rsid w:val="00567F5B"/>
    <w:rsid w:val="00567F9B"/>
    <w:rsid w:val="00570123"/>
    <w:rsid w:val="00570175"/>
    <w:rsid w:val="00570189"/>
    <w:rsid w:val="00570190"/>
    <w:rsid w:val="00570309"/>
    <w:rsid w:val="0057031C"/>
    <w:rsid w:val="0057055F"/>
    <w:rsid w:val="005705AE"/>
    <w:rsid w:val="005705C7"/>
    <w:rsid w:val="0057079F"/>
    <w:rsid w:val="0057088B"/>
    <w:rsid w:val="0057090D"/>
    <w:rsid w:val="0057092E"/>
    <w:rsid w:val="00570A25"/>
    <w:rsid w:val="00570A4E"/>
    <w:rsid w:val="00570ADB"/>
    <w:rsid w:val="00570BA6"/>
    <w:rsid w:val="00570BF8"/>
    <w:rsid w:val="00570D1C"/>
    <w:rsid w:val="00570D4C"/>
    <w:rsid w:val="00570F57"/>
    <w:rsid w:val="005710CB"/>
    <w:rsid w:val="0057111D"/>
    <w:rsid w:val="0057118B"/>
    <w:rsid w:val="00571200"/>
    <w:rsid w:val="00571314"/>
    <w:rsid w:val="00571328"/>
    <w:rsid w:val="00571644"/>
    <w:rsid w:val="0057164D"/>
    <w:rsid w:val="00571686"/>
    <w:rsid w:val="00571754"/>
    <w:rsid w:val="00571756"/>
    <w:rsid w:val="005717A8"/>
    <w:rsid w:val="0057187B"/>
    <w:rsid w:val="00571A46"/>
    <w:rsid w:val="00571B30"/>
    <w:rsid w:val="00571CDD"/>
    <w:rsid w:val="00571CF6"/>
    <w:rsid w:val="00571D0D"/>
    <w:rsid w:val="00571DC7"/>
    <w:rsid w:val="00571E0B"/>
    <w:rsid w:val="00571E39"/>
    <w:rsid w:val="00571F6C"/>
    <w:rsid w:val="00571F8A"/>
    <w:rsid w:val="005720C7"/>
    <w:rsid w:val="0057213E"/>
    <w:rsid w:val="00572239"/>
    <w:rsid w:val="0057232E"/>
    <w:rsid w:val="0057237A"/>
    <w:rsid w:val="005723FE"/>
    <w:rsid w:val="00572447"/>
    <w:rsid w:val="005725CD"/>
    <w:rsid w:val="00572696"/>
    <w:rsid w:val="005727FF"/>
    <w:rsid w:val="005728BC"/>
    <w:rsid w:val="0057292E"/>
    <w:rsid w:val="005729B4"/>
    <w:rsid w:val="00572A2C"/>
    <w:rsid w:val="00572B0C"/>
    <w:rsid w:val="00572B88"/>
    <w:rsid w:val="00572CF8"/>
    <w:rsid w:val="00572D4B"/>
    <w:rsid w:val="00572D74"/>
    <w:rsid w:val="00572E0C"/>
    <w:rsid w:val="00572E0E"/>
    <w:rsid w:val="005730FA"/>
    <w:rsid w:val="00573107"/>
    <w:rsid w:val="00573118"/>
    <w:rsid w:val="005731B1"/>
    <w:rsid w:val="005731D0"/>
    <w:rsid w:val="0057326D"/>
    <w:rsid w:val="005733D9"/>
    <w:rsid w:val="005734DF"/>
    <w:rsid w:val="005734E1"/>
    <w:rsid w:val="0057354F"/>
    <w:rsid w:val="00573554"/>
    <w:rsid w:val="00573680"/>
    <w:rsid w:val="00573715"/>
    <w:rsid w:val="005737CF"/>
    <w:rsid w:val="00573884"/>
    <w:rsid w:val="005738FD"/>
    <w:rsid w:val="00573973"/>
    <w:rsid w:val="00573A5C"/>
    <w:rsid w:val="00573A61"/>
    <w:rsid w:val="00573AEA"/>
    <w:rsid w:val="00573B46"/>
    <w:rsid w:val="00573BAA"/>
    <w:rsid w:val="00573D3F"/>
    <w:rsid w:val="00573EEA"/>
    <w:rsid w:val="00573F0E"/>
    <w:rsid w:val="00574071"/>
    <w:rsid w:val="0057431A"/>
    <w:rsid w:val="005743BD"/>
    <w:rsid w:val="005743FA"/>
    <w:rsid w:val="0057441C"/>
    <w:rsid w:val="005744B8"/>
    <w:rsid w:val="00574502"/>
    <w:rsid w:val="00574602"/>
    <w:rsid w:val="005748F2"/>
    <w:rsid w:val="0057491D"/>
    <w:rsid w:val="00574BB2"/>
    <w:rsid w:val="00574C76"/>
    <w:rsid w:val="00574D0F"/>
    <w:rsid w:val="00574D8C"/>
    <w:rsid w:val="00574E4A"/>
    <w:rsid w:val="00574F4A"/>
    <w:rsid w:val="00575020"/>
    <w:rsid w:val="0057507A"/>
    <w:rsid w:val="005750A9"/>
    <w:rsid w:val="0057514A"/>
    <w:rsid w:val="005751A5"/>
    <w:rsid w:val="00575248"/>
    <w:rsid w:val="0057534A"/>
    <w:rsid w:val="0057535D"/>
    <w:rsid w:val="0057536B"/>
    <w:rsid w:val="005753C1"/>
    <w:rsid w:val="00575434"/>
    <w:rsid w:val="00575488"/>
    <w:rsid w:val="005755F6"/>
    <w:rsid w:val="0057575D"/>
    <w:rsid w:val="00575763"/>
    <w:rsid w:val="00575767"/>
    <w:rsid w:val="00575781"/>
    <w:rsid w:val="0057582B"/>
    <w:rsid w:val="005758C6"/>
    <w:rsid w:val="0057595F"/>
    <w:rsid w:val="005759C2"/>
    <w:rsid w:val="00575A73"/>
    <w:rsid w:val="00575AF8"/>
    <w:rsid w:val="00575B7B"/>
    <w:rsid w:val="00575B9F"/>
    <w:rsid w:val="00575C31"/>
    <w:rsid w:val="00575CB3"/>
    <w:rsid w:val="00575D41"/>
    <w:rsid w:val="00575E5F"/>
    <w:rsid w:val="00575F36"/>
    <w:rsid w:val="00575FCF"/>
    <w:rsid w:val="00575FF4"/>
    <w:rsid w:val="005761B1"/>
    <w:rsid w:val="00576297"/>
    <w:rsid w:val="005762D7"/>
    <w:rsid w:val="0057650A"/>
    <w:rsid w:val="0057660C"/>
    <w:rsid w:val="005767E9"/>
    <w:rsid w:val="00576821"/>
    <w:rsid w:val="00576884"/>
    <w:rsid w:val="0057688A"/>
    <w:rsid w:val="005768F4"/>
    <w:rsid w:val="00576932"/>
    <w:rsid w:val="00576A01"/>
    <w:rsid w:val="00576B05"/>
    <w:rsid w:val="00576B15"/>
    <w:rsid w:val="00576B21"/>
    <w:rsid w:val="00576B4A"/>
    <w:rsid w:val="00576B8D"/>
    <w:rsid w:val="00576C50"/>
    <w:rsid w:val="00576C72"/>
    <w:rsid w:val="00576DFA"/>
    <w:rsid w:val="00576F03"/>
    <w:rsid w:val="00576F1E"/>
    <w:rsid w:val="0057700F"/>
    <w:rsid w:val="005770BB"/>
    <w:rsid w:val="005770E0"/>
    <w:rsid w:val="00577104"/>
    <w:rsid w:val="0057716F"/>
    <w:rsid w:val="00577208"/>
    <w:rsid w:val="0057725A"/>
    <w:rsid w:val="0057733B"/>
    <w:rsid w:val="005773BA"/>
    <w:rsid w:val="00577413"/>
    <w:rsid w:val="005775C7"/>
    <w:rsid w:val="005775FD"/>
    <w:rsid w:val="00577670"/>
    <w:rsid w:val="005776FE"/>
    <w:rsid w:val="005777BD"/>
    <w:rsid w:val="0057783C"/>
    <w:rsid w:val="00577920"/>
    <w:rsid w:val="0057794E"/>
    <w:rsid w:val="00577987"/>
    <w:rsid w:val="005779C3"/>
    <w:rsid w:val="00577AA3"/>
    <w:rsid w:val="00577C1E"/>
    <w:rsid w:val="00577CC9"/>
    <w:rsid w:val="00580174"/>
    <w:rsid w:val="005801C6"/>
    <w:rsid w:val="0058023B"/>
    <w:rsid w:val="005803C7"/>
    <w:rsid w:val="005803EC"/>
    <w:rsid w:val="00580432"/>
    <w:rsid w:val="005804B8"/>
    <w:rsid w:val="0058055A"/>
    <w:rsid w:val="005805F2"/>
    <w:rsid w:val="00580678"/>
    <w:rsid w:val="005806DC"/>
    <w:rsid w:val="005806ED"/>
    <w:rsid w:val="0058076F"/>
    <w:rsid w:val="005807DA"/>
    <w:rsid w:val="00580956"/>
    <w:rsid w:val="005809CE"/>
    <w:rsid w:val="00580A31"/>
    <w:rsid w:val="00580A60"/>
    <w:rsid w:val="00580BC4"/>
    <w:rsid w:val="00580D9C"/>
    <w:rsid w:val="00580E70"/>
    <w:rsid w:val="00580E8E"/>
    <w:rsid w:val="00580F05"/>
    <w:rsid w:val="00580F98"/>
    <w:rsid w:val="005811E7"/>
    <w:rsid w:val="00581228"/>
    <w:rsid w:val="0058122B"/>
    <w:rsid w:val="005812C4"/>
    <w:rsid w:val="00581317"/>
    <w:rsid w:val="005813DF"/>
    <w:rsid w:val="00581417"/>
    <w:rsid w:val="00581453"/>
    <w:rsid w:val="00581468"/>
    <w:rsid w:val="00581498"/>
    <w:rsid w:val="00581522"/>
    <w:rsid w:val="0058153B"/>
    <w:rsid w:val="005815DF"/>
    <w:rsid w:val="005816CB"/>
    <w:rsid w:val="0058179B"/>
    <w:rsid w:val="00581858"/>
    <w:rsid w:val="0058194B"/>
    <w:rsid w:val="00581973"/>
    <w:rsid w:val="00581A8F"/>
    <w:rsid w:val="00581C21"/>
    <w:rsid w:val="00581C5C"/>
    <w:rsid w:val="00581CF1"/>
    <w:rsid w:val="00581D67"/>
    <w:rsid w:val="00581E22"/>
    <w:rsid w:val="00582068"/>
    <w:rsid w:val="005820BE"/>
    <w:rsid w:val="00582160"/>
    <w:rsid w:val="00582168"/>
    <w:rsid w:val="005821AA"/>
    <w:rsid w:val="00582270"/>
    <w:rsid w:val="00582331"/>
    <w:rsid w:val="00582392"/>
    <w:rsid w:val="00582546"/>
    <w:rsid w:val="00582597"/>
    <w:rsid w:val="00582681"/>
    <w:rsid w:val="005826B8"/>
    <w:rsid w:val="0058277B"/>
    <w:rsid w:val="005828CC"/>
    <w:rsid w:val="00582967"/>
    <w:rsid w:val="0058297E"/>
    <w:rsid w:val="00582D1C"/>
    <w:rsid w:val="00582D1F"/>
    <w:rsid w:val="00582D34"/>
    <w:rsid w:val="00582D70"/>
    <w:rsid w:val="00582E6C"/>
    <w:rsid w:val="00582E6D"/>
    <w:rsid w:val="00582F9F"/>
    <w:rsid w:val="00582FEB"/>
    <w:rsid w:val="0058302C"/>
    <w:rsid w:val="005831D8"/>
    <w:rsid w:val="005833C6"/>
    <w:rsid w:val="005833D5"/>
    <w:rsid w:val="00583436"/>
    <w:rsid w:val="0058346A"/>
    <w:rsid w:val="00583505"/>
    <w:rsid w:val="005835CC"/>
    <w:rsid w:val="005835F4"/>
    <w:rsid w:val="005835F5"/>
    <w:rsid w:val="00583666"/>
    <w:rsid w:val="0058368D"/>
    <w:rsid w:val="00583781"/>
    <w:rsid w:val="00583858"/>
    <w:rsid w:val="005838DE"/>
    <w:rsid w:val="005838FC"/>
    <w:rsid w:val="00583AED"/>
    <w:rsid w:val="00583B50"/>
    <w:rsid w:val="00583BAD"/>
    <w:rsid w:val="00583BDF"/>
    <w:rsid w:val="00583C83"/>
    <w:rsid w:val="00583E21"/>
    <w:rsid w:val="00583E3C"/>
    <w:rsid w:val="0058404C"/>
    <w:rsid w:val="00584174"/>
    <w:rsid w:val="0058427C"/>
    <w:rsid w:val="005843B8"/>
    <w:rsid w:val="00584478"/>
    <w:rsid w:val="00584725"/>
    <w:rsid w:val="005847AB"/>
    <w:rsid w:val="0058486E"/>
    <w:rsid w:val="00584988"/>
    <w:rsid w:val="005849DF"/>
    <w:rsid w:val="00584B76"/>
    <w:rsid w:val="00584C0C"/>
    <w:rsid w:val="00584C95"/>
    <w:rsid w:val="00584EA2"/>
    <w:rsid w:val="00584F0A"/>
    <w:rsid w:val="00584FD9"/>
    <w:rsid w:val="00584FE2"/>
    <w:rsid w:val="005850E9"/>
    <w:rsid w:val="005852D2"/>
    <w:rsid w:val="005852EA"/>
    <w:rsid w:val="00585344"/>
    <w:rsid w:val="00585362"/>
    <w:rsid w:val="0058537B"/>
    <w:rsid w:val="00585393"/>
    <w:rsid w:val="005853DA"/>
    <w:rsid w:val="0058543B"/>
    <w:rsid w:val="00585487"/>
    <w:rsid w:val="00585524"/>
    <w:rsid w:val="00585580"/>
    <w:rsid w:val="005855AD"/>
    <w:rsid w:val="005855E1"/>
    <w:rsid w:val="00585639"/>
    <w:rsid w:val="00585847"/>
    <w:rsid w:val="00585A3D"/>
    <w:rsid w:val="00585B0D"/>
    <w:rsid w:val="00585B9C"/>
    <w:rsid w:val="00585C0A"/>
    <w:rsid w:val="00585C16"/>
    <w:rsid w:val="00585C83"/>
    <w:rsid w:val="00585DDE"/>
    <w:rsid w:val="00585E05"/>
    <w:rsid w:val="00585EBC"/>
    <w:rsid w:val="00585F4D"/>
    <w:rsid w:val="00585FD6"/>
    <w:rsid w:val="005860C2"/>
    <w:rsid w:val="005860F7"/>
    <w:rsid w:val="00586141"/>
    <w:rsid w:val="0058618A"/>
    <w:rsid w:val="005861E4"/>
    <w:rsid w:val="0058646A"/>
    <w:rsid w:val="005864F0"/>
    <w:rsid w:val="00586546"/>
    <w:rsid w:val="005865AE"/>
    <w:rsid w:val="005866BE"/>
    <w:rsid w:val="005866CD"/>
    <w:rsid w:val="005867DE"/>
    <w:rsid w:val="0058682E"/>
    <w:rsid w:val="0058691B"/>
    <w:rsid w:val="0058692D"/>
    <w:rsid w:val="00586941"/>
    <w:rsid w:val="00586954"/>
    <w:rsid w:val="00586A55"/>
    <w:rsid w:val="00586B95"/>
    <w:rsid w:val="00586BF8"/>
    <w:rsid w:val="00586CF4"/>
    <w:rsid w:val="00586E5D"/>
    <w:rsid w:val="00586F5D"/>
    <w:rsid w:val="00586FA9"/>
    <w:rsid w:val="0058709A"/>
    <w:rsid w:val="005870A2"/>
    <w:rsid w:val="005870B2"/>
    <w:rsid w:val="0058710D"/>
    <w:rsid w:val="005872B9"/>
    <w:rsid w:val="00587326"/>
    <w:rsid w:val="0058732A"/>
    <w:rsid w:val="00587331"/>
    <w:rsid w:val="00587381"/>
    <w:rsid w:val="00587406"/>
    <w:rsid w:val="0058757E"/>
    <w:rsid w:val="005875A2"/>
    <w:rsid w:val="00587696"/>
    <w:rsid w:val="0058777C"/>
    <w:rsid w:val="0058788E"/>
    <w:rsid w:val="005878CC"/>
    <w:rsid w:val="00587ADA"/>
    <w:rsid w:val="00587B60"/>
    <w:rsid w:val="00587BC0"/>
    <w:rsid w:val="00587E9B"/>
    <w:rsid w:val="00587EA0"/>
    <w:rsid w:val="00587EBE"/>
    <w:rsid w:val="00587F41"/>
    <w:rsid w:val="00587FFE"/>
    <w:rsid w:val="00590008"/>
    <w:rsid w:val="005901D1"/>
    <w:rsid w:val="005901D9"/>
    <w:rsid w:val="00590329"/>
    <w:rsid w:val="005903CE"/>
    <w:rsid w:val="00590413"/>
    <w:rsid w:val="0059055B"/>
    <w:rsid w:val="005905C9"/>
    <w:rsid w:val="0059070E"/>
    <w:rsid w:val="00590728"/>
    <w:rsid w:val="0059074B"/>
    <w:rsid w:val="005907A3"/>
    <w:rsid w:val="005908AB"/>
    <w:rsid w:val="005908AC"/>
    <w:rsid w:val="005908FB"/>
    <w:rsid w:val="005909C5"/>
    <w:rsid w:val="00590AC8"/>
    <w:rsid w:val="00590B19"/>
    <w:rsid w:val="00590B35"/>
    <w:rsid w:val="00590C13"/>
    <w:rsid w:val="00590CDE"/>
    <w:rsid w:val="00590D15"/>
    <w:rsid w:val="00590F9F"/>
    <w:rsid w:val="00590FB0"/>
    <w:rsid w:val="005910A6"/>
    <w:rsid w:val="005910F3"/>
    <w:rsid w:val="005913BC"/>
    <w:rsid w:val="005913E5"/>
    <w:rsid w:val="005914A6"/>
    <w:rsid w:val="005915E0"/>
    <w:rsid w:val="00591611"/>
    <w:rsid w:val="00591711"/>
    <w:rsid w:val="0059181B"/>
    <w:rsid w:val="00591A29"/>
    <w:rsid w:val="00591B99"/>
    <w:rsid w:val="00591BAB"/>
    <w:rsid w:val="00591D01"/>
    <w:rsid w:val="00591D18"/>
    <w:rsid w:val="00591DAF"/>
    <w:rsid w:val="00591DF7"/>
    <w:rsid w:val="00591EA3"/>
    <w:rsid w:val="00591F33"/>
    <w:rsid w:val="00591F4D"/>
    <w:rsid w:val="00592154"/>
    <w:rsid w:val="00592159"/>
    <w:rsid w:val="00592267"/>
    <w:rsid w:val="00592353"/>
    <w:rsid w:val="00592461"/>
    <w:rsid w:val="005925F2"/>
    <w:rsid w:val="0059267A"/>
    <w:rsid w:val="0059282F"/>
    <w:rsid w:val="00592889"/>
    <w:rsid w:val="00592981"/>
    <w:rsid w:val="00592BEE"/>
    <w:rsid w:val="00593121"/>
    <w:rsid w:val="005931DC"/>
    <w:rsid w:val="00593226"/>
    <w:rsid w:val="005932D8"/>
    <w:rsid w:val="005932E7"/>
    <w:rsid w:val="005932FE"/>
    <w:rsid w:val="0059332A"/>
    <w:rsid w:val="00593472"/>
    <w:rsid w:val="00593632"/>
    <w:rsid w:val="00593651"/>
    <w:rsid w:val="005936E0"/>
    <w:rsid w:val="0059374F"/>
    <w:rsid w:val="0059375D"/>
    <w:rsid w:val="00593845"/>
    <w:rsid w:val="0059384D"/>
    <w:rsid w:val="005938AE"/>
    <w:rsid w:val="00593915"/>
    <w:rsid w:val="00593920"/>
    <w:rsid w:val="00593969"/>
    <w:rsid w:val="005939AF"/>
    <w:rsid w:val="00593ADB"/>
    <w:rsid w:val="00593B0C"/>
    <w:rsid w:val="00593B68"/>
    <w:rsid w:val="00593BFF"/>
    <w:rsid w:val="00593C29"/>
    <w:rsid w:val="00593C31"/>
    <w:rsid w:val="00593C7D"/>
    <w:rsid w:val="00593D43"/>
    <w:rsid w:val="00593DEA"/>
    <w:rsid w:val="00593F65"/>
    <w:rsid w:val="00593FB5"/>
    <w:rsid w:val="005940F2"/>
    <w:rsid w:val="00594113"/>
    <w:rsid w:val="00594120"/>
    <w:rsid w:val="00594215"/>
    <w:rsid w:val="005942D2"/>
    <w:rsid w:val="0059433F"/>
    <w:rsid w:val="0059444C"/>
    <w:rsid w:val="00594494"/>
    <w:rsid w:val="00594532"/>
    <w:rsid w:val="00594563"/>
    <w:rsid w:val="00594565"/>
    <w:rsid w:val="0059459C"/>
    <w:rsid w:val="00594751"/>
    <w:rsid w:val="005948FF"/>
    <w:rsid w:val="0059499C"/>
    <w:rsid w:val="005949CE"/>
    <w:rsid w:val="00594B1E"/>
    <w:rsid w:val="00594B7B"/>
    <w:rsid w:val="00594BD9"/>
    <w:rsid w:val="00594CBE"/>
    <w:rsid w:val="00594D5C"/>
    <w:rsid w:val="00594DAE"/>
    <w:rsid w:val="00594F05"/>
    <w:rsid w:val="00594F1A"/>
    <w:rsid w:val="00594F52"/>
    <w:rsid w:val="00594F68"/>
    <w:rsid w:val="00594FA3"/>
    <w:rsid w:val="00594FAF"/>
    <w:rsid w:val="005950DC"/>
    <w:rsid w:val="005950FC"/>
    <w:rsid w:val="005951F9"/>
    <w:rsid w:val="00595251"/>
    <w:rsid w:val="005952AC"/>
    <w:rsid w:val="005952B5"/>
    <w:rsid w:val="00595380"/>
    <w:rsid w:val="005953E2"/>
    <w:rsid w:val="0059545B"/>
    <w:rsid w:val="0059548F"/>
    <w:rsid w:val="00595551"/>
    <w:rsid w:val="00595777"/>
    <w:rsid w:val="005957BE"/>
    <w:rsid w:val="00595950"/>
    <w:rsid w:val="00595ADA"/>
    <w:rsid w:val="00595ADF"/>
    <w:rsid w:val="00595B61"/>
    <w:rsid w:val="00595D89"/>
    <w:rsid w:val="00595DA8"/>
    <w:rsid w:val="00595DDE"/>
    <w:rsid w:val="00595DFE"/>
    <w:rsid w:val="00595E56"/>
    <w:rsid w:val="00595E7E"/>
    <w:rsid w:val="00595ECE"/>
    <w:rsid w:val="005960A4"/>
    <w:rsid w:val="0059619F"/>
    <w:rsid w:val="0059624A"/>
    <w:rsid w:val="0059631B"/>
    <w:rsid w:val="00596411"/>
    <w:rsid w:val="005965CF"/>
    <w:rsid w:val="00596627"/>
    <w:rsid w:val="0059665E"/>
    <w:rsid w:val="005966D5"/>
    <w:rsid w:val="00596715"/>
    <w:rsid w:val="0059673A"/>
    <w:rsid w:val="0059675D"/>
    <w:rsid w:val="00596870"/>
    <w:rsid w:val="005968FA"/>
    <w:rsid w:val="005969A5"/>
    <w:rsid w:val="005969B1"/>
    <w:rsid w:val="005969D2"/>
    <w:rsid w:val="00596AC5"/>
    <w:rsid w:val="00596BC1"/>
    <w:rsid w:val="00596CDE"/>
    <w:rsid w:val="00596E48"/>
    <w:rsid w:val="00596EBA"/>
    <w:rsid w:val="00596FC8"/>
    <w:rsid w:val="0059709F"/>
    <w:rsid w:val="00597150"/>
    <w:rsid w:val="00597171"/>
    <w:rsid w:val="005971C3"/>
    <w:rsid w:val="005971D6"/>
    <w:rsid w:val="005972E1"/>
    <w:rsid w:val="0059741E"/>
    <w:rsid w:val="005974AD"/>
    <w:rsid w:val="005974E0"/>
    <w:rsid w:val="005975D4"/>
    <w:rsid w:val="0059786E"/>
    <w:rsid w:val="005978AA"/>
    <w:rsid w:val="00597906"/>
    <w:rsid w:val="00597917"/>
    <w:rsid w:val="00597967"/>
    <w:rsid w:val="005979C8"/>
    <w:rsid w:val="00597A08"/>
    <w:rsid w:val="00597A3E"/>
    <w:rsid w:val="00597AC2"/>
    <w:rsid w:val="00597B06"/>
    <w:rsid w:val="00597B20"/>
    <w:rsid w:val="00597C80"/>
    <w:rsid w:val="00597C9C"/>
    <w:rsid w:val="00597CC7"/>
    <w:rsid w:val="00597CE5"/>
    <w:rsid w:val="00597D39"/>
    <w:rsid w:val="00597EDD"/>
    <w:rsid w:val="005A016C"/>
    <w:rsid w:val="005A027B"/>
    <w:rsid w:val="005A035B"/>
    <w:rsid w:val="005A03BD"/>
    <w:rsid w:val="005A0417"/>
    <w:rsid w:val="005A0481"/>
    <w:rsid w:val="005A050F"/>
    <w:rsid w:val="005A0589"/>
    <w:rsid w:val="005A06DE"/>
    <w:rsid w:val="005A07E4"/>
    <w:rsid w:val="005A0905"/>
    <w:rsid w:val="005A0BA1"/>
    <w:rsid w:val="005A0C60"/>
    <w:rsid w:val="005A0CFC"/>
    <w:rsid w:val="005A0D32"/>
    <w:rsid w:val="005A0EEB"/>
    <w:rsid w:val="005A0F52"/>
    <w:rsid w:val="005A0FE5"/>
    <w:rsid w:val="005A10B0"/>
    <w:rsid w:val="005A119E"/>
    <w:rsid w:val="005A11A3"/>
    <w:rsid w:val="005A11B3"/>
    <w:rsid w:val="005A11E0"/>
    <w:rsid w:val="005A1314"/>
    <w:rsid w:val="005A138A"/>
    <w:rsid w:val="005A14F6"/>
    <w:rsid w:val="005A152F"/>
    <w:rsid w:val="005A1562"/>
    <w:rsid w:val="005A15F6"/>
    <w:rsid w:val="005A17E3"/>
    <w:rsid w:val="005A1B4C"/>
    <w:rsid w:val="005A1BBB"/>
    <w:rsid w:val="005A1BD6"/>
    <w:rsid w:val="005A1BFC"/>
    <w:rsid w:val="005A1C3B"/>
    <w:rsid w:val="005A1CE6"/>
    <w:rsid w:val="005A1D0D"/>
    <w:rsid w:val="005A1E01"/>
    <w:rsid w:val="005A1E6B"/>
    <w:rsid w:val="005A1ECE"/>
    <w:rsid w:val="005A1FA1"/>
    <w:rsid w:val="005A1FD0"/>
    <w:rsid w:val="005A2062"/>
    <w:rsid w:val="005A2081"/>
    <w:rsid w:val="005A22D0"/>
    <w:rsid w:val="005A233F"/>
    <w:rsid w:val="005A23BB"/>
    <w:rsid w:val="005A2559"/>
    <w:rsid w:val="005A2672"/>
    <w:rsid w:val="005A271D"/>
    <w:rsid w:val="005A2772"/>
    <w:rsid w:val="005A2794"/>
    <w:rsid w:val="005A2853"/>
    <w:rsid w:val="005A28B1"/>
    <w:rsid w:val="005A28E2"/>
    <w:rsid w:val="005A28FE"/>
    <w:rsid w:val="005A2A0A"/>
    <w:rsid w:val="005A2A98"/>
    <w:rsid w:val="005A2AB7"/>
    <w:rsid w:val="005A2B36"/>
    <w:rsid w:val="005A2B80"/>
    <w:rsid w:val="005A2C76"/>
    <w:rsid w:val="005A2C82"/>
    <w:rsid w:val="005A2CA2"/>
    <w:rsid w:val="005A2EBE"/>
    <w:rsid w:val="005A2F82"/>
    <w:rsid w:val="005A3033"/>
    <w:rsid w:val="005A3056"/>
    <w:rsid w:val="005A3071"/>
    <w:rsid w:val="005A316C"/>
    <w:rsid w:val="005A31A7"/>
    <w:rsid w:val="005A31BC"/>
    <w:rsid w:val="005A31C3"/>
    <w:rsid w:val="005A3287"/>
    <w:rsid w:val="005A32BE"/>
    <w:rsid w:val="005A32E7"/>
    <w:rsid w:val="005A350C"/>
    <w:rsid w:val="005A3550"/>
    <w:rsid w:val="005A35F1"/>
    <w:rsid w:val="005A378A"/>
    <w:rsid w:val="005A37A3"/>
    <w:rsid w:val="005A37E0"/>
    <w:rsid w:val="005A37FA"/>
    <w:rsid w:val="005A3842"/>
    <w:rsid w:val="005A385D"/>
    <w:rsid w:val="005A38A6"/>
    <w:rsid w:val="005A3975"/>
    <w:rsid w:val="005A3A3A"/>
    <w:rsid w:val="005A3B62"/>
    <w:rsid w:val="005A3B66"/>
    <w:rsid w:val="005A3C51"/>
    <w:rsid w:val="005A3CA2"/>
    <w:rsid w:val="005A3EFE"/>
    <w:rsid w:val="005A401E"/>
    <w:rsid w:val="005A40EA"/>
    <w:rsid w:val="005A40EE"/>
    <w:rsid w:val="005A4269"/>
    <w:rsid w:val="005A434B"/>
    <w:rsid w:val="005A441E"/>
    <w:rsid w:val="005A4442"/>
    <w:rsid w:val="005A444D"/>
    <w:rsid w:val="005A4514"/>
    <w:rsid w:val="005A4724"/>
    <w:rsid w:val="005A47AB"/>
    <w:rsid w:val="005A4947"/>
    <w:rsid w:val="005A4998"/>
    <w:rsid w:val="005A49A9"/>
    <w:rsid w:val="005A4A6F"/>
    <w:rsid w:val="005A4AB4"/>
    <w:rsid w:val="005A4BFB"/>
    <w:rsid w:val="005A4D6F"/>
    <w:rsid w:val="005A4DA4"/>
    <w:rsid w:val="005A4F58"/>
    <w:rsid w:val="005A4F87"/>
    <w:rsid w:val="005A5221"/>
    <w:rsid w:val="005A539D"/>
    <w:rsid w:val="005A53B7"/>
    <w:rsid w:val="005A53BE"/>
    <w:rsid w:val="005A540B"/>
    <w:rsid w:val="005A5436"/>
    <w:rsid w:val="005A548C"/>
    <w:rsid w:val="005A551F"/>
    <w:rsid w:val="005A5681"/>
    <w:rsid w:val="005A568A"/>
    <w:rsid w:val="005A56D7"/>
    <w:rsid w:val="005A5898"/>
    <w:rsid w:val="005A5966"/>
    <w:rsid w:val="005A5994"/>
    <w:rsid w:val="005A59B2"/>
    <w:rsid w:val="005A5A13"/>
    <w:rsid w:val="005A5B37"/>
    <w:rsid w:val="005A5B6B"/>
    <w:rsid w:val="005A5D9C"/>
    <w:rsid w:val="005A5DCD"/>
    <w:rsid w:val="005A5F1F"/>
    <w:rsid w:val="005A5FA7"/>
    <w:rsid w:val="005A636E"/>
    <w:rsid w:val="005A647D"/>
    <w:rsid w:val="005A651F"/>
    <w:rsid w:val="005A6530"/>
    <w:rsid w:val="005A65DA"/>
    <w:rsid w:val="005A66BD"/>
    <w:rsid w:val="005A6A4D"/>
    <w:rsid w:val="005A6A72"/>
    <w:rsid w:val="005A6AD9"/>
    <w:rsid w:val="005A6B9A"/>
    <w:rsid w:val="005A6CC1"/>
    <w:rsid w:val="005A6D55"/>
    <w:rsid w:val="005A6DB0"/>
    <w:rsid w:val="005A6ED8"/>
    <w:rsid w:val="005A6F1B"/>
    <w:rsid w:val="005A6F3F"/>
    <w:rsid w:val="005A70EA"/>
    <w:rsid w:val="005A7185"/>
    <w:rsid w:val="005A718C"/>
    <w:rsid w:val="005A72B3"/>
    <w:rsid w:val="005A7323"/>
    <w:rsid w:val="005A7413"/>
    <w:rsid w:val="005A7420"/>
    <w:rsid w:val="005A7646"/>
    <w:rsid w:val="005A7682"/>
    <w:rsid w:val="005A769E"/>
    <w:rsid w:val="005A76E6"/>
    <w:rsid w:val="005A77E5"/>
    <w:rsid w:val="005A78B8"/>
    <w:rsid w:val="005A79AF"/>
    <w:rsid w:val="005A79DB"/>
    <w:rsid w:val="005A7ABA"/>
    <w:rsid w:val="005A7AE3"/>
    <w:rsid w:val="005A7B13"/>
    <w:rsid w:val="005A7B3A"/>
    <w:rsid w:val="005A7B41"/>
    <w:rsid w:val="005A7C5C"/>
    <w:rsid w:val="005A7CA5"/>
    <w:rsid w:val="005A7D4F"/>
    <w:rsid w:val="005A7DEC"/>
    <w:rsid w:val="005A7DF4"/>
    <w:rsid w:val="005A7DF7"/>
    <w:rsid w:val="005A7E2E"/>
    <w:rsid w:val="005A7F4B"/>
    <w:rsid w:val="005A7FA7"/>
    <w:rsid w:val="005A7FDF"/>
    <w:rsid w:val="005B00A8"/>
    <w:rsid w:val="005B0106"/>
    <w:rsid w:val="005B0116"/>
    <w:rsid w:val="005B011A"/>
    <w:rsid w:val="005B02BF"/>
    <w:rsid w:val="005B0364"/>
    <w:rsid w:val="005B03D5"/>
    <w:rsid w:val="005B0412"/>
    <w:rsid w:val="005B048D"/>
    <w:rsid w:val="005B0720"/>
    <w:rsid w:val="005B073B"/>
    <w:rsid w:val="005B07BA"/>
    <w:rsid w:val="005B07BC"/>
    <w:rsid w:val="005B0814"/>
    <w:rsid w:val="005B08FF"/>
    <w:rsid w:val="005B0948"/>
    <w:rsid w:val="005B09A6"/>
    <w:rsid w:val="005B0A94"/>
    <w:rsid w:val="005B0ABA"/>
    <w:rsid w:val="005B0B36"/>
    <w:rsid w:val="005B0BC1"/>
    <w:rsid w:val="005B0C21"/>
    <w:rsid w:val="005B0E18"/>
    <w:rsid w:val="005B0E19"/>
    <w:rsid w:val="005B0F26"/>
    <w:rsid w:val="005B0F31"/>
    <w:rsid w:val="005B0FB5"/>
    <w:rsid w:val="005B0FBA"/>
    <w:rsid w:val="005B0FED"/>
    <w:rsid w:val="005B10E2"/>
    <w:rsid w:val="005B117D"/>
    <w:rsid w:val="005B1196"/>
    <w:rsid w:val="005B11D0"/>
    <w:rsid w:val="005B12AC"/>
    <w:rsid w:val="005B12B2"/>
    <w:rsid w:val="005B13AA"/>
    <w:rsid w:val="005B15F1"/>
    <w:rsid w:val="005B1757"/>
    <w:rsid w:val="005B1845"/>
    <w:rsid w:val="005B184D"/>
    <w:rsid w:val="005B1964"/>
    <w:rsid w:val="005B1AC2"/>
    <w:rsid w:val="005B1AFA"/>
    <w:rsid w:val="005B1CE9"/>
    <w:rsid w:val="005B1D82"/>
    <w:rsid w:val="005B1E60"/>
    <w:rsid w:val="005B1E9D"/>
    <w:rsid w:val="005B1EE6"/>
    <w:rsid w:val="005B212C"/>
    <w:rsid w:val="005B2222"/>
    <w:rsid w:val="005B23FF"/>
    <w:rsid w:val="005B2456"/>
    <w:rsid w:val="005B24F7"/>
    <w:rsid w:val="005B25E6"/>
    <w:rsid w:val="005B2659"/>
    <w:rsid w:val="005B268D"/>
    <w:rsid w:val="005B2734"/>
    <w:rsid w:val="005B2754"/>
    <w:rsid w:val="005B2A0D"/>
    <w:rsid w:val="005B2B7D"/>
    <w:rsid w:val="005B2BDB"/>
    <w:rsid w:val="005B2C5B"/>
    <w:rsid w:val="005B2CD9"/>
    <w:rsid w:val="005B2CFD"/>
    <w:rsid w:val="005B2D7B"/>
    <w:rsid w:val="005B2D82"/>
    <w:rsid w:val="005B2DBF"/>
    <w:rsid w:val="005B2DF5"/>
    <w:rsid w:val="005B2E1E"/>
    <w:rsid w:val="005B2E3B"/>
    <w:rsid w:val="005B2EF0"/>
    <w:rsid w:val="005B2F24"/>
    <w:rsid w:val="005B2F4F"/>
    <w:rsid w:val="005B3128"/>
    <w:rsid w:val="005B31AC"/>
    <w:rsid w:val="005B3333"/>
    <w:rsid w:val="005B33E6"/>
    <w:rsid w:val="005B33F1"/>
    <w:rsid w:val="005B34A9"/>
    <w:rsid w:val="005B3527"/>
    <w:rsid w:val="005B35A0"/>
    <w:rsid w:val="005B35DD"/>
    <w:rsid w:val="005B35E4"/>
    <w:rsid w:val="005B3608"/>
    <w:rsid w:val="005B37E2"/>
    <w:rsid w:val="005B3A58"/>
    <w:rsid w:val="005B3AC0"/>
    <w:rsid w:val="005B3AF6"/>
    <w:rsid w:val="005B3B78"/>
    <w:rsid w:val="005B3C09"/>
    <w:rsid w:val="005B3CBD"/>
    <w:rsid w:val="005B3CF4"/>
    <w:rsid w:val="005B3DC3"/>
    <w:rsid w:val="005B3DC8"/>
    <w:rsid w:val="005B3DFB"/>
    <w:rsid w:val="005B3E6C"/>
    <w:rsid w:val="005B3EBB"/>
    <w:rsid w:val="005B3ECF"/>
    <w:rsid w:val="005B3ED3"/>
    <w:rsid w:val="005B3F5F"/>
    <w:rsid w:val="005B4018"/>
    <w:rsid w:val="005B4100"/>
    <w:rsid w:val="005B4132"/>
    <w:rsid w:val="005B42F2"/>
    <w:rsid w:val="005B4382"/>
    <w:rsid w:val="005B4434"/>
    <w:rsid w:val="005B4471"/>
    <w:rsid w:val="005B4599"/>
    <w:rsid w:val="005B46EE"/>
    <w:rsid w:val="005B47E9"/>
    <w:rsid w:val="005B490B"/>
    <w:rsid w:val="005B49D7"/>
    <w:rsid w:val="005B4A08"/>
    <w:rsid w:val="005B4A66"/>
    <w:rsid w:val="005B4A67"/>
    <w:rsid w:val="005B4AA5"/>
    <w:rsid w:val="005B4ADB"/>
    <w:rsid w:val="005B4B1F"/>
    <w:rsid w:val="005B4D0E"/>
    <w:rsid w:val="005B4DF1"/>
    <w:rsid w:val="005B4E5C"/>
    <w:rsid w:val="005B4EAB"/>
    <w:rsid w:val="005B4EF9"/>
    <w:rsid w:val="005B4F0C"/>
    <w:rsid w:val="005B50E6"/>
    <w:rsid w:val="005B51F3"/>
    <w:rsid w:val="005B5285"/>
    <w:rsid w:val="005B5339"/>
    <w:rsid w:val="005B53C7"/>
    <w:rsid w:val="005B546B"/>
    <w:rsid w:val="005B5552"/>
    <w:rsid w:val="005B558B"/>
    <w:rsid w:val="005B565A"/>
    <w:rsid w:val="005B56DE"/>
    <w:rsid w:val="005B5788"/>
    <w:rsid w:val="005B5804"/>
    <w:rsid w:val="005B58FD"/>
    <w:rsid w:val="005B5B38"/>
    <w:rsid w:val="005B5C28"/>
    <w:rsid w:val="005B5E51"/>
    <w:rsid w:val="005B5E75"/>
    <w:rsid w:val="005B5FD1"/>
    <w:rsid w:val="005B6092"/>
    <w:rsid w:val="005B60F9"/>
    <w:rsid w:val="005B6120"/>
    <w:rsid w:val="005B61DE"/>
    <w:rsid w:val="005B624B"/>
    <w:rsid w:val="005B6275"/>
    <w:rsid w:val="005B64CE"/>
    <w:rsid w:val="005B64EE"/>
    <w:rsid w:val="005B6526"/>
    <w:rsid w:val="005B6695"/>
    <w:rsid w:val="005B66B6"/>
    <w:rsid w:val="005B66F9"/>
    <w:rsid w:val="005B685D"/>
    <w:rsid w:val="005B6951"/>
    <w:rsid w:val="005B6BB6"/>
    <w:rsid w:val="005B6BEB"/>
    <w:rsid w:val="005B6CB5"/>
    <w:rsid w:val="005B6E62"/>
    <w:rsid w:val="005B7224"/>
    <w:rsid w:val="005B72C8"/>
    <w:rsid w:val="005B73D0"/>
    <w:rsid w:val="005B752D"/>
    <w:rsid w:val="005B7684"/>
    <w:rsid w:val="005B76F9"/>
    <w:rsid w:val="005B7745"/>
    <w:rsid w:val="005B777D"/>
    <w:rsid w:val="005B77B3"/>
    <w:rsid w:val="005B7A5D"/>
    <w:rsid w:val="005B7AF6"/>
    <w:rsid w:val="005B7C0C"/>
    <w:rsid w:val="005B7C11"/>
    <w:rsid w:val="005B7C80"/>
    <w:rsid w:val="005B7EB8"/>
    <w:rsid w:val="005B7F59"/>
    <w:rsid w:val="005B7F96"/>
    <w:rsid w:val="005B7F9D"/>
    <w:rsid w:val="005B7FF1"/>
    <w:rsid w:val="005C01EF"/>
    <w:rsid w:val="005C0225"/>
    <w:rsid w:val="005C025C"/>
    <w:rsid w:val="005C0391"/>
    <w:rsid w:val="005C03B7"/>
    <w:rsid w:val="005C0429"/>
    <w:rsid w:val="005C0490"/>
    <w:rsid w:val="005C04C1"/>
    <w:rsid w:val="005C0508"/>
    <w:rsid w:val="005C05BD"/>
    <w:rsid w:val="005C05FA"/>
    <w:rsid w:val="005C06E6"/>
    <w:rsid w:val="005C076A"/>
    <w:rsid w:val="005C0858"/>
    <w:rsid w:val="005C086D"/>
    <w:rsid w:val="005C08B4"/>
    <w:rsid w:val="005C0962"/>
    <w:rsid w:val="005C09A5"/>
    <w:rsid w:val="005C0A0D"/>
    <w:rsid w:val="005C0A83"/>
    <w:rsid w:val="005C0B11"/>
    <w:rsid w:val="005C0B33"/>
    <w:rsid w:val="005C0B75"/>
    <w:rsid w:val="005C0D88"/>
    <w:rsid w:val="005C0EB7"/>
    <w:rsid w:val="005C0FA9"/>
    <w:rsid w:val="005C1192"/>
    <w:rsid w:val="005C11A3"/>
    <w:rsid w:val="005C1244"/>
    <w:rsid w:val="005C142D"/>
    <w:rsid w:val="005C14D8"/>
    <w:rsid w:val="005C157B"/>
    <w:rsid w:val="005C16C9"/>
    <w:rsid w:val="005C1840"/>
    <w:rsid w:val="005C188B"/>
    <w:rsid w:val="005C188E"/>
    <w:rsid w:val="005C18A2"/>
    <w:rsid w:val="005C18B7"/>
    <w:rsid w:val="005C18EF"/>
    <w:rsid w:val="005C1A27"/>
    <w:rsid w:val="005C1B8A"/>
    <w:rsid w:val="005C1BF7"/>
    <w:rsid w:val="005C1D24"/>
    <w:rsid w:val="005C1D71"/>
    <w:rsid w:val="005C1DEB"/>
    <w:rsid w:val="005C1DF9"/>
    <w:rsid w:val="005C1F9E"/>
    <w:rsid w:val="005C2085"/>
    <w:rsid w:val="005C20D7"/>
    <w:rsid w:val="005C2220"/>
    <w:rsid w:val="005C227A"/>
    <w:rsid w:val="005C245E"/>
    <w:rsid w:val="005C25A7"/>
    <w:rsid w:val="005C26B6"/>
    <w:rsid w:val="005C2864"/>
    <w:rsid w:val="005C289E"/>
    <w:rsid w:val="005C28CC"/>
    <w:rsid w:val="005C296C"/>
    <w:rsid w:val="005C2979"/>
    <w:rsid w:val="005C2B2A"/>
    <w:rsid w:val="005C2B51"/>
    <w:rsid w:val="005C2B75"/>
    <w:rsid w:val="005C2C9F"/>
    <w:rsid w:val="005C2CF2"/>
    <w:rsid w:val="005C2DEE"/>
    <w:rsid w:val="005C2E53"/>
    <w:rsid w:val="005C2E59"/>
    <w:rsid w:val="005C2F29"/>
    <w:rsid w:val="005C3025"/>
    <w:rsid w:val="005C305E"/>
    <w:rsid w:val="005C30B1"/>
    <w:rsid w:val="005C30CC"/>
    <w:rsid w:val="005C313E"/>
    <w:rsid w:val="005C332B"/>
    <w:rsid w:val="005C34C6"/>
    <w:rsid w:val="005C368A"/>
    <w:rsid w:val="005C3763"/>
    <w:rsid w:val="005C3927"/>
    <w:rsid w:val="005C39BA"/>
    <w:rsid w:val="005C3A2E"/>
    <w:rsid w:val="005C3B62"/>
    <w:rsid w:val="005C3B69"/>
    <w:rsid w:val="005C3B9C"/>
    <w:rsid w:val="005C3C15"/>
    <w:rsid w:val="005C3D49"/>
    <w:rsid w:val="005C3F65"/>
    <w:rsid w:val="005C3F7E"/>
    <w:rsid w:val="005C3FCC"/>
    <w:rsid w:val="005C42C5"/>
    <w:rsid w:val="005C432E"/>
    <w:rsid w:val="005C4363"/>
    <w:rsid w:val="005C4459"/>
    <w:rsid w:val="005C448C"/>
    <w:rsid w:val="005C44C1"/>
    <w:rsid w:val="005C44DD"/>
    <w:rsid w:val="005C465B"/>
    <w:rsid w:val="005C470B"/>
    <w:rsid w:val="005C481F"/>
    <w:rsid w:val="005C4860"/>
    <w:rsid w:val="005C4918"/>
    <w:rsid w:val="005C4990"/>
    <w:rsid w:val="005C49A4"/>
    <w:rsid w:val="005C49C0"/>
    <w:rsid w:val="005C49E3"/>
    <w:rsid w:val="005C4B0D"/>
    <w:rsid w:val="005C4BA9"/>
    <w:rsid w:val="005C4CCD"/>
    <w:rsid w:val="005C4D6E"/>
    <w:rsid w:val="005C4D94"/>
    <w:rsid w:val="005C4ECC"/>
    <w:rsid w:val="005C4F3A"/>
    <w:rsid w:val="005C4FA1"/>
    <w:rsid w:val="005C4FB7"/>
    <w:rsid w:val="005C50A0"/>
    <w:rsid w:val="005C50FD"/>
    <w:rsid w:val="005C5165"/>
    <w:rsid w:val="005C51ED"/>
    <w:rsid w:val="005C52AD"/>
    <w:rsid w:val="005C531E"/>
    <w:rsid w:val="005C55C0"/>
    <w:rsid w:val="005C570E"/>
    <w:rsid w:val="005C571D"/>
    <w:rsid w:val="005C579B"/>
    <w:rsid w:val="005C57C1"/>
    <w:rsid w:val="005C5811"/>
    <w:rsid w:val="005C58C1"/>
    <w:rsid w:val="005C58EF"/>
    <w:rsid w:val="005C5A1F"/>
    <w:rsid w:val="005C5BD1"/>
    <w:rsid w:val="005C5BF7"/>
    <w:rsid w:val="005C5C63"/>
    <w:rsid w:val="005C5D32"/>
    <w:rsid w:val="005C5D6E"/>
    <w:rsid w:val="005C5E2E"/>
    <w:rsid w:val="005C5F84"/>
    <w:rsid w:val="005C5F96"/>
    <w:rsid w:val="005C5F9D"/>
    <w:rsid w:val="005C5FF8"/>
    <w:rsid w:val="005C60E7"/>
    <w:rsid w:val="005C612B"/>
    <w:rsid w:val="005C6194"/>
    <w:rsid w:val="005C61C2"/>
    <w:rsid w:val="005C61D6"/>
    <w:rsid w:val="005C6204"/>
    <w:rsid w:val="005C6235"/>
    <w:rsid w:val="005C6339"/>
    <w:rsid w:val="005C6429"/>
    <w:rsid w:val="005C65A2"/>
    <w:rsid w:val="005C664B"/>
    <w:rsid w:val="005C66A6"/>
    <w:rsid w:val="005C66EB"/>
    <w:rsid w:val="005C6724"/>
    <w:rsid w:val="005C67B2"/>
    <w:rsid w:val="005C67B3"/>
    <w:rsid w:val="005C685B"/>
    <w:rsid w:val="005C68DA"/>
    <w:rsid w:val="005C6AF3"/>
    <w:rsid w:val="005C6B78"/>
    <w:rsid w:val="005C6B9F"/>
    <w:rsid w:val="005C6C04"/>
    <w:rsid w:val="005C6C24"/>
    <w:rsid w:val="005C6C2C"/>
    <w:rsid w:val="005C6FB1"/>
    <w:rsid w:val="005C6FCF"/>
    <w:rsid w:val="005C708C"/>
    <w:rsid w:val="005C70FD"/>
    <w:rsid w:val="005C7145"/>
    <w:rsid w:val="005C71A6"/>
    <w:rsid w:val="005C71B5"/>
    <w:rsid w:val="005C7219"/>
    <w:rsid w:val="005C73A3"/>
    <w:rsid w:val="005C73FC"/>
    <w:rsid w:val="005C7449"/>
    <w:rsid w:val="005C7563"/>
    <w:rsid w:val="005C7694"/>
    <w:rsid w:val="005C769B"/>
    <w:rsid w:val="005C773C"/>
    <w:rsid w:val="005C7887"/>
    <w:rsid w:val="005C7888"/>
    <w:rsid w:val="005C788E"/>
    <w:rsid w:val="005C78F9"/>
    <w:rsid w:val="005C798B"/>
    <w:rsid w:val="005C79E2"/>
    <w:rsid w:val="005C7A29"/>
    <w:rsid w:val="005C7A6D"/>
    <w:rsid w:val="005C7B1C"/>
    <w:rsid w:val="005C7B5B"/>
    <w:rsid w:val="005C7D13"/>
    <w:rsid w:val="005C7D69"/>
    <w:rsid w:val="005C7E44"/>
    <w:rsid w:val="005C7EF5"/>
    <w:rsid w:val="005C7F44"/>
    <w:rsid w:val="005D00BA"/>
    <w:rsid w:val="005D00F5"/>
    <w:rsid w:val="005D0133"/>
    <w:rsid w:val="005D01EA"/>
    <w:rsid w:val="005D0312"/>
    <w:rsid w:val="005D0551"/>
    <w:rsid w:val="005D057A"/>
    <w:rsid w:val="005D0581"/>
    <w:rsid w:val="005D05A2"/>
    <w:rsid w:val="005D0612"/>
    <w:rsid w:val="005D0691"/>
    <w:rsid w:val="005D06D9"/>
    <w:rsid w:val="005D06F0"/>
    <w:rsid w:val="005D0831"/>
    <w:rsid w:val="005D08AC"/>
    <w:rsid w:val="005D08B6"/>
    <w:rsid w:val="005D093C"/>
    <w:rsid w:val="005D09B2"/>
    <w:rsid w:val="005D09E6"/>
    <w:rsid w:val="005D0B46"/>
    <w:rsid w:val="005D0B98"/>
    <w:rsid w:val="005D0BA7"/>
    <w:rsid w:val="005D0C80"/>
    <w:rsid w:val="005D0CD5"/>
    <w:rsid w:val="005D0E3F"/>
    <w:rsid w:val="005D0F10"/>
    <w:rsid w:val="005D107C"/>
    <w:rsid w:val="005D113E"/>
    <w:rsid w:val="005D11C7"/>
    <w:rsid w:val="005D12D4"/>
    <w:rsid w:val="005D1360"/>
    <w:rsid w:val="005D1397"/>
    <w:rsid w:val="005D143D"/>
    <w:rsid w:val="005D15B8"/>
    <w:rsid w:val="005D1654"/>
    <w:rsid w:val="005D17BA"/>
    <w:rsid w:val="005D1835"/>
    <w:rsid w:val="005D1859"/>
    <w:rsid w:val="005D18AA"/>
    <w:rsid w:val="005D18E2"/>
    <w:rsid w:val="005D1AC2"/>
    <w:rsid w:val="005D1AEA"/>
    <w:rsid w:val="005D1B6D"/>
    <w:rsid w:val="005D1BA4"/>
    <w:rsid w:val="005D1C70"/>
    <w:rsid w:val="005D1D61"/>
    <w:rsid w:val="005D1DC4"/>
    <w:rsid w:val="005D1EAA"/>
    <w:rsid w:val="005D1EEF"/>
    <w:rsid w:val="005D201D"/>
    <w:rsid w:val="005D2024"/>
    <w:rsid w:val="005D2151"/>
    <w:rsid w:val="005D2199"/>
    <w:rsid w:val="005D21F0"/>
    <w:rsid w:val="005D2217"/>
    <w:rsid w:val="005D2322"/>
    <w:rsid w:val="005D24D9"/>
    <w:rsid w:val="005D24F5"/>
    <w:rsid w:val="005D2520"/>
    <w:rsid w:val="005D2610"/>
    <w:rsid w:val="005D2728"/>
    <w:rsid w:val="005D277F"/>
    <w:rsid w:val="005D27E1"/>
    <w:rsid w:val="005D2843"/>
    <w:rsid w:val="005D2956"/>
    <w:rsid w:val="005D2B20"/>
    <w:rsid w:val="005D2BCA"/>
    <w:rsid w:val="005D2BEA"/>
    <w:rsid w:val="005D2C8A"/>
    <w:rsid w:val="005D2D99"/>
    <w:rsid w:val="005D2E02"/>
    <w:rsid w:val="005D2E69"/>
    <w:rsid w:val="005D2FEC"/>
    <w:rsid w:val="005D304D"/>
    <w:rsid w:val="005D307B"/>
    <w:rsid w:val="005D31B0"/>
    <w:rsid w:val="005D324F"/>
    <w:rsid w:val="005D3296"/>
    <w:rsid w:val="005D32F6"/>
    <w:rsid w:val="005D3338"/>
    <w:rsid w:val="005D3450"/>
    <w:rsid w:val="005D350A"/>
    <w:rsid w:val="005D3556"/>
    <w:rsid w:val="005D35A3"/>
    <w:rsid w:val="005D35B5"/>
    <w:rsid w:val="005D3659"/>
    <w:rsid w:val="005D3679"/>
    <w:rsid w:val="005D37C9"/>
    <w:rsid w:val="005D37E3"/>
    <w:rsid w:val="005D388B"/>
    <w:rsid w:val="005D3A2A"/>
    <w:rsid w:val="005D3B45"/>
    <w:rsid w:val="005D3B71"/>
    <w:rsid w:val="005D3D59"/>
    <w:rsid w:val="005D3D80"/>
    <w:rsid w:val="005D3E7C"/>
    <w:rsid w:val="005D3F30"/>
    <w:rsid w:val="005D3FDE"/>
    <w:rsid w:val="005D4072"/>
    <w:rsid w:val="005D4304"/>
    <w:rsid w:val="005D4343"/>
    <w:rsid w:val="005D4350"/>
    <w:rsid w:val="005D4355"/>
    <w:rsid w:val="005D43B3"/>
    <w:rsid w:val="005D44A3"/>
    <w:rsid w:val="005D47FC"/>
    <w:rsid w:val="005D483A"/>
    <w:rsid w:val="005D4891"/>
    <w:rsid w:val="005D4A45"/>
    <w:rsid w:val="005D4A5C"/>
    <w:rsid w:val="005D4A65"/>
    <w:rsid w:val="005D4AAD"/>
    <w:rsid w:val="005D4B0F"/>
    <w:rsid w:val="005D4B35"/>
    <w:rsid w:val="005D4CFB"/>
    <w:rsid w:val="005D4EBB"/>
    <w:rsid w:val="005D4EC9"/>
    <w:rsid w:val="005D4FF1"/>
    <w:rsid w:val="005D50D5"/>
    <w:rsid w:val="005D5117"/>
    <w:rsid w:val="005D51FE"/>
    <w:rsid w:val="005D536E"/>
    <w:rsid w:val="005D5379"/>
    <w:rsid w:val="005D5381"/>
    <w:rsid w:val="005D5431"/>
    <w:rsid w:val="005D54B7"/>
    <w:rsid w:val="005D5585"/>
    <w:rsid w:val="005D55B4"/>
    <w:rsid w:val="005D5678"/>
    <w:rsid w:val="005D567C"/>
    <w:rsid w:val="005D5759"/>
    <w:rsid w:val="005D5767"/>
    <w:rsid w:val="005D58B1"/>
    <w:rsid w:val="005D5B64"/>
    <w:rsid w:val="005D5DDB"/>
    <w:rsid w:val="005D5E57"/>
    <w:rsid w:val="005D5E6B"/>
    <w:rsid w:val="005D5F05"/>
    <w:rsid w:val="005D5F13"/>
    <w:rsid w:val="005D5F18"/>
    <w:rsid w:val="005D5F63"/>
    <w:rsid w:val="005D5F80"/>
    <w:rsid w:val="005D5FFC"/>
    <w:rsid w:val="005D604A"/>
    <w:rsid w:val="005D608E"/>
    <w:rsid w:val="005D60AB"/>
    <w:rsid w:val="005D60EB"/>
    <w:rsid w:val="005D62AC"/>
    <w:rsid w:val="005D631B"/>
    <w:rsid w:val="005D648F"/>
    <w:rsid w:val="005D6570"/>
    <w:rsid w:val="005D6717"/>
    <w:rsid w:val="005D67B9"/>
    <w:rsid w:val="005D67EC"/>
    <w:rsid w:val="005D6823"/>
    <w:rsid w:val="005D697B"/>
    <w:rsid w:val="005D6BBB"/>
    <w:rsid w:val="005D6D25"/>
    <w:rsid w:val="005D6D90"/>
    <w:rsid w:val="005D6D94"/>
    <w:rsid w:val="005D6FAA"/>
    <w:rsid w:val="005D7040"/>
    <w:rsid w:val="005D719C"/>
    <w:rsid w:val="005D7244"/>
    <w:rsid w:val="005D729C"/>
    <w:rsid w:val="005D72A1"/>
    <w:rsid w:val="005D7301"/>
    <w:rsid w:val="005D73C0"/>
    <w:rsid w:val="005D7408"/>
    <w:rsid w:val="005D7567"/>
    <w:rsid w:val="005D7590"/>
    <w:rsid w:val="005D75E1"/>
    <w:rsid w:val="005D75FA"/>
    <w:rsid w:val="005D7675"/>
    <w:rsid w:val="005D76FB"/>
    <w:rsid w:val="005D7752"/>
    <w:rsid w:val="005D790E"/>
    <w:rsid w:val="005D7977"/>
    <w:rsid w:val="005D7A19"/>
    <w:rsid w:val="005D7AF7"/>
    <w:rsid w:val="005D7B8D"/>
    <w:rsid w:val="005D7C18"/>
    <w:rsid w:val="005D7C25"/>
    <w:rsid w:val="005D7C41"/>
    <w:rsid w:val="005D7CBE"/>
    <w:rsid w:val="005D7D59"/>
    <w:rsid w:val="005D7E27"/>
    <w:rsid w:val="005D7EAB"/>
    <w:rsid w:val="005D7F4C"/>
    <w:rsid w:val="005E003C"/>
    <w:rsid w:val="005E00A6"/>
    <w:rsid w:val="005E00BD"/>
    <w:rsid w:val="005E0186"/>
    <w:rsid w:val="005E02D3"/>
    <w:rsid w:val="005E02E5"/>
    <w:rsid w:val="005E0308"/>
    <w:rsid w:val="005E0321"/>
    <w:rsid w:val="005E03B5"/>
    <w:rsid w:val="005E03C6"/>
    <w:rsid w:val="005E03FD"/>
    <w:rsid w:val="005E05F8"/>
    <w:rsid w:val="005E07E3"/>
    <w:rsid w:val="005E08ED"/>
    <w:rsid w:val="005E0911"/>
    <w:rsid w:val="005E0B0F"/>
    <w:rsid w:val="005E0B4B"/>
    <w:rsid w:val="005E0C4F"/>
    <w:rsid w:val="005E0C79"/>
    <w:rsid w:val="005E0D82"/>
    <w:rsid w:val="005E0DE0"/>
    <w:rsid w:val="005E0E91"/>
    <w:rsid w:val="005E0EBB"/>
    <w:rsid w:val="005E0EF5"/>
    <w:rsid w:val="005E0EF9"/>
    <w:rsid w:val="005E0F69"/>
    <w:rsid w:val="005E10F7"/>
    <w:rsid w:val="005E1157"/>
    <w:rsid w:val="005E1271"/>
    <w:rsid w:val="005E128B"/>
    <w:rsid w:val="005E13A2"/>
    <w:rsid w:val="005E155F"/>
    <w:rsid w:val="005E156C"/>
    <w:rsid w:val="005E15FD"/>
    <w:rsid w:val="005E17DE"/>
    <w:rsid w:val="005E187C"/>
    <w:rsid w:val="005E1883"/>
    <w:rsid w:val="005E1902"/>
    <w:rsid w:val="005E1909"/>
    <w:rsid w:val="005E1ADF"/>
    <w:rsid w:val="005E1BD5"/>
    <w:rsid w:val="005E1E9B"/>
    <w:rsid w:val="005E1F0B"/>
    <w:rsid w:val="005E1F92"/>
    <w:rsid w:val="005E2072"/>
    <w:rsid w:val="005E217B"/>
    <w:rsid w:val="005E2226"/>
    <w:rsid w:val="005E222C"/>
    <w:rsid w:val="005E2254"/>
    <w:rsid w:val="005E2280"/>
    <w:rsid w:val="005E2391"/>
    <w:rsid w:val="005E2616"/>
    <w:rsid w:val="005E27F4"/>
    <w:rsid w:val="005E28E1"/>
    <w:rsid w:val="005E2908"/>
    <w:rsid w:val="005E29CA"/>
    <w:rsid w:val="005E29E0"/>
    <w:rsid w:val="005E2B12"/>
    <w:rsid w:val="005E2B3F"/>
    <w:rsid w:val="005E2BB0"/>
    <w:rsid w:val="005E2C4C"/>
    <w:rsid w:val="005E2C78"/>
    <w:rsid w:val="005E2CA2"/>
    <w:rsid w:val="005E2D5D"/>
    <w:rsid w:val="005E2F20"/>
    <w:rsid w:val="005E2F9E"/>
    <w:rsid w:val="005E319F"/>
    <w:rsid w:val="005E32BD"/>
    <w:rsid w:val="005E32CB"/>
    <w:rsid w:val="005E32F3"/>
    <w:rsid w:val="005E33DA"/>
    <w:rsid w:val="005E3411"/>
    <w:rsid w:val="005E34D5"/>
    <w:rsid w:val="005E3620"/>
    <w:rsid w:val="005E36B4"/>
    <w:rsid w:val="005E380B"/>
    <w:rsid w:val="005E3974"/>
    <w:rsid w:val="005E39E1"/>
    <w:rsid w:val="005E3AEE"/>
    <w:rsid w:val="005E3BF8"/>
    <w:rsid w:val="005E3C46"/>
    <w:rsid w:val="005E3CBF"/>
    <w:rsid w:val="005E3D44"/>
    <w:rsid w:val="005E3DD4"/>
    <w:rsid w:val="005E3E00"/>
    <w:rsid w:val="005E3E52"/>
    <w:rsid w:val="005E3EE2"/>
    <w:rsid w:val="005E4051"/>
    <w:rsid w:val="005E4185"/>
    <w:rsid w:val="005E433D"/>
    <w:rsid w:val="005E441B"/>
    <w:rsid w:val="005E44BA"/>
    <w:rsid w:val="005E44DB"/>
    <w:rsid w:val="005E4541"/>
    <w:rsid w:val="005E4699"/>
    <w:rsid w:val="005E46A2"/>
    <w:rsid w:val="005E47AC"/>
    <w:rsid w:val="005E47D5"/>
    <w:rsid w:val="005E4868"/>
    <w:rsid w:val="005E489C"/>
    <w:rsid w:val="005E493A"/>
    <w:rsid w:val="005E4A5B"/>
    <w:rsid w:val="005E4A63"/>
    <w:rsid w:val="005E4C1F"/>
    <w:rsid w:val="005E4DA0"/>
    <w:rsid w:val="005E4E78"/>
    <w:rsid w:val="005E4EB3"/>
    <w:rsid w:val="005E4F24"/>
    <w:rsid w:val="005E4FD9"/>
    <w:rsid w:val="005E4FE5"/>
    <w:rsid w:val="005E4FED"/>
    <w:rsid w:val="005E50B6"/>
    <w:rsid w:val="005E51D0"/>
    <w:rsid w:val="005E520C"/>
    <w:rsid w:val="005E5347"/>
    <w:rsid w:val="005E5384"/>
    <w:rsid w:val="005E5397"/>
    <w:rsid w:val="005E559A"/>
    <w:rsid w:val="005E55FB"/>
    <w:rsid w:val="005E56A1"/>
    <w:rsid w:val="005E5CD5"/>
    <w:rsid w:val="005E5D7D"/>
    <w:rsid w:val="005E5EA6"/>
    <w:rsid w:val="005E5EA7"/>
    <w:rsid w:val="005E5EB5"/>
    <w:rsid w:val="005E5F81"/>
    <w:rsid w:val="005E5FAD"/>
    <w:rsid w:val="005E61DF"/>
    <w:rsid w:val="005E6260"/>
    <w:rsid w:val="005E631E"/>
    <w:rsid w:val="005E6343"/>
    <w:rsid w:val="005E6434"/>
    <w:rsid w:val="005E6445"/>
    <w:rsid w:val="005E6673"/>
    <w:rsid w:val="005E66DA"/>
    <w:rsid w:val="005E66F8"/>
    <w:rsid w:val="005E67FA"/>
    <w:rsid w:val="005E68C6"/>
    <w:rsid w:val="005E6935"/>
    <w:rsid w:val="005E69D3"/>
    <w:rsid w:val="005E69DB"/>
    <w:rsid w:val="005E6B12"/>
    <w:rsid w:val="005E6DBF"/>
    <w:rsid w:val="005E6EC4"/>
    <w:rsid w:val="005E6FBB"/>
    <w:rsid w:val="005E721D"/>
    <w:rsid w:val="005E7268"/>
    <w:rsid w:val="005E73B6"/>
    <w:rsid w:val="005E7554"/>
    <w:rsid w:val="005E75A7"/>
    <w:rsid w:val="005E76CD"/>
    <w:rsid w:val="005E7710"/>
    <w:rsid w:val="005E7769"/>
    <w:rsid w:val="005E78C4"/>
    <w:rsid w:val="005E78E3"/>
    <w:rsid w:val="005E78F5"/>
    <w:rsid w:val="005E7968"/>
    <w:rsid w:val="005E79B4"/>
    <w:rsid w:val="005E7A7E"/>
    <w:rsid w:val="005E7CA6"/>
    <w:rsid w:val="005E7D81"/>
    <w:rsid w:val="005E7DDD"/>
    <w:rsid w:val="005F0131"/>
    <w:rsid w:val="005F013A"/>
    <w:rsid w:val="005F01A9"/>
    <w:rsid w:val="005F0335"/>
    <w:rsid w:val="005F03A1"/>
    <w:rsid w:val="005F03B7"/>
    <w:rsid w:val="005F03E1"/>
    <w:rsid w:val="005F03FB"/>
    <w:rsid w:val="005F0514"/>
    <w:rsid w:val="005F056C"/>
    <w:rsid w:val="005F06EC"/>
    <w:rsid w:val="005F0725"/>
    <w:rsid w:val="005F07D5"/>
    <w:rsid w:val="005F080B"/>
    <w:rsid w:val="005F0831"/>
    <w:rsid w:val="005F08C5"/>
    <w:rsid w:val="005F0A1B"/>
    <w:rsid w:val="005F0B1E"/>
    <w:rsid w:val="005F0BEB"/>
    <w:rsid w:val="005F0CCF"/>
    <w:rsid w:val="005F0CF1"/>
    <w:rsid w:val="005F0D43"/>
    <w:rsid w:val="005F0D56"/>
    <w:rsid w:val="005F0D6C"/>
    <w:rsid w:val="005F1137"/>
    <w:rsid w:val="005F1178"/>
    <w:rsid w:val="005F1229"/>
    <w:rsid w:val="005F12C5"/>
    <w:rsid w:val="005F139A"/>
    <w:rsid w:val="005F141D"/>
    <w:rsid w:val="005F143B"/>
    <w:rsid w:val="005F14AA"/>
    <w:rsid w:val="005F14FA"/>
    <w:rsid w:val="005F1533"/>
    <w:rsid w:val="005F1583"/>
    <w:rsid w:val="005F15C8"/>
    <w:rsid w:val="005F15F9"/>
    <w:rsid w:val="005F167C"/>
    <w:rsid w:val="005F16AA"/>
    <w:rsid w:val="005F16D1"/>
    <w:rsid w:val="005F171E"/>
    <w:rsid w:val="005F173A"/>
    <w:rsid w:val="005F17B7"/>
    <w:rsid w:val="005F186A"/>
    <w:rsid w:val="005F1C80"/>
    <w:rsid w:val="005F1EE8"/>
    <w:rsid w:val="005F1F14"/>
    <w:rsid w:val="005F1F3D"/>
    <w:rsid w:val="005F1F94"/>
    <w:rsid w:val="005F215E"/>
    <w:rsid w:val="005F2228"/>
    <w:rsid w:val="005F226F"/>
    <w:rsid w:val="005F22CD"/>
    <w:rsid w:val="005F2426"/>
    <w:rsid w:val="005F2525"/>
    <w:rsid w:val="005F25C2"/>
    <w:rsid w:val="005F25D2"/>
    <w:rsid w:val="005F2687"/>
    <w:rsid w:val="005F28A3"/>
    <w:rsid w:val="005F28FF"/>
    <w:rsid w:val="005F2A5A"/>
    <w:rsid w:val="005F2A94"/>
    <w:rsid w:val="005F2B17"/>
    <w:rsid w:val="005F2B4A"/>
    <w:rsid w:val="005F2BC4"/>
    <w:rsid w:val="005F2C00"/>
    <w:rsid w:val="005F2C15"/>
    <w:rsid w:val="005F2C8D"/>
    <w:rsid w:val="005F2EA3"/>
    <w:rsid w:val="005F2EE5"/>
    <w:rsid w:val="005F2F24"/>
    <w:rsid w:val="005F3148"/>
    <w:rsid w:val="005F320E"/>
    <w:rsid w:val="005F321C"/>
    <w:rsid w:val="005F3246"/>
    <w:rsid w:val="005F33E2"/>
    <w:rsid w:val="005F3416"/>
    <w:rsid w:val="005F348D"/>
    <w:rsid w:val="005F363F"/>
    <w:rsid w:val="005F3686"/>
    <w:rsid w:val="005F3706"/>
    <w:rsid w:val="005F3746"/>
    <w:rsid w:val="005F37BE"/>
    <w:rsid w:val="005F3825"/>
    <w:rsid w:val="005F38BA"/>
    <w:rsid w:val="005F3998"/>
    <w:rsid w:val="005F39E5"/>
    <w:rsid w:val="005F3A9C"/>
    <w:rsid w:val="005F3B6B"/>
    <w:rsid w:val="005F3B93"/>
    <w:rsid w:val="005F3BF2"/>
    <w:rsid w:val="005F3DD7"/>
    <w:rsid w:val="005F3E8D"/>
    <w:rsid w:val="005F3F42"/>
    <w:rsid w:val="005F3F5A"/>
    <w:rsid w:val="005F4013"/>
    <w:rsid w:val="005F40E9"/>
    <w:rsid w:val="005F433D"/>
    <w:rsid w:val="005F43EC"/>
    <w:rsid w:val="005F444C"/>
    <w:rsid w:val="005F4465"/>
    <w:rsid w:val="005F4661"/>
    <w:rsid w:val="005F46CB"/>
    <w:rsid w:val="005F47BB"/>
    <w:rsid w:val="005F482B"/>
    <w:rsid w:val="005F4877"/>
    <w:rsid w:val="005F4882"/>
    <w:rsid w:val="005F4AED"/>
    <w:rsid w:val="005F4B6B"/>
    <w:rsid w:val="005F4D03"/>
    <w:rsid w:val="005F4D06"/>
    <w:rsid w:val="005F4D60"/>
    <w:rsid w:val="005F4ECE"/>
    <w:rsid w:val="005F4F3E"/>
    <w:rsid w:val="005F4F74"/>
    <w:rsid w:val="005F4F93"/>
    <w:rsid w:val="005F4FC7"/>
    <w:rsid w:val="005F503B"/>
    <w:rsid w:val="005F517F"/>
    <w:rsid w:val="005F522C"/>
    <w:rsid w:val="005F533B"/>
    <w:rsid w:val="005F5356"/>
    <w:rsid w:val="005F539B"/>
    <w:rsid w:val="005F53C3"/>
    <w:rsid w:val="005F5461"/>
    <w:rsid w:val="005F55E1"/>
    <w:rsid w:val="005F5645"/>
    <w:rsid w:val="005F564E"/>
    <w:rsid w:val="005F5677"/>
    <w:rsid w:val="005F570F"/>
    <w:rsid w:val="005F57E7"/>
    <w:rsid w:val="005F5861"/>
    <w:rsid w:val="005F5887"/>
    <w:rsid w:val="005F597E"/>
    <w:rsid w:val="005F59CB"/>
    <w:rsid w:val="005F59FD"/>
    <w:rsid w:val="005F5A9C"/>
    <w:rsid w:val="005F5C7A"/>
    <w:rsid w:val="005F5E23"/>
    <w:rsid w:val="005F5E75"/>
    <w:rsid w:val="005F5EA1"/>
    <w:rsid w:val="005F5F3C"/>
    <w:rsid w:val="005F5FA8"/>
    <w:rsid w:val="005F6045"/>
    <w:rsid w:val="005F6126"/>
    <w:rsid w:val="005F6149"/>
    <w:rsid w:val="005F6364"/>
    <w:rsid w:val="005F64A6"/>
    <w:rsid w:val="005F64EB"/>
    <w:rsid w:val="005F65C4"/>
    <w:rsid w:val="005F66FF"/>
    <w:rsid w:val="005F6934"/>
    <w:rsid w:val="005F6A4E"/>
    <w:rsid w:val="005F6A8A"/>
    <w:rsid w:val="005F6BA2"/>
    <w:rsid w:val="005F6CED"/>
    <w:rsid w:val="005F6D3B"/>
    <w:rsid w:val="005F6E76"/>
    <w:rsid w:val="005F6EF3"/>
    <w:rsid w:val="005F6F04"/>
    <w:rsid w:val="005F6F6C"/>
    <w:rsid w:val="005F7002"/>
    <w:rsid w:val="005F700A"/>
    <w:rsid w:val="005F7104"/>
    <w:rsid w:val="005F71B7"/>
    <w:rsid w:val="005F7267"/>
    <w:rsid w:val="005F72DC"/>
    <w:rsid w:val="005F72E7"/>
    <w:rsid w:val="005F7334"/>
    <w:rsid w:val="005F733B"/>
    <w:rsid w:val="005F73CC"/>
    <w:rsid w:val="005F757E"/>
    <w:rsid w:val="005F75B2"/>
    <w:rsid w:val="005F7766"/>
    <w:rsid w:val="005F7789"/>
    <w:rsid w:val="005F786E"/>
    <w:rsid w:val="005F78A7"/>
    <w:rsid w:val="005F7B9F"/>
    <w:rsid w:val="005F7D5B"/>
    <w:rsid w:val="005F7E21"/>
    <w:rsid w:val="005F7E49"/>
    <w:rsid w:val="005F7E4C"/>
    <w:rsid w:val="005F7E5B"/>
    <w:rsid w:val="005F7E98"/>
    <w:rsid w:val="005F7EC8"/>
    <w:rsid w:val="005F7F2E"/>
    <w:rsid w:val="00600114"/>
    <w:rsid w:val="006001C1"/>
    <w:rsid w:val="00600318"/>
    <w:rsid w:val="006003D0"/>
    <w:rsid w:val="006003E8"/>
    <w:rsid w:val="00600460"/>
    <w:rsid w:val="006005DB"/>
    <w:rsid w:val="0060069E"/>
    <w:rsid w:val="00600769"/>
    <w:rsid w:val="00600800"/>
    <w:rsid w:val="00600B77"/>
    <w:rsid w:val="00600D97"/>
    <w:rsid w:val="00600E7A"/>
    <w:rsid w:val="00600F03"/>
    <w:rsid w:val="0060103E"/>
    <w:rsid w:val="0060109B"/>
    <w:rsid w:val="00601116"/>
    <w:rsid w:val="00601122"/>
    <w:rsid w:val="0060115E"/>
    <w:rsid w:val="006012BE"/>
    <w:rsid w:val="00601338"/>
    <w:rsid w:val="00601364"/>
    <w:rsid w:val="00601469"/>
    <w:rsid w:val="0060147F"/>
    <w:rsid w:val="006014A8"/>
    <w:rsid w:val="00601728"/>
    <w:rsid w:val="0060177C"/>
    <w:rsid w:val="006017D4"/>
    <w:rsid w:val="00601811"/>
    <w:rsid w:val="00601909"/>
    <w:rsid w:val="00601963"/>
    <w:rsid w:val="00601AC8"/>
    <w:rsid w:val="00601B7B"/>
    <w:rsid w:val="00601D6C"/>
    <w:rsid w:val="00601F92"/>
    <w:rsid w:val="00601FAB"/>
    <w:rsid w:val="00602274"/>
    <w:rsid w:val="00602320"/>
    <w:rsid w:val="006023A4"/>
    <w:rsid w:val="0060243D"/>
    <w:rsid w:val="00602638"/>
    <w:rsid w:val="00602678"/>
    <w:rsid w:val="00602754"/>
    <w:rsid w:val="0060279F"/>
    <w:rsid w:val="0060289F"/>
    <w:rsid w:val="006029CD"/>
    <w:rsid w:val="00602D0B"/>
    <w:rsid w:val="00602E2A"/>
    <w:rsid w:val="00602EE2"/>
    <w:rsid w:val="00602F03"/>
    <w:rsid w:val="00603039"/>
    <w:rsid w:val="006030FC"/>
    <w:rsid w:val="0060315F"/>
    <w:rsid w:val="0060319A"/>
    <w:rsid w:val="00603265"/>
    <w:rsid w:val="006032AB"/>
    <w:rsid w:val="006033AE"/>
    <w:rsid w:val="00603532"/>
    <w:rsid w:val="0060369A"/>
    <w:rsid w:val="006036AC"/>
    <w:rsid w:val="00603727"/>
    <w:rsid w:val="00603809"/>
    <w:rsid w:val="0060394F"/>
    <w:rsid w:val="006039C7"/>
    <w:rsid w:val="006039D7"/>
    <w:rsid w:val="00603A9F"/>
    <w:rsid w:val="00603D66"/>
    <w:rsid w:val="00603E6F"/>
    <w:rsid w:val="00603FC0"/>
    <w:rsid w:val="006040E7"/>
    <w:rsid w:val="00604265"/>
    <w:rsid w:val="006042BC"/>
    <w:rsid w:val="006043E0"/>
    <w:rsid w:val="00604406"/>
    <w:rsid w:val="00604444"/>
    <w:rsid w:val="00604469"/>
    <w:rsid w:val="00604562"/>
    <w:rsid w:val="0060462C"/>
    <w:rsid w:val="00604698"/>
    <w:rsid w:val="006046DC"/>
    <w:rsid w:val="006046E2"/>
    <w:rsid w:val="006046F7"/>
    <w:rsid w:val="0060472A"/>
    <w:rsid w:val="00604856"/>
    <w:rsid w:val="006049F9"/>
    <w:rsid w:val="00604A13"/>
    <w:rsid w:val="00604A74"/>
    <w:rsid w:val="00604ACF"/>
    <w:rsid w:val="00604B25"/>
    <w:rsid w:val="00604B29"/>
    <w:rsid w:val="00604B63"/>
    <w:rsid w:val="00604C76"/>
    <w:rsid w:val="00604DB5"/>
    <w:rsid w:val="00604E4A"/>
    <w:rsid w:val="00605224"/>
    <w:rsid w:val="006055E8"/>
    <w:rsid w:val="006056A1"/>
    <w:rsid w:val="006056A2"/>
    <w:rsid w:val="006056BA"/>
    <w:rsid w:val="00605780"/>
    <w:rsid w:val="006057DC"/>
    <w:rsid w:val="00605842"/>
    <w:rsid w:val="00605848"/>
    <w:rsid w:val="0060586C"/>
    <w:rsid w:val="00605A76"/>
    <w:rsid w:val="00605B70"/>
    <w:rsid w:val="00605C9F"/>
    <w:rsid w:val="00605CE4"/>
    <w:rsid w:val="00605D34"/>
    <w:rsid w:val="00605DEC"/>
    <w:rsid w:val="00605E39"/>
    <w:rsid w:val="00605EC9"/>
    <w:rsid w:val="00605FA6"/>
    <w:rsid w:val="00606014"/>
    <w:rsid w:val="006060A4"/>
    <w:rsid w:val="0060610D"/>
    <w:rsid w:val="0060615B"/>
    <w:rsid w:val="00606187"/>
    <w:rsid w:val="0060619A"/>
    <w:rsid w:val="0060621F"/>
    <w:rsid w:val="0060639D"/>
    <w:rsid w:val="0060642B"/>
    <w:rsid w:val="0060659D"/>
    <w:rsid w:val="00606707"/>
    <w:rsid w:val="0060683A"/>
    <w:rsid w:val="00606852"/>
    <w:rsid w:val="006068B7"/>
    <w:rsid w:val="0060690D"/>
    <w:rsid w:val="00606962"/>
    <w:rsid w:val="00606995"/>
    <w:rsid w:val="00606B90"/>
    <w:rsid w:val="00606B9C"/>
    <w:rsid w:val="00606CA2"/>
    <w:rsid w:val="00606D4B"/>
    <w:rsid w:val="00606D60"/>
    <w:rsid w:val="00606E1D"/>
    <w:rsid w:val="00606F5F"/>
    <w:rsid w:val="00606FB5"/>
    <w:rsid w:val="00607013"/>
    <w:rsid w:val="00607200"/>
    <w:rsid w:val="0060730B"/>
    <w:rsid w:val="0060739E"/>
    <w:rsid w:val="006073E7"/>
    <w:rsid w:val="006074A6"/>
    <w:rsid w:val="006074C2"/>
    <w:rsid w:val="0060758E"/>
    <w:rsid w:val="00607590"/>
    <w:rsid w:val="006075D7"/>
    <w:rsid w:val="00607630"/>
    <w:rsid w:val="00607633"/>
    <w:rsid w:val="00607743"/>
    <w:rsid w:val="0060786E"/>
    <w:rsid w:val="00607889"/>
    <w:rsid w:val="0060797C"/>
    <w:rsid w:val="006079AC"/>
    <w:rsid w:val="00607AE0"/>
    <w:rsid w:val="00607B11"/>
    <w:rsid w:val="00607D35"/>
    <w:rsid w:val="00607D76"/>
    <w:rsid w:val="00607DA8"/>
    <w:rsid w:val="00607EE8"/>
    <w:rsid w:val="00607F03"/>
    <w:rsid w:val="0061005B"/>
    <w:rsid w:val="00610087"/>
    <w:rsid w:val="0061010E"/>
    <w:rsid w:val="006101C7"/>
    <w:rsid w:val="006101FB"/>
    <w:rsid w:val="006102F5"/>
    <w:rsid w:val="0061038F"/>
    <w:rsid w:val="006105C3"/>
    <w:rsid w:val="0061066A"/>
    <w:rsid w:val="006109D0"/>
    <w:rsid w:val="006109E3"/>
    <w:rsid w:val="00610C98"/>
    <w:rsid w:val="00610D5F"/>
    <w:rsid w:val="00610E70"/>
    <w:rsid w:val="00611041"/>
    <w:rsid w:val="006110A8"/>
    <w:rsid w:val="00611190"/>
    <w:rsid w:val="0061119B"/>
    <w:rsid w:val="006112D7"/>
    <w:rsid w:val="00611341"/>
    <w:rsid w:val="006114D1"/>
    <w:rsid w:val="00611521"/>
    <w:rsid w:val="00611539"/>
    <w:rsid w:val="0061153F"/>
    <w:rsid w:val="006115A4"/>
    <w:rsid w:val="006115F2"/>
    <w:rsid w:val="0061161B"/>
    <w:rsid w:val="006116BB"/>
    <w:rsid w:val="00611744"/>
    <w:rsid w:val="00611839"/>
    <w:rsid w:val="00611840"/>
    <w:rsid w:val="00611935"/>
    <w:rsid w:val="00611C13"/>
    <w:rsid w:val="00611DB3"/>
    <w:rsid w:val="00611E3F"/>
    <w:rsid w:val="00611EAD"/>
    <w:rsid w:val="006120DD"/>
    <w:rsid w:val="0061238C"/>
    <w:rsid w:val="0061245E"/>
    <w:rsid w:val="00612483"/>
    <w:rsid w:val="00612604"/>
    <w:rsid w:val="006127BD"/>
    <w:rsid w:val="006128B8"/>
    <w:rsid w:val="00612956"/>
    <w:rsid w:val="00612A57"/>
    <w:rsid w:val="00612AB2"/>
    <w:rsid w:val="00612BAB"/>
    <w:rsid w:val="00612C11"/>
    <w:rsid w:val="00612C2B"/>
    <w:rsid w:val="00612C4C"/>
    <w:rsid w:val="00612CEB"/>
    <w:rsid w:val="00612D29"/>
    <w:rsid w:val="00612E17"/>
    <w:rsid w:val="00612EA1"/>
    <w:rsid w:val="00612F74"/>
    <w:rsid w:val="00613021"/>
    <w:rsid w:val="006130A2"/>
    <w:rsid w:val="0061320B"/>
    <w:rsid w:val="0061334C"/>
    <w:rsid w:val="00613391"/>
    <w:rsid w:val="00613464"/>
    <w:rsid w:val="006134B1"/>
    <w:rsid w:val="00613560"/>
    <w:rsid w:val="006135B9"/>
    <w:rsid w:val="006135C9"/>
    <w:rsid w:val="00613858"/>
    <w:rsid w:val="0061388D"/>
    <w:rsid w:val="00613993"/>
    <w:rsid w:val="00613995"/>
    <w:rsid w:val="00613A9B"/>
    <w:rsid w:val="00613B52"/>
    <w:rsid w:val="00613BAE"/>
    <w:rsid w:val="00613BCE"/>
    <w:rsid w:val="00613C7C"/>
    <w:rsid w:val="00613D2A"/>
    <w:rsid w:val="00613D8D"/>
    <w:rsid w:val="00613E8D"/>
    <w:rsid w:val="00613EFA"/>
    <w:rsid w:val="00613F7F"/>
    <w:rsid w:val="00613FB2"/>
    <w:rsid w:val="0061407B"/>
    <w:rsid w:val="006140E0"/>
    <w:rsid w:val="0061428A"/>
    <w:rsid w:val="0061431E"/>
    <w:rsid w:val="006144B0"/>
    <w:rsid w:val="00614836"/>
    <w:rsid w:val="00614851"/>
    <w:rsid w:val="006149C4"/>
    <w:rsid w:val="00614A06"/>
    <w:rsid w:val="00614CE2"/>
    <w:rsid w:val="00615082"/>
    <w:rsid w:val="00615283"/>
    <w:rsid w:val="006152B2"/>
    <w:rsid w:val="00615320"/>
    <w:rsid w:val="006153F9"/>
    <w:rsid w:val="006154A0"/>
    <w:rsid w:val="00615606"/>
    <w:rsid w:val="0061569F"/>
    <w:rsid w:val="0061594F"/>
    <w:rsid w:val="00615AF0"/>
    <w:rsid w:val="00615AF7"/>
    <w:rsid w:val="00615B36"/>
    <w:rsid w:val="00615BAD"/>
    <w:rsid w:val="00615BD6"/>
    <w:rsid w:val="00615CC7"/>
    <w:rsid w:val="00615D39"/>
    <w:rsid w:val="00615DAC"/>
    <w:rsid w:val="00615DCD"/>
    <w:rsid w:val="00615FAE"/>
    <w:rsid w:val="006160A3"/>
    <w:rsid w:val="00616197"/>
    <w:rsid w:val="0061630C"/>
    <w:rsid w:val="00616359"/>
    <w:rsid w:val="006163FA"/>
    <w:rsid w:val="006164C5"/>
    <w:rsid w:val="0061666D"/>
    <w:rsid w:val="0061669E"/>
    <w:rsid w:val="006166CF"/>
    <w:rsid w:val="00616A24"/>
    <w:rsid w:val="00616A9F"/>
    <w:rsid w:val="00616B7A"/>
    <w:rsid w:val="00616B82"/>
    <w:rsid w:val="00616CAB"/>
    <w:rsid w:val="00616E19"/>
    <w:rsid w:val="00616E25"/>
    <w:rsid w:val="00616F91"/>
    <w:rsid w:val="006170B4"/>
    <w:rsid w:val="0061718E"/>
    <w:rsid w:val="006171E8"/>
    <w:rsid w:val="00617227"/>
    <w:rsid w:val="00617249"/>
    <w:rsid w:val="00617270"/>
    <w:rsid w:val="00617340"/>
    <w:rsid w:val="006174E0"/>
    <w:rsid w:val="00617604"/>
    <w:rsid w:val="006176CA"/>
    <w:rsid w:val="006179CA"/>
    <w:rsid w:val="00617A8B"/>
    <w:rsid w:val="00617A91"/>
    <w:rsid w:val="00617ACC"/>
    <w:rsid w:val="00617C09"/>
    <w:rsid w:val="00617C0C"/>
    <w:rsid w:val="00617C8C"/>
    <w:rsid w:val="00617D27"/>
    <w:rsid w:val="00617DEE"/>
    <w:rsid w:val="00617E25"/>
    <w:rsid w:val="00617E40"/>
    <w:rsid w:val="00617EFB"/>
    <w:rsid w:val="00617FA5"/>
    <w:rsid w:val="006200A6"/>
    <w:rsid w:val="0062015B"/>
    <w:rsid w:val="006202F0"/>
    <w:rsid w:val="006202F2"/>
    <w:rsid w:val="00620653"/>
    <w:rsid w:val="00620689"/>
    <w:rsid w:val="006208B6"/>
    <w:rsid w:val="006208CF"/>
    <w:rsid w:val="00620978"/>
    <w:rsid w:val="00620AA5"/>
    <w:rsid w:val="00620AB1"/>
    <w:rsid w:val="00620AC0"/>
    <w:rsid w:val="00620B5C"/>
    <w:rsid w:val="00620D34"/>
    <w:rsid w:val="00620D36"/>
    <w:rsid w:val="00620E0F"/>
    <w:rsid w:val="00620E43"/>
    <w:rsid w:val="00620EF2"/>
    <w:rsid w:val="00620F2B"/>
    <w:rsid w:val="00620FA4"/>
    <w:rsid w:val="00620FCB"/>
    <w:rsid w:val="0062106A"/>
    <w:rsid w:val="0062108E"/>
    <w:rsid w:val="006210CB"/>
    <w:rsid w:val="00621224"/>
    <w:rsid w:val="00621288"/>
    <w:rsid w:val="006212C6"/>
    <w:rsid w:val="006212D7"/>
    <w:rsid w:val="006213A8"/>
    <w:rsid w:val="006213B9"/>
    <w:rsid w:val="00621507"/>
    <w:rsid w:val="0062150C"/>
    <w:rsid w:val="00621681"/>
    <w:rsid w:val="0062168B"/>
    <w:rsid w:val="006216EA"/>
    <w:rsid w:val="00621764"/>
    <w:rsid w:val="006217E0"/>
    <w:rsid w:val="0062195F"/>
    <w:rsid w:val="00621966"/>
    <w:rsid w:val="006219D1"/>
    <w:rsid w:val="00621A11"/>
    <w:rsid w:val="00621ABD"/>
    <w:rsid w:val="00621B8B"/>
    <w:rsid w:val="00621C23"/>
    <w:rsid w:val="00621CA7"/>
    <w:rsid w:val="00621F35"/>
    <w:rsid w:val="006220E7"/>
    <w:rsid w:val="0062216A"/>
    <w:rsid w:val="00622275"/>
    <w:rsid w:val="00622292"/>
    <w:rsid w:val="00622332"/>
    <w:rsid w:val="0062238C"/>
    <w:rsid w:val="006224AF"/>
    <w:rsid w:val="006224DD"/>
    <w:rsid w:val="006225F4"/>
    <w:rsid w:val="0062260E"/>
    <w:rsid w:val="00622769"/>
    <w:rsid w:val="0062281E"/>
    <w:rsid w:val="00622835"/>
    <w:rsid w:val="00622860"/>
    <w:rsid w:val="00622885"/>
    <w:rsid w:val="0062296F"/>
    <w:rsid w:val="006229E8"/>
    <w:rsid w:val="006229EA"/>
    <w:rsid w:val="00622B81"/>
    <w:rsid w:val="00622BE9"/>
    <w:rsid w:val="00622C53"/>
    <w:rsid w:val="00622C75"/>
    <w:rsid w:val="00622D8D"/>
    <w:rsid w:val="00622D91"/>
    <w:rsid w:val="00622F14"/>
    <w:rsid w:val="00622F96"/>
    <w:rsid w:val="00623069"/>
    <w:rsid w:val="006231AE"/>
    <w:rsid w:val="006231E9"/>
    <w:rsid w:val="00623218"/>
    <w:rsid w:val="00623353"/>
    <w:rsid w:val="0062352E"/>
    <w:rsid w:val="00623562"/>
    <w:rsid w:val="00623577"/>
    <w:rsid w:val="006235EF"/>
    <w:rsid w:val="0062361D"/>
    <w:rsid w:val="006236F5"/>
    <w:rsid w:val="00623725"/>
    <w:rsid w:val="00623854"/>
    <w:rsid w:val="006238F0"/>
    <w:rsid w:val="0062390D"/>
    <w:rsid w:val="00623A7F"/>
    <w:rsid w:val="00623A82"/>
    <w:rsid w:val="00623B2C"/>
    <w:rsid w:val="00623B4B"/>
    <w:rsid w:val="00623CFA"/>
    <w:rsid w:val="00623E6C"/>
    <w:rsid w:val="00623FD4"/>
    <w:rsid w:val="006240E6"/>
    <w:rsid w:val="006241C6"/>
    <w:rsid w:val="00624204"/>
    <w:rsid w:val="00624221"/>
    <w:rsid w:val="006242A0"/>
    <w:rsid w:val="00624398"/>
    <w:rsid w:val="0062442A"/>
    <w:rsid w:val="006244E4"/>
    <w:rsid w:val="006244EB"/>
    <w:rsid w:val="00624511"/>
    <w:rsid w:val="0062458C"/>
    <w:rsid w:val="0062460B"/>
    <w:rsid w:val="00624729"/>
    <w:rsid w:val="00624859"/>
    <w:rsid w:val="00624963"/>
    <w:rsid w:val="00624A81"/>
    <w:rsid w:val="00624AB8"/>
    <w:rsid w:val="00624AEF"/>
    <w:rsid w:val="00624B58"/>
    <w:rsid w:val="00624DBF"/>
    <w:rsid w:val="00624DCA"/>
    <w:rsid w:val="00624DCE"/>
    <w:rsid w:val="00624E5B"/>
    <w:rsid w:val="00624E78"/>
    <w:rsid w:val="00624EDB"/>
    <w:rsid w:val="00624FA5"/>
    <w:rsid w:val="00625084"/>
    <w:rsid w:val="00625085"/>
    <w:rsid w:val="006250DE"/>
    <w:rsid w:val="00625290"/>
    <w:rsid w:val="00625338"/>
    <w:rsid w:val="006253F5"/>
    <w:rsid w:val="00625434"/>
    <w:rsid w:val="006254D8"/>
    <w:rsid w:val="00625568"/>
    <w:rsid w:val="006255C7"/>
    <w:rsid w:val="0062564B"/>
    <w:rsid w:val="0062570F"/>
    <w:rsid w:val="00625718"/>
    <w:rsid w:val="00625750"/>
    <w:rsid w:val="00625A8C"/>
    <w:rsid w:val="00625C17"/>
    <w:rsid w:val="00625D1B"/>
    <w:rsid w:val="00625D1F"/>
    <w:rsid w:val="00625D50"/>
    <w:rsid w:val="00625DDD"/>
    <w:rsid w:val="00625E64"/>
    <w:rsid w:val="00625E76"/>
    <w:rsid w:val="00625EB1"/>
    <w:rsid w:val="00625EE8"/>
    <w:rsid w:val="00625F6D"/>
    <w:rsid w:val="00626194"/>
    <w:rsid w:val="006261EB"/>
    <w:rsid w:val="00626202"/>
    <w:rsid w:val="00626207"/>
    <w:rsid w:val="00626251"/>
    <w:rsid w:val="00626260"/>
    <w:rsid w:val="0062646D"/>
    <w:rsid w:val="00626522"/>
    <w:rsid w:val="00626603"/>
    <w:rsid w:val="00626629"/>
    <w:rsid w:val="0062667A"/>
    <w:rsid w:val="00626681"/>
    <w:rsid w:val="00626699"/>
    <w:rsid w:val="006266AE"/>
    <w:rsid w:val="006266EA"/>
    <w:rsid w:val="0062676F"/>
    <w:rsid w:val="00626835"/>
    <w:rsid w:val="006268AD"/>
    <w:rsid w:val="00626924"/>
    <w:rsid w:val="006269FE"/>
    <w:rsid w:val="00626AD1"/>
    <w:rsid w:val="00626B91"/>
    <w:rsid w:val="00626DB4"/>
    <w:rsid w:val="00626E04"/>
    <w:rsid w:val="00626E5A"/>
    <w:rsid w:val="00626F5E"/>
    <w:rsid w:val="0062709F"/>
    <w:rsid w:val="00627130"/>
    <w:rsid w:val="00627203"/>
    <w:rsid w:val="006272C4"/>
    <w:rsid w:val="00627301"/>
    <w:rsid w:val="0062751A"/>
    <w:rsid w:val="00627526"/>
    <w:rsid w:val="0062753B"/>
    <w:rsid w:val="0062756A"/>
    <w:rsid w:val="00627582"/>
    <w:rsid w:val="006275B0"/>
    <w:rsid w:val="006276AC"/>
    <w:rsid w:val="00627751"/>
    <w:rsid w:val="00627782"/>
    <w:rsid w:val="00627896"/>
    <w:rsid w:val="006278CC"/>
    <w:rsid w:val="00627906"/>
    <w:rsid w:val="006279BB"/>
    <w:rsid w:val="00627B77"/>
    <w:rsid w:val="00627C9E"/>
    <w:rsid w:val="00627CDA"/>
    <w:rsid w:val="00627D9F"/>
    <w:rsid w:val="00627DDA"/>
    <w:rsid w:val="00627E78"/>
    <w:rsid w:val="00627F4F"/>
    <w:rsid w:val="00627FE8"/>
    <w:rsid w:val="00630024"/>
    <w:rsid w:val="0063028C"/>
    <w:rsid w:val="006302CD"/>
    <w:rsid w:val="00630475"/>
    <w:rsid w:val="006304F0"/>
    <w:rsid w:val="006304F3"/>
    <w:rsid w:val="006305B6"/>
    <w:rsid w:val="00630617"/>
    <w:rsid w:val="006306B6"/>
    <w:rsid w:val="006306E7"/>
    <w:rsid w:val="006306F6"/>
    <w:rsid w:val="00630732"/>
    <w:rsid w:val="0063077A"/>
    <w:rsid w:val="006307A3"/>
    <w:rsid w:val="0063087A"/>
    <w:rsid w:val="006308A8"/>
    <w:rsid w:val="006308D1"/>
    <w:rsid w:val="006308ED"/>
    <w:rsid w:val="00630A15"/>
    <w:rsid w:val="00630CF6"/>
    <w:rsid w:val="00630E0D"/>
    <w:rsid w:val="00630E33"/>
    <w:rsid w:val="00630E58"/>
    <w:rsid w:val="00630E98"/>
    <w:rsid w:val="00631050"/>
    <w:rsid w:val="00631068"/>
    <w:rsid w:val="006313AE"/>
    <w:rsid w:val="00631501"/>
    <w:rsid w:val="00631526"/>
    <w:rsid w:val="00631629"/>
    <w:rsid w:val="0063192E"/>
    <w:rsid w:val="00631973"/>
    <w:rsid w:val="00631A36"/>
    <w:rsid w:val="00631A54"/>
    <w:rsid w:val="00631A60"/>
    <w:rsid w:val="00631A67"/>
    <w:rsid w:val="00631A7C"/>
    <w:rsid w:val="00631ABF"/>
    <w:rsid w:val="00631BF5"/>
    <w:rsid w:val="00631E10"/>
    <w:rsid w:val="00631EFE"/>
    <w:rsid w:val="00631FC6"/>
    <w:rsid w:val="00632013"/>
    <w:rsid w:val="006321EF"/>
    <w:rsid w:val="00632262"/>
    <w:rsid w:val="006323E1"/>
    <w:rsid w:val="0063244C"/>
    <w:rsid w:val="00632487"/>
    <w:rsid w:val="006324F0"/>
    <w:rsid w:val="0063262D"/>
    <w:rsid w:val="00632652"/>
    <w:rsid w:val="00632738"/>
    <w:rsid w:val="00632801"/>
    <w:rsid w:val="0063284E"/>
    <w:rsid w:val="006328C9"/>
    <w:rsid w:val="00632956"/>
    <w:rsid w:val="00632A12"/>
    <w:rsid w:val="00632A6B"/>
    <w:rsid w:val="00632B95"/>
    <w:rsid w:val="00632C35"/>
    <w:rsid w:val="00632C79"/>
    <w:rsid w:val="00632C92"/>
    <w:rsid w:val="00632CA7"/>
    <w:rsid w:val="00632D7D"/>
    <w:rsid w:val="00632E80"/>
    <w:rsid w:val="00633077"/>
    <w:rsid w:val="0063325A"/>
    <w:rsid w:val="0063332C"/>
    <w:rsid w:val="00633372"/>
    <w:rsid w:val="00633457"/>
    <w:rsid w:val="006334DA"/>
    <w:rsid w:val="00633595"/>
    <w:rsid w:val="006336C2"/>
    <w:rsid w:val="006336FD"/>
    <w:rsid w:val="0063375A"/>
    <w:rsid w:val="00633762"/>
    <w:rsid w:val="00633818"/>
    <w:rsid w:val="00633899"/>
    <w:rsid w:val="00633943"/>
    <w:rsid w:val="006339F5"/>
    <w:rsid w:val="00633A4D"/>
    <w:rsid w:val="00633A8E"/>
    <w:rsid w:val="00633A8F"/>
    <w:rsid w:val="00633A99"/>
    <w:rsid w:val="00633BEA"/>
    <w:rsid w:val="00633C3B"/>
    <w:rsid w:val="00633E8A"/>
    <w:rsid w:val="00633F01"/>
    <w:rsid w:val="006340CF"/>
    <w:rsid w:val="006340F9"/>
    <w:rsid w:val="0063414A"/>
    <w:rsid w:val="00634199"/>
    <w:rsid w:val="0063433D"/>
    <w:rsid w:val="00634766"/>
    <w:rsid w:val="00634877"/>
    <w:rsid w:val="0063497B"/>
    <w:rsid w:val="00634A7B"/>
    <w:rsid w:val="00634AAC"/>
    <w:rsid w:val="00634C9F"/>
    <w:rsid w:val="00634CF6"/>
    <w:rsid w:val="00634D33"/>
    <w:rsid w:val="00634D7C"/>
    <w:rsid w:val="00634E1D"/>
    <w:rsid w:val="00634E51"/>
    <w:rsid w:val="00634E86"/>
    <w:rsid w:val="0063506B"/>
    <w:rsid w:val="006350BB"/>
    <w:rsid w:val="0063512C"/>
    <w:rsid w:val="0063515A"/>
    <w:rsid w:val="00635194"/>
    <w:rsid w:val="00635228"/>
    <w:rsid w:val="00635269"/>
    <w:rsid w:val="006352AB"/>
    <w:rsid w:val="0063538A"/>
    <w:rsid w:val="00635524"/>
    <w:rsid w:val="006356FB"/>
    <w:rsid w:val="00635716"/>
    <w:rsid w:val="00635738"/>
    <w:rsid w:val="006357EF"/>
    <w:rsid w:val="00635926"/>
    <w:rsid w:val="00635949"/>
    <w:rsid w:val="00635967"/>
    <w:rsid w:val="00635983"/>
    <w:rsid w:val="00635AAC"/>
    <w:rsid w:val="00635AF0"/>
    <w:rsid w:val="00635B52"/>
    <w:rsid w:val="00635CC7"/>
    <w:rsid w:val="00635D02"/>
    <w:rsid w:val="00635E7B"/>
    <w:rsid w:val="00635E98"/>
    <w:rsid w:val="00635FEF"/>
    <w:rsid w:val="00636248"/>
    <w:rsid w:val="00636287"/>
    <w:rsid w:val="0063635C"/>
    <w:rsid w:val="006363DB"/>
    <w:rsid w:val="006364B9"/>
    <w:rsid w:val="00636514"/>
    <w:rsid w:val="00636528"/>
    <w:rsid w:val="0063654C"/>
    <w:rsid w:val="006365E8"/>
    <w:rsid w:val="00636607"/>
    <w:rsid w:val="00636662"/>
    <w:rsid w:val="006366C0"/>
    <w:rsid w:val="006366EA"/>
    <w:rsid w:val="00636734"/>
    <w:rsid w:val="006367E7"/>
    <w:rsid w:val="00636A2A"/>
    <w:rsid w:val="00636B5E"/>
    <w:rsid w:val="00636BA7"/>
    <w:rsid w:val="00636BBE"/>
    <w:rsid w:val="00636CC3"/>
    <w:rsid w:val="00636E44"/>
    <w:rsid w:val="00636FD5"/>
    <w:rsid w:val="0063717D"/>
    <w:rsid w:val="006371AE"/>
    <w:rsid w:val="0063725C"/>
    <w:rsid w:val="006372AE"/>
    <w:rsid w:val="00637309"/>
    <w:rsid w:val="00637387"/>
    <w:rsid w:val="006373D3"/>
    <w:rsid w:val="006374B0"/>
    <w:rsid w:val="0063754F"/>
    <w:rsid w:val="006376CC"/>
    <w:rsid w:val="00637731"/>
    <w:rsid w:val="00637768"/>
    <w:rsid w:val="0063781B"/>
    <w:rsid w:val="00637856"/>
    <w:rsid w:val="00637857"/>
    <w:rsid w:val="00637899"/>
    <w:rsid w:val="006379C5"/>
    <w:rsid w:val="006379E9"/>
    <w:rsid w:val="00637A94"/>
    <w:rsid w:val="00637B89"/>
    <w:rsid w:val="00637C10"/>
    <w:rsid w:val="00637CE8"/>
    <w:rsid w:val="00637D25"/>
    <w:rsid w:val="00637D34"/>
    <w:rsid w:val="00637DD7"/>
    <w:rsid w:val="00637E06"/>
    <w:rsid w:val="00637EBB"/>
    <w:rsid w:val="00637F0C"/>
    <w:rsid w:val="00637F39"/>
    <w:rsid w:val="006400C0"/>
    <w:rsid w:val="006400DA"/>
    <w:rsid w:val="00640132"/>
    <w:rsid w:val="00640282"/>
    <w:rsid w:val="0064030C"/>
    <w:rsid w:val="0064042C"/>
    <w:rsid w:val="00640435"/>
    <w:rsid w:val="006404FE"/>
    <w:rsid w:val="0064055F"/>
    <w:rsid w:val="00640655"/>
    <w:rsid w:val="00640707"/>
    <w:rsid w:val="00640762"/>
    <w:rsid w:val="006407B8"/>
    <w:rsid w:val="006407FE"/>
    <w:rsid w:val="00640849"/>
    <w:rsid w:val="00640929"/>
    <w:rsid w:val="00640B01"/>
    <w:rsid w:val="00640B93"/>
    <w:rsid w:val="00640B9D"/>
    <w:rsid w:val="00640BB4"/>
    <w:rsid w:val="00640BDE"/>
    <w:rsid w:val="00640C5C"/>
    <w:rsid w:val="00640C7F"/>
    <w:rsid w:val="00640D15"/>
    <w:rsid w:val="00640D36"/>
    <w:rsid w:val="0064104D"/>
    <w:rsid w:val="00641072"/>
    <w:rsid w:val="006410E6"/>
    <w:rsid w:val="0064112F"/>
    <w:rsid w:val="0064133F"/>
    <w:rsid w:val="006415CC"/>
    <w:rsid w:val="006415DC"/>
    <w:rsid w:val="00641741"/>
    <w:rsid w:val="00641750"/>
    <w:rsid w:val="00641965"/>
    <w:rsid w:val="006419C7"/>
    <w:rsid w:val="00641ABE"/>
    <w:rsid w:val="00641B0F"/>
    <w:rsid w:val="00641B41"/>
    <w:rsid w:val="00641CEB"/>
    <w:rsid w:val="00641D1D"/>
    <w:rsid w:val="00641EDC"/>
    <w:rsid w:val="00641FB8"/>
    <w:rsid w:val="00641FBA"/>
    <w:rsid w:val="00642092"/>
    <w:rsid w:val="0064209D"/>
    <w:rsid w:val="0064210B"/>
    <w:rsid w:val="00642180"/>
    <w:rsid w:val="0064224A"/>
    <w:rsid w:val="00642295"/>
    <w:rsid w:val="0064230D"/>
    <w:rsid w:val="0064244A"/>
    <w:rsid w:val="00642458"/>
    <w:rsid w:val="006424BD"/>
    <w:rsid w:val="006424D6"/>
    <w:rsid w:val="0064269B"/>
    <w:rsid w:val="006426C1"/>
    <w:rsid w:val="0064275A"/>
    <w:rsid w:val="0064275C"/>
    <w:rsid w:val="006427F5"/>
    <w:rsid w:val="00642847"/>
    <w:rsid w:val="006428C4"/>
    <w:rsid w:val="00642931"/>
    <w:rsid w:val="006429D2"/>
    <w:rsid w:val="00642A37"/>
    <w:rsid w:val="00642A6A"/>
    <w:rsid w:val="00642AE9"/>
    <w:rsid w:val="00642B54"/>
    <w:rsid w:val="00642BC1"/>
    <w:rsid w:val="00642BD4"/>
    <w:rsid w:val="00642BFD"/>
    <w:rsid w:val="00642CAA"/>
    <w:rsid w:val="00642D87"/>
    <w:rsid w:val="00642DCA"/>
    <w:rsid w:val="00642E45"/>
    <w:rsid w:val="00642F1F"/>
    <w:rsid w:val="00642F22"/>
    <w:rsid w:val="00642FFB"/>
    <w:rsid w:val="00643034"/>
    <w:rsid w:val="00643039"/>
    <w:rsid w:val="006430E8"/>
    <w:rsid w:val="0064314D"/>
    <w:rsid w:val="00643184"/>
    <w:rsid w:val="006431C5"/>
    <w:rsid w:val="00643255"/>
    <w:rsid w:val="00643296"/>
    <w:rsid w:val="006432B7"/>
    <w:rsid w:val="00643369"/>
    <w:rsid w:val="006433E3"/>
    <w:rsid w:val="006434B7"/>
    <w:rsid w:val="006435D7"/>
    <w:rsid w:val="006435E2"/>
    <w:rsid w:val="006435F7"/>
    <w:rsid w:val="006436F6"/>
    <w:rsid w:val="0064379C"/>
    <w:rsid w:val="00643897"/>
    <w:rsid w:val="006439DA"/>
    <w:rsid w:val="00643A8D"/>
    <w:rsid w:val="00643B6C"/>
    <w:rsid w:val="00643CD1"/>
    <w:rsid w:val="00643CD6"/>
    <w:rsid w:val="00643D55"/>
    <w:rsid w:val="00643E0A"/>
    <w:rsid w:val="00643E5C"/>
    <w:rsid w:val="00643EDE"/>
    <w:rsid w:val="00643EE1"/>
    <w:rsid w:val="00643F42"/>
    <w:rsid w:val="00643F50"/>
    <w:rsid w:val="00643F98"/>
    <w:rsid w:val="0064417D"/>
    <w:rsid w:val="006441FC"/>
    <w:rsid w:val="0064430C"/>
    <w:rsid w:val="00644313"/>
    <w:rsid w:val="00644428"/>
    <w:rsid w:val="00644452"/>
    <w:rsid w:val="00644455"/>
    <w:rsid w:val="00644465"/>
    <w:rsid w:val="006445EB"/>
    <w:rsid w:val="006445EF"/>
    <w:rsid w:val="00644770"/>
    <w:rsid w:val="006447EC"/>
    <w:rsid w:val="006448B3"/>
    <w:rsid w:val="00644995"/>
    <w:rsid w:val="00644A1A"/>
    <w:rsid w:val="00644BC7"/>
    <w:rsid w:val="00644D38"/>
    <w:rsid w:val="00644D51"/>
    <w:rsid w:val="00644E09"/>
    <w:rsid w:val="00644E36"/>
    <w:rsid w:val="00644E9A"/>
    <w:rsid w:val="00644EB3"/>
    <w:rsid w:val="00644EBD"/>
    <w:rsid w:val="00644F0F"/>
    <w:rsid w:val="00644F36"/>
    <w:rsid w:val="00644FCE"/>
    <w:rsid w:val="00645058"/>
    <w:rsid w:val="006452B3"/>
    <w:rsid w:val="00645419"/>
    <w:rsid w:val="006454A4"/>
    <w:rsid w:val="006454DF"/>
    <w:rsid w:val="0064568C"/>
    <w:rsid w:val="00645829"/>
    <w:rsid w:val="006458A4"/>
    <w:rsid w:val="00645A3E"/>
    <w:rsid w:val="00645B9C"/>
    <w:rsid w:val="00645CB6"/>
    <w:rsid w:val="00645D3C"/>
    <w:rsid w:val="00645D5C"/>
    <w:rsid w:val="00645D5F"/>
    <w:rsid w:val="00645D61"/>
    <w:rsid w:val="00645F09"/>
    <w:rsid w:val="00645F38"/>
    <w:rsid w:val="00645FB1"/>
    <w:rsid w:val="0064606A"/>
    <w:rsid w:val="0064611E"/>
    <w:rsid w:val="00646188"/>
    <w:rsid w:val="006461BE"/>
    <w:rsid w:val="006461FE"/>
    <w:rsid w:val="00646415"/>
    <w:rsid w:val="0064653C"/>
    <w:rsid w:val="0064656B"/>
    <w:rsid w:val="0064659A"/>
    <w:rsid w:val="006465C7"/>
    <w:rsid w:val="006466BD"/>
    <w:rsid w:val="0064688C"/>
    <w:rsid w:val="006468D2"/>
    <w:rsid w:val="00646946"/>
    <w:rsid w:val="00646949"/>
    <w:rsid w:val="0064696F"/>
    <w:rsid w:val="00646A4E"/>
    <w:rsid w:val="00646A70"/>
    <w:rsid w:val="00646B86"/>
    <w:rsid w:val="00646BBB"/>
    <w:rsid w:val="00646D12"/>
    <w:rsid w:val="00646E2D"/>
    <w:rsid w:val="00646ECE"/>
    <w:rsid w:val="00646F74"/>
    <w:rsid w:val="0064701E"/>
    <w:rsid w:val="006470AA"/>
    <w:rsid w:val="006470F4"/>
    <w:rsid w:val="00647111"/>
    <w:rsid w:val="00647145"/>
    <w:rsid w:val="006471DE"/>
    <w:rsid w:val="006471F5"/>
    <w:rsid w:val="006471FF"/>
    <w:rsid w:val="006472A5"/>
    <w:rsid w:val="006472BC"/>
    <w:rsid w:val="0064735D"/>
    <w:rsid w:val="006473E0"/>
    <w:rsid w:val="006475C3"/>
    <w:rsid w:val="00647810"/>
    <w:rsid w:val="00647818"/>
    <w:rsid w:val="00647823"/>
    <w:rsid w:val="00647907"/>
    <w:rsid w:val="0064794B"/>
    <w:rsid w:val="00647A1D"/>
    <w:rsid w:val="00647C79"/>
    <w:rsid w:val="00647CD0"/>
    <w:rsid w:val="00647D44"/>
    <w:rsid w:val="00647EE1"/>
    <w:rsid w:val="00647F96"/>
    <w:rsid w:val="00647FB9"/>
    <w:rsid w:val="00650025"/>
    <w:rsid w:val="00650026"/>
    <w:rsid w:val="00650038"/>
    <w:rsid w:val="0065007E"/>
    <w:rsid w:val="00650102"/>
    <w:rsid w:val="0065011C"/>
    <w:rsid w:val="0065015B"/>
    <w:rsid w:val="00650218"/>
    <w:rsid w:val="006502F8"/>
    <w:rsid w:val="00650349"/>
    <w:rsid w:val="00650488"/>
    <w:rsid w:val="00650576"/>
    <w:rsid w:val="00650601"/>
    <w:rsid w:val="00650761"/>
    <w:rsid w:val="0065078C"/>
    <w:rsid w:val="00650811"/>
    <w:rsid w:val="00650865"/>
    <w:rsid w:val="006509E5"/>
    <w:rsid w:val="00650A6A"/>
    <w:rsid w:val="00650ADE"/>
    <w:rsid w:val="00650BF4"/>
    <w:rsid w:val="00650C5A"/>
    <w:rsid w:val="00650C74"/>
    <w:rsid w:val="00650CE2"/>
    <w:rsid w:val="00650E66"/>
    <w:rsid w:val="00650EE5"/>
    <w:rsid w:val="00650F17"/>
    <w:rsid w:val="00650F60"/>
    <w:rsid w:val="0065104D"/>
    <w:rsid w:val="006510DA"/>
    <w:rsid w:val="0065114F"/>
    <w:rsid w:val="0065116B"/>
    <w:rsid w:val="0065117B"/>
    <w:rsid w:val="00651272"/>
    <w:rsid w:val="006512DE"/>
    <w:rsid w:val="0065133A"/>
    <w:rsid w:val="0065155D"/>
    <w:rsid w:val="00651678"/>
    <w:rsid w:val="0065175B"/>
    <w:rsid w:val="006517DD"/>
    <w:rsid w:val="00651941"/>
    <w:rsid w:val="00651980"/>
    <w:rsid w:val="00651AB8"/>
    <w:rsid w:val="00651B20"/>
    <w:rsid w:val="00651C37"/>
    <w:rsid w:val="00651C55"/>
    <w:rsid w:val="00651D09"/>
    <w:rsid w:val="00651D86"/>
    <w:rsid w:val="00651E4E"/>
    <w:rsid w:val="00651E7B"/>
    <w:rsid w:val="00651EA9"/>
    <w:rsid w:val="00651FFA"/>
    <w:rsid w:val="00651FFD"/>
    <w:rsid w:val="0065204B"/>
    <w:rsid w:val="006520A8"/>
    <w:rsid w:val="006520D4"/>
    <w:rsid w:val="00652240"/>
    <w:rsid w:val="0065227D"/>
    <w:rsid w:val="006522C5"/>
    <w:rsid w:val="006523C3"/>
    <w:rsid w:val="006523C9"/>
    <w:rsid w:val="006523F5"/>
    <w:rsid w:val="0065258C"/>
    <w:rsid w:val="00652845"/>
    <w:rsid w:val="006528E1"/>
    <w:rsid w:val="00652918"/>
    <w:rsid w:val="00652941"/>
    <w:rsid w:val="006529B7"/>
    <w:rsid w:val="00652AF2"/>
    <w:rsid w:val="00652B1C"/>
    <w:rsid w:val="00652B1E"/>
    <w:rsid w:val="00652B39"/>
    <w:rsid w:val="00652BC4"/>
    <w:rsid w:val="00652CEA"/>
    <w:rsid w:val="00652D00"/>
    <w:rsid w:val="00652D20"/>
    <w:rsid w:val="00652E52"/>
    <w:rsid w:val="00652E8C"/>
    <w:rsid w:val="00652F2E"/>
    <w:rsid w:val="00652F49"/>
    <w:rsid w:val="00652FBF"/>
    <w:rsid w:val="0065308D"/>
    <w:rsid w:val="0065308E"/>
    <w:rsid w:val="00653222"/>
    <w:rsid w:val="00653224"/>
    <w:rsid w:val="0065340F"/>
    <w:rsid w:val="00653514"/>
    <w:rsid w:val="00653521"/>
    <w:rsid w:val="00653531"/>
    <w:rsid w:val="0065367B"/>
    <w:rsid w:val="006536FE"/>
    <w:rsid w:val="0065370B"/>
    <w:rsid w:val="00653728"/>
    <w:rsid w:val="0065375E"/>
    <w:rsid w:val="006538CF"/>
    <w:rsid w:val="00653A3E"/>
    <w:rsid w:val="00653A6F"/>
    <w:rsid w:val="00653AEA"/>
    <w:rsid w:val="00653B5A"/>
    <w:rsid w:val="00653BBC"/>
    <w:rsid w:val="00653C73"/>
    <w:rsid w:val="00653C8E"/>
    <w:rsid w:val="00653CF8"/>
    <w:rsid w:val="00653CFB"/>
    <w:rsid w:val="00653D3C"/>
    <w:rsid w:val="00653DF9"/>
    <w:rsid w:val="00653EB1"/>
    <w:rsid w:val="00653F52"/>
    <w:rsid w:val="00654018"/>
    <w:rsid w:val="00654048"/>
    <w:rsid w:val="00654160"/>
    <w:rsid w:val="00654266"/>
    <w:rsid w:val="006542CD"/>
    <w:rsid w:val="0065438C"/>
    <w:rsid w:val="006543DF"/>
    <w:rsid w:val="006544EE"/>
    <w:rsid w:val="00654637"/>
    <w:rsid w:val="0065467D"/>
    <w:rsid w:val="006546A1"/>
    <w:rsid w:val="006546AA"/>
    <w:rsid w:val="006546E4"/>
    <w:rsid w:val="00654710"/>
    <w:rsid w:val="00654835"/>
    <w:rsid w:val="00654BF1"/>
    <w:rsid w:val="00654D03"/>
    <w:rsid w:val="00654F19"/>
    <w:rsid w:val="00654F74"/>
    <w:rsid w:val="00655331"/>
    <w:rsid w:val="00655455"/>
    <w:rsid w:val="006556A8"/>
    <w:rsid w:val="00655842"/>
    <w:rsid w:val="00655863"/>
    <w:rsid w:val="0065589F"/>
    <w:rsid w:val="0065591C"/>
    <w:rsid w:val="00655A3D"/>
    <w:rsid w:val="00655A56"/>
    <w:rsid w:val="00655A5A"/>
    <w:rsid w:val="00655B35"/>
    <w:rsid w:val="00655D6B"/>
    <w:rsid w:val="00655FD7"/>
    <w:rsid w:val="006562FD"/>
    <w:rsid w:val="0065646A"/>
    <w:rsid w:val="006565B7"/>
    <w:rsid w:val="006565E8"/>
    <w:rsid w:val="006566D8"/>
    <w:rsid w:val="0065679E"/>
    <w:rsid w:val="00656BB6"/>
    <w:rsid w:val="00656C9A"/>
    <w:rsid w:val="00656CE6"/>
    <w:rsid w:val="00656CE7"/>
    <w:rsid w:val="00656D49"/>
    <w:rsid w:val="00656DE5"/>
    <w:rsid w:val="00656EF4"/>
    <w:rsid w:val="00656F0C"/>
    <w:rsid w:val="00656F4B"/>
    <w:rsid w:val="00656F95"/>
    <w:rsid w:val="00657046"/>
    <w:rsid w:val="00657074"/>
    <w:rsid w:val="006570AE"/>
    <w:rsid w:val="006570D0"/>
    <w:rsid w:val="006570FE"/>
    <w:rsid w:val="00657143"/>
    <w:rsid w:val="00657185"/>
    <w:rsid w:val="00657193"/>
    <w:rsid w:val="006571AE"/>
    <w:rsid w:val="00657239"/>
    <w:rsid w:val="006574C9"/>
    <w:rsid w:val="006574F3"/>
    <w:rsid w:val="00657563"/>
    <w:rsid w:val="00657654"/>
    <w:rsid w:val="006576A1"/>
    <w:rsid w:val="006577A0"/>
    <w:rsid w:val="00657832"/>
    <w:rsid w:val="006578C0"/>
    <w:rsid w:val="00657916"/>
    <w:rsid w:val="006579F8"/>
    <w:rsid w:val="00657A93"/>
    <w:rsid w:val="00657ABF"/>
    <w:rsid w:val="00657B19"/>
    <w:rsid w:val="00657B97"/>
    <w:rsid w:val="00657CF1"/>
    <w:rsid w:val="00657D07"/>
    <w:rsid w:val="00657D5E"/>
    <w:rsid w:val="00657D8B"/>
    <w:rsid w:val="00657EC1"/>
    <w:rsid w:val="00657ED0"/>
    <w:rsid w:val="0065F8F7"/>
    <w:rsid w:val="00660187"/>
    <w:rsid w:val="00660191"/>
    <w:rsid w:val="0066049B"/>
    <w:rsid w:val="006606AF"/>
    <w:rsid w:val="006606C5"/>
    <w:rsid w:val="00660746"/>
    <w:rsid w:val="006607A4"/>
    <w:rsid w:val="00660848"/>
    <w:rsid w:val="0066096C"/>
    <w:rsid w:val="00660A4B"/>
    <w:rsid w:val="00660AB8"/>
    <w:rsid w:val="00660AE4"/>
    <w:rsid w:val="00660B19"/>
    <w:rsid w:val="00660C20"/>
    <w:rsid w:val="00660C3D"/>
    <w:rsid w:val="00660D16"/>
    <w:rsid w:val="00660E99"/>
    <w:rsid w:val="00660ED3"/>
    <w:rsid w:val="00660FF6"/>
    <w:rsid w:val="006610C4"/>
    <w:rsid w:val="00661187"/>
    <w:rsid w:val="00661274"/>
    <w:rsid w:val="00661347"/>
    <w:rsid w:val="00661365"/>
    <w:rsid w:val="00661420"/>
    <w:rsid w:val="00661450"/>
    <w:rsid w:val="0066163F"/>
    <w:rsid w:val="0066167A"/>
    <w:rsid w:val="0066174D"/>
    <w:rsid w:val="006618B0"/>
    <w:rsid w:val="006618BA"/>
    <w:rsid w:val="00661923"/>
    <w:rsid w:val="00661A55"/>
    <w:rsid w:val="00661A83"/>
    <w:rsid w:val="00661AFC"/>
    <w:rsid w:val="00661B46"/>
    <w:rsid w:val="00661EC2"/>
    <w:rsid w:val="00661EE8"/>
    <w:rsid w:val="006620E6"/>
    <w:rsid w:val="006620F8"/>
    <w:rsid w:val="00662194"/>
    <w:rsid w:val="006621B8"/>
    <w:rsid w:val="006621C9"/>
    <w:rsid w:val="006621FE"/>
    <w:rsid w:val="00662364"/>
    <w:rsid w:val="00662613"/>
    <w:rsid w:val="006628EB"/>
    <w:rsid w:val="00662966"/>
    <w:rsid w:val="00662A03"/>
    <w:rsid w:val="00662A86"/>
    <w:rsid w:val="00662AC4"/>
    <w:rsid w:val="00662B6F"/>
    <w:rsid w:val="00662BD3"/>
    <w:rsid w:val="00662BF3"/>
    <w:rsid w:val="00662C30"/>
    <w:rsid w:val="00662CD0"/>
    <w:rsid w:val="00662CF5"/>
    <w:rsid w:val="00662DC6"/>
    <w:rsid w:val="00662DEC"/>
    <w:rsid w:val="00662E7B"/>
    <w:rsid w:val="00662F11"/>
    <w:rsid w:val="00662F21"/>
    <w:rsid w:val="00662F4F"/>
    <w:rsid w:val="006630F3"/>
    <w:rsid w:val="006630F9"/>
    <w:rsid w:val="006630FA"/>
    <w:rsid w:val="00663133"/>
    <w:rsid w:val="00663165"/>
    <w:rsid w:val="006632CC"/>
    <w:rsid w:val="0066331F"/>
    <w:rsid w:val="00663331"/>
    <w:rsid w:val="00663354"/>
    <w:rsid w:val="00663395"/>
    <w:rsid w:val="0066343E"/>
    <w:rsid w:val="0066349F"/>
    <w:rsid w:val="006634AB"/>
    <w:rsid w:val="00663587"/>
    <w:rsid w:val="00663621"/>
    <w:rsid w:val="0066367E"/>
    <w:rsid w:val="00663714"/>
    <w:rsid w:val="006637F8"/>
    <w:rsid w:val="00663825"/>
    <w:rsid w:val="00663849"/>
    <w:rsid w:val="00663A2A"/>
    <w:rsid w:val="00663B34"/>
    <w:rsid w:val="00663BB8"/>
    <w:rsid w:val="00663BBA"/>
    <w:rsid w:val="00663C0C"/>
    <w:rsid w:val="00663C89"/>
    <w:rsid w:val="00663E3B"/>
    <w:rsid w:val="00663F14"/>
    <w:rsid w:val="00663FCC"/>
    <w:rsid w:val="00663FF3"/>
    <w:rsid w:val="006640B8"/>
    <w:rsid w:val="0066413E"/>
    <w:rsid w:val="006641A0"/>
    <w:rsid w:val="00664254"/>
    <w:rsid w:val="0066431B"/>
    <w:rsid w:val="00664336"/>
    <w:rsid w:val="006643CA"/>
    <w:rsid w:val="0066449B"/>
    <w:rsid w:val="006644B9"/>
    <w:rsid w:val="006644DF"/>
    <w:rsid w:val="006644E3"/>
    <w:rsid w:val="00664761"/>
    <w:rsid w:val="0066476F"/>
    <w:rsid w:val="00664786"/>
    <w:rsid w:val="006647EA"/>
    <w:rsid w:val="006649DD"/>
    <w:rsid w:val="00664AA4"/>
    <w:rsid w:val="00664BB0"/>
    <w:rsid w:val="00664C11"/>
    <w:rsid w:val="00664D0C"/>
    <w:rsid w:val="00664D4A"/>
    <w:rsid w:val="006650DA"/>
    <w:rsid w:val="006652A5"/>
    <w:rsid w:val="006652BA"/>
    <w:rsid w:val="00665306"/>
    <w:rsid w:val="00665650"/>
    <w:rsid w:val="00665674"/>
    <w:rsid w:val="00665961"/>
    <w:rsid w:val="00665999"/>
    <w:rsid w:val="00665A00"/>
    <w:rsid w:val="00665AD4"/>
    <w:rsid w:val="00665AF0"/>
    <w:rsid w:val="00665D2B"/>
    <w:rsid w:val="00665DDA"/>
    <w:rsid w:val="00665E2A"/>
    <w:rsid w:val="00665EB2"/>
    <w:rsid w:val="00665F78"/>
    <w:rsid w:val="00665FE2"/>
    <w:rsid w:val="00666047"/>
    <w:rsid w:val="0066607A"/>
    <w:rsid w:val="00666095"/>
    <w:rsid w:val="006660B8"/>
    <w:rsid w:val="006660E0"/>
    <w:rsid w:val="00666103"/>
    <w:rsid w:val="00666137"/>
    <w:rsid w:val="006662C1"/>
    <w:rsid w:val="006662DE"/>
    <w:rsid w:val="00666306"/>
    <w:rsid w:val="006663AF"/>
    <w:rsid w:val="006663E7"/>
    <w:rsid w:val="00666414"/>
    <w:rsid w:val="00666417"/>
    <w:rsid w:val="006664FA"/>
    <w:rsid w:val="0066654A"/>
    <w:rsid w:val="00666586"/>
    <w:rsid w:val="00666600"/>
    <w:rsid w:val="00666658"/>
    <w:rsid w:val="006666EE"/>
    <w:rsid w:val="0066671F"/>
    <w:rsid w:val="006667CE"/>
    <w:rsid w:val="00666A4D"/>
    <w:rsid w:val="00666A82"/>
    <w:rsid w:val="00666ADE"/>
    <w:rsid w:val="00666C93"/>
    <w:rsid w:val="00666F4D"/>
    <w:rsid w:val="00666FCC"/>
    <w:rsid w:val="00667005"/>
    <w:rsid w:val="00667127"/>
    <w:rsid w:val="006672E2"/>
    <w:rsid w:val="00667320"/>
    <w:rsid w:val="006673F4"/>
    <w:rsid w:val="0066741E"/>
    <w:rsid w:val="00667483"/>
    <w:rsid w:val="0066754F"/>
    <w:rsid w:val="00667564"/>
    <w:rsid w:val="006676CE"/>
    <w:rsid w:val="00667705"/>
    <w:rsid w:val="0066775D"/>
    <w:rsid w:val="006679D4"/>
    <w:rsid w:val="00667A10"/>
    <w:rsid w:val="00667AB9"/>
    <w:rsid w:val="00667B67"/>
    <w:rsid w:val="00667D90"/>
    <w:rsid w:val="00667DCE"/>
    <w:rsid w:val="00667DD8"/>
    <w:rsid w:val="00667E20"/>
    <w:rsid w:val="00667E4A"/>
    <w:rsid w:val="00667FA6"/>
    <w:rsid w:val="0067009D"/>
    <w:rsid w:val="00670128"/>
    <w:rsid w:val="00670276"/>
    <w:rsid w:val="006703CA"/>
    <w:rsid w:val="006703F4"/>
    <w:rsid w:val="006704F8"/>
    <w:rsid w:val="0067052A"/>
    <w:rsid w:val="0067053D"/>
    <w:rsid w:val="00670544"/>
    <w:rsid w:val="006705B1"/>
    <w:rsid w:val="006706D8"/>
    <w:rsid w:val="00670830"/>
    <w:rsid w:val="00670A3B"/>
    <w:rsid w:val="00670B72"/>
    <w:rsid w:val="00670C92"/>
    <w:rsid w:val="00670D78"/>
    <w:rsid w:val="00670E13"/>
    <w:rsid w:val="00670E61"/>
    <w:rsid w:val="00670E65"/>
    <w:rsid w:val="00670EAD"/>
    <w:rsid w:val="00670EAF"/>
    <w:rsid w:val="00670FFC"/>
    <w:rsid w:val="00671043"/>
    <w:rsid w:val="00671071"/>
    <w:rsid w:val="00671088"/>
    <w:rsid w:val="006710FB"/>
    <w:rsid w:val="00671142"/>
    <w:rsid w:val="00671199"/>
    <w:rsid w:val="00671272"/>
    <w:rsid w:val="006712B6"/>
    <w:rsid w:val="00671383"/>
    <w:rsid w:val="00671445"/>
    <w:rsid w:val="00671461"/>
    <w:rsid w:val="0067148E"/>
    <w:rsid w:val="006714BB"/>
    <w:rsid w:val="0067153A"/>
    <w:rsid w:val="0067155A"/>
    <w:rsid w:val="0067163F"/>
    <w:rsid w:val="00671641"/>
    <w:rsid w:val="0067169D"/>
    <w:rsid w:val="006717E0"/>
    <w:rsid w:val="006718E3"/>
    <w:rsid w:val="006718EB"/>
    <w:rsid w:val="0067191A"/>
    <w:rsid w:val="00671951"/>
    <w:rsid w:val="00671A1E"/>
    <w:rsid w:val="00671B14"/>
    <w:rsid w:val="00671BB3"/>
    <w:rsid w:val="00671CE9"/>
    <w:rsid w:val="00671DCE"/>
    <w:rsid w:val="00671F7D"/>
    <w:rsid w:val="0067202A"/>
    <w:rsid w:val="006720D2"/>
    <w:rsid w:val="006724C1"/>
    <w:rsid w:val="00672595"/>
    <w:rsid w:val="00672610"/>
    <w:rsid w:val="0067261E"/>
    <w:rsid w:val="006726B0"/>
    <w:rsid w:val="006726DE"/>
    <w:rsid w:val="0067277D"/>
    <w:rsid w:val="00672916"/>
    <w:rsid w:val="00672917"/>
    <w:rsid w:val="00672934"/>
    <w:rsid w:val="0067293D"/>
    <w:rsid w:val="006729FD"/>
    <w:rsid w:val="00672A59"/>
    <w:rsid w:val="00672AEA"/>
    <w:rsid w:val="00672B6D"/>
    <w:rsid w:val="00672BB8"/>
    <w:rsid w:val="00672BFC"/>
    <w:rsid w:val="00672CE8"/>
    <w:rsid w:val="00672E85"/>
    <w:rsid w:val="00672FDB"/>
    <w:rsid w:val="00673065"/>
    <w:rsid w:val="006730D2"/>
    <w:rsid w:val="0067334D"/>
    <w:rsid w:val="0067348C"/>
    <w:rsid w:val="006734F6"/>
    <w:rsid w:val="0067355F"/>
    <w:rsid w:val="0067359C"/>
    <w:rsid w:val="006735FB"/>
    <w:rsid w:val="00673666"/>
    <w:rsid w:val="006737AA"/>
    <w:rsid w:val="006737EE"/>
    <w:rsid w:val="00673883"/>
    <w:rsid w:val="0067394B"/>
    <w:rsid w:val="0067397E"/>
    <w:rsid w:val="006739B4"/>
    <w:rsid w:val="00673A98"/>
    <w:rsid w:val="00673B72"/>
    <w:rsid w:val="00673D22"/>
    <w:rsid w:val="00673DBC"/>
    <w:rsid w:val="00673E3D"/>
    <w:rsid w:val="00673EC5"/>
    <w:rsid w:val="0067409F"/>
    <w:rsid w:val="00674141"/>
    <w:rsid w:val="00674184"/>
    <w:rsid w:val="00674244"/>
    <w:rsid w:val="006742F4"/>
    <w:rsid w:val="006743D2"/>
    <w:rsid w:val="00674468"/>
    <w:rsid w:val="006744BE"/>
    <w:rsid w:val="006745A0"/>
    <w:rsid w:val="00674626"/>
    <w:rsid w:val="0067491C"/>
    <w:rsid w:val="0067496A"/>
    <w:rsid w:val="00674C41"/>
    <w:rsid w:val="00674DAC"/>
    <w:rsid w:val="00674EA9"/>
    <w:rsid w:val="00674EED"/>
    <w:rsid w:val="00674F4A"/>
    <w:rsid w:val="00674FE6"/>
    <w:rsid w:val="00675079"/>
    <w:rsid w:val="006750BC"/>
    <w:rsid w:val="0067512C"/>
    <w:rsid w:val="00675226"/>
    <w:rsid w:val="00675265"/>
    <w:rsid w:val="006753BB"/>
    <w:rsid w:val="006754AF"/>
    <w:rsid w:val="0067553E"/>
    <w:rsid w:val="0067559D"/>
    <w:rsid w:val="0067565D"/>
    <w:rsid w:val="0067566B"/>
    <w:rsid w:val="0067567C"/>
    <w:rsid w:val="006756AF"/>
    <w:rsid w:val="006756D0"/>
    <w:rsid w:val="006758B4"/>
    <w:rsid w:val="00675960"/>
    <w:rsid w:val="006759FE"/>
    <w:rsid w:val="00675B87"/>
    <w:rsid w:val="00675B8E"/>
    <w:rsid w:val="00675BDE"/>
    <w:rsid w:val="00675BF0"/>
    <w:rsid w:val="00675C43"/>
    <w:rsid w:val="00675CC7"/>
    <w:rsid w:val="00675CDD"/>
    <w:rsid w:val="00675D56"/>
    <w:rsid w:val="00675D5A"/>
    <w:rsid w:val="00675EEC"/>
    <w:rsid w:val="00676013"/>
    <w:rsid w:val="00676035"/>
    <w:rsid w:val="00676072"/>
    <w:rsid w:val="006760C2"/>
    <w:rsid w:val="006760C6"/>
    <w:rsid w:val="0067624C"/>
    <w:rsid w:val="0067632B"/>
    <w:rsid w:val="00676351"/>
    <w:rsid w:val="0067659A"/>
    <w:rsid w:val="00676631"/>
    <w:rsid w:val="00676800"/>
    <w:rsid w:val="00676814"/>
    <w:rsid w:val="00676847"/>
    <w:rsid w:val="00676979"/>
    <w:rsid w:val="00676A4B"/>
    <w:rsid w:val="00676B61"/>
    <w:rsid w:val="00676C4B"/>
    <w:rsid w:val="00676C4E"/>
    <w:rsid w:val="00676D61"/>
    <w:rsid w:val="00676D6A"/>
    <w:rsid w:val="00676EB5"/>
    <w:rsid w:val="00676EB9"/>
    <w:rsid w:val="00676EBC"/>
    <w:rsid w:val="00676EBF"/>
    <w:rsid w:val="00677036"/>
    <w:rsid w:val="00677112"/>
    <w:rsid w:val="00677135"/>
    <w:rsid w:val="00677185"/>
    <w:rsid w:val="006775AC"/>
    <w:rsid w:val="006775BD"/>
    <w:rsid w:val="0067760C"/>
    <w:rsid w:val="00677635"/>
    <w:rsid w:val="0067775E"/>
    <w:rsid w:val="006777BF"/>
    <w:rsid w:val="006777EF"/>
    <w:rsid w:val="006777FC"/>
    <w:rsid w:val="0067787D"/>
    <w:rsid w:val="00677C56"/>
    <w:rsid w:val="00677C69"/>
    <w:rsid w:val="00677D25"/>
    <w:rsid w:val="00677D49"/>
    <w:rsid w:val="00677E7F"/>
    <w:rsid w:val="00677EEA"/>
    <w:rsid w:val="00677F25"/>
    <w:rsid w:val="00677F36"/>
    <w:rsid w:val="006802D3"/>
    <w:rsid w:val="006803A9"/>
    <w:rsid w:val="00680602"/>
    <w:rsid w:val="0068072E"/>
    <w:rsid w:val="006809F3"/>
    <w:rsid w:val="006809F9"/>
    <w:rsid w:val="00680A95"/>
    <w:rsid w:val="00680BE6"/>
    <w:rsid w:val="00680BF2"/>
    <w:rsid w:val="00680CC8"/>
    <w:rsid w:val="00680CCB"/>
    <w:rsid w:val="00680D37"/>
    <w:rsid w:val="00680DC5"/>
    <w:rsid w:val="00680DE3"/>
    <w:rsid w:val="00680F3D"/>
    <w:rsid w:val="00681062"/>
    <w:rsid w:val="00681307"/>
    <w:rsid w:val="006813E7"/>
    <w:rsid w:val="006814B1"/>
    <w:rsid w:val="006814E1"/>
    <w:rsid w:val="0068161E"/>
    <w:rsid w:val="0068168B"/>
    <w:rsid w:val="0068176F"/>
    <w:rsid w:val="00681771"/>
    <w:rsid w:val="006818B2"/>
    <w:rsid w:val="006818B3"/>
    <w:rsid w:val="00681AEF"/>
    <w:rsid w:val="00681BE4"/>
    <w:rsid w:val="00681C22"/>
    <w:rsid w:val="00681CD9"/>
    <w:rsid w:val="00681D4F"/>
    <w:rsid w:val="00681E0A"/>
    <w:rsid w:val="00681E26"/>
    <w:rsid w:val="00681EAE"/>
    <w:rsid w:val="00682168"/>
    <w:rsid w:val="0068229F"/>
    <w:rsid w:val="006822D0"/>
    <w:rsid w:val="006823DB"/>
    <w:rsid w:val="00682460"/>
    <w:rsid w:val="00682503"/>
    <w:rsid w:val="00682590"/>
    <w:rsid w:val="006825D4"/>
    <w:rsid w:val="00682899"/>
    <w:rsid w:val="00682950"/>
    <w:rsid w:val="00682B7C"/>
    <w:rsid w:val="00682C20"/>
    <w:rsid w:val="00682C23"/>
    <w:rsid w:val="00682C9D"/>
    <w:rsid w:val="00682D5A"/>
    <w:rsid w:val="00682D73"/>
    <w:rsid w:val="00682E41"/>
    <w:rsid w:val="00682F1C"/>
    <w:rsid w:val="00683016"/>
    <w:rsid w:val="00683017"/>
    <w:rsid w:val="0068316A"/>
    <w:rsid w:val="006831BF"/>
    <w:rsid w:val="0068335A"/>
    <w:rsid w:val="006833BB"/>
    <w:rsid w:val="00683465"/>
    <w:rsid w:val="00683474"/>
    <w:rsid w:val="0068362A"/>
    <w:rsid w:val="0068367F"/>
    <w:rsid w:val="00683727"/>
    <w:rsid w:val="006837F6"/>
    <w:rsid w:val="0068392B"/>
    <w:rsid w:val="00683AB9"/>
    <w:rsid w:val="00683B27"/>
    <w:rsid w:val="00683B9F"/>
    <w:rsid w:val="00683C25"/>
    <w:rsid w:val="00683D08"/>
    <w:rsid w:val="00683D5E"/>
    <w:rsid w:val="00683F56"/>
    <w:rsid w:val="00683F7F"/>
    <w:rsid w:val="0068405C"/>
    <w:rsid w:val="00684200"/>
    <w:rsid w:val="00684460"/>
    <w:rsid w:val="00684509"/>
    <w:rsid w:val="006846AD"/>
    <w:rsid w:val="00684732"/>
    <w:rsid w:val="006847EF"/>
    <w:rsid w:val="006847F9"/>
    <w:rsid w:val="0068483A"/>
    <w:rsid w:val="006848A3"/>
    <w:rsid w:val="00684956"/>
    <w:rsid w:val="006849D5"/>
    <w:rsid w:val="00684ACD"/>
    <w:rsid w:val="00684AE5"/>
    <w:rsid w:val="00684C35"/>
    <w:rsid w:val="00684D5B"/>
    <w:rsid w:val="00684E3D"/>
    <w:rsid w:val="00685066"/>
    <w:rsid w:val="006850BF"/>
    <w:rsid w:val="006850C7"/>
    <w:rsid w:val="0068510B"/>
    <w:rsid w:val="006855A8"/>
    <w:rsid w:val="006855D7"/>
    <w:rsid w:val="006856A0"/>
    <w:rsid w:val="0068579D"/>
    <w:rsid w:val="006857E5"/>
    <w:rsid w:val="0068587A"/>
    <w:rsid w:val="006858A4"/>
    <w:rsid w:val="00685A39"/>
    <w:rsid w:val="00685ACF"/>
    <w:rsid w:val="00685AF1"/>
    <w:rsid w:val="00685CAF"/>
    <w:rsid w:val="00685CCC"/>
    <w:rsid w:val="00685D1A"/>
    <w:rsid w:val="00685D44"/>
    <w:rsid w:val="00685D78"/>
    <w:rsid w:val="00685D91"/>
    <w:rsid w:val="00685DEE"/>
    <w:rsid w:val="00685E1D"/>
    <w:rsid w:val="00686130"/>
    <w:rsid w:val="00686135"/>
    <w:rsid w:val="006861F9"/>
    <w:rsid w:val="00686209"/>
    <w:rsid w:val="00686455"/>
    <w:rsid w:val="006864B9"/>
    <w:rsid w:val="006865C2"/>
    <w:rsid w:val="006865E0"/>
    <w:rsid w:val="00686605"/>
    <w:rsid w:val="0068673D"/>
    <w:rsid w:val="00686762"/>
    <w:rsid w:val="00686828"/>
    <w:rsid w:val="0068682B"/>
    <w:rsid w:val="00686A2D"/>
    <w:rsid w:val="00686AEB"/>
    <w:rsid w:val="00686B33"/>
    <w:rsid w:val="00686D99"/>
    <w:rsid w:val="00686DB3"/>
    <w:rsid w:val="00686E42"/>
    <w:rsid w:val="00686EEF"/>
    <w:rsid w:val="00686F12"/>
    <w:rsid w:val="00686F5E"/>
    <w:rsid w:val="00686F64"/>
    <w:rsid w:val="00687021"/>
    <w:rsid w:val="006871A0"/>
    <w:rsid w:val="00687206"/>
    <w:rsid w:val="00687278"/>
    <w:rsid w:val="006874C6"/>
    <w:rsid w:val="00687535"/>
    <w:rsid w:val="0068761A"/>
    <w:rsid w:val="006879C2"/>
    <w:rsid w:val="00687B0D"/>
    <w:rsid w:val="00687C08"/>
    <w:rsid w:val="00687E46"/>
    <w:rsid w:val="00687E60"/>
    <w:rsid w:val="00687FB7"/>
    <w:rsid w:val="00690044"/>
    <w:rsid w:val="00690139"/>
    <w:rsid w:val="006901AD"/>
    <w:rsid w:val="0069024E"/>
    <w:rsid w:val="00690369"/>
    <w:rsid w:val="0069037B"/>
    <w:rsid w:val="00690480"/>
    <w:rsid w:val="006905FB"/>
    <w:rsid w:val="006905FE"/>
    <w:rsid w:val="006906B4"/>
    <w:rsid w:val="00690702"/>
    <w:rsid w:val="0069074A"/>
    <w:rsid w:val="00690760"/>
    <w:rsid w:val="00690A53"/>
    <w:rsid w:val="00690BFB"/>
    <w:rsid w:val="00690CB3"/>
    <w:rsid w:val="00690D0E"/>
    <w:rsid w:val="00690E1B"/>
    <w:rsid w:val="00690E4C"/>
    <w:rsid w:val="00690FF8"/>
    <w:rsid w:val="00690FFA"/>
    <w:rsid w:val="0069107E"/>
    <w:rsid w:val="0069115D"/>
    <w:rsid w:val="00691197"/>
    <w:rsid w:val="006912CB"/>
    <w:rsid w:val="00691313"/>
    <w:rsid w:val="006913D1"/>
    <w:rsid w:val="0069144D"/>
    <w:rsid w:val="00691475"/>
    <w:rsid w:val="006914B8"/>
    <w:rsid w:val="00691510"/>
    <w:rsid w:val="00691A37"/>
    <w:rsid w:val="00691B33"/>
    <w:rsid w:val="00691B64"/>
    <w:rsid w:val="00691D0B"/>
    <w:rsid w:val="00691DF1"/>
    <w:rsid w:val="00691E80"/>
    <w:rsid w:val="00691F30"/>
    <w:rsid w:val="00691F34"/>
    <w:rsid w:val="00691F76"/>
    <w:rsid w:val="00691FB4"/>
    <w:rsid w:val="006921ED"/>
    <w:rsid w:val="00692200"/>
    <w:rsid w:val="006922F0"/>
    <w:rsid w:val="0069237D"/>
    <w:rsid w:val="006924BF"/>
    <w:rsid w:val="0069252A"/>
    <w:rsid w:val="00692548"/>
    <w:rsid w:val="0069257B"/>
    <w:rsid w:val="0069268A"/>
    <w:rsid w:val="0069269B"/>
    <w:rsid w:val="006926ED"/>
    <w:rsid w:val="00692715"/>
    <w:rsid w:val="00692752"/>
    <w:rsid w:val="00692754"/>
    <w:rsid w:val="00692848"/>
    <w:rsid w:val="00692909"/>
    <w:rsid w:val="00692987"/>
    <w:rsid w:val="006929AB"/>
    <w:rsid w:val="006929AD"/>
    <w:rsid w:val="00692A66"/>
    <w:rsid w:val="00692C50"/>
    <w:rsid w:val="00692C75"/>
    <w:rsid w:val="00692D44"/>
    <w:rsid w:val="00692D4D"/>
    <w:rsid w:val="00692D5F"/>
    <w:rsid w:val="00692F01"/>
    <w:rsid w:val="00692F5D"/>
    <w:rsid w:val="00693059"/>
    <w:rsid w:val="006930C3"/>
    <w:rsid w:val="0069318C"/>
    <w:rsid w:val="006931D2"/>
    <w:rsid w:val="00693214"/>
    <w:rsid w:val="006933A9"/>
    <w:rsid w:val="0069350D"/>
    <w:rsid w:val="0069356D"/>
    <w:rsid w:val="006935AB"/>
    <w:rsid w:val="006935D8"/>
    <w:rsid w:val="006935EC"/>
    <w:rsid w:val="006936AC"/>
    <w:rsid w:val="0069372E"/>
    <w:rsid w:val="00693790"/>
    <w:rsid w:val="006937AD"/>
    <w:rsid w:val="00693858"/>
    <w:rsid w:val="00693B28"/>
    <w:rsid w:val="00693B94"/>
    <w:rsid w:val="00693C48"/>
    <w:rsid w:val="00693CAD"/>
    <w:rsid w:val="00693CE5"/>
    <w:rsid w:val="00693E65"/>
    <w:rsid w:val="00693EDB"/>
    <w:rsid w:val="00693F18"/>
    <w:rsid w:val="00693F1C"/>
    <w:rsid w:val="00693FE9"/>
    <w:rsid w:val="00694156"/>
    <w:rsid w:val="006941BA"/>
    <w:rsid w:val="00694278"/>
    <w:rsid w:val="0069428C"/>
    <w:rsid w:val="00694301"/>
    <w:rsid w:val="00694325"/>
    <w:rsid w:val="00694365"/>
    <w:rsid w:val="00694380"/>
    <w:rsid w:val="00694387"/>
    <w:rsid w:val="006944EA"/>
    <w:rsid w:val="0069466A"/>
    <w:rsid w:val="00694766"/>
    <w:rsid w:val="006948E3"/>
    <w:rsid w:val="006948EB"/>
    <w:rsid w:val="00694997"/>
    <w:rsid w:val="006949F5"/>
    <w:rsid w:val="00694B49"/>
    <w:rsid w:val="00694B4E"/>
    <w:rsid w:val="00694B8A"/>
    <w:rsid w:val="00694C6E"/>
    <w:rsid w:val="00694D43"/>
    <w:rsid w:val="00694DC5"/>
    <w:rsid w:val="00694E2F"/>
    <w:rsid w:val="00694F4A"/>
    <w:rsid w:val="00694F57"/>
    <w:rsid w:val="00694FB4"/>
    <w:rsid w:val="0069505A"/>
    <w:rsid w:val="0069506E"/>
    <w:rsid w:val="00695135"/>
    <w:rsid w:val="00695145"/>
    <w:rsid w:val="0069514E"/>
    <w:rsid w:val="00695185"/>
    <w:rsid w:val="00695282"/>
    <w:rsid w:val="00695499"/>
    <w:rsid w:val="00695502"/>
    <w:rsid w:val="00695585"/>
    <w:rsid w:val="006957CF"/>
    <w:rsid w:val="00695885"/>
    <w:rsid w:val="00695B8B"/>
    <w:rsid w:val="00695CCA"/>
    <w:rsid w:val="00695E08"/>
    <w:rsid w:val="00695E9D"/>
    <w:rsid w:val="00695FBC"/>
    <w:rsid w:val="00695FC2"/>
    <w:rsid w:val="00696062"/>
    <w:rsid w:val="006960FB"/>
    <w:rsid w:val="00696124"/>
    <w:rsid w:val="006962A7"/>
    <w:rsid w:val="0069636C"/>
    <w:rsid w:val="0069636F"/>
    <w:rsid w:val="006963EC"/>
    <w:rsid w:val="006963FD"/>
    <w:rsid w:val="00696645"/>
    <w:rsid w:val="006967BC"/>
    <w:rsid w:val="00696858"/>
    <w:rsid w:val="00696862"/>
    <w:rsid w:val="00696963"/>
    <w:rsid w:val="00696A05"/>
    <w:rsid w:val="00696A10"/>
    <w:rsid w:val="00696B2D"/>
    <w:rsid w:val="00696B96"/>
    <w:rsid w:val="00696BBE"/>
    <w:rsid w:val="00696C4C"/>
    <w:rsid w:val="00696D11"/>
    <w:rsid w:val="00696D32"/>
    <w:rsid w:val="00696E19"/>
    <w:rsid w:val="00696E32"/>
    <w:rsid w:val="00696E43"/>
    <w:rsid w:val="00696EA3"/>
    <w:rsid w:val="00696F3C"/>
    <w:rsid w:val="00696F75"/>
    <w:rsid w:val="006973E3"/>
    <w:rsid w:val="00697507"/>
    <w:rsid w:val="00697532"/>
    <w:rsid w:val="006975BE"/>
    <w:rsid w:val="006976FA"/>
    <w:rsid w:val="00697746"/>
    <w:rsid w:val="00697787"/>
    <w:rsid w:val="006978E1"/>
    <w:rsid w:val="0069791D"/>
    <w:rsid w:val="006979C1"/>
    <w:rsid w:val="00697A28"/>
    <w:rsid w:val="00697AA5"/>
    <w:rsid w:val="00697B34"/>
    <w:rsid w:val="00697C2D"/>
    <w:rsid w:val="00697C9A"/>
    <w:rsid w:val="00697E71"/>
    <w:rsid w:val="00697F6F"/>
    <w:rsid w:val="006A000A"/>
    <w:rsid w:val="006A001A"/>
    <w:rsid w:val="006A0047"/>
    <w:rsid w:val="006A007A"/>
    <w:rsid w:val="006A03EE"/>
    <w:rsid w:val="006A0544"/>
    <w:rsid w:val="006A056A"/>
    <w:rsid w:val="006A0584"/>
    <w:rsid w:val="006A062D"/>
    <w:rsid w:val="006A0669"/>
    <w:rsid w:val="006A06BE"/>
    <w:rsid w:val="006A06F3"/>
    <w:rsid w:val="006A074B"/>
    <w:rsid w:val="006A083F"/>
    <w:rsid w:val="006A0844"/>
    <w:rsid w:val="006A0847"/>
    <w:rsid w:val="006A0879"/>
    <w:rsid w:val="006A0898"/>
    <w:rsid w:val="006A08A4"/>
    <w:rsid w:val="006A08B8"/>
    <w:rsid w:val="006A09C1"/>
    <w:rsid w:val="006A0B55"/>
    <w:rsid w:val="006A0C05"/>
    <w:rsid w:val="006A0C9D"/>
    <w:rsid w:val="006A0CFC"/>
    <w:rsid w:val="006A0D31"/>
    <w:rsid w:val="006A0ECA"/>
    <w:rsid w:val="006A0F4B"/>
    <w:rsid w:val="006A107F"/>
    <w:rsid w:val="006A11A0"/>
    <w:rsid w:val="006A1245"/>
    <w:rsid w:val="006A1255"/>
    <w:rsid w:val="006A13BC"/>
    <w:rsid w:val="006A14E9"/>
    <w:rsid w:val="006A16B6"/>
    <w:rsid w:val="006A1849"/>
    <w:rsid w:val="006A1908"/>
    <w:rsid w:val="006A1991"/>
    <w:rsid w:val="006A1AF3"/>
    <w:rsid w:val="006A1BF6"/>
    <w:rsid w:val="006A1E51"/>
    <w:rsid w:val="006A1E97"/>
    <w:rsid w:val="006A1EC6"/>
    <w:rsid w:val="006A1F5E"/>
    <w:rsid w:val="006A2058"/>
    <w:rsid w:val="006A20F5"/>
    <w:rsid w:val="006A2232"/>
    <w:rsid w:val="006A23CE"/>
    <w:rsid w:val="006A2545"/>
    <w:rsid w:val="006A257E"/>
    <w:rsid w:val="006A2640"/>
    <w:rsid w:val="006A27EA"/>
    <w:rsid w:val="006A27F2"/>
    <w:rsid w:val="006A2886"/>
    <w:rsid w:val="006A298C"/>
    <w:rsid w:val="006A29C3"/>
    <w:rsid w:val="006A2B8B"/>
    <w:rsid w:val="006A2CC9"/>
    <w:rsid w:val="006A2D2B"/>
    <w:rsid w:val="006A2DC5"/>
    <w:rsid w:val="006A2F66"/>
    <w:rsid w:val="006A2F72"/>
    <w:rsid w:val="006A2F76"/>
    <w:rsid w:val="006A318E"/>
    <w:rsid w:val="006A335B"/>
    <w:rsid w:val="006A3362"/>
    <w:rsid w:val="006A344D"/>
    <w:rsid w:val="006A345E"/>
    <w:rsid w:val="006A34A7"/>
    <w:rsid w:val="006A3527"/>
    <w:rsid w:val="006A363C"/>
    <w:rsid w:val="006A387F"/>
    <w:rsid w:val="006A38B9"/>
    <w:rsid w:val="006A3975"/>
    <w:rsid w:val="006A3B01"/>
    <w:rsid w:val="006A3C44"/>
    <w:rsid w:val="006A3D03"/>
    <w:rsid w:val="006A3D97"/>
    <w:rsid w:val="006A40FD"/>
    <w:rsid w:val="006A41FF"/>
    <w:rsid w:val="006A426D"/>
    <w:rsid w:val="006A4486"/>
    <w:rsid w:val="006A465D"/>
    <w:rsid w:val="006A46E9"/>
    <w:rsid w:val="006A47D4"/>
    <w:rsid w:val="006A4866"/>
    <w:rsid w:val="006A49CF"/>
    <w:rsid w:val="006A4A56"/>
    <w:rsid w:val="006A4AA7"/>
    <w:rsid w:val="006A4BB8"/>
    <w:rsid w:val="006A4D30"/>
    <w:rsid w:val="006A4D5E"/>
    <w:rsid w:val="006A4DC4"/>
    <w:rsid w:val="006A4DEB"/>
    <w:rsid w:val="006A4DEE"/>
    <w:rsid w:val="006A4DF1"/>
    <w:rsid w:val="006A4EA9"/>
    <w:rsid w:val="006A4F40"/>
    <w:rsid w:val="006A4F90"/>
    <w:rsid w:val="006A5021"/>
    <w:rsid w:val="006A50B8"/>
    <w:rsid w:val="006A50ED"/>
    <w:rsid w:val="006A5225"/>
    <w:rsid w:val="006A54E1"/>
    <w:rsid w:val="006A551B"/>
    <w:rsid w:val="006A551F"/>
    <w:rsid w:val="006A5525"/>
    <w:rsid w:val="006A5552"/>
    <w:rsid w:val="006A5585"/>
    <w:rsid w:val="006A5590"/>
    <w:rsid w:val="006A55DD"/>
    <w:rsid w:val="006A5776"/>
    <w:rsid w:val="006A5783"/>
    <w:rsid w:val="006A57D0"/>
    <w:rsid w:val="006A58BA"/>
    <w:rsid w:val="006A5BA7"/>
    <w:rsid w:val="006A6036"/>
    <w:rsid w:val="006A603E"/>
    <w:rsid w:val="006A605C"/>
    <w:rsid w:val="006A6076"/>
    <w:rsid w:val="006A6088"/>
    <w:rsid w:val="006A60CA"/>
    <w:rsid w:val="006A60CC"/>
    <w:rsid w:val="006A610C"/>
    <w:rsid w:val="006A612A"/>
    <w:rsid w:val="006A6180"/>
    <w:rsid w:val="006A6403"/>
    <w:rsid w:val="006A6797"/>
    <w:rsid w:val="006A6839"/>
    <w:rsid w:val="006A68E9"/>
    <w:rsid w:val="006A6908"/>
    <w:rsid w:val="006A6976"/>
    <w:rsid w:val="006A6989"/>
    <w:rsid w:val="006A6A21"/>
    <w:rsid w:val="006A6AC6"/>
    <w:rsid w:val="006A6C55"/>
    <w:rsid w:val="006A6C9D"/>
    <w:rsid w:val="006A6C9F"/>
    <w:rsid w:val="006A6D46"/>
    <w:rsid w:val="006A6F92"/>
    <w:rsid w:val="006A6F9C"/>
    <w:rsid w:val="006A6FC7"/>
    <w:rsid w:val="006A6FDF"/>
    <w:rsid w:val="006A7090"/>
    <w:rsid w:val="006A7192"/>
    <w:rsid w:val="006A720B"/>
    <w:rsid w:val="006A7258"/>
    <w:rsid w:val="006A72F0"/>
    <w:rsid w:val="006A7366"/>
    <w:rsid w:val="006A7488"/>
    <w:rsid w:val="006A74AB"/>
    <w:rsid w:val="006A74E0"/>
    <w:rsid w:val="006A7773"/>
    <w:rsid w:val="006A7825"/>
    <w:rsid w:val="006A798B"/>
    <w:rsid w:val="006A799A"/>
    <w:rsid w:val="006A7AA5"/>
    <w:rsid w:val="006A7AF3"/>
    <w:rsid w:val="006A7B16"/>
    <w:rsid w:val="006A7B47"/>
    <w:rsid w:val="006A7C03"/>
    <w:rsid w:val="006A7CB8"/>
    <w:rsid w:val="006A7CCE"/>
    <w:rsid w:val="006A7CE3"/>
    <w:rsid w:val="006A7D19"/>
    <w:rsid w:val="006A7DC6"/>
    <w:rsid w:val="006A7E24"/>
    <w:rsid w:val="006A7E33"/>
    <w:rsid w:val="006A7E48"/>
    <w:rsid w:val="006A7E5E"/>
    <w:rsid w:val="006A7EB6"/>
    <w:rsid w:val="006B0059"/>
    <w:rsid w:val="006B00B9"/>
    <w:rsid w:val="006B00ED"/>
    <w:rsid w:val="006B0104"/>
    <w:rsid w:val="006B0192"/>
    <w:rsid w:val="006B01A7"/>
    <w:rsid w:val="006B0371"/>
    <w:rsid w:val="006B0390"/>
    <w:rsid w:val="006B03E5"/>
    <w:rsid w:val="006B041C"/>
    <w:rsid w:val="006B0450"/>
    <w:rsid w:val="006B051E"/>
    <w:rsid w:val="006B0609"/>
    <w:rsid w:val="006B08AA"/>
    <w:rsid w:val="006B08F9"/>
    <w:rsid w:val="006B095F"/>
    <w:rsid w:val="006B09E6"/>
    <w:rsid w:val="006B0A0B"/>
    <w:rsid w:val="006B0BB0"/>
    <w:rsid w:val="006B0C7E"/>
    <w:rsid w:val="006B0E20"/>
    <w:rsid w:val="006B0EA1"/>
    <w:rsid w:val="006B0F07"/>
    <w:rsid w:val="006B0F3F"/>
    <w:rsid w:val="006B0F46"/>
    <w:rsid w:val="006B0FEE"/>
    <w:rsid w:val="006B10AD"/>
    <w:rsid w:val="006B111A"/>
    <w:rsid w:val="006B11D7"/>
    <w:rsid w:val="006B120F"/>
    <w:rsid w:val="006B1374"/>
    <w:rsid w:val="006B13AF"/>
    <w:rsid w:val="006B13EB"/>
    <w:rsid w:val="006B1400"/>
    <w:rsid w:val="006B164B"/>
    <w:rsid w:val="006B16EA"/>
    <w:rsid w:val="006B17CD"/>
    <w:rsid w:val="006B1801"/>
    <w:rsid w:val="006B1992"/>
    <w:rsid w:val="006B19E4"/>
    <w:rsid w:val="006B1AE8"/>
    <w:rsid w:val="006B1B52"/>
    <w:rsid w:val="006B1B88"/>
    <w:rsid w:val="006B1C10"/>
    <w:rsid w:val="006B1C1C"/>
    <w:rsid w:val="006B1C38"/>
    <w:rsid w:val="006B2077"/>
    <w:rsid w:val="006B2117"/>
    <w:rsid w:val="006B22F6"/>
    <w:rsid w:val="006B2435"/>
    <w:rsid w:val="006B2572"/>
    <w:rsid w:val="006B263C"/>
    <w:rsid w:val="006B2669"/>
    <w:rsid w:val="006B2690"/>
    <w:rsid w:val="006B27C1"/>
    <w:rsid w:val="006B2868"/>
    <w:rsid w:val="006B2A56"/>
    <w:rsid w:val="006B2CDB"/>
    <w:rsid w:val="006B2F07"/>
    <w:rsid w:val="006B30E7"/>
    <w:rsid w:val="006B3318"/>
    <w:rsid w:val="006B345F"/>
    <w:rsid w:val="006B3464"/>
    <w:rsid w:val="006B34AC"/>
    <w:rsid w:val="006B36C7"/>
    <w:rsid w:val="006B3712"/>
    <w:rsid w:val="006B3746"/>
    <w:rsid w:val="006B3772"/>
    <w:rsid w:val="006B3782"/>
    <w:rsid w:val="006B389F"/>
    <w:rsid w:val="006B38BA"/>
    <w:rsid w:val="006B38EA"/>
    <w:rsid w:val="006B39AD"/>
    <w:rsid w:val="006B3A15"/>
    <w:rsid w:val="006B3B78"/>
    <w:rsid w:val="006B3BD8"/>
    <w:rsid w:val="006B3D13"/>
    <w:rsid w:val="006B3D39"/>
    <w:rsid w:val="006B3D6B"/>
    <w:rsid w:val="006B3DA3"/>
    <w:rsid w:val="006B3F06"/>
    <w:rsid w:val="006B3F17"/>
    <w:rsid w:val="006B3FBC"/>
    <w:rsid w:val="006B4033"/>
    <w:rsid w:val="006B4048"/>
    <w:rsid w:val="006B40E9"/>
    <w:rsid w:val="006B4169"/>
    <w:rsid w:val="006B4355"/>
    <w:rsid w:val="006B4376"/>
    <w:rsid w:val="006B4419"/>
    <w:rsid w:val="006B4492"/>
    <w:rsid w:val="006B4508"/>
    <w:rsid w:val="006B452E"/>
    <w:rsid w:val="006B4539"/>
    <w:rsid w:val="006B4595"/>
    <w:rsid w:val="006B4688"/>
    <w:rsid w:val="006B4702"/>
    <w:rsid w:val="006B479C"/>
    <w:rsid w:val="006B488A"/>
    <w:rsid w:val="006B48C7"/>
    <w:rsid w:val="006B492A"/>
    <w:rsid w:val="006B4A12"/>
    <w:rsid w:val="006B4A17"/>
    <w:rsid w:val="006B4A2F"/>
    <w:rsid w:val="006B4A62"/>
    <w:rsid w:val="006B4C7D"/>
    <w:rsid w:val="006B4DA3"/>
    <w:rsid w:val="006B4DFF"/>
    <w:rsid w:val="006B4EC8"/>
    <w:rsid w:val="006B4F28"/>
    <w:rsid w:val="006B50A5"/>
    <w:rsid w:val="006B5161"/>
    <w:rsid w:val="006B5230"/>
    <w:rsid w:val="006B5311"/>
    <w:rsid w:val="006B54BD"/>
    <w:rsid w:val="006B567E"/>
    <w:rsid w:val="006B56FE"/>
    <w:rsid w:val="006B5730"/>
    <w:rsid w:val="006B5777"/>
    <w:rsid w:val="006B58CD"/>
    <w:rsid w:val="006B58E9"/>
    <w:rsid w:val="006B591E"/>
    <w:rsid w:val="006B59DB"/>
    <w:rsid w:val="006B5A77"/>
    <w:rsid w:val="006B5B03"/>
    <w:rsid w:val="006B5B8F"/>
    <w:rsid w:val="006B5C21"/>
    <w:rsid w:val="006B5C23"/>
    <w:rsid w:val="006B5C2B"/>
    <w:rsid w:val="006B5C51"/>
    <w:rsid w:val="006B5FD0"/>
    <w:rsid w:val="006B6004"/>
    <w:rsid w:val="006B60A2"/>
    <w:rsid w:val="006B618B"/>
    <w:rsid w:val="006B61C1"/>
    <w:rsid w:val="006B6262"/>
    <w:rsid w:val="006B6287"/>
    <w:rsid w:val="006B62DA"/>
    <w:rsid w:val="006B6330"/>
    <w:rsid w:val="006B6344"/>
    <w:rsid w:val="006B634C"/>
    <w:rsid w:val="006B63FD"/>
    <w:rsid w:val="006B64E4"/>
    <w:rsid w:val="006B65B7"/>
    <w:rsid w:val="006B65C6"/>
    <w:rsid w:val="006B668C"/>
    <w:rsid w:val="006B669E"/>
    <w:rsid w:val="006B66D5"/>
    <w:rsid w:val="006B682F"/>
    <w:rsid w:val="006B6874"/>
    <w:rsid w:val="006B6A01"/>
    <w:rsid w:val="006B6AFD"/>
    <w:rsid w:val="006B6B44"/>
    <w:rsid w:val="006B6C98"/>
    <w:rsid w:val="006B6E1F"/>
    <w:rsid w:val="006B6E7C"/>
    <w:rsid w:val="006B6EB0"/>
    <w:rsid w:val="006B6EB2"/>
    <w:rsid w:val="006B6FFC"/>
    <w:rsid w:val="006B7016"/>
    <w:rsid w:val="006B7126"/>
    <w:rsid w:val="006B7161"/>
    <w:rsid w:val="006B72D2"/>
    <w:rsid w:val="006B73C4"/>
    <w:rsid w:val="006B73F6"/>
    <w:rsid w:val="006B7619"/>
    <w:rsid w:val="006B76BC"/>
    <w:rsid w:val="006B7706"/>
    <w:rsid w:val="006B7823"/>
    <w:rsid w:val="006B7844"/>
    <w:rsid w:val="006B79C5"/>
    <w:rsid w:val="006B7A7D"/>
    <w:rsid w:val="006B7AD1"/>
    <w:rsid w:val="006B7BFF"/>
    <w:rsid w:val="006B7E4E"/>
    <w:rsid w:val="006B7F73"/>
    <w:rsid w:val="006B7FB7"/>
    <w:rsid w:val="006C0016"/>
    <w:rsid w:val="006C00AF"/>
    <w:rsid w:val="006C011C"/>
    <w:rsid w:val="006C0121"/>
    <w:rsid w:val="006C01A7"/>
    <w:rsid w:val="006C01E2"/>
    <w:rsid w:val="006C020E"/>
    <w:rsid w:val="006C0252"/>
    <w:rsid w:val="006C02A1"/>
    <w:rsid w:val="006C0487"/>
    <w:rsid w:val="006C0737"/>
    <w:rsid w:val="006C08BC"/>
    <w:rsid w:val="006C0A58"/>
    <w:rsid w:val="006C0A8D"/>
    <w:rsid w:val="006C0B4E"/>
    <w:rsid w:val="006C0C4A"/>
    <w:rsid w:val="006C0CD6"/>
    <w:rsid w:val="006C0D3D"/>
    <w:rsid w:val="006C0DC8"/>
    <w:rsid w:val="006C0EC0"/>
    <w:rsid w:val="006C0EC4"/>
    <w:rsid w:val="006C0FEE"/>
    <w:rsid w:val="006C0FF0"/>
    <w:rsid w:val="006C1037"/>
    <w:rsid w:val="006C1105"/>
    <w:rsid w:val="006C123E"/>
    <w:rsid w:val="006C1372"/>
    <w:rsid w:val="006C140F"/>
    <w:rsid w:val="006C1424"/>
    <w:rsid w:val="006C14E0"/>
    <w:rsid w:val="006C1568"/>
    <w:rsid w:val="006C1576"/>
    <w:rsid w:val="006C1660"/>
    <w:rsid w:val="006C16FF"/>
    <w:rsid w:val="006C1881"/>
    <w:rsid w:val="006C1937"/>
    <w:rsid w:val="006C19F2"/>
    <w:rsid w:val="006C1A3D"/>
    <w:rsid w:val="006C1C1A"/>
    <w:rsid w:val="006C1DBE"/>
    <w:rsid w:val="006C1F23"/>
    <w:rsid w:val="006C219D"/>
    <w:rsid w:val="006C21AC"/>
    <w:rsid w:val="006C22F8"/>
    <w:rsid w:val="006C23D8"/>
    <w:rsid w:val="006C2408"/>
    <w:rsid w:val="006C247A"/>
    <w:rsid w:val="006C24E8"/>
    <w:rsid w:val="006C2742"/>
    <w:rsid w:val="006C2829"/>
    <w:rsid w:val="006C28D8"/>
    <w:rsid w:val="006C291E"/>
    <w:rsid w:val="006C2937"/>
    <w:rsid w:val="006C299E"/>
    <w:rsid w:val="006C2A2C"/>
    <w:rsid w:val="006C2BDE"/>
    <w:rsid w:val="006C2BE6"/>
    <w:rsid w:val="006C2C35"/>
    <w:rsid w:val="006C2C69"/>
    <w:rsid w:val="006C2C9D"/>
    <w:rsid w:val="006C2D0C"/>
    <w:rsid w:val="006C2D32"/>
    <w:rsid w:val="006C2E94"/>
    <w:rsid w:val="006C2E96"/>
    <w:rsid w:val="006C2F38"/>
    <w:rsid w:val="006C2FC4"/>
    <w:rsid w:val="006C3093"/>
    <w:rsid w:val="006C3134"/>
    <w:rsid w:val="006C3198"/>
    <w:rsid w:val="006C31DE"/>
    <w:rsid w:val="006C31F8"/>
    <w:rsid w:val="006C34B7"/>
    <w:rsid w:val="006C34F2"/>
    <w:rsid w:val="006C35CF"/>
    <w:rsid w:val="006C3684"/>
    <w:rsid w:val="006C36E0"/>
    <w:rsid w:val="006C38C8"/>
    <w:rsid w:val="006C38CE"/>
    <w:rsid w:val="006C38FF"/>
    <w:rsid w:val="006C3AA6"/>
    <w:rsid w:val="006C3AFA"/>
    <w:rsid w:val="006C3B58"/>
    <w:rsid w:val="006C3B93"/>
    <w:rsid w:val="006C3BE9"/>
    <w:rsid w:val="006C3CED"/>
    <w:rsid w:val="006C3DB2"/>
    <w:rsid w:val="006C3E30"/>
    <w:rsid w:val="006C3E43"/>
    <w:rsid w:val="006C3F24"/>
    <w:rsid w:val="006C3F85"/>
    <w:rsid w:val="006C4009"/>
    <w:rsid w:val="006C406B"/>
    <w:rsid w:val="006C4073"/>
    <w:rsid w:val="006C411D"/>
    <w:rsid w:val="006C4152"/>
    <w:rsid w:val="006C418D"/>
    <w:rsid w:val="006C43B5"/>
    <w:rsid w:val="006C44B9"/>
    <w:rsid w:val="006C4539"/>
    <w:rsid w:val="006C455C"/>
    <w:rsid w:val="006C456B"/>
    <w:rsid w:val="006C45EA"/>
    <w:rsid w:val="006C461B"/>
    <w:rsid w:val="006C498A"/>
    <w:rsid w:val="006C4A7C"/>
    <w:rsid w:val="006C4AEF"/>
    <w:rsid w:val="006C4B17"/>
    <w:rsid w:val="006C4BAD"/>
    <w:rsid w:val="006C4BED"/>
    <w:rsid w:val="006C4CEB"/>
    <w:rsid w:val="006C4D36"/>
    <w:rsid w:val="006C4DB9"/>
    <w:rsid w:val="006C4E57"/>
    <w:rsid w:val="006C4E82"/>
    <w:rsid w:val="006C4F15"/>
    <w:rsid w:val="006C4F4A"/>
    <w:rsid w:val="006C4F60"/>
    <w:rsid w:val="006C5045"/>
    <w:rsid w:val="006C509F"/>
    <w:rsid w:val="006C515A"/>
    <w:rsid w:val="006C5347"/>
    <w:rsid w:val="006C5388"/>
    <w:rsid w:val="006C5408"/>
    <w:rsid w:val="006C5525"/>
    <w:rsid w:val="006C5532"/>
    <w:rsid w:val="006C55D7"/>
    <w:rsid w:val="006C56E9"/>
    <w:rsid w:val="006C578D"/>
    <w:rsid w:val="006C5D8F"/>
    <w:rsid w:val="006C5E1B"/>
    <w:rsid w:val="006C5E3E"/>
    <w:rsid w:val="006C5E79"/>
    <w:rsid w:val="006C5F5E"/>
    <w:rsid w:val="006C601A"/>
    <w:rsid w:val="006C606E"/>
    <w:rsid w:val="006C6173"/>
    <w:rsid w:val="006C61C5"/>
    <w:rsid w:val="006C6306"/>
    <w:rsid w:val="006C6412"/>
    <w:rsid w:val="006C6442"/>
    <w:rsid w:val="006C649F"/>
    <w:rsid w:val="006C64B5"/>
    <w:rsid w:val="006C64EB"/>
    <w:rsid w:val="006C6733"/>
    <w:rsid w:val="006C6737"/>
    <w:rsid w:val="006C680C"/>
    <w:rsid w:val="006C68B6"/>
    <w:rsid w:val="006C68E1"/>
    <w:rsid w:val="006C6918"/>
    <w:rsid w:val="006C6923"/>
    <w:rsid w:val="006C6A90"/>
    <w:rsid w:val="006C6A95"/>
    <w:rsid w:val="006C6B33"/>
    <w:rsid w:val="006C6B8B"/>
    <w:rsid w:val="006C6B98"/>
    <w:rsid w:val="006C6DA6"/>
    <w:rsid w:val="006C6E8B"/>
    <w:rsid w:val="006C6F08"/>
    <w:rsid w:val="006C6FAF"/>
    <w:rsid w:val="006C7094"/>
    <w:rsid w:val="006C7150"/>
    <w:rsid w:val="006C7183"/>
    <w:rsid w:val="006C71DE"/>
    <w:rsid w:val="006C726F"/>
    <w:rsid w:val="006C729D"/>
    <w:rsid w:val="006C73D6"/>
    <w:rsid w:val="006C7521"/>
    <w:rsid w:val="006C754E"/>
    <w:rsid w:val="006C75C1"/>
    <w:rsid w:val="006C767F"/>
    <w:rsid w:val="006C7704"/>
    <w:rsid w:val="006C770C"/>
    <w:rsid w:val="006C79C7"/>
    <w:rsid w:val="006C79F9"/>
    <w:rsid w:val="006C7B5D"/>
    <w:rsid w:val="006C7C8D"/>
    <w:rsid w:val="006C7D06"/>
    <w:rsid w:val="006D000F"/>
    <w:rsid w:val="006D0085"/>
    <w:rsid w:val="006D00AD"/>
    <w:rsid w:val="006D020E"/>
    <w:rsid w:val="006D0258"/>
    <w:rsid w:val="006D02AE"/>
    <w:rsid w:val="006D02FF"/>
    <w:rsid w:val="006D03D8"/>
    <w:rsid w:val="006D04C4"/>
    <w:rsid w:val="006D055D"/>
    <w:rsid w:val="006D0814"/>
    <w:rsid w:val="006D0823"/>
    <w:rsid w:val="006D0840"/>
    <w:rsid w:val="006D0895"/>
    <w:rsid w:val="006D0897"/>
    <w:rsid w:val="006D08CC"/>
    <w:rsid w:val="006D0922"/>
    <w:rsid w:val="006D09A6"/>
    <w:rsid w:val="006D09C4"/>
    <w:rsid w:val="006D0C4B"/>
    <w:rsid w:val="006D0E47"/>
    <w:rsid w:val="006D0EE3"/>
    <w:rsid w:val="006D0F10"/>
    <w:rsid w:val="006D0FBB"/>
    <w:rsid w:val="006D0FCF"/>
    <w:rsid w:val="006D0FDE"/>
    <w:rsid w:val="006D1188"/>
    <w:rsid w:val="006D11D7"/>
    <w:rsid w:val="006D1214"/>
    <w:rsid w:val="006D1379"/>
    <w:rsid w:val="006D14B9"/>
    <w:rsid w:val="006D1510"/>
    <w:rsid w:val="006D15A3"/>
    <w:rsid w:val="006D16DA"/>
    <w:rsid w:val="006D17F6"/>
    <w:rsid w:val="006D18E8"/>
    <w:rsid w:val="006D190B"/>
    <w:rsid w:val="006D1AA5"/>
    <w:rsid w:val="006D1AD9"/>
    <w:rsid w:val="006D1B9A"/>
    <w:rsid w:val="006D1BBA"/>
    <w:rsid w:val="006D1BBC"/>
    <w:rsid w:val="006D1C62"/>
    <w:rsid w:val="006D1CC6"/>
    <w:rsid w:val="006D1D15"/>
    <w:rsid w:val="006D1DFA"/>
    <w:rsid w:val="006D1F3A"/>
    <w:rsid w:val="006D1FE5"/>
    <w:rsid w:val="006D210F"/>
    <w:rsid w:val="006D21F1"/>
    <w:rsid w:val="006D22FB"/>
    <w:rsid w:val="006D23AF"/>
    <w:rsid w:val="006D24B8"/>
    <w:rsid w:val="006D24B9"/>
    <w:rsid w:val="006D24EF"/>
    <w:rsid w:val="006D2513"/>
    <w:rsid w:val="006D2589"/>
    <w:rsid w:val="006D2635"/>
    <w:rsid w:val="006D268B"/>
    <w:rsid w:val="006D26B3"/>
    <w:rsid w:val="006D272A"/>
    <w:rsid w:val="006D27C6"/>
    <w:rsid w:val="006D290F"/>
    <w:rsid w:val="006D29A3"/>
    <w:rsid w:val="006D29C1"/>
    <w:rsid w:val="006D2A70"/>
    <w:rsid w:val="006D2B0A"/>
    <w:rsid w:val="006D2B39"/>
    <w:rsid w:val="006D2B8C"/>
    <w:rsid w:val="006D2BBD"/>
    <w:rsid w:val="006D2BDA"/>
    <w:rsid w:val="006D2D9D"/>
    <w:rsid w:val="006D2E70"/>
    <w:rsid w:val="006D2EF2"/>
    <w:rsid w:val="006D2F79"/>
    <w:rsid w:val="006D2F99"/>
    <w:rsid w:val="006D2FB4"/>
    <w:rsid w:val="006D309B"/>
    <w:rsid w:val="006D31C4"/>
    <w:rsid w:val="006D32AB"/>
    <w:rsid w:val="006D346C"/>
    <w:rsid w:val="006D3584"/>
    <w:rsid w:val="006D3637"/>
    <w:rsid w:val="006D367B"/>
    <w:rsid w:val="006D36F2"/>
    <w:rsid w:val="006D38D0"/>
    <w:rsid w:val="006D39D3"/>
    <w:rsid w:val="006D3A85"/>
    <w:rsid w:val="006D3BC2"/>
    <w:rsid w:val="006D3C30"/>
    <w:rsid w:val="006D3C66"/>
    <w:rsid w:val="006D3D00"/>
    <w:rsid w:val="006D3E0C"/>
    <w:rsid w:val="006D3E5B"/>
    <w:rsid w:val="006D3E63"/>
    <w:rsid w:val="006D3EF5"/>
    <w:rsid w:val="006D3F03"/>
    <w:rsid w:val="006D3F6F"/>
    <w:rsid w:val="006D40FB"/>
    <w:rsid w:val="006D414F"/>
    <w:rsid w:val="006D41A6"/>
    <w:rsid w:val="006D427F"/>
    <w:rsid w:val="006D42E5"/>
    <w:rsid w:val="006D438F"/>
    <w:rsid w:val="006D443C"/>
    <w:rsid w:val="006D44DC"/>
    <w:rsid w:val="006D4898"/>
    <w:rsid w:val="006D48E2"/>
    <w:rsid w:val="006D4A0C"/>
    <w:rsid w:val="006D4A9A"/>
    <w:rsid w:val="006D4B65"/>
    <w:rsid w:val="006D4BB8"/>
    <w:rsid w:val="006D4C4D"/>
    <w:rsid w:val="006D4E5A"/>
    <w:rsid w:val="006D4F5C"/>
    <w:rsid w:val="006D50F2"/>
    <w:rsid w:val="006D517C"/>
    <w:rsid w:val="006D519A"/>
    <w:rsid w:val="006D519C"/>
    <w:rsid w:val="006D5396"/>
    <w:rsid w:val="006D5489"/>
    <w:rsid w:val="006D563E"/>
    <w:rsid w:val="006D5651"/>
    <w:rsid w:val="006D57BC"/>
    <w:rsid w:val="006D57EF"/>
    <w:rsid w:val="006D5820"/>
    <w:rsid w:val="006D5949"/>
    <w:rsid w:val="006D595E"/>
    <w:rsid w:val="006D5981"/>
    <w:rsid w:val="006D59A9"/>
    <w:rsid w:val="006D59D4"/>
    <w:rsid w:val="006D5A48"/>
    <w:rsid w:val="006D5C7F"/>
    <w:rsid w:val="006D5DFC"/>
    <w:rsid w:val="006D5E69"/>
    <w:rsid w:val="006D5FDF"/>
    <w:rsid w:val="006D5FFF"/>
    <w:rsid w:val="006D605B"/>
    <w:rsid w:val="006D60E1"/>
    <w:rsid w:val="006D610F"/>
    <w:rsid w:val="006D61A3"/>
    <w:rsid w:val="006D6237"/>
    <w:rsid w:val="006D6362"/>
    <w:rsid w:val="006D652D"/>
    <w:rsid w:val="006D656A"/>
    <w:rsid w:val="006D6667"/>
    <w:rsid w:val="006D6855"/>
    <w:rsid w:val="006D6916"/>
    <w:rsid w:val="006D6953"/>
    <w:rsid w:val="006D6981"/>
    <w:rsid w:val="006D69AE"/>
    <w:rsid w:val="006D6A37"/>
    <w:rsid w:val="006D6A5A"/>
    <w:rsid w:val="006D6A6E"/>
    <w:rsid w:val="006D6A8F"/>
    <w:rsid w:val="006D6A91"/>
    <w:rsid w:val="006D6B57"/>
    <w:rsid w:val="006D6BA5"/>
    <w:rsid w:val="006D6CF4"/>
    <w:rsid w:val="006D6ED5"/>
    <w:rsid w:val="006D6F01"/>
    <w:rsid w:val="006D6F8A"/>
    <w:rsid w:val="006D7156"/>
    <w:rsid w:val="006D733C"/>
    <w:rsid w:val="006D73ED"/>
    <w:rsid w:val="006D75B0"/>
    <w:rsid w:val="006D75E0"/>
    <w:rsid w:val="006D7633"/>
    <w:rsid w:val="006D76B0"/>
    <w:rsid w:val="006D7700"/>
    <w:rsid w:val="006D78BE"/>
    <w:rsid w:val="006D7CE6"/>
    <w:rsid w:val="006D7E41"/>
    <w:rsid w:val="006D7EBA"/>
    <w:rsid w:val="006D7F17"/>
    <w:rsid w:val="006D7F59"/>
    <w:rsid w:val="006D7F82"/>
    <w:rsid w:val="006E010B"/>
    <w:rsid w:val="006E027B"/>
    <w:rsid w:val="006E033D"/>
    <w:rsid w:val="006E0361"/>
    <w:rsid w:val="006E0378"/>
    <w:rsid w:val="006E03D6"/>
    <w:rsid w:val="006E044C"/>
    <w:rsid w:val="006E05D1"/>
    <w:rsid w:val="006E069A"/>
    <w:rsid w:val="006E0704"/>
    <w:rsid w:val="006E0813"/>
    <w:rsid w:val="006E0814"/>
    <w:rsid w:val="006E08FE"/>
    <w:rsid w:val="006E093F"/>
    <w:rsid w:val="006E0BA8"/>
    <w:rsid w:val="006E0C1A"/>
    <w:rsid w:val="006E0DAB"/>
    <w:rsid w:val="006E0E1E"/>
    <w:rsid w:val="006E0E6D"/>
    <w:rsid w:val="006E0F55"/>
    <w:rsid w:val="006E10FE"/>
    <w:rsid w:val="006E110F"/>
    <w:rsid w:val="006E1163"/>
    <w:rsid w:val="006E11BD"/>
    <w:rsid w:val="006E11DC"/>
    <w:rsid w:val="006E12F7"/>
    <w:rsid w:val="006E13C1"/>
    <w:rsid w:val="006E13D4"/>
    <w:rsid w:val="006E1434"/>
    <w:rsid w:val="006E1550"/>
    <w:rsid w:val="006E1630"/>
    <w:rsid w:val="006E1685"/>
    <w:rsid w:val="006E1686"/>
    <w:rsid w:val="006E1939"/>
    <w:rsid w:val="006E1B24"/>
    <w:rsid w:val="006E1C08"/>
    <w:rsid w:val="006E1E10"/>
    <w:rsid w:val="006E1E9C"/>
    <w:rsid w:val="006E1ED6"/>
    <w:rsid w:val="006E1F31"/>
    <w:rsid w:val="006E1FC2"/>
    <w:rsid w:val="006E201F"/>
    <w:rsid w:val="006E230E"/>
    <w:rsid w:val="006E2433"/>
    <w:rsid w:val="006E251A"/>
    <w:rsid w:val="006E2590"/>
    <w:rsid w:val="006E25C6"/>
    <w:rsid w:val="006E261D"/>
    <w:rsid w:val="006E2652"/>
    <w:rsid w:val="006E267C"/>
    <w:rsid w:val="006E2791"/>
    <w:rsid w:val="006E27AE"/>
    <w:rsid w:val="006E27F4"/>
    <w:rsid w:val="006E2815"/>
    <w:rsid w:val="006E2886"/>
    <w:rsid w:val="006E289D"/>
    <w:rsid w:val="006E28EF"/>
    <w:rsid w:val="006E290C"/>
    <w:rsid w:val="006E2938"/>
    <w:rsid w:val="006E2972"/>
    <w:rsid w:val="006E2984"/>
    <w:rsid w:val="006E2A05"/>
    <w:rsid w:val="006E2A75"/>
    <w:rsid w:val="006E2BBC"/>
    <w:rsid w:val="006E2C06"/>
    <w:rsid w:val="006E2C1B"/>
    <w:rsid w:val="006E2DC1"/>
    <w:rsid w:val="006E2EE6"/>
    <w:rsid w:val="006E2EFC"/>
    <w:rsid w:val="006E2F22"/>
    <w:rsid w:val="006E2F40"/>
    <w:rsid w:val="006E310C"/>
    <w:rsid w:val="006E31AD"/>
    <w:rsid w:val="006E3227"/>
    <w:rsid w:val="006E3239"/>
    <w:rsid w:val="006E328C"/>
    <w:rsid w:val="006E33CC"/>
    <w:rsid w:val="006E340B"/>
    <w:rsid w:val="006E3537"/>
    <w:rsid w:val="006E3540"/>
    <w:rsid w:val="006E35F8"/>
    <w:rsid w:val="006E3665"/>
    <w:rsid w:val="006E36DD"/>
    <w:rsid w:val="006E3832"/>
    <w:rsid w:val="006E3858"/>
    <w:rsid w:val="006E3860"/>
    <w:rsid w:val="006E3977"/>
    <w:rsid w:val="006E3ABF"/>
    <w:rsid w:val="006E3ACD"/>
    <w:rsid w:val="006E3BF2"/>
    <w:rsid w:val="006E3F82"/>
    <w:rsid w:val="006E3FE2"/>
    <w:rsid w:val="006E4181"/>
    <w:rsid w:val="006E4289"/>
    <w:rsid w:val="006E42BC"/>
    <w:rsid w:val="006E44B8"/>
    <w:rsid w:val="006E455D"/>
    <w:rsid w:val="006E459B"/>
    <w:rsid w:val="006E45C4"/>
    <w:rsid w:val="006E466E"/>
    <w:rsid w:val="006E469B"/>
    <w:rsid w:val="006E471F"/>
    <w:rsid w:val="006E474D"/>
    <w:rsid w:val="006E47C4"/>
    <w:rsid w:val="006E49AA"/>
    <w:rsid w:val="006E4A13"/>
    <w:rsid w:val="006E4AB2"/>
    <w:rsid w:val="006E4B35"/>
    <w:rsid w:val="006E4B5F"/>
    <w:rsid w:val="006E4D04"/>
    <w:rsid w:val="006E4D1E"/>
    <w:rsid w:val="006E4F37"/>
    <w:rsid w:val="006E50CB"/>
    <w:rsid w:val="006E50E3"/>
    <w:rsid w:val="006E5264"/>
    <w:rsid w:val="006E5286"/>
    <w:rsid w:val="006E52C7"/>
    <w:rsid w:val="006E5300"/>
    <w:rsid w:val="006E5343"/>
    <w:rsid w:val="006E53A3"/>
    <w:rsid w:val="006E56A4"/>
    <w:rsid w:val="006E56A6"/>
    <w:rsid w:val="006E56C7"/>
    <w:rsid w:val="006E5773"/>
    <w:rsid w:val="006E5872"/>
    <w:rsid w:val="006E5947"/>
    <w:rsid w:val="006E5973"/>
    <w:rsid w:val="006E5AED"/>
    <w:rsid w:val="006E5B02"/>
    <w:rsid w:val="006E5B4B"/>
    <w:rsid w:val="006E5D5B"/>
    <w:rsid w:val="006E5DBE"/>
    <w:rsid w:val="006E5E77"/>
    <w:rsid w:val="006E5EE1"/>
    <w:rsid w:val="006E5F43"/>
    <w:rsid w:val="006E6285"/>
    <w:rsid w:val="006E6338"/>
    <w:rsid w:val="006E658B"/>
    <w:rsid w:val="006E6735"/>
    <w:rsid w:val="006E67A0"/>
    <w:rsid w:val="006E67BB"/>
    <w:rsid w:val="006E686E"/>
    <w:rsid w:val="006E691D"/>
    <w:rsid w:val="006E6973"/>
    <w:rsid w:val="006E69C1"/>
    <w:rsid w:val="006E6A25"/>
    <w:rsid w:val="006E6B58"/>
    <w:rsid w:val="006E6C60"/>
    <w:rsid w:val="006E6C7A"/>
    <w:rsid w:val="006E6C93"/>
    <w:rsid w:val="006E6D47"/>
    <w:rsid w:val="006E6DCC"/>
    <w:rsid w:val="006E6DF9"/>
    <w:rsid w:val="006E6F2C"/>
    <w:rsid w:val="006E6FF1"/>
    <w:rsid w:val="006E72E3"/>
    <w:rsid w:val="006E7314"/>
    <w:rsid w:val="006E733B"/>
    <w:rsid w:val="006E75D3"/>
    <w:rsid w:val="006E7627"/>
    <w:rsid w:val="006E763B"/>
    <w:rsid w:val="006E7667"/>
    <w:rsid w:val="006E796E"/>
    <w:rsid w:val="006E79BE"/>
    <w:rsid w:val="006E7AD9"/>
    <w:rsid w:val="006E7B73"/>
    <w:rsid w:val="006E7C96"/>
    <w:rsid w:val="006E7CDC"/>
    <w:rsid w:val="006E7D03"/>
    <w:rsid w:val="006E7DDF"/>
    <w:rsid w:val="006E7DEF"/>
    <w:rsid w:val="006E7E5C"/>
    <w:rsid w:val="006E7E6F"/>
    <w:rsid w:val="006E7F71"/>
    <w:rsid w:val="006E7F7D"/>
    <w:rsid w:val="006F0072"/>
    <w:rsid w:val="006F008B"/>
    <w:rsid w:val="006F0197"/>
    <w:rsid w:val="006F0207"/>
    <w:rsid w:val="006F0372"/>
    <w:rsid w:val="006F04CB"/>
    <w:rsid w:val="006F04CD"/>
    <w:rsid w:val="006F075E"/>
    <w:rsid w:val="006F08D8"/>
    <w:rsid w:val="006F098C"/>
    <w:rsid w:val="006F09EA"/>
    <w:rsid w:val="006F09EE"/>
    <w:rsid w:val="006F0D25"/>
    <w:rsid w:val="006F0DBD"/>
    <w:rsid w:val="006F0ECD"/>
    <w:rsid w:val="006F0EE4"/>
    <w:rsid w:val="006F12CF"/>
    <w:rsid w:val="006F139D"/>
    <w:rsid w:val="006F13BF"/>
    <w:rsid w:val="006F1434"/>
    <w:rsid w:val="006F1435"/>
    <w:rsid w:val="006F1535"/>
    <w:rsid w:val="006F166C"/>
    <w:rsid w:val="006F17E5"/>
    <w:rsid w:val="006F17FB"/>
    <w:rsid w:val="006F1836"/>
    <w:rsid w:val="006F1846"/>
    <w:rsid w:val="006F1892"/>
    <w:rsid w:val="006F1908"/>
    <w:rsid w:val="006F1951"/>
    <w:rsid w:val="006F19C8"/>
    <w:rsid w:val="006F1A27"/>
    <w:rsid w:val="006F1A6D"/>
    <w:rsid w:val="006F1AF1"/>
    <w:rsid w:val="006F1B2C"/>
    <w:rsid w:val="006F1B4B"/>
    <w:rsid w:val="006F1B75"/>
    <w:rsid w:val="006F1F19"/>
    <w:rsid w:val="006F1FD4"/>
    <w:rsid w:val="006F20CF"/>
    <w:rsid w:val="006F216E"/>
    <w:rsid w:val="006F21BC"/>
    <w:rsid w:val="006F22A3"/>
    <w:rsid w:val="006F238C"/>
    <w:rsid w:val="006F244C"/>
    <w:rsid w:val="006F246C"/>
    <w:rsid w:val="006F2525"/>
    <w:rsid w:val="006F25B7"/>
    <w:rsid w:val="006F25E9"/>
    <w:rsid w:val="006F2713"/>
    <w:rsid w:val="006F27AB"/>
    <w:rsid w:val="006F27D6"/>
    <w:rsid w:val="006F2851"/>
    <w:rsid w:val="006F2904"/>
    <w:rsid w:val="006F2AEF"/>
    <w:rsid w:val="006F2E22"/>
    <w:rsid w:val="006F2F20"/>
    <w:rsid w:val="006F2F25"/>
    <w:rsid w:val="006F2FE8"/>
    <w:rsid w:val="006F315A"/>
    <w:rsid w:val="006F3282"/>
    <w:rsid w:val="006F335B"/>
    <w:rsid w:val="006F3414"/>
    <w:rsid w:val="006F352D"/>
    <w:rsid w:val="006F35E7"/>
    <w:rsid w:val="006F366E"/>
    <w:rsid w:val="006F3693"/>
    <w:rsid w:val="006F36F1"/>
    <w:rsid w:val="006F376D"/>
    <w:rsid w:val="006F391E"/>
    <w:rsid w:val="006F3921"/>
    <w:rsid w:val="006F3941"/>
    <w:rsid w:val="006F3961"/>
    <w:rsid w:val="006F3A7B"/>
    <w:rsid w:val="006F3A98"/>
    <w:rsid w:val="006F3A9E"/>
    <w:rsid w:val="006F3B81"/>
    <w:rsid w:val="006F3B96"/>
    <w:rsid w:val="006F3BE4"/>
    <w:rsid w:val="006F3CDD"/>
    <w:rsid w:val="006F3D54"/>
    <w:rsid w:val="006F3E78"/>
    <w:rsid w:val="006F3F94"/>
    <w:rsid w:val="006F3FA3"/>
    <w:rsid w:val="006F3FB3"/>
    <w:rsid w:val="006F4190"/>
    <w:rsid w:val="006F4281"/>
    <w:rsid w:val="006F4347"/>
    <w:rsid w:val="006F4455"/>
    <w:rsid w:val="006F44C6"/>
    <w:rsid w:val="006F4503"/>
    <w:rsid w:val="006F4529"/>
    <w:rsid w:val="006F46E2"/>
    <w:rsid w:val="006F471C"/>
    <w:rsid w:val="006F4797"/>
    <w:rsid w:val="006F4837"/>
    <w:rsid w:val="006F48A8"/>
    <w:rsid w:val="006F4928"/>
    <w:rsid w:val="006F495C"/>
    <w:rsid w:val="006F4A14"/>
    <w:rsid w:val="006F4A2D"/>
    <w:rsid w:val="006F4A9A"/>
    <w:rsid w:val="006F4AC1"/>
    <w:rsid w:val="006F4AC2"/>
    <w:rsid w:val="006F4C54"/>
    <w:rsid w:val="006F4C6B"/>
    <w:rsid w:val="006F4CC9"/>
    <w:rsid w:val="006F4CE8"/>
    <w:rsid w:val="006F4F13"/>
    <w:rsid w:val="006F4F6B"/>
    <w:rsid w:val="006F505C"/>
    <w:rsid w:val="006F5151"/>
    <w:rsid w:val="006F51AE"/>
    <w:rsid w:val="006F52C9"/>
    <w:rsid w:val="006F536A"/>
    <w:rsid w:val="006F5443"/>
    <w:rsid w:val="006F5468"/>
    <w:rsid w:val="006F54D3"/>
    <w:rsid w:val="006F54FE"/>
    <w:rsid w:val="006F563F"/>
    <w:rsid w:val="006F5697"/>
    <w:rsid w:val="006F5726"/>
    <w:rsid w:val="006F573C"/>
    <w:rsid w:val="006F5906"/>
    <w:rsid w:val="006F5941"/>
    <w:rsid w:val="006F595B"/>
    <w:rsid w:val="006F5978"/>
    <w:rsid w:val="006F59B0"/>
    <w:rsid w:val="006F5BB5"/>
    <w:rsid w:val="006F5BEF"/>
    <w:rsid w:val="006F5C90"/>
    <w:rsid w:val="006F5D1B"/>
    <w:rsid w:val="006F5DC1"/>
    <w:rsid w:val="006F5DEC"/>
    <w:rsid w:val="006F5E61"/>
    <w:rsid w:val="006F5EBC"/>
    <w:rsid w:val="006F5EF6"/>
    <w:rsid w:val="006F6126"/>
    <w:rsid w:val="006F612F"/>
    <w:rsid w:val="006F6153"/>
    <w:rsid w:val="006F6172"/>
    <w:rsid w:val="006F6266"/>
    <w:rsid w:val="006F62FB"/>
    <w:rsid w:val="006F63F1"/>
    <w:rsid w:val="006F640F"/>
    <w:rsid w:val="006F64D2"/>
    <w:rsid w:val="006F656E"/>
    <w:rsid w:val="006F6598"/>
    <w:rsid w:val="006F65DC"/>
    <w:rsid w:val="006F6668"/>
    <w:rsid w:val="006F67F4"/>
    <w:rsid w:val="006F68B4"/>
    <w:rsid w:val="006F6947"/>
    <w:rsid w:val="006F6AFC"/>
    <w:rsid w:val="006F6B76"/>
    <w:rsid w:val="006F6BAA"/>
    <w:rsid w:val="006F6C2C"/>
    <w:rsid w:val="006F6CC0"/>
    <w:rsid w:val="006F6D9F"/>
    <w:rsid w:val="006F6DDD"/>
    <w:rsid w:val="006F6F32"/>
    <w:rsid w:val="006F6FE8"/>
    <w:rsid w:val="006F7030"/>
    <w:rsid w:val="006F71A8"/>
    <w:rsid w:val="006F7231"/>
    <w:rsid w:val="006F7345"/>
    <w:rsid w:val="006F741E"/>
    <w:rsid w:val="006F7494"/>
    <w:rsid w:val="006F7512"/>
    <w:rsid w:val="006F752C"/>
    <w:rsid w:val="006F7574"/>
    <w:rsid w:val="006F7817"/>
    <w:rsid w:val="006F791E"/>
    <w:rsid w:val="006F795F"/>
    <w:rsid w:val="006F79A5"/>
    <w:rsid w:val="006F79C5"/>
    <w:rsid w:val="006F7A1B"/>
    <w:rsid w:val="006F7A38"/>
    <w:rsid w:val="006F7AEF"/>
    <w:rsid w:val="006F7B84"/>
    <w:rsid w:val="006F7B8F"/>
    <w:rsid w:val="006F7CE6"/>
    <w:rsid w:val="006F7D07"/>
    <w:rsid w:val="006F7D11"/>
    <w:rsid w:val="006F7D6E"/>
    <w:rsid w:val="006F7EA6"/>
    <w:rsid w:val="006F7ED3"/>
    <w:rsid w:val="006F7FE2"/>
    <w:rsid w:val="007001CC"/>
    <w:rsid w:val="00700344"/>
    <w:rsid w:val="0070039A"/>
    <w:rsid w:val="007003D0"/>
    <w:rsid w:val="00700487"/>
    <w:rsid w:val="00700523"/>
    <w:rsid w:val="0070059E"/>
    <w:rsid w:val="007005D8"/>
    <w:rsid w:val="0070061E"/>
    <w:rsid w:val="0070074D"/>
    <w:rsid w:val="00700797"/>
    <w:rsid w:val="007007BA"/>
    <w:rsid w:val="007007E7"/>
    <w:rsid w:val="0070085E"/>
    <w:rsid w:val="0070097C"/>
    <w:rsid w:val="00700A18"/>
    <w:rsid w:val="00700A25"/>
    <w:rsid w:val="00700A30"/>
    <w:rsid w:val="00700D85"/>
    <w:rsid w:val="00700E3D"/>
    <w:rsid w:val="00700F04"/>
    <w:rsid w:val="00700FE1"/>
    <w:rsid w:val="00701104"/>
    <w:rsid w:val="00701129"/>
    <w:rsid w:val="00701191"/>
    <w:rsid w:val="007012AC"/>
    <w:rsid w:val="00701363"/>
    <w:rsid w:val="0070141F"/>
    <w:rsid w:val="00701535"/>
    <w:rsid w:val="0070154C"/>
    <w:rsid w:val="00701693"/>
    <w:rsid w:val="007017C5"/>
    <w:rsid w:val="0070186F"/>
    <w:rsid w:val="007018E0"/>
    <w:rsid w:val="00701966"/>
    <w:rsid w:val="00701A3F"/>
    <w:rsid w:val="00701A4C"/>
    <w:rsid w:val="00701A82"/>
    <w:rsid w:val="00701AFA"/>
    <w:rsid w:val="00701B84"/>
    <w:rsid w:val="00701C18"/>
    <w:rsid w:val="00701C1F"/>
    <w:rsid w:val="00701CBD"/>
    <w:rsid w:val="00701EC4"/>
    <w:rsid w:val="007020D2"/>
    <w:rsid w:val="007021BA"/>
    <w:rsid w:val="00702291"/>
    <w:rsid w:val="007022C5"/>
    <w:rsid w:val="0070231C"/>
    <w:rsid w:val="0070238C"/>
    <w:rsid w:val="007023D9"/>
    <w:rsid w:val="0070244F"/>
    <w:rsid w:val="00702484"/>
    <w:rsid w:val="007024BD"/>
    <w:rsid w:val="00702540"/>
    <w:rsid w:val="007025C1"/>
    <w:rsid w:val="00702665"/>
    <w:rsid w:val="007026B5"/>
    <w:rsid w:val="007027D1"/>
    <w:rsid w:val="00702821"/>
    <w:rsid w:val="00702880"/>
    <w:rsid w:val="007028B6"/>
    <w:rsid w:val="007028E7"/>
    <w:rsid w:val="00702B0A"/>
    <w:rsid w:val="00702B18"/>
    <w:rsid w:val="00702B2F"/>
    <w:rsid w:val="00702BD4"/>
    <w:rsid w:val="00702BE9"/>
    <w:rsid w:val="00702C43"/>
    <w:rsid w:val="00702C53"/>
    <w:rsid w:val="00702CEA"/>
    <w:rsid w:val="00702E34"/>
    <w:rsid w:val="00703069"/>
    <w:rsid w:val="00703074"/>
    <w:rsid w:val="007030AC"/>
    <w:rsid w:val="0070320A"/>
    <w:rsid w:val="00703362"/>
    <w:rsid w:val="007033A4"/>
    <w:rsid w:val="007033CF"/>
    <w:rsid w:val="00703524"/>
    <w:rsid w:val="00703602"/>
    <w:rsid w:val="00703647"/>
    <w:rsid w:val="007037AB"/>
    <w:rsid w:val="00703808"/>
    <w:rsid w:val="0070399F"/>
    <w:rsid w:val="00703B04"/>
    <w:rsid w:val="00703BEC"/>
    <w:rsid w:val="00703DD7"/>
    <w:rsid w:val="00703E3C"/>
    <w:rsid w:val="00703E91"/>
    <w:rsid w:val="00703EFE"/>
    <w:rsid w:val="0070405B"/>
    <w:rsid w:val="0070407E"/>
    <w:rsid w:val="007040EC"/>
    <w:rsid w:val="007041FB"/>
    <w:rsid w:val="00704252"/>
    <w:rsid w:val="007042A9"/>
    <w:rsid w:val="007042EF"/>
    <w:rsid w:val="00704334"/>
    <w:rsid w:val="007043C1"/>
    <w:rsid w:val="007043F7"/>
    <w:rsid w:val="00704434"/>
    <w:rsid w:val="00704518"/>
    <w:rsid w:val="0070451C"/>
    <w:rsid w:val="00704534"/>
    <w:rsid w:val="007046E1"/>
    <w:rsid w:val="0070475D"/>
    <w:rsid w:val="00704881"/>
    <w:rsid w:val="00704932"/>
    <w:rsid w:val="007049C2"/>
    <w:rsid w:val="007049DF"/>
    <w:rsid w:val="00704A77"/>
    <w:rsid w:val="00704AC5"/>
    <w:rsid w:val="00704C37"/>
    <w:rsid w:val="00704CC0"/>
    <w:rsid w:val="00704E79"/>
    <w:rsid w:val="00704EA9"/>
    <w:rsid w:val="00704FB3"/>
    <w:rsid w:val="00704FF9"/>
    <w:rsid w:val="007050F5"/>
    <w:rsid w:val="00705157"/>
    <w:rsid w:val="00705193"/>
    <w:rsid w:val="0070527A"/>
    <w:rsid w:val="007054C2"/>
    <w:rsid w:val="00705628"/>
    <w:rsid w:val="007056CA"/>
    <w:rsid w:val="00705708"/>
    <w:rsid w:val="007057C4"/>
    <w:rsid w:val="007058F6"/>
    <w:rsid w:val="00705A53"/>
    <w:rsid w:val="00705BA3"/>
    <w:rsid w:val="00705BDC"/>
    <w:rsid w:val="00705C3A"/>
    <w:rsid w:val="00705C52"/>
    <w:rsid w:val="00705CC9"/>
    <w:rsid w:val="00705D45"/>
    <w:rsid w:val="00705E4E"/>
    <w:rsid w:val="00705E60"/>
    <w:rsid w:val="00705F26"/>
    <w:rsid w:val="0070618E"/>
    <w:rsid w:val="007061E7"/>
    <w:rsid w:val="0070627E"/>
    <w:rsid w:val="007063AA"/>
    <w:rsid w:val="00706499"/>
    <w:rsid w:val="007064B8"/>
    <w:rsid w:val="0070656E"/>
    <w:rsid w:val="007065A8"/>
    <w:rsid w:val="00706621"/>
    <w:rsid w:val="00706654"/>
    <w:rsid w:val="00706738"/>
    <w:rsid w:val="00706751"/>
    <w:rsid w:val="00706857"/>
    <w:rsid w:val="00706873"/>
    <w:rsid w:val="00706902"/>
    <w:rsid w:val="00706995"/>
    <w:rsid w:val="00706A81"/>
    <w:rsid w:val="00706AE4"/>
    <w:rsid w:val="00706B0B"/>
    <w:rsid w:val="00706B56"/>
    <w:rsid w:val="00706CDB"/>
    <w:rsid w:val="00706D85"/>
    <w:rsid w:val="00706EC6"/>
    <w:rsid w:val="0070715E"/>
    <w:rsid w:val="007071C4"/>
    <w:rsid w:val="00707205"/>
    <w:rsid w:val="00707228"/>
    <w:rsid w:val="007072F4"/>
    <w:rsid w:val="007074F9"/>
    <w:rsid w:val="0070757E"/>
    <w:rsid w:val="007075CA"/>
    <w:rsid w:val="0070765A"/>
    <w:rsid w:val="007077FF"/>
    <w:rsid w:val="00707ABB"/>
    <w:rsid w:val="00707B2C"/>
    <w:rsid w:val="00707B42"/>
    <w:rsid w:val="00707CE2"/>
    <w:rsid w:val="00707D8F"/>
    <w:rsid w:val="00707E2F"/>
    <w:rsid w:val="00707E3C"/>
    <w:rsid w:val="00707EA6"/>
    <w:rsid w:val="00707ECA"/>
    <w:rsid w:val="00710105"/>
    <w:rsid w:val="0071012B"/>
    <w:rsid w:val="00710446"/>
    <w:rsid w:val="00710451"/>
    <w:rsid w:val="0071058C"/>
    <w:rsid w:val="007105FA"/>
    <w:rsid w:val="007107BB"/>
    <w:rsid w:val="0071087C"/>
    <w:rsid w:val="007108DB"/>
    <w:rsid w:val="00710941"/>
    <w:rsid w:val="00710A16"/>
    <w:rsid w:val="00710AEE"/>
    <w:rsid w:val="00710D2D"/>
    <w:rsid w:val="00710D3F"/>
    <w:rsid w:val="00710EB3"/>
    <w:rsid w:val="00710FD0"/>
    <w:rsid w:val="00711076"/>
    <w:rsid w:val="00711128"/>
    <w:rsid w:val="0071112A"/>
    <w:rsid w:val="00711340"/>
    <w:rsid w:val="007114E0"/>
    <w:rsid w:val="00711604"/>
    <w:rsid w:val="007116D8"/>
    <w:rsid w:val="00711741"/>
    <w:rsid w:val="0071178F"/>
    <w:rsid w:val="007118DD"/>
    <w:rsid w:val="007119D9"/>
    <w:rsid w:val="00711A13"/>
    <w:rsid w:val="00711AE4"/>
    <w:rsid w:val="00711B1E"/>
    <w:rsid w:val="00711B97"/>
    <w:rsid w:val="00711D88"/>
    <w:rsid w:val="00711DC7"/>
    <w:rsid w:val="00711E34"/>
    <w:rsid w:val="00711EC0"/>
    <w:rsid w:val="007120E3"/>
    <w:rsid w:val="007121A8"/>
    <w:rsid w:val="00712291"/>
    <w:rsid w:val="00712370"/>
    <w:rsid w:val="00712406"/>
    <w:rsid w:val="0071257F"/>
    <w:rsid w:val="0071260B"/>
    <w:rsid w:val="00712629"/>
    <w:rsid w:val="007126C1"/>
    <w:rsid w:val="007128AA"/>
    <w:rsid w:val="00712A32"/>
    <w:rsid w:val="00712A45"/>
    <w:rsid w:val="00712B20"/>
    <w:rsid w:val="00712B7B"/>
    <w:rsid w:val="00712BB7"/>
    <w:rsid w:val="00712C6E"/>
    <w:rsid w:val="00712C7E"/>
    <w:rsid w:val="00712C9F"/>
    <w:rsid w:val="00712CA3"/>
    <w:rsid w:val="00712CFD"/>
    <w:rsid w:val="00712D1F"/>
    <w:rsid w:val="00712DA6"/>
    <w:rsid w:val="00712DAB"/>
    <w:rsid w:val="00712E30"/>
    <w:rsid w:val="00712FCC"/>
    <w:rsid w:val="00713007"/>
    <w:rsid w:val="00713328"/>
    <w:rsid w:val="00713377"/>
    <w:rsid w:val="0071337D"/>
    <w:rsid w:val="0071346A"/>
    <w:rsid w:val="007134C3"/>
    <w:rsid w:val="007135EC"/>
    <w:rsid w:val="0071368B"/>
    <w:rsid w:val="00713715"/>
    <w:rsid w:val="00713818"/>
    <w:rsid w:val="00713920"/>
    <w:rsid w:val="007139FA"/>
    <w:rsid w:val="00713A91"/>
    <w:rsid w:val="00713B6A"/>
    <w:rsid w:val="00713B7C"/>
    <w:rsid w:val="00713C5F"/>
    <w:rsid w:val="00713E6B"/>
    <w:rsid w:val="00713FA9"/>
    <w:rsid w:val="00713FD4"/>
    <w:rsid w:val="0071410D"/>
    <w:rsid w:val="007143CA"/>
    <w:rsid w:val="0071453E"/>
    <w:rsid w:val="00714646"/>
    <w:rsid w:val="00714681"/>
    <w:rsid w:val="007146DD"/>
    <w:rsid w:val="00714722"/>
    <w:rsid w:val="007147EB"/>
    <w:rsid w:val="00714888"/>
    <w:rsid w:val="0071494B"/>
    <w:rsid w:val="0071495B"/>
    <w:rsid w:val="00714ADE"/>
    <w:rsid w:val="00714B32"/>
    <w:rsid w:val="00714D31"/>
    <w:rsid w:val="00714DCD"/>
    <w:rsid w:val="0071504E"/>
    <w:rsid w:val="0071508A"/>
    <w:rsid w:val="007150B2"/>
    <w:rsid w:val="007150CA"/>
    <w:rsid w:val="0071517A"/>
    <w:rsid w:val="00715183"/>
    <w:rsid w:val="0071528F"/>
    <w:rsid w:val="007152A2"/>
    <w:rsid w:val="007153A4"/>
    <w:rsid w:val="007153DF"/>
    <w:rsid w:val="00715661"/>
    <w:rsid w:val="00715690"/>
    <w:rsid w:val="007157D0"/>
    <w:rsid w:val="007157EA"/>
    <w:rsid w:val="00715A07"/>
    <w:rsid w:val="00715B27"/>
    <w:rsid w:val="00715B93"/>
    <w:rsid w:val="00715BB1"/>
    <w:rsid w:val="00715C27"/>
    <w:rsid w:val="00715D03"/>
    <w:rsid w:val="00715D64"/>
    <w:rsid w:val="00715DEE"/>
    <w:rsid w:val="00715EEE"/>
    <w:rsid w:val="00716040"/>
    <w:rsid w:val="00716126"/>
    <w:rsid w:val="00716147"/>
    <w:rsid w:val="007161AC"/>
    <w:rsid w:val="007161B4"/>
    <w:rsid w:val="007161E0"/>
    <w:rsid w:val="007161E4"/>
    <w:rsid w:val="007162BC"/>
    <w:rsid w:val="007164F7"/>
    <w:rsid w:val="0071654A"/>
    <w:rsid w:val="007165AC"/>
    <w:rsid w:val="007165DF"/>
    <w:rsid w:val="0071668E"/>
    <w:rsid w:val="007167D4"/>
    <w:rsid w:val="00716828"/>
    <w:rsid w:val="007168CF"/>
    <w:rsid w:val="00716982"/>
    <w:rsid w:val="00716989"/>
    <w:rsid w:val="0071699D"/>
    <w:rsid w:val="007169FA"/>
    <w:rsid w:val="00716A87"/>
    <w:rsid w:val="00716AF8"/>
    <w:rsid w:val="00716B40"/>
    <w:rsid w:val="00716BAD"/>
    <w:rsid w:val="00716C8B"/>
    <w:rsid w:val="00716D55"/>
    <w:rsid w:val="00716F8F"/>
    <w:rsid w:val="00717170"/>
    <w:rsid w:val="007171BD"/>
    <w:rsid w:val="0071723B"/>
    <w:rsid w:val="007172D2"/>
    <w:rsid w:val="007172D3"/>
    <w:rsid w:val="007172FE"/>
    <w:rsid w:val="0071732A"/>
    <w:rsid w:val="00717448"/>
    <w:rsid w:val="0071755F"/>
    <w:rsid w:val="00717587"/>
    <w:rsid w:val="00717800"/>
    <w:rsid w:val="007178B0"/>
    <w:rsid w:val="00717955"/>
    <w:rsid w:val="007179E6"/>
    <w:rsid w:val="00717A15"/>
    <w:rsid w:val="00717A22"/>
    <w:rsid w:val="00717AA4"/>
    <w:rsid w:val="00717B10"/>
    <w:rsid w:val="00717C54"/>
    <w:rsid w:val="00717D3E"/>
    <w:rsid w:val="00717DAB"/>
    <w:rsid w:val="00717E69"/>
    <w:rsid w:val="00717F6A"/>
    <w:rsid w:val="00720103"/>
    <w:rsid w:val="00720143"/>
    <w:rsid w:val="00720336"/>
    <w:rsid w:val="007204AF"/>
    <w:rsid w:val="00720536"/>
    <w:rsid w:val="007206EF"/>
    <w:rsid w:val="007207F9"/>
    <w:rsid w:val="0072088C"/>
    <w:rsid w:val="00720D19"/>
    <w:rsid w:val="00720FC4"/>
    <w:rsid w:val="00721082"/>
    <w:rsid w:val="007212DB"/>
    <w:rsid w:val="00721350"/>
    <w:rsid w:val="007213F3"/>
    <w:rsid w:val="0072140C"/>
    <w:rsid w:val="0072144E"/>
    <w:rsid w:val="007214D2"/>
    <w:rsid w:val="0072169C"/>
    <w:rsid w:val="00721837"/>
    <w:rsid w:val="007218B3"/>
    <w:rsid w:val="00721B05"/>
    <w:rsid w:val="00721B75"/>
    <w:rsid w:val="00721C7D"/>
    <w:rsid w:val="00721D3F"/>
    <w:rsid w:val="00721D47"/>
    <w:rsid w:val="00721D97"/>
    <w:rsid w:val="00721DB2"/>
    <w:rsid w:val="00721E35"/>
    <w:rsid w:val="0072200C"/>
    <w:rsid w:val="0072201A"/>
    <w:rsid w:val="00722075"/>
    <w:rsid w:val="007220CC"/>
    <w:rsid w:val="007221E8"/>
    <w:rsid w:val="0072223F"/>
    <w:rsid w:val="007222AD"/>
    <w:rsid w:val="00722380"/>
    <w:rsid w:val="00722388"/>
    <w:rsid w:val="0072239D"/>
    <w:rsid w:val="007224E0"/>
    <w:rsid w:val="00722639"/>
    <w:rsid w:val="00722659"/>
    <w:rsid w:val="00722750"/>
    <w:rsid w:val="00722807"/>
    <w:rsid w:val="0072285F"/>
    <w:rsid w:val="00722927"/>
    <w:rsid w:val="00722B03"/>
    <w:rsid w:val="00722BAC"/>
    <w:rsid w:val="00722BEB"/>
    <w:rsid w:val="00722D6C"/>
    <w:rsid w:val="00722D95"/>
    <w:rsid w:val="00722DD2"/>
    <w:rsid w:val="00722DDD"/>
    <w:rsid w:val="0072303C"/>
    <w:rsid w:val="007230F3"/>
    <w:rsid w:val="0072324B"/>
    <w:rsid w:val="00723289"/>
    <w:rsid w:val="007233CB"/>
    <w:rsid w:val="0072340E"/>
    <w:rsid w:val="0072344B"/>
    <w:rsid w:val="007234BB"/>
    <w:rsid w:val="0072355D"/>
    <w:rsid w:val="007235C6"/>
    <w:rsid w:val="007235E7"/>
    <w:rsid w:val="007237E8"/>
    <w:rsid w:val="007237FB"/>
    <w:rsid w:val="00723833"/>
    <w:rsid w:val="0072399F"/>
    <w:rsid w:val="007239A7"/>
    <w:rsid w:val="007239BA"/>
    <w:rsid w:val="007239DD"/>
    <w:rsid w:val="00723A23"/>
    <w:rsid w:val="00723AA4"/>
    <w:rsid w:val="00723AC3"/>
    <w:rsid w:val="00723D0E"/>
    <w:rsid w:val="00723E11"/>
    <w:rsid w:val="00723E15"/>
    <w:rsid w:val="00723E87"/>
    <w:rsid w:val="00723EB0"/>
    <w:rsid w:val="00724105"/>
    <w:rsid w:val="0072418F"/>
    <w:rsid w:val="0072419B"/>
    <w:rsid w:val="007241E8"/>
    <w:rsid w:val="00724448"/>
    <w:rsid w:val="007244AC"/>
    <w:rsid w:val="00724520"/>
    <w:rsid w:val="007245FD"/>
    <w:rsid w:val="0072463B"/>
    <w:rsid w:val="007247D0"/>
    <w:rsid w:val="00724893"/>
    <w:rsid w:val="007248A0"/>
    <w:rsid w:val="00724945"/>
    <w:rsid w:val="007249EE"/>
    <w:rsid w:val="00724A7F"/>
    <w:rsid w:val="00724A98"/>
    <w:rsid w:val="00724BA5"/>
    <w:rsid w:val="00724CDD"/>
    <w:rsid w:val="00724D1B"/>
    <w:rsid w:val="00724DA3"/>
    <w:rsid w:val="00724DAD"/>
    <w:rsid w:val="00724DE4"/>
    <w:rsid w:val="00724E2A"/>
    <w:rsid w:val="00724EA7"/>
    <w:rsid w:val="00724F0F"/>
    <w:rsid w:val="00724F4C"/>
    <w:rsid w:val="00724F9E"/>
    <w:rsid w:val="00724FFC"/>
    <w:rsid w:val="007250E2"/>
    <w:rsid w:val="007250E9"/>
    <w:rsid w:val="007251CD"/>
    <w:rsid w:val="00725248"/>
    <w:rsid w:val="00725319"/>
    <w:rsid w:val="00725372"/>
    <w:rsid w:val="00725385"/>
    <w:rsid w:val="00725500"/>
    <w:rsid w:val="0072557F"/>
    <w:rsid w:val="007257B3"/>
    <w:rsid w:val="007258B2"/>
    <w:rsid w:val="0072592A"/>
    <w:rsid w:val="00725A7E"/>
    <w:rsid w:val="00725B72"/>
    <w:rsid w:val="00725C06"/>
    <w:rsid w:val="00725C7C"/>
    <w:rsid w:val="00725D73"/>
    <w:rsid w:val="00725E97"/>
    <w:rsid w:val="00725F1F"/>
    <w:rsid w:val="00725F31"/>
    <w:rsid w:val="00725F6D"/>
    <w:rsid w:val="00726297"/>
    <w:rsid w:val="00726349"/>
    <w:rsid w:val="007263C4"/>
    <w:rsid w:val="0072642B"/>
    <w:rsid w:val="00726496"/>
    <w:rsid w:val="00726551"/>
    <w:rsid w:val="00726558"/>
    <w:rsid w:val="0072666A"/>
    <w:rsid w:val="00726727"/>
    <w:rsid w:val="0072683A"/>
    <w:rsid w:val="00726897"/>
    <w:rsid w:val="007268BB"/>
    <w:rsid w:val="00726A20"/>
    <w:rsid w:val="00726B24"/>
    <w:rsid w:val="00726B42"/>
    <w:rsid w:val="00726BB9"/>
    <w:rsid w:val="00726C66"/>
    <w:rsid w:val="00726D9D"/>
    <w:rsid w:val="00726DFA"/>
    <w:rsid w:val="00726FAB"/>
    <w:rsid w:val="00726FB3"/>
    <w:rsid w:val="00726FCD"/>
    <w:rsid w:val="00726FDC"/>
    <w:rsid w:val="00726FEA"/>
    <w:rsid w:val="00726FF0"/>
    <w:rsid w:val="007270E4"/>
    <w:rsid w:val="0072715A"/>
    <w:rsid w:val="007271D1"/>
    <w:rsid w:val="007273A2"/>
    <w:rsid w:val="0072743E"/>
    <w:rsid w:val="007275EE"/>
    <w:rsid w:val="007277CC"/>
    <w:rsid w:val="007278F6"/>
    <w:rsid w:val="007279DD"/>
    <w:rsid w:val="00727B2E"/>
    <w:rsid w:val="00727B31"/>
    <w:rsid w:val="00727BAC"/>
    <w:rsid w:val="00727C9A"/>
    <w:rsid w:val="00727DCB"/>
    <w:rsid w:val="00727E71"/>
    <w:rsid w:val="00727EBC"/>
    <w:rsid w:val="00730012"/>
    <w:rsid w:val="00730050"/>
    <w:rsid w:val="007302B8"/>
    <w:rsid w:val="007302BD"/>
    <w:rsid w:val="00730343"/>
    <w:rsid w:val="0073034F"/>
    <w:rsid w:val="007303E9"/>
    <w:rsid w:val="0073062A"/>
    <w:rsid w:val="0073064E"/>
    <w:rsid w:val="00730653"/>
    <w:rsid w:val="007306CD"/>
    <w:rsid w:val="00730765"/>
    <w:rsid w:val="007308C4"/>
    <w:rsid w:val="007308FB"/>
    <w:rsid w:val="007309EA"/>
    <w:rsid w:val="00730A1B"/>
    <w:rsid w:val="00730C54"/>
    <w:rsid w:val="00730C81"/>
    <w:rsid w:val="00730D87"/>
    <w:rsid w:val="00730D96"/>
    <w:rsid w:val="00730F8A"/>
    <w:rsid w:val="00730F9A"/>
    <w:rsid w:val="00730FBE"/>
    <w:rsid w:val="00731113"/>
    <w:rsid w:val="00731178"/>
    <w:rsid w:val="007311B1"/>
    <w:rsid w:val="007311F6"/>
    <w:rsid w:val="0073137F"/>
    <w:rsid w:val="00731427"/>
    <w:rsid w:val="00731501"/>
    <w:rsid w:val="007315DE"/>
    <w:rsid w:val="007316FE"/>
    <w:rsid w:val="0073171D"/>
    <w:rsid w:val="00731754"/>
    <w:rsid w:val="0073198A"/>
    <w:rsid w:val="007319CE"/>
    <w:rsid w:val="00731B49"/>
    <w:rsid w:val="00731C00"/>
    <w:rsid w:val="00731C11"/>
    <w:rsid w:val="00731C1E"/>
    <w:rsid w:val="00731D26"/>
    <w:rsid w:val="00731D88"/>
    <w:rsid w:val="00731DA7"/>
    <w:rsid w:val="00731E03"/>
    <w:rsid w:val="00731E22"/>
    <w:rsid w:val="00731E5C"/>
    <w:rsid w:val="00731E8A"/>
    <w:rsid w:val="00731F99"/>
    <w:rsid w:val="0073202A"/>
    <w:rsid w:val="0073231F"/>
    <w:rsid w:val="007323D0"/>
    <w:rsid w:val="0073244C"/>
    <w:rsid w:val="007324D9"/>
    <w:rsid w:val="0073264F"/>
    <w:rsid w:val="007326D9"/>
    <w:rsid w:val="00732834"/>
    <w:rsid w:val="0073288C"/>
    <w:rsid w:val="0073289C"/>
    <w:rsid w:val="00732912"/>
    <w:rsid w:val="0073292E"/>
    <w:rsid w:val="0073295F"/>
    <w:rsid w:val="00732E7A"/>
    <w:rsid w:val="00732E94"/>
    <w:rsid w:val="00732EC5"/>
    <w:rsid w:val="007330EA"/>
    <w:rsid w:val="00733123"/>
    <w:rsid w:val="00733227"/>
    <w:rsid w:val="007332C7"/>
    <w:rsid w:val="00733435"/>
    <w:rsid w:val="007334A4"/>
    <w:rsid w:val="007334BA"/>
    <w:rsid w:val="007334F0"/>
    <w:rsid w:val="0073354A"/>
    <w:rsid w:val="0073354E"/>
    <w:rsid w:val="00733587"/>
    <w:rsid w:val="00733623"/>
    <w:rsid w:val="0073364C"/>
    <w:rsid w:val="0073366F"/>
    <w:rsid w:val="00733676"/>
    <w:rsid w:val="007336A8"/>
    <w:rsid w:val="007337B6"/>
    <w:rsid w:val="007339B5"/>
    <w:rsid w:val="007339BC"/>
    <w:rsid w:val="007339DF"/>
    <w:rsid w:val="00733A41"/>
    <w:rsid w:val="00733A6B"/>
    <w:rsid w:val="00733A87"/>
    <w:rsid w:val="00733AF4"/>
    <w:rsid w:val="00733BC5"/>
    <w:rsid w:val="00733BE1"/>
    <w:rsid w:val="00733C56"/>
    <w:rsid w:val="00733C5C"/>
    <w:rsid w:val="00733CC6"/>
    <w:rsid w:val="00733D15"/>
    <w:rsid w:val="00733D3C"/>
    <w:rsid w:val="00733D5F"/>
    <w:rsid w:val="00733D78"/>
    <w:rsid w:val="00733EA0"/>
    <w:rsid w:val="00733EF9"/>
    <w:rsid w:val="00733F1F"/>
    <w:rsid w:val="00733F69"/>
    <w:rsid w:val="00733FDF"/>
    <w:rsid w:val="00734157"/>
    <w:rsid w:val="007341D1"/>
    <w:rsid w:val="00734246"/>
    <w:rsid w:val="007342D2"/>
    <w:rsid w:val="007343FA"/>
    <w:rsid w:val="00734431"/>
    <w:rsid w:val="007344B8"/>
    <w:rsid w:val="00734550"/>
    <w:rsid w:val="007345F4"/>
    <w:rsid w:val="00734683"/>
    <w:rsid w:val="00734742"/>
    <w:rsid w:val="00734811"/>
    <w:rsid w:val="00734829"/>
    <w:rsid w:val="00734A3E"/>
    <w:rsid w:val="00734A85"/>
    <w:rsid w:val="00734B3F"/>
    <w:rsid w:val="00734B7A"/>
    <w:rsid w:val="00734C44"/>
    <w:rsid w:val="00734C96"/>
    <w:rsid w:val="00734CFF"/>
    <w:rsid w:val="00734DC8"/>
    <w:rsid w:val="00734E8A"/>
    <w:rsid w:val="007350CE"/>
    <w:rsid w:val="00735148"/>
    <w:rsid w:val="007351B1"/>
    <w:rsid w:val="007351B7"/>
    <w:rsid w:val="007352BB"/>
    <w:rsid w:val="00735348"/>
    <w:rsid w:val="0073558B"/>
    <w:rsid w:val="007355E7"/>
    <w:rsid w:val="00735672"/>
    <w:rsid w:val="00735689"/>
    <w:rsid w:val="007356C7"/>
    <w:rsid w:val="00735754"/>
    <w:rsid w:val="00735843"/>
    <w:rsid w:val="007358A2"/>
    <w:rsid w:val="007359B2"/>
    <w:rsid w:val="00735BE3"/>
    <w:rsid w:val="00735C37"/>
    <w:rsid w:val="00735CC1"/>
    <w:rsid w:val="00735DDD"/>
    <w:rsid w:val="00735F10"/>
    <w:rsid w:val="0073603A"/>
    <w:rsid w:val="0073628B"/>
    <w:rsid w:val="00736383"/>
    <w:rsid w:val="007364AF"/>
    <w:rsid w:val="00736604"/>
    <w:rsid w:val="007366CC"/>
    <w:rsid w:val="00736768"/>
    <w:rsid w:val="0073685F"/>
    <w:rsid w:val="007368D3"/>
    <w:rsid w:val="00736A30"/>
    <w:rsid w:val="00736A3E"/>
    <w:rsid w:val="00736A9B"/>
    <w:rsid w:val="00736AE3"/>
    <w:rsid w:val="00736C12"/>
    <w:rsid w:val="00736D30"/>
    <w:rsid w:val="00736E5B"/>
    <w:rsid w:val="00736E8A"/>
    <w:rsid w:val="00736FC9"/>
    <w:rsid w:val="00737082"/>
    <w:rsid w:val="007370E6"/>
    <w:rsid w:val="0073710E"/>
    <w:rsid w:val="0073720A"/>
    <w:rsid w:val="0073742D"/>
    <w:rsid w:val="0073745D"/>
    <w:rsid w:val="007374F5"/>
    <w:rsid w:val="007374F7"/>
    <w:rsid w:val="0073753C"/>
    <w:rsid w:val="00737874"/>
    <w:rsid w:val="007378F7"/>
    <w:rsid w:val="007378FD"/>
    <w:rsid w:val="007378FF"/>
    <w:rsid w:val="0073793E"/>
    <w:rsid w:val="007379EB"/>
    <w:rsid w:val="00737A3B"/>
    <w:rsid w:val="00737A85"/>
    <w:rsid w:val="00737CDB"/>
    <w:rsid w:val="00737E3D"/>
    <w:rsid w:val="00737E4B"/>
    <w:rsid w:val="00737E59"/>
    <w:rsid w:val="00737FA9"/>
    <w:rsid w:val="00740027"/>
    <w:rsid w:val="00740103"/>
    <w:rsid w:val="0074010E"/>
    <w:rsid w:val="00740182"/>
    <w:rsid w:val="00740185"/>
    <w:rsid w:val="007401AF"/>
    <w:rsid w:val="007402D1"/>
    <w:rsid w:val="00740416"/>
    <w:rsid w:val="00740443"/>
    <w:rsid w:val="00740459"/>
    <w:rsid w:val="007404CD"/>
    <w:rsid w:val="00740557"/>
    <w:rsid w:val="007405D5"/>
    <w:rsid w:val="0074061F"/>
    <w:rsid w:val="007407FA"/>
    <w:rsid w:val="00740917"/>
    <w:rsid w:val="00740A1F"/>
    <w:rsid w:val="00740A49"/>
    <w:rsid w:val="00740A9F"/>
    <w:rsid w:val="00740B2C"/>
    <w:rsid w:val="00740B83"/>
    <w:rsid w:val="00740BBC"/>
    <w:rsid w:val="00740D65"/>
    <w:rsid w:val="00740D75"/>
    <w:rsid w:val="00740E17"/>
    <w:rsid w:val="00740F06"/>
    <w:rsid w:val="00740F8E"/>
    <w:rsid w:val="00740F91"/>
    <w:rsid w:val="00740FFE"/>
    <w:rsid w:val="00741037"/>
    <w:rsid w:val="0074136B"/>
    <w:rsid w:val="007413B7"/>
    <w:rsid w:val="0074147B"/>
    <w:rsid w:val="0074149A"/>
    <w:rsid w:val="007414B3"/>
    <w:rsid w:val="007416D1"/>
    <w:rsid w:val="007419A5"/>
    <w:rsid w:val="00741B16"/>
    <w:rsid w:val="00741B1B"/>
    <w:rsid w:val="00741BBA"/>
    <w:rsid w:val="00741D68"/>
    <w:rsid w:val="00741DB4"/>
    <w:rsid w:val="00741E77"/>
    <w:rsid w:val="00741F16"/>
    <w:rsid w:val="00741F55"/>
    <w:rsid w:val="00741F94"/>
    <w:rsid w:val="00742078"/>
    <w:rsid w:val="007421A1"/>
    <w:rsid w:val="007421E8"/>
    <w:rsid w:val="00742318"/>
    <w:rsid w:val="007423BD"/>
    <w:rsid w:val="007426D3"/>
    <w:rsid w:val="007427D2"/>
    <w:rsid w:val="007428C8"/>
    <w:rsid w:val="007429D5"/>
    <w:rsid w:val="007429DF"/>
    <w:rsid w:val="00742A39"/>
    <w:rsid w:val="00742A42"/>
    <w:rsid w:val="00742B10"/>
    <w:rsid w:val="00742B67"/>
    <w:rsid w:val="00742DB7"/>
    <w:rsid w:val="00742DE9"/>
    <w:rsid w:val="00742F06"/>
    <w:rsid w:val="0074312F"/>
    <w:rsid w:val="0074320E"/>
    <w:rsid w:val="007432C2"/>
    <w:rsid w:val="007432F0"/>
    <w:rsid w:val="00743347"/>
    <w:rsid w:val="0074335C"/>
    <w:rsid w:val="00743442"/>
    <w:rsid w:val="007434D2"/>
    <w:rsid w:val="00743667"/>
    <w:rsid w:val="00743A10"/>
    <w:rsid w:val="00743ABA"/>
    <w:rsid w:val="00743AEF"/>
    <w:rsid w:val="00743AF6"/>
    <w:rsid w:val="00743B08"/>
    <w:rsid w:val="00743BCC"/>
    <w:rsid w:val="00743C19"/>
    <w:rsid w:val="00743C1B"/>
    <w:rsid w:val="00743FE7"/>
    <w:rsid w:val="00744008"/>
    <w:rsid w:val="00744081"/>
    <w:rsid w:val="007440DC"/>
    <w:rsid w:val="007441DA"/>
    <w:rsid w:val="00744366"/>
    <w:rsid w:val="007444EB"/>
    <w:rsid w:val="00744667"/>
    <w:rsid w:val="00744706"/>
    <w:rsid w:val="007447B7"/>
    <w:rsid w:val="00744836"/>
    <w:rsid w:val="00744A13"/>
    <w:rsid w:val="00744A2C"/>
    <w:rsid w:val="00744B67"/>
    <w:rsid w:val="00744BDF"/>
    <w:rsid w:val="00744BF0"/>
    <w:rsid w:val="00744CAC"/>
    <w:rsid w:val="00744E9F"/>
    <w:rsid w:val="00744F30"/>
    <w:rsid w:val="0074516E"/>
    <w:rsid w:val="00745177"/>
    <w:rsid w:val="007451A6"/>
    <w:rsid w:val="007451EE"/>
    <w:rsid w:val="00745424"/>
    <w:rsid w:val="00745440"/>
    <w:rsid w:val="007454E0"/>
    <w:rsid w:val="00745552"/>
    <w:rsid w:val="00745690"/>
    <w:rsid w:val="007456C6"/>
    <w:rsid w:val="007456DE"/>
    <w:rsid w:val="007456F6"/>
    <w:rsid w:val="00745714"/>
    <w:rsid w:val="00745743"/>
    <w:rsid w:val="0074582D"/>
    <w:rsid w:val="00745848"/>
    <w:rsid w:val="007458CE"/>
    <w:rsid w:val="00745C20"/>
    <w:rsid w:val="00745CE7"/>
    <w:rsid w:val="00745CF4"/>
    <w:rsid w:val="00745E38"/>
    <w:rsid w:val="00745E63"/>
    <w:rsid w:val="007460AE"/>
    <w:rsid w:val="00746100"/>
    <w:rsid w:val="0074612D"/>
    <w:rsid w:val="00746147"/>
    <w:rsid w:val="007461AE"/>
    <w:rsid w:val="007461EA"/>
    <w:rsid w:val="007463FA"/>
    <w:rsid w:val="007466C1"/>
    <w:rsid w:val="0074674E"/>
    <w:rsid w:val="00746823"/>
    <w:rsid w:val="00746AB2"/>
    <w:rsid w:val="00746BB9"/>
    <w:rsid w:val="00746BE4"/>
    <w:rsid w:val="00746C1E"/>
    <w:rsid w:val="00746CF8"/>
    <w:rsid w:val="00746E2F"/>
    <w:rsid w:val="00746E51"/>
    <w:rsid w:val="00746F76"/>
    <w:rsid w:val="00747050"/>
    <w:rsid w:val="00747096"/>
    <w:rsid w:val="007470CB"/>
    <w:rsid w:val="00747119"/>
    <w:rsid w:val="00747227"/>
    <w:rsid w:val="00747233"/>
    <w:rsid w:val="00747269"/>
    <w:rsid w:val="00747281"/>
    <w:rsid w:val="00747371"/>
    <w:rsid w:val="00747555"/>
    <w:rsid w:val="0074755B"/>
    <w:rsid w:val="00747570"/>
    <w:rsid w:val="007475F6"/>
    <w:rsid w:val="0074772A"/>
    <w:rsid w:val="00747735"/>
    <w:rsid w:val="00747832"/>
    <w:rsid w:val="00747930"/>
    <w:rsid w:val="007479A8"/>
    <w:rsid w:val="00747A17"/>
    <w:rsid w:val="00747A50"/>
    <w:rsid w:val="00747D8C"/>
    <w:rsid w:val="00747F1C"/>
    <w:rsid w:val="0075028C"/>
    <w:rsid w:val="0075037D"/>
    <w:rsid w:val="00750419"/>
    <w:rsid w:val="0075047C"/>
    <w:rsid w:val="007504BA"/>
    <w:rsid w:val="0075050D"/>
    <w:rsid w:val="0075051C"/>
    <w:rsid w:val="00750780"/>
    <w:rsid w:val="00750884"/>
    <w:rsid w:val="007508ED"/>
    <w:rsid w:val="00750937"/>
    <w:rsid w:val="007509CA"/>
    <w:rsid w:val="00750A17"/>
    <w:rsid w:val="00750A7B"/>
    <w:rsid w:val="00750B26"/>
    <w:rsid w:val="00750BA0"/>
    <w:rsid w:val="00750BA8"/>
    <w:rsid w:val="00750C59"/>
    <w:rsid w:val="00750E92"/>
    <w:rsid w:val="00750EF0"/>
    <w:rsid w:val="00750F2E"/>
    <w:rsid w:val="00750FBF"/>
    <w:rsid w:val="00750FD9"/>
    <w:rsid w:val="00751015"/>
    <w:rsid w:val="0075105F"/>
    <w:rsid w:val="007510E0"/>
    <w:rsid w:val="007512DD"/>
    <w:rsid w:val="0075130F"/>
    <w:rsid w:val="007513B8"/>
    <w:rsid w:val="007513BE"/>
    <w:rsid w:val="007513E7"/>
    <w:rsid w:val="00751418"/>
    <w:rsid w:val="00751584"/>
    <w:rsid w:val="007515BA"/>
    <w:rsid w:val="007515BF"/>
    <w:rsid w:val="00751745"/>
    <w:rsid w:val="00751795"/>
    <w:rsid w:val="00751802"/>
    <w:rsid w:val="00751823"/>
    <w:rsid w:val="007519F9"/>
    <w:rsid w:val="00751A36"/>
    <w:rsid w:val="00751AB0"/>
    <w:rsid w:val="00751AF6"/>
    <w:rsid w:val="00751B88"/>
    <w:rsid w:val="00751BF2"/>
    <w:rsid w:val="00751D65"/>
    <w:rsid w:val="00751DFE"/>
    <w:rsid w:val="00751EA9"/>
    <w:rsid w:val="00751F55"/>
    <w:rsid w:val="0075206D"/>
    <w:rsid w:val="00752189"/>
    <w:rsid w:val="007521A3"/>
    <w:rsid w:val="00752252"/>
    <w:rsid w:val="00752319"/>
    <w:rsid w:val="00752321"/>
    <w:rsid w:val="007524E4"/>
    <w:rsid w:val="00752524"/>
    <w:rsid w:val="0075266E"/>
    <w:rsid w:val="0075267A"/>
    <w:rsid w:val="0075277B"/>
    <w:rsid w:val="0075278F"/>
    <w:rsid w:val="007527BB"/>
    <w:rsid w:val="007527CC"/>
    <w:rsid w:val="007528C7"/>
    <w:rsid w:val="007529D5"/>
    <w:rsid w:val="007529E0"/>
    <w:rsid w:val="00752A07"/>
    <w:rsid w:val="00752AC3"/>
    <w:rsid w:val="00752C3A"/>
    <w:rsid w:val="00752C5A"/>
    <w:rsid w:val="00752DB5"/>
    <w:rsid w:val="00752DE5"/>
    <w:rsid w:val="00752E6C"/>
    <w:rsid w:val="00752ED4"/>
    <w:rsid w:val="00752F4A"/>
    <w:rsid w:val="00752F51"/>
    <w:rsid w:val="00753009"/>
    <w:rsid w:val="0075307E"/>
    <w:rsid w:val="007530A6"/>
    <w:rsid w:val="007531A4"/>
    <w:rsid w:val="007531F3"/>
    <w:rsid w:val="00753274"/>
    <w:rsid w:val="007532C0"/>
    <w:rsid w:val="007532C6"/>
    <w:rsid w:val="0075330D"/>
    <w:rsid w:val="00753355"/>
    <w:rsid w:val="007533A4"/>
    <w:rsid w:val="00753427"/>
    <w:rsid w:val="007534A0"/>
    <w:rsid w:val="007535AF"/>
    <w:rsid w:val="007535F5"/>
    <w:rsid w:val="00753635"/>
    <w:rsid w:val="007536BC"/>
    <w:rsid w:val="00753751"/>
    <w:rsid w:val="00753848"/>
    <w:rsid w:val="0075385D"/>
    <w:rsid w:val="00753905"/>
    <w:rsid w:val="0075390C"/>
    <w:rsid w:val="00753975"/>
    <w:rsid w:val="00753AB2"/>
    <w:rsid w:val="00753B41"/>
    <w:rsid w:val="00753C0E"/>
    <w:rsid w:val="00753C14"/>
    <w:rsid w:val="00753D8D"/>
    <w:rsid w:val="00753DE0"/>
    <w:rsid w:val="00753DFE"/>
    <w:rsid w:val="00753E74"/>
    <w:rsid w:val="00753EB0"/>
    <w:rsid w:val="00753F32"/>
    <w:rsid w:val="00753FBE"/>
    <w:rsid w:val="00753FE6"/>
    <w:rsid w:val="00754097"/>
    <w:rsid w:val="007540B7"/>
    <w:rsid w:val="00754166"/>
    <w:rsid w:val="007541C5"/>
    <w:rsid w:val="00754253"/>
    <w:rsid w:val="007543CA"/>
    <w:rsid w:val="00754417"/>
    <w:rsid w:val="00754665"/>
    <w:rsid w:val="00754723"/>
    <w:rsid w:val="007547A6"/>
    <w:rsid w:val="007547A9"/>
    <w:rsid w:val="0075484F"/>
    <w:rsid w:val="0075485F"/>
    <w:rsid w:val="00754A57"/>
    <w:rsid w:val="00754A9D"/>
    <w:rsid w:val="00754ABE"/>
    <w:rsid w:val="00754B5D"/>
    <w:rsid w:val="00754BB5"/>
    <w:rsid w:val="00754BDC"/>
    <w:rsid w:val="00754D1A"/>
    <w:rsid w:val="00754D85"/>
    <w:rsid w:val="00754DA6"/>
    <w:rsid w:val="00754E30"/>
    <w:rsid w:val="00754E3C"/>
    <w:rsid w:val="0075502D"/>
    <w:rsid w:val="007550A9"/>
    <w:rsid w:val="0075511F"/>
    <w:rsid w:val="0075519A"/>
    <w:rsid w:val="007551F0"/>
    <w:rsid w:val="00755200"/>
    <w:rsid w:val="007553C2"/>
    <w:rsid w:val="00755553"/>
    <w:rsid w:val="007555F4"/>
    <w:rsid w:val="00755716"/>
    <w:rsid w:val="007557BC"/>
    <w:rsid w:val="0075583E"/>
    <w:rsid w:val="0075599C"/>
    <w:rsid w:val="00755A3A"/>
    <w:rsid w:val="00755AAD"/>
    <w:rsid w:val="00755B74"/>
    <w:rsid w:val="00755C3A"/>
    <w:rsid w:val="00755D5E"/>
    <w:rsid w:val="00755D6F"/>
    <w:rsid w:val="00755DBC"/>
    <w:rsid w:val="00755E2D"/>
    <w:rsid w:val="00755E39"/>
    <w:rsid w:val="00755EBA"/>
    <w:rsid w:val="00755F2E"/>
    <w:rsid w:val="00755F96"/>
    <w:rsid w:val="00755FEB"/>
    <w:rsid w:val="0075606A"/>
    <w:rsid w:val="007560C3"/>
    <w:rsid w:val="007560D4"/>
    <w:rsid w:val="007562E3"/>
    <w:rsid w:val="0075632D"/>
    <w:rsid w:val="00756391"/>
    <w:rsid w:val="0075645C"/>
    <w:rsid w:val="00756506"/>
    <w:rsid w:val="00756651"/>
    <w:rsid w:val="00756691"/>
    <w:rsid w:val="00756754"/>
    <w:rsid w:val="00756808"/>
    <w:rsid w:val="00756812"/>
    <w:rsid w:val="00756849"/>
    <w:rsid w:val="00756939"/>
    <w:rsid w:val="00756991"/>
    <w:rsid w:val="00756ABB"/>
    <w:rsid w:val="00756C06"/>
    <w:rsid w:val="00756D86"/>
    <w:rsid w:val="00756DCF"/>
    <w:rsid w:val="00756EFE"/>
    <w:rsid w:val="007570C6"/>
    <w:rsid w:val="007570D5"/>
    <w:rsid w:val="007570E1"/>
    <w:rsid w:val="00757212"/>
    <w:rsid w:val="00757243"/>
    <w:rsid w:val="00757284"/>
    <w:rsid w:val="0075737D"/>
    <w:rsid w:val="007573ED"/>
    <w:rsid w:val="00757465"/>
    <w:rsid w:val="007574AF"/>
    <w:rsid w:val="0075772F"/>
    <w:rsid w:val="007577C9"/>
    <w:rsid w:val="007577E7"/>
    <w:rsid w:val="0075786F"/>
    <w:rsid w:val="007578D4"/>
    <w:rsid w:val="0075793A"/>
    <w:rsid w:val="00757A9F"/>
    <w:rsid w:val="00757B86"/>
    <w:rsid w:val="00757D45"/>
    <w:rsid w:val="00757DAB"/>
    <w:rsid w:val="0076000B"/>
    <w:rsid w:val="007600C3"/>
    <w:rsid w:val="0076015B"/>
    <w:rsid w:val="007601E2"/>
    <w:rsid w:val="00760269"/>
    <w:rsid w:val="00760282"/>
    <w:rsid w:val="0076038A"/>
    <w:rsid w:val="007604D5"/>
    <w:rsid w:val="007605E1"/>
    <w:rsid w:val="00760630"/>
    <w:rsid w:val="007606B9"/>
    <w:rsid w:val="007607AB"/>
    <w:rsid w:val="00760826"/>
    <w:rsid w:val="007608A3"/>
    <w:rsid w:val="007608DC"/>
    <w:rsid w:val="0076097B"/>
    <w:rsid w:val="00760A7C"/>
    <w:rsid w:val="00760AFB"/>
    <w:rsid w:val="00760C3C"/>
    <w:rsid w:val="00760D49"/>
    <w:rsid w:val="00760DCF"/>
    <w:rsid w:val="00760F0C"/>
    <w:rsid w:val="007610EE"/>
    <w:rsid w:val="0076120F"/>
    <w:rsid w:val="00761260"/>
    <w:rsid w:val="0076138D"/>
    <w:rsid w:val="00761580"/>
    <w:rsid w:val="007615A4"/>
    <w:rsid w:val="007615E4"/>
    <w:rsid w:val="0076162F"/>
    <w:rsid w:val="0076163E"/>
    <w:rsid w:val="00761711"/>
    <w:rsid w:val="00761886"/>
    <w:rsid w:val="007619A5"/>
    <w:rsid w:val="00761A25"/>
    <w:rsid w:val="00761A5D"/>
    <w:rsid w:val="00761ACF"/>
    <w:rsid w:val="00761C73"/>
    <w:rsid w:val="00761D37"/>
    <w:rsid w:val="00761D41"/>
    <w:rsid w:val="00761D9D"/>
    <w:rsid w:val="00761E0F"/>
    <w:rsid w:val="00761EB0"/>
    <w:rsid w:val="00761EC2"/>
    <w:rsid w:val="00761ED7"/>
    <w:rsid w:val="00761FF0"/>
    <w:rsid w:val="0076207F"/>
    <w:rsid w:val="007620B3"/>
    <w:rsid w:val="007620C7"/>
    <w:rsid w:val="007620D7"/>
    <w:rsid w:val="007620E1"/>
    <w:rsid w:val="00762151"/>
    <w:rsid w:val="00762184"/>
    <w:rsid w:val="0076219C"/>
    <w:rsid w:val="00762268"/>
    <w:rsid w:val="00762391"/>
    <w:rsid w:val="00762449"/>
    <w:rsid w:val="0076256B"/>
    <w:rsid w:val="00762678"/>
    <w:rsid w:val="007626F8"/>
    <w:rsid w:val="00762714"/>
    <w:rsid w:val="0076274B"/>
    <w:rsid w:val="007627DA"/>
    <w:rsid w:val="00762828"/>
    <w:rsid w:val="00762894"/>
    <w:rsid w:val="007628D2"/>
    <w:rsid w:val="007628D8"/>
    <w:rsid w:val="007628F4"/>
    <w:rsid w:val="00762AF2"/>
    <w:rsid w:val="00762AF5"/>
    <w:rsid w:val="00762BB4"/>
    <w:rsid w:val="00762BD7"/>
    <w:rsid w:val="00762C37"/>
    <w:rsid w:val="00762CA1"/>
    <w:rsid w:val="00762D1F"/>
    <w:rsid w:val="00762DD0"/>
    <w:rsid w:val="00762E15"/>
    <w:rsid w:val="00762E77"/>
    <w:rsid w:val="00762F5F"/>
    <w:rsid w:val="0076300A"/>
    <w:rsid w:val="00763062"/>
    <w:rsid w:val="00763306"/>
    <w:rsid w:val="0076338D"/>
    <w:rsid w:val="0076345E"/>
    <w:rsid w:val="0076347D"/>
    <w:rsid w:val="00763572"/>
    <w:rsid w:val="007636C5"/>
    <w:rsid w:val="0076374E"/>
    <w:rsid w:val="007637A6"/>
    <w:rsid w:val="00763873"/>
    <w:rsid w:val="0076396F"/>
    <w:rsid w:val="007639D5"/>
    <w:rsid w:val="00763A41"/>
    <w:rsid w:val="00763A8E"/>
    <w:rsid w:val="00763D07"/>
    <w:rsid w:val="00763D74"/>
    <w:rsid w:val="00763DEC"/>
    <w:rsid w:val="00763DEE"/>
    <w:rsid w:val="00763EAE"/>
    <w:rsid w:val="00763F0D"/>
    <w:rsid w:val="0076404D"/>
    <w:rsid w:val="00764061"/>
    <w:rsid w:val="007640AB"/>
    <w:rsid w:val="0076413C"/>
    <w:rsid w:val="007641CD"/>
    <w:rsid w:val="007641FB"/>
    <w:rsid w:val="0076421C"/>
    <w:rsid w:val="0076432D"/>
    <w:rsid w:val="007644F6"/>
    <w:rsid w:val="00764644"/>
    <w:rsid w:val="0076466B"/>
    <w:rsid w:val="007646AD"/>
    <w:rsid w:val="00764916"/>
    <w:rsid w:val="00764ACD"/>
    <w:rsid w:val="00764B55"/>
    <w:rsid w:val="00764BD4"/>
    <w:rsid w:val="00764E16"/>
    <w:rsid w:val="00764EC2"/>
    <w:rsid w:val="00764F16"/>
    <w:rsid w:val="00764F3A"/>
    <w:rsid w:val="00764F62"/>
    <w:rsid w:val="007650E1"/>
    <w:rsid w:val="007651B4"/>
    <w:rsid w:val="007651D8"/>
    <w:rsid w:val="0076528E"/>
    <w:rsid w:val="007652E4"/>
    <w:rsid w:val="007653CE"/>
    <w:rsid w:val="00765472"/>
    <w:rsid w:val="00765484"/>
    <w:rsid w:val="007654BD"/>
    <w:rsid w:val="00765662"/>
    <w:rsid w:val="0076569F"/>
    <w:rsid w:val="007656DD"/>
    <w:rsid w:val="007657B1"/>
    <w:rsid w:val="007657D6"/>
    <w:rsid w:val="00765869"/>
    <w:rsid w:val="007658FA"/>
    <w:rsid w:val="00765AE3"/>
    <w:rsid w:val="00765AEA"/>
    <w:rsid w:val="00765C0C"/>
    <w:rsid w:val="00765C91"/>
    <w:rsid w:val="00765D05"/>
    <w:rsid w:val="00765EB0"/>
    <w:rsid w:val="00765EC7"/>
    <w:rsid w:val="00765F7D"/>
    <w:rsid w:val="00766264"/>
    <w:rsid w:val="0076636B"/>
    <w:rsid w:val="007663DB"/>
    <w:rsid w:val="007664D3"/>
    <w:rsid w:val="007664D6"/>
    <w:rsid w:val="0076658E"/>
    <w:rsid w:val="007665EC"/>
    <w:rsid w:val="007666E4"/>
    <w:rsid w:val="00766713"/>
    <w:rsid w:val="00766802"/>
    <w:rsid w:val="00766937"/>
    <w:rsid w:val="00766AAB"/>
    <w:rsid w:val="00766AF3"/>
    <w:rsid w:val="00766B72"/>
    <w:rsid w:val="00766B91"/>
    <w:rsid w:val="00766CAF"/>
    <w:rsid w:val="00766CD3"/>
    <w:rsid w:val="00766D64"/>
    <w:rsid w:val="00766E13"/>
    <w:rsid w:val="00766EEE"/>
    <w:rsid w:val="00766FF8"/>
    <w:rsid w:val="007671AA"/>
    <w:rsid w:val="007671BD"/>
    <w:rsid w:val="00767256"/>
    <w:rsid w:val="007672EA"/>
    <w:rsid w:val="00767573"/>
    <w:rsid w:val="00767575"/>
    <w:rsid w:val="00767676"/>
    <w:rsid w:val="007678BC"/>
    <w:rsid w:val="007679F4"/>
    <w:rsid w:val="00767B6D"/>
    <w:rsid w:val="00767BCC"/>
    <w:rsid w:val="00767D29"/>
    <w:rsid w:val="00767D95"/>
    <w:rsid w:val="00767DA7"/>
    <w:rsid w:val="00767DAE"/>
    <w:rsid w:val="00767E29"/>
    <w:rsid w:val="00770023"/>
    <w:rsid w:val="007700FB"/>
    <w:rsid w:val="007701B7"/>
    <w:rsid w:val="00770347"/>
    <w:rsid w:val="0077060D"/>
    <w:rsid w:val="00770649"/>
    <w:rsid w:val="007706FF"/>
    <w:rsid w:val="00770750"/>
    <w:rsid w:val="00770807"/>
    <w:rsid w:val="00770842"/>
    <w:rsid w:val="00770A04"/>
    <w:rsid w:val="00770A6D"/>
    <w:rsid w:val="00770A70"/>
    <w:rsid w:val="00770AC7"/>
    <w:rsid w:val="00770B3D"/>
    <w:rsid w:val="00770B9E"/>
    <w:rsid w:val="00770BE5"/>
    <w:rsid w:val="00770C67"/>
    <w:rsid w:val="00770C96"/>
    <w:rsid w:val="00770D40"/>
    <w:rsid w:val="00770D51"/>
    <w:rsid w:val="00770DB0"/>
    <w:rsid w:val="00770EAA"/>
    <w:rsid w:val="00770EAC"/>
    <w:rsid w:val="00771000"/>
    <w:rsid w:val="007710DE"/>
    <w:rsid w:val="0077112D"/>
    <w:rsid w:val="00771199"/>
    <w:rsid w:val="007711BA"/>
    <w:rsid w:val="00771261"/>
    <w:rsid w:val="00771360"/>
    <w:rsid w:val="0077179C"/>
    <w:rsid w:val="00771834"/>
    <w:rsid w:val="007718C8"/>
    <w:rsid w:val="007718E6"/>
    <w:rsid w:val="00771945"/>
    <w:rsid w:val="007719CD"/>
    <w:rsid w:val="00771A6D"/>
    <w:rsid w:val="00771AB3"/>
    <w:rsid w:val="00771B21"/>
    <w:rsid w:val="00771D5C"/>
    <w:rsid w:val="00771D75"/>
    <w:rsid w:val="00771DD6"/>
    <w:rsid w:val="00771E0B"/>
    <w:rsid w:val="0077202C"/>
    <w:rsid w:val="0077203C"/>
    <w:rsid w:val="00772071"/>
    <w:rsid w:val="0077218E"/>
    <w:rsid w:val="007721E4"/>
    <w:rsid w:val="0077221C"/>
    <w:rsid w:val="0077222A"/>
    <w:rsid w:val="007722B9"/>
    <w:rsid w:val="007724B5"/>
    <w:rsid w:val="0077250E"/>
    <w:rsid w:val="007726C5"/>
    <w:rsid w:val="007726FA"/>
    <w:rsid w:val="00772722"/>
    <w:rsid w:val="00772747"/>
    <w:rsid w:val="00772752"/>
    <w:rsid w:val="0077284E"/>
    <w:rsid w:val="007728A7"/>
    <w:rsid w:val="007729C7"/>
    <w:rsid w:val="007729DB"/>
    <w:rsid w:val="00772A60"/>
    <w:rsid w:val="00772C2C"/>
    <w:rsid w:val="00772C31"/>
    <w:rsid w:val="00772C9A"/>
    <w:rsid w:val="00772D84"/>
    <w:rsid w:val="00772DBF"/>
    <w:rsid w:val="00772E55"/>
    <w:rsid w:val="00772F6A"/>
    <w:rsid w:val="00772FAB"/>
    <w:rsid w:val="00772FCE"/>
    <w:rsid w:val="00773015"/>
    <w:rsid w:val="0077312F"/>
    <w:rsid w:val="007731F8"/>
    <w:rsid w:val="007732B7"/>
    <w:rsid w:val="007732BA"/>
    <w:rsid w:val="0077340F"/>
    <w:rsid w:val="00773505"/>
    <w:rsid w:val="007735FE"/>
    <w:rsid w:val="00773611"/>
    <w:rsid w:val="00773695"/>
    <w:rsid w:val="007738AD"/>
    <w:rsid w:val="00773996"/>
    <w:rsid w:val="007739A4"/>
    <w:rsid w:val="00773A4C"/>
    <w:rsid w:val="00773CD1"/>
    <w:rsid w:val="00773D1E"/>
    <w:rsid w:val="00773D48"/>
    <w:rsid w:val="00773D5E"/>
    <w:rsid w:val="00773DB5"/>
    <w:rsid w:val="00773EB3"/>
    <w:rsid w:val="00773F62"/>
    <w:rsid w:val="00773F64"/>
    <w:rsid w:val="00774007"/>
    <w:rsid w:val="007740CD"/>
    <w:rsid w:val="0077430F"/>
    <w:rsid w:val="00774322"/>
    <w:rsid w:val="0077443D"/>
    <w:rsid w:val="007745B5"/>
    <w:rsid w:val="00774607"/>
    <w:rsid w:val="00774948"/>
    <w:rsid w:val="00774AEC"/>
    <w:rsid w:val="00774C17"/>
    <w:rsid w:val="00774C22"/>
    <w:rsid w:val="00774C6C"/>
    <w:rsid w:val="00774DE4"/>
    <w:rsid w:val="00774E80"/>
    <w:rsid w:val="00774F0B"/>
    <w:rsid w:val="00774F2A"/>
    <w:rsid w:val="00774F9F"/>
    <w:rsid w:val="00774FF7"/>
    <w:rsid w:val="007750BC"/>
    <w:rsid w:val="00775116"/>
    <w:rsid w:val="00775155"/>
    <w:rsid w:val="007751B1"/>
    <w:rsid w:val="007751C9"/>
    <w:rsid w:val="007751E0"/>
    <w:rsid w:val="00775213"/>
    <w:rsid w:val="0077538F"/>
    <w:rsid w:val="0077562D"/>
    <w:rsid w:val="007757CE"/>
    <w:rsid w:val="007758DC"/>
    <w:rsid w:val="007758EA"/>
    <w:rsid w:val="0077591D"/>
    <w:rsid w:val="00775B0F"/>
    <w:rsid w:val="00775BE7"/>
    <w:rsid w:val="00775DA2"/>
    <w:rsid w:val="00775EAF"/>
    <w:rsid w:val="007760BE"/>
    <w:rsid w:val="007760BF"/>
    <w:rsid w:val="00776177"/>
    <w:rsid w:val="00776220"/>
    <w:rsid w:val="007765DF"/>
    <w:rsid w:val="00776610"/>
    <w:rsid w:val="0077669E"/>
    <w:rsid w:val="00776701"/>
    <w:rsid w:val="00776702"/>
    <w:rsid w:val="00776988"/>
    <w:rsid w:val="007769B7"/>
    <w:rsid w:val="00776AA2"/>
    <w:rsid w:val="00776AFE"/>
    <w:rsid w:val="00776B27"/>
    <w:rsid w:val="00776BF6"/>
    <w:rsid w:val="00776C31"/>
    <w:rsid w:val="00776C7D"/>
    <w:rsid w:val="00776CEF"/>
    <w:rsid w:val="00776DEC"/>
    <w:rsid w:val="00776E71"/>
    <w:rsid w:val="00776ED3"/>
    <w:rsid w:val="00776FC8"/>
    <w:rsid w:val="00777041"/>
    <w:rsid w:val="0077724D"/>
    <w:rsid w:val="0077739D"/>
    <w:rsid w:val="007773AD"/>
    <w:rsid w:val="007773D6"/>
    <w:rsid w:val="0077755D"/>
    <w:rsid w:val="0077757B"/>
    <w:rsid w:val="007775FB"/>
    <w:rsid w:val="00777674"/>
    <w:rsid w:val="007777AC"/>
    <w:rsid w:val="0077785F"/>
    <w:rsid w:val="00777880"/>
    <w:rsid w:val="007778DB"/>
    <w:rsid w:val="007778DC"/>
    <w:rsid w:val="007779E4"/>
    <w:rsid w:val="00777A26"/>
    <w:rsid w:val="00777BEC"/>
    <w:rsid w:val="00777C7B"/>
    <w:rsid w:val="00777D22"/>
    <w:rsid w:val="00777E31"/>
    <w:rsid w:val="00777EDE"/>
    <w:rsid w:val="00777EFC"/>
    <w:rsid w:val="00777F7A"/>
    <w:rsid w:val="00777FA5"/>
    <w:rsid w:val="00780121"/>
    <w:rsid w:val="00780241"/>
    <w:rsid w:val="00780247"/>
    <w:rsid w:val="00780396"/>
    <w:rsid w:val="007803B7"/>
    <w:rsid w:val="0078043D"/>
    <w:rsid w:val="00780594"/>
    <w:rsid w:val="007807B9"/>
    <w:rsid w:val="00780860"/>
    <w:rsid w:val="007809FA"/>
    <w:rsid w:val="00780AEF"/>
    <w:rsid w:val="00780B7B"/>
    <w:rsid w:val="00780CB9"/>
    <w:rsid w:val="00780D0B"/>
    <w:rsid w:val="00780DA1"/>
    <w:rsid w:val="00780DCA"/>
    <w:rsid w:val="00780E09"/>
    <w:rsid w:val="00780E7C"/>
    <w:rsid w:val="00780EB0"/>
    <w:rsid w:val="00780ECD"/>
    <w:rsid w:val="00780F05"/>
    <w:rsid w:val="00780F59"/>
    <w:rsid w:val="00780F60"/>
    <w:rsid w:val="00781110"/>
    <w:rsid w:val="00781244"/>
    <w:rsid w:val="0078130A"/>
    <w:rsid w:val="007813A3"/>
    <w:rsid w:val="00781444"/>
    <w:rsid w:val="0078146F"/>
    <w:rsid w:val="00781619"/>
    <w:rsid w:val="0078164E"/>
    <w:rsid w:val="007816F7"/>
    <w:rsid w:val="00781754"/>
    <w:rsid w:val="007817D9"/>
    <w:rsid w:val="00781A34"/>
    <w:rsid w:val="00781A37"/>
    <w:rsid w:val="00781AAB"/>
    <w:rsid w:val="00781B07"/>
    <w:rsid w:val="00781B4A"/>
    <w:rsid w:val="00781D6A"/>
    <w:rsid w:val="00781D74"/>
    <w:rsid w:val="00781D76"/>
    <w:rsid w:val="00781D8B"/>
    <w:rsid w:val="00781D90"/>
    <w:rsid w:val="00781E30"/>
    <w:rsid w:val="00781E4B"/>
    <w:rsid w:val="00781E6B"/>
    <w:rsid w:val="00781E9B"/>
    <w:rsid w:val="00781F3C"/>
    <w:rsid w:val="00782036"/>
    <w:rsid w:val="00782080"/>
    <w:rsid w:val="007820F8"/>
    <w:rsid w:val="007821D0"/>
    <w:rsid w:val="007821DC"/>
    <w:rsid w:val="00782269"/>
    <w:rsid w:val="007822B6"/>
    <w:rsid w:val="007823D0"/>
    <w:rsid w:val="00782503"/>
    <w:rsid w:val="00782595"/>
    <w:rsid w:val="007825E4"/>
    <w:rsid w:val="007825FA"/>
    <w:rsid w:val="00782646"/>
    <w:rsid w:val="00782647"/>
    <w:rsid w:val="007826AC"/>
    <w:rsid w:val="00782749"/>
    <w:rsid w:val="007827BC"/>
    <w:rsid w:val="007827DB"/>
    <w:rsid w:val="007827E0"/>
    <w:rsid w:val="00782959"/>
    <w:rsid w:val="00782AC4"/>
    <w:rsid w:val="00782CA5"/>
    <w:rsid w:val="00782F3D"/>
    <w:rsid w:val="00782FDA"/>
    <w:rsid w:val="0078303D"/>
    <w:rsid w:val="007830C4"/>
    <w:rsid w:val="0078317D"/>
    <w:rsid w:val="0078321E"/>
    <w:rsid w:val="007833DE"/>
    <w:rsid w:val="00783714"/>
    <w:rsid w:val="00783988"/>
    <w:rsid w:val="00783A32"/>
    <w:rsid w:val="00783A95"/>
    <w:rsid w:val="00783C00"/>
    <w:rsid w:val="00783DCA"/>
    <w:rsid w:val="00783DE9"/>
    <w:rsid w:val="00783E59"/>
    <w:rsid w:val="00783EDC"/>
    <w:rsid w:val="00783F13"/>
    <w:rsid w:val="00783FA7"/>
    <w:rsid w:val="00783FB1"/>
    <w:rsid w:val="00783FCD"/>
    <w:rsid w:val="00783FDD"/>
    <w:rsid w:val="00784255"/>
    <w:rsid w:val="00784368"/>
    <w:rsid w:val="007843B2"/>
    <w:rsid w:val="007843F2"/>
    <w:rsid w:val="0078448F"/>
    <w:rsid w:val="00784642"/>
    <w:rsid w:val="00784657"/>
    <w:rsid w:val="0078468D"/>
    <w:rsid w:val="007846A8"/>
    <w:rsid w:val="007846CC"/>
    <w:rsid w:val="00784772"/>
    <w:rsid w:val="00784827"/>
    <w:rsid w:val="0078498B"/>
    <w:rsid w:val="00784B1B"/>
    <w:rsid w:val="00784D25"/>
    <w:rsid w:val="00784F4D"/>
    <w:rsid w:val="00785158"/>
    <w:rsid w:val="00785206"/>
    <w:rsid w:val="007853DE"/>
    <w:rsid w:val="0078546A"/>
    <w:rsid w:val="0078549F"/>
    <w:rsid w:val="00785557"/>
    <w:rsid w:val="00785633"/>
    <w:rsid w:val="007857DE"/>
    <w:rsid w:val="0078582E"/>
    <w:rsid w:val="0078586C"/>
    <w:rsid w:val="0078587A"/>
    <w:rsid w:val="007858AD"/>
    <w:rsid w:val="00785A0B"/>
    <w:rsid w:val="00785A46"/>
    <w:rsid w:val="00785AEE"/>
    <w:rsid w:val="00785AFC"/>
    <w:rsid w:val="00785B94"/>
    <w:rsid w:val="00785BE2"/>
    <w:rsid w:val="00785D2A"/>
    <w:rsid w:val="00785D64"/>
    <w:rsid w:val="00785E88"/>
    <w:rsid w:val="00785FB8"/>
    <w:rsid w:val="0078602E"/>
    <w:rsid w:val="00786072"/>
    <w:rsid w:val="0078608D"/>
    <w:rsid w:val="00786238"/>
    <w:rsid w:val="0078645B"/>
    <w:rsid w:val="007864C0"/>
    <w:rsid w:val="0078656D"/>
    <w:rsid w:val="0078668D"/>
    <w:rsid w:val="00786690"/>
    <w:rsid w:val="007866F6"/>
    <w:rsid w:val="0078685F"/>
    <w:rsid w:val="00786983"/>
    <w:rsid w:val="007869B3"/>
    <w:rsid w:val="00786A35"/>
    <w:rsid w:val="00786B05"/>
    <w:rsid w:val="00786B07"/>
    <w:rsid w:val="00786B6A"/>
    <w:rsid w:val="00786BD0"/>
    <w:rsid w:val="00786C01"/>
    <w:rsid w:val="00786C17"/>
    <w:rsid w:val="00786E2A"/>
    <w:rsid w:val="00786EE1"/>
    <w:rsid w:val="00786EE4"/>
    <w:rsid w:val="00786F2A"/>
    <w:rsid w:val="0078701D"/>
    <w:rsid w:val="0078702B"/>
    <w:rsid w:val="0078708C"/>
    <w:rsid w:val="007870BB"/>
    <w:rsid w:val="007874D1"/>
    <w:rsid w:val="0078751F"/>
    <w:rsid w:val="00787533"/>
    <w:rsid w:val="007876B9"/>
    <w:rsid w:val="0078782D"/>
    <w:rsid w:val="007878B3"/>
    <w:rsid w:val="0078795E"/>
    <w:rsid w:val="00787A0C"/>
    <w:rsid w:val="00787B8C"/>
    <w:rsid w:val="00787D7B"/>
    <w:rsid w:val="00787EC6"/>
    <w:rsid w:val="00787F82"/>
    <w:rsid w:val="00790028"/>
    <w:rsid w:val="007902D8"/>
    <w:rsid w:val="0079031A"/>
    <w:rsid w:val="0079059E"/>
    <w:rsid w:val="007905C0"/>
    <w:rsid w:val="007905E1"/>
    <w:rsid w:val="007905E6"/>
    <w:rsid w:val="00790640"/>
    <w:rsid w:val="007906A5"/>
    <w:rsid w:val="00790825"/>
    <w:rsid w:val="007909CB"/>
    <w:rsid w:val="00790BBB"/>
    <w:rsid w:val="00790C1C"/>
    <w:rsid w:val="00790CB6"/>
    <w:rsid w:val="00790CFC"/>
    <w:rsid w:val="00790D57"/>
    <w:rsid w:val="00790EE4"/>
    <w:rsid w:val="007910DA"/>
    <w:rsid w:val="007910E7"/>
    <w:rsid w:val="0079115C"/>
    <w:rsid w:val="007911EE"/>
    <w:rsid w:val="007912A9"/>
    <w:rsid w:val="00791312"/>
    <w:rsid w:val="00791331"/>
    <w:rsid w:val="00791340"/>
    <w:rsid w:val="0079149C"/>
    <w:rsid w:val="00791606"/>
    <w:rsid w:val="00791813"/>
    <w:rsid w:val="0079181F"/>
    <w:rsid w:val="0079195C"/>
    <w:rsid w:val="00791B00"/>
    <w:rsid w:val="00791B5C"/>
    <w:rsid w:val="00791D92"/>
    <w:rsid w:val="00791DD7"/>
    <w:rsid w:val="00791EB8"/>
    <w:rsid w:val="00791F2B"/>
    <w:rsid w:val="00791F44"/>
    <w:rsid w:val="00791F9B"/>
    <w:rsid w:val="00791FFC"/>
    <w:rsid w:val="00792184"/>
    <w:rsid w:val="00792191"/>
    <w:rsid w:val="007922FC"/>
    <w:rsid w:val="00792373"/>
    <w:rsid w:val="0079237B"/>
    <w:rsid w:val="0079237F"/>
    <w:rsid w:val="00792428"/>
    <w:rsid w:val="0079242F"/>
    <w:rsid w:val="0079243E"/>
    <w:rsid w:val="00792472"/>
    <w:rsid w:val="00792514"/>
    <w:rsid w:val="00792694"/>
    <w:rsid w:val="007927EE"/>
    <w:rsid w:val="0079296F"/>
    <w:rsid w:val="00792BF3"/>
    <w:rsid w:val="00792CEF"/>
    <w:rsid w:val="00792D62"/>
    <w:rsid w:val="00792D72"/>
    <w:rsid w:val="00792E65"/>
    <w:rsid w:val="00792E6B"/>
    <w:rsid w:val="00792F22"/>
    <w:rsid w:val="00792FC4"/>
    <w:rsid w:val="00792FC9"/>
    <w:rsid w:val="0079306B"/>
    <w:rsid w:val="00793157"/>
    <w:rsid w:val="007931F5"/>
    <w:rsid w:val="00793311"/>
    <w:rsid w:val="007933D1"/>
    <w:rsid w:val="00793437"/>
    <w:rsid w:val="00793540"/>
    <w:rsid w:val="00793560"/>
    <w:rsid w:val="0079359B"/>
    <w:rsid w:val="007935A4"/>
    <w:rsid w:val="0079361B"/>
    <w:rsid w:val="00793622"/>
    <w:rsid w:val="007936FF"/>
    <w:rsid w:val="0079371E"/>
    <w:rsid w:val="00793759"/>
    <w:rsid w:val="0079379D"/>
    <w:rsid w:val="0079383D"/>
    <w:rsid w:val="007939D1"/>
    <w:rsid w:val="00793B7A"/>
    <w:rsid w:val="00793C98"/>
    <w:rsid w:val="00793D6E"/>
    <w:rsid w:val="00793E4F"/>
    <w:rsid w:val="00793E85"/>
    <w:rsid w:val="00793EC6"/>
    <w:rsid w:val="00793FA4"/>
    <w:rsid w:val="007943FA"/>
    <w:rsid w:val="00794451"/>
    <w:rsid w:val="007944B6"/>
    <w:rsid w:val="0079455B"/>
    <w:rsid w:val="007945D8"/>
    <w:rsid w:val="00794720"/>
    <w:rsid w:val="00794863"/>
    <w:rsid w:val="007948A0"/>
    <w:rsid w:val="007948D2"/>
    <w:rsid w:val="00794900"/>
    <w:rsid w:val="00794970"/>
    <w:rsid w:val="00794B6C"/>
    <w:rsid w:val="00794B98"/>
    <w:rsid w:val="00794BC1"/>
    <w:rsid w:val="00794D6F"/>
    <w:rsid w:val="00794D9B"/>
    <w:rsid w:val="00794DDE"/>
    <w:rsid w:val="00794F1F"/>
    <w:rsid w:val="00794F80"/>
    <w:rsid w:val="00794F96"/>
    <w:rsid w:val="0079500D"/>
    <w:rsid w:val="0079502B"/>
    <w:rsid w:val="007950D1"/>
    <w:rsid w:val="00795432"/>
    <w:rsid w:val="00795510"/>
    <w:rsid w:val="007955A8"/>
    <w:rsid w:val="0079562D"/>
    <w:rsid w:val="007956AB"/>
    <w:rsid w:val="00795768"/>
    <w:rsid w:val="00795778"/>
    <w:rsid w:val="0079583E"/>
    <w:rsid w:val="007958BA"/>
    <w:rsid w:val="007959EB"/>
    <w:rsid w:val="00795B1F"/>
    <w:rsid w:val="00795B5B"/>
    <w:rsid w:val="00795C24"/>
    <w:rsid w:val="00795D4F"/>
    <w:rsid w:val="00795F40"/>
    <w:rsid w:val="007962F8"/>
    <w:rsid w:val="00796383"/>
    <w:rsid w:val="007963BA"/>
    <w:rsid w:val="007963E6"/>
    <w:rsid w:val="00796400"/>
    <w:rsid w:val="007964D8"/>
    <w:rsid w:val="00796541"/>
    <w:rsid w:val="00796638"/>
    <w:rsid w:val="00796661"/>
    <w:rsid w:val="007966EF"/>
    <w:rsid w:val="007968BB"/>
    <w:rsid w:val="00796995"/>
    <w:rsid w:val="007969E9"/>
    <w:rsid w:val="00796C4D"/>
    <w:rsid w:val="00796CE6"/>
    <w:rsid w:val="00796F2F"/>
    <w:rsid w:val="00796FB2"/>
    <w:rsid w:val="00797036"/>
    <w:rsid w:val="0079706C"/>
    <w:rsid w:val="007970F6"/>
    <w:rsid w:val="007970F9"/>
    <w:rsid w:val="0079717E"/>
    <w:rsid w:val="00797227"/>
    <w:rsid w:val="00797254"/>
    <w:rsid w:val="007972DF"/>
    <w:rsid w:val="0079748C"/>
    <w:rsid w:val="007974DC"/>
    <w:rsid w:val="0079770C"/>
    <w:rsid w:val="00797740"/>
    <w:rsid w:val="0079780B"/>
    <w:rsid w:val="0079785A"/>
    <w:rsid w:val="0079787D"/>
    <w:rsid w:val="00797993"/>
    <w:rsid w:val="007979BF"/>
    <w:rsid w:val="007979EC"/>
    <w:rsid w:val="00797A02"/>
    <w:rsid w:val="00797BA8"/>
    <w:rsid w:val="00797C21"/>
    <w:rsid w:val="00797F37"/>
    <w:rsid w:val="00797FE5"/>
    <w:rsid w:val="007A0005"/>
    <w:rsid w:val="007A01A3"/>
    <w:rsid w:val="007A0318"/>
    <w:rsid w:val="007A0350"/>
    <w:rsid w:val="007A03A2"/>
    <w:rsid w:val="007A049B"/>
    <w:rsid w:val="007A04EF"/>
    <w:rsid w:val="007A059C"/>
    <w:rsid w:val="007A063D"/>
    <w:rsid w:val="007A0648"/>
    <w:rsid w:val="007A0698"/>
    <w:rsid w:val="007A07C8"/>
    <w:rsid w:val="007A083C"/>
    <w:rsid w:val="007A0966"/>
    <w:rsid w:val="007A096D"/>
    <w:rsid w:val="007A0A03"/>
    <w:rsid w:val="007A0AD2"/>
    <w:rsid w:val="007A0AD8"/>
    <w:rsid w:val="007A0BCC"/>
    <w:rsid w:val="007A0C36"/>
    <w:rsid w:val="007A0D1E"/>
    <w:rsid w:val="007A0EDF"/>
    <w:rsid w:val="007A1001"/>
    <w:rsid w:val="007A1018"/>
    <w:rsid w:val="007A1040"/>
    <w:rsid w:val="007A1129"/>
    <w:rsid w:val="007A120D"/>
    <w:rsid w:val="007A12E7"/>
    <w:rsid w:val="007A133E"/>
    <w:rsid w:val="007A13B6"/>
    <w:rsid w:val="007A13C4"/>
    <w:rsid w:val="007A13D7"/>
    <w:rsid w:val="007A143D"/>
    <w:rsid w:val="007A14C0"/>
    <w:rsid w:val="007A159E"/>
    <w:rsid w:val="007A1743"/>
    <w:rsid w:val="007A17B6"/>
    <w:rsid w:val="007A181B"/>
    <w:rsid w:val="007A19EE"/>
    <w:rsid w:val="007A1A1C"/>
    <w:rsid w:val="007A1AA9"/>
    <w:rsid w:val="007A1CEF"/>
    <w:rsid w:val="007A1D86"/>
    <w:rsid w:val="007A1DFE"/>
    <w:rsid w:val="007A1F6C"/>
    <w:rsid w:val="007A1FB9"/>
    <w:rsid w:val="007A21D6"/>
    <w:rsid w:val="007A21ED"/>
    <w:rsid w:val="007A2223"/>
    <w:rsid w:val="007A2284"/>
    <w:rsid w:val="007A2324"/>
    <w:rsid w:val="007A2349"/>
    <w:rsid w:val="007A236E"/>
    <w:rsid w:val="007A24BA"/>
    <w:rsid w:val="007A25FD"/>
    <w:rsid w:val="007A2876"/>
    <w:rsid w:val="007A288A"/>
    <w:rsid w:val="007A299A"/>
    <w:rsid w:val="007A29E4"/>
    <w:rsid w:val="007A2AB7"/>
    <w:rsid w:val="007A2AC9"/>
    <w:rsid w:val="007A2BAA"/>
    <w:rsid w:val="007A2BD6"/>
    <w:rsid w:val="007A2C53"/>
    <w:rsid w:val="007A2C78"/>
    <w:rsid w:val="007A2D47"/>
    <w:rsid w:val="007A2D56"/>
    <w:rsid w:val="007A2DC6"/>
    <w:rsid w:val="007A2E8B"/>
    <w:rsid w:val="007A2EEE"/>
    <w:rsid w:val="007A2F36"/>
    <w:rsid w:val="007A30B3"/>
    <w:rsid w:val="007A33B0"/>
    <w:rsid w:val="007A342F"/>
    <w:rsid w:val="007A3565"/>
    <w:rsid w:val="007A361A"/>
    <w:rsid w:val="007A3655"/>
    <w:rsid w:val="007A36F7"/>
    <w:rsid w:val="007A391C"/>
    <w:rsid w:val="007A3A7E"/>
    <w:rsid w:val="007A3A93"/>
    <w:rsid w:val="007A3A9B"/>
    <w:rsid w:val="007A3CD7"/>
    <w:rsid w:val="007A3CE2"/>
    <w:rsid w:val="007A3E4A"/>
    <w:rsid w:val="007A3E8C"/>
    <w:rsid w:val="007A3F40"/>
    <w:rsid w:val="007A3F78"/>
    <w:rsid w:val="007A40DA"/>
    <w:rsid w:val="007A40F9"/>
    <w:rsid w:val="007A4120"/>
    <w:rsid w:val="007A4271"/>
    <w:rsid w:val="007A42A3"/>
    <w:rsid w:val="007A42E6"/>
    <w:rsid w:val="007A4342"/>
    <w:rsid w:val="007A43C4"/>
    <w:rsid w:val="007A43E9"/>
    <w:rsid w:val="007A448A"/>
    <w:rsid w:val="007A4528"/>
    <w:rsid w:val="007A453D"/>
    <w:rsid w:val="007A45B8"/>
    <w:rsid w:val="007A4620"/>
    <w:rsid w:val="007A4674"/>
    <w:rsid w:val="007A47AC"/>
    <w:rsid w:val="007A48D5"/>
    <w:rsid w:val="007A4906"/>
    <w:rsid w:val="007A497D"/>
    <w:rsid w:val="007A4A8E"/>
    <w:rsid w:val="007A4BEE"/>
    <w:rsid w:val="007A4C69"/>
    <w:rsid w:val="007A4C80"/>
    <w:rsid w:val="007A4D3A"/>
    <w:rsid w:val="007A4E3C"/>
    <w:rsid w:val="007A4F95"/>
    <w:rsid w:val="007A507C"/>
    <w:rsid w:val="007A5207"/>
    <w:rsid w:val="007A521E"/>
    <w:rsid w:val="007A5258"/>
    <w:rsid w:val="007A5269"/>
    <w:rsid w:val="007A52A6"/>
    <w:rsid w:val="007A52FD"/>
    <w:rsid w:val="007A532F"/>
    <w:rsid w:val="007A53CB"/>
    <w:rsid w:val="007A5406"/>
    <w:rsid w:val="007A5489"/>
    <w:rsid w:val="007A5539"/>
    <w:rsid w:val="007A558D"/>
    <w:rsid w:val="007A57AD"/>
    <w:rsid w:val="007A57E5"/>
    <w:rsid w:val="007A59A9"/>
    <w:rsid w:val="007A5B15"/>
    <w:rsid w:val="007A5B22"/>
    <w:rsid w:val="007A5D1E"/>
    <w:rsid w:val="007A5D7C"/>
    <w:rsid w:val="007A5D80"/>
    <w:rsid w:val="007A5D99"/>
    <w:rsid w:val="007A5DC5"/>
    <w:rsid w:val="007A5F45"/>
    <w:rsid w:val="007A6007"/>
    <w:rsid w:val="007A608B"/>
    <w:rsid w:val="007A60B7"/>
    <w:rsid w:val="007A6159"/>
    <w:rsid w:val="007A61DA"/>
    <w:rsid w:val="007A61E6"/>
    <w:rsid w:val="007A6250"/>
    <w:rsid w:val="007A6361"/>
    <w:rsid w:val="007A6445"/>
    <w:rsid w:val="007A6569"/>
    <w:rsid w:val="007A659F"/>
    <w:rsid w:val="007A6638"/>
    <w:rsid w:val="007A667D"/>
    <w:rsid w:val="007A67E4"/>
    <w:rsid w:val="007A687E"/>
    <w:rsid w:val="007A68A7"/>
    <w:rsid w:val="007A68E7"/>
    <w:rsid w:val="007A69C6"/>
    <w:rsid w:val="007A6A78"/>
    <w:rsid w:val="007A6B18"/>
    <w:rsid w:val="007A6B2E"/>
    <w:rsid w:val="007A6B42"/>
    <w:rsid w:val="007A6BA4"/>
    <w:rsid w:val="007A6BEA"/>
    <w:rsid w:val="007A6C73"/>
    <w:rsid w:val="007A6CB8"/>
    <w:rsid w:val="007A6E76"/>
    <w:rsid w:val="007A6FD1"/>
    <w:rsid w:val="007A70F2"/>
    <w:rsid w:val="007A7171"/>
    <w:rsid w:val="007A71E2"/>
    <w:rsid w:val="007A7348"/>
    <w:rsid w:val="007A7569"/>
    <w:rsid w:val="007A75C8"/>
    <w:rsid w:val="007A75E5"/>
    <w:rsid w:val="007A76C7"/>
    <w:rsid w:val="007A76F0"/>
    <w:rsid w:val="007A76F4"/>
    <w:rsid w:val="007A7883"/>
    <w:rsid w:val="007A78DD"/>
    <w:rsid w:val="007A78EE"/>
    <w:rsid w:val="007A78F3"/>
    <w:rsid w:val="007A7A11"/>
    <w:rsid w:val="007A7A6C"/>
    <w:rsid w:val="007A7ADF"/>
    <w:rsid w:val="007A7B70"/>
    <w:rsid w:val="007A7C26"/>
    <w:rsid w:val="007A7CEA"/>
    <w:rsid w:val="007A7D32"/>
    <w:rsid w:val="007A7E84"/>
    <w:rsid w:val="007A7FB6"/>
    <w:rsid w:val="007B0042"/>
    <w:rsid w:val="007B0113"/>
    <w:rsid w:val="007B01F9"/>
    <w:rsid w:val="007B0249"/>
    <w:rsid w:val="007B0386"/>
    <w:rsid w:val="007B0471"/>
    <w:rsid w:val="007B05A4"/>
    <w:rsid w:val="007B08D8"/>
    <w:rsid w:val="007B0906"/>
    <w:rsid w:val="007B0A10"/>
    <w:rsid w:val="007B0ACF"/>
    <w:rsid w:val="007B0E7A"/>
    <w:rsid w:val="007B0FE8"/>
    <w:rsid w:val="007B10E9"/>
    <w:rsid w:val="007B113A"/>
    <w:rsid w:val="007B12A2"/>
    <w:rsid w:val="007B131E"/>
    <w:rsid w:val="007B1392"/>
    <w:rsid w:val="007B1416"/>
    <w:rsid w:val="007B1549"/>
    <w:rsid w:val="007B15CE"/>
    <w:rsid w:val="007B15FB"/>
    <w:rsid w:val="007B1601"/>
    <w:rsid w:val="007B16E7"/>
    <w:rsid w:val="007B1770"/>
    <w:rsid w:val="007B17BA"/>
    <w:rsid w:val="007B17D3"/>
    <w:rsid w:val="007B18E1"/>
    <w:rsid w:val="007B1A8B"/>
    <w:rsid w:val="007B1AB4"/>
    <w:rsid w:val="007B1C1A"/>
    <w:rsid w:val="007B1C1E"/>
    <w:rsid w:val="007B1EBB"/>
    <w:rsid w:val="007B1EFF"/>
    <w:rsid w:val="007B1F53"/>
    <w:rsid w:val="007B20A9"/>
    <w:rsid w:val="007B211B"/>
    <w:rsid w:val="007B21EA"/>
    <w:rsid w:val="007B23A7"/>
    <w:rsid w:val="007B23B4"/>
    <w:rsid w:val="007B23E3"/>
    <w:rsid w:val="007B25B9"/>
    <w:rsid w:val="007B2677"/>
    <w:rsid w:val="007B26AC"/>
    <w:rsid w:val="007B2728"/>
    <w:rsid w:val="007B277A"/>
    <w:rsid w:val="007B27B0"/>
    <w:rsid w:val="007B2800"/>
    <w:rsid w:val="007B2983"/>
    <w:rsid w:val="007B29FB"/>
    <w:rsid w:val="007B2A0A"/>
    <w:rsid w:val="007B2AA5"/>
    <w:rsid w:val="007B2C4B"/>
    <w:rsid w:val="007B2E40"/>
    <w:rsid w:val="007B2E8B"/>
    <w:rsid w:val="007B2F61"/>
    <w:rsid w:val="007B2F6E"/>
    <w:rsid w:val="007B3000"/>
    <w:rsid w:val="007B317F"/>
    <w:rsid w:val="007B329E"/>
    <w:rsid w:val="007B330C"/>
    <w:rsid w:val="007B3321"/>
    <w:rsid w:val="007B34AE"/>
    <w:rsid w:val="007B34B9"/>
    <w:rsid w:val="007B371E"/>
    <w:rsid w:val="007B3778"/>
    <w:rsid w:val="007B379F"/>
    <w:rsid w:val="007B3B18"/>
    <w:rsid w:val="007B3B29"/>
    <w:rsid w:val="007B3BCF"/>
    <w:rsid w:val="007B3C4D"/>
    <w:rsid w:val="007B3CF2"/>
    <w:rsid w:val="007B3D1A"/>
    <w:rsid w:val="007B3D5E"/>
    <w:rsid w:val="007B3E6C"/>
    <w:rsid w:val="007B3E81"/>
    <w:rsid w:val="007B3F63"/>
    <w:rsid w:val="007B3F7D"/>
    <w:rsid w:val="007B417E"/>
    <w:rsid w:val="007B4527"/>
    <w:rsid w:val="007B459E"/>
    <w:rsid w:val="007B45C8"/>
    <w:rsid w:val="007B45C9"/>
    <w:rsid w:val="007B4600"/>
    <w:rsid w:val="007B465E"/>
    <w:rsid w:val="007B47FE"/>
    <w:rsid w:val="007B49D4"/>
    <w:rsid w:val="007B4A7A"/>
    <w:rsid w:val="007B4AFC"/>
    <w:rsid w:val="007B4BFE"/>
    <w:rsid w:val="007B4C00"/>
    <w:rsid w:val="007B4F22"/>
    <w:rsid w:val="007B4FBE"/>
    <w:rsid w:val="007B502D"/>
    <w:rsid w:val="007B5127"/>
    <w:rsid w:val="007B520F"/>
    <w:rsid w:val="007B5229"/>
    <w:rsid w:val="007B5347"/>
    <w:rsid w:val="007B5388"/>
    <w:rsid w:val="007B58EA"/>
    <w:rsid w:val="007B5A97"/>
    <w:rsid w:val="007B5B51"/>
    <w:rsid w:val="007B5D39"/>
    <w:rsid w:val="007B5DAA"/>
    <w:rsid w:val="007B5DD5"/>
    <w:rsid w:val="007B5E39"/>
    <w:rsid w:val="007B5E46"/>
    <w:rsid w:val="007B5E83"/>
    <w:rsid w:val="007B609D"/>
    <w:rsid w:val="007B60F0"/>
    <w:rsid w:val="007B6148"/>
    <w:rsid w:val="007B6177"/>
    <w:rsid w:val="007B6253"/>
    <w:rsid w:val="007B62B0"/>
    <w:rsid w:val="007B6351"/>
    <w:rsid w:val="007B63D3"/>
    <w:rsid w:val="007B63E4"/>
    <w:rsid w:val="007B63FA"/>
    <w:rsid w:val="007B642D"/>
    <w:rsid w:val="007B645A"/>
    <w:rsid w:val="007B64BD"/>
    <w:rsid w:val="007B64D2"/>
    <w:rsid w:val="007B6566"/>
    <w:rsid w:val="007B65BF"/>
    <w:rsid w:val="007B6667"/>
    <w:rsid w:val="007B66CB"/>
    <w:rsid w:val="007B6739"/>
    <w:rsid w:val="007B6A34"/>
    <w:rsid w:val="007B6A3E"/>
    <w:rsid w:val="007B6AC2"/>
    <w:rsid w:val="007B6CC2"/>
    <w:rsid w:val="007B6D6E"/>
    <w:rsid w:val="007B6D9A"/>
    <w:rsid w:val="007B6DAE"/>
    <w:rsid w:val="007B6E18"/>
    <w:rsid w:val="007B6E5B"/>
    <w:rsid w:val="007B6EE4"/>
    <w:rsid w:val="007B6F48"/>
    <w:rsid w:val="007B6FB4"/>
    <w:rsid w:val="007B7085"/>
    <w:rsid w:val="007B70CF"/>
    <w:rsid w:val="007B7135"/>
    <w:rsid w:val="007B71D5"/>
    <w:rsid w:val="007B7264"/>
    <w:rsid w:val="007B7281"/>
    <w:rsid w:val="007B729C"/>
    <w:rsid w:val="007B72DC"/>
    <w:rsid w:val="007B7339"/>
    <w:rsid w:val="007B7391"/>
    <w:rsid w:val="007B7503"/>
    <w:rsid w:val="007B7551"/>
    <w:rsid w:val="007B764F"/>
    <w:rsid w:val="007B76E4"/>
    <w:rsid w:val="007B7707"/>
    <w:rsid w:val="007B77A6"/>
    <w:rsid w:val="007B77EB"/>
    <w:rsid w:val="007B77F3"/>
    <w:rsid w:val="007B7BCE"/>
    <w:rsid w:val="007B7F32"/>
    <w:rsid w:val="007C0064"/>
    <w:rsid w:val="007C0127"/>
    <w:rsid w:val="007C0376"/>
    <w:rsid w:val="007C037A"/>
    <w:rsid w:val="007C03DB"/>
    <w:rsid w:val="007C03FA"/>
    <w:rsid w:val="007C044C"/>
    <w:rsid w:val="007C045B"/>
    <w:rsid w:val="007C053B"/>
    <w:rsid w:val="007C0542"/>
    <w:rsid w:val="007C060A"/>
    <w:rsid w:val="007C069A"/>
    <w:rsid w:val="007C0792"/>
    <w:rsid w:val="007C07CD"/>
    <w:rsid w:val="007C08D3"/>
    <w:rsid w:val="007C0A39"/>
    <w:rsid w:val="007C0B3D"/>
    <w:rsid w:val="007C0BB5"/>
    <w:rsid w:val="007C0C03"/>
    <w:rsid w:val="007C0D9B"/>
    <w:rsid w:val="007C0E24"/>
    <w:rsid w:val="007C0E7D"/>
    <w:rsid w:val="007C0E93"/>
    <w:rsid w:val="007C0F84"/>
    <w:rsid w:val="007C0FA3"/>
    <w:rsid w:val="007C102B"/>
    <w:rsid w:val="007C102D"/>
    <w:rsid w:val="007C1034"/>
    <w:rsid w:val="007C1088"/>
    <w:rsid w:val="007C1215"/>
    <w:rsid w:val="007C1241"/>
    <w:rsid w:val="007C1336"/>
    <w:rsid w:val="007C13ED"/>
    <w:rsid w:val="007C13FB"/>
    <w:rsid w:val="007C14C8"/>
    <w:rsid w:val="007C16A8"/>
    <w:rsid w:val="007C16B2"/>
    <w:rsid w:val="007C16D5"/>
    <w:rsid w:val="007C17A4"/>
    <w:rsid w:val="007C17BD"/>
    <w:rsid w:val="007C186F"/>
    <w:rsid w:val="007C189C"/>
    <w:rsid w:val="007C1903"/>
    <w:rsid w:val="007C1910"/>
    <w:rsid w:val="007C1916"/>
    <w:rsid w:val="007C1975"/>
    <w:rsid w:val="007C1ADD"/>
    <w:rsid w:val="007C1C19"/>
    <w:rsid w:val="007C1D0E"/>
    <w:rsid w:val="007C1E77"/>
    <w:rsid w:val="007C206C"/>
    <w:rsid w:val="007C21FF"/>
    <w:rsid w:val="007C2300"/>
    <w:rsid w:val="007C2399"/>
    <w:rsid w:val="007C23EB"/>
    <w:rsid w:val="007C2484"/>
    <w:rsid w:val="007C24E8"/>
    <w:rsid w:val="007C24F5"/>
    <w:rsid w:val="007C2621"/>
    <w:rsid w:val="007C275A"/>
    <w:rsid w:val="007C27A6"/>
    <w:rsid w:val="007C2919"/>
    <w:rsid w:val="007C29F1"/>
    <w:rsid w:val="007C29F4"/>
    <w:rsid w:val="007C2A7D"/>
    <w:rsid w:val="007C2B67"/>
    <w:rsid w:val="007C2D42"/>
    <w:rsid w:val="007C2EAD"/>
    <w:rsid w:val="007C2ED2"/>
    <w:rsid w:val="007C2F30"/>
    <w:rsid w:val="007C30D1"/>
    <w:rsid w:val="007C30D5"/>
    <w:rsid w:val="007C3346"/>
    <w:rsid w:val="007C361A"/>
    <w:rsid w:val="007C37D3"/>
    <w:rsid w:val="007C3ACF"/>
    <w:rsid w:val="007C3B04"/>
    <w:rsid w:val="007C3B2A"/>
    <w:rsid w:val="007C3B73"/>
    <w:rsid w:val="007C3CAA"/>
    <w:rsid w:val="007C3D01"/>
    <w:rsid w:val="007C3D83"/>
    <w:rsid w:val="007C3E01"/>
    <w:rsid w:val="007C3FC1"/>
    <w:rsid w:val="007C3FD1"/>
    <w:rsid w:val="007C3FDF"/>
    <w:rsid w:val="007C3FE7"/>
    <w:rsid w:val="007C3FF5"/>
    <w:rsid w:val="007C4020"/>
    <w:rsid w:val="007C40B0"/>
    <w:rsid w:val="007C41A9"/>
    <w:rsid w:val="007C432F"/>
    <w:rsid w:val="007C43B7"/>
    <w:rsid w:val="007C4592"/>
    <w:rsid w:val="007C464F"/>
    <w:rsid w:val="007C46BB"/>
    <w:rsid w:val="007C4780"/>
    <w:rsid w:val="007C493B"/>
    <w:rsid w:val="007C49ED"/>
    <w:rsid w:val="007C4A14"/>
    <w:rsid w:val="007C4A36"/>
    <w:rsid w:val="007C4A74"/>
    <w:rsid w:val="007C4AB4"/>
    <w:rsid w:val="007C4BB6"/>
    <w:rsid w:val="007C4C37"/>
    <w:rsid w:val="007C4CBD"/>
    <w:rsid w:val="007C4CE4"/>
    <w:rsid w:val="007C4D75"/>
    <w:rsid w:val="007C4E90"/>
    <w:rsid w:val="007C4FB5"/>
    <w:rsid w:val="007C504D"/>
    <w:rsid w:val="007C51DC"/>
    <w:rsid w:val="007C5206"/>
    <w:rsid w:val="007C523E"/>
    <w:rsid w:val="007C5383"/>
    <w:rsid w:val="007C538B"/>
    <w:rsid w:val="007C564C"/>
    <w:rsid w:val="007C5659"/>
    <w:rsid w:val="007C5678"/>
    <w:rsid w:val="007C5732"/>
    <w:rsid w:val="007C5979"/>
    <w:rsid w:val="007C59EA"/>
    <w:rsid w:val="007C5C48"/>
    <w:rsid w:val="007C5C52"/>
    <w:rsid w:val="007C5CFF"/>
    <w:rsid w:val="007C5D3F"/>
    <w:rsid w:val="007C5D49"/>
    <w:rsid w:val="007C5D4E"/>
    <w:rsid w:val="007C5FB4"/>
    <w:rsid w:val="007C609E"/>
    <w:rsid w:val="007C6120"/>
    <w:rsid w:val="007C61A1"/>
    <w:rsid w:val="007C633E"/>
    <w:rsid w:val="007C651C"/>
    <w:rsid w:val="007C6540"/>
    <w:rsid w:val="007C654C"/>
    <w:rsid w:val="007C65DF"/>
    <w:rsid w:val="007C6666"/>
    <w:rsid w:val="007C669B"/>
    <w:rsid w:val="007C66A4"/>
    <w:rsid w:val="007C672E"/>
    <w:rsid w:val="007C6935"/>
    <w:rsid w:val="007C69FC"/>
    <w:rsid w:val="007C6AAA"/>
    <w:rsid w:val="007C6BC8"/>
    <w:rsid w:val="007C6BE8"/>
    <w:rsid w:val="007C6CF6"/>
    <w:rsid w:val="007C6D8E"/>
    <w:rsid w:val="007C6F8E"/>
    <w:rsid w:val="007C6F99"/>
    <w:rsid w:val="007C710C"/>
    <w:rsid w:val="007C71B9"/>
    <w:rsid w:val="007C71D3"/>
    <w:rsid w:val="007C724A"/>
    <w:rsid w:val="007C7276"/>
    <w:rsid w:val="007C7318"/>
    <w:rsid w:val="007C7521"/>
    <w:rsid w:val="007C752E"/>
    <w:rsid w:val="007C7541"/>
    <w:rsid w:val="007C7589"/>
    <w:rsid w:val="007C75D0"/>
    <w:rsid w:val="007C785A"/>
    <w:rsid w:val="007C7A30"/>
    <w:rsid w:val="007C7A9A"/>
    <w:rsid w:val="007C7EBA"/>
    <w:rsid w:val="007C7EDC"/>
    <w:rsid w:val="007C7F93"/>
    <w:rsid w:val="007C7FC8"/>
    <w:rsid w:val="007D0026"/>
    <w:rsid w:val="007D00A1"/>
    <w:rsid w:val="007D00AD"/>
    <w:rsid w:val="007D00FA"/>
    <w:rsid w:val="007D0766"/>
    <w:rsid w:val="007D0867"/>
    <w:rsid w:val="007D0914"/>
    <w:rsid w:val="007D09CB"/>
    <w:rsid w:val="007D0A03"/>
    <w:rsid w:val="007D0A57"/>
    <w:rsid w:val="007D0A86"/>
    <w:rsid w:val="007D0B6F"/>
    <w:rsid w:val="007D0C77"/>
    <w:rsid w:val="007D0C7D"/>
    <w:rsid w:val="007D0C89"/>
    <w:rsid w:val="007D0CA5"/>
    <w:rsid w:val="007D0CED"/>
    <w:rsid w:val="007D0DAE"/>
    <w:rsid w:val="007D0DC5"/>
    <w:rsid w:val="007D0E92"/>
    <w:rsid w:val="007D0F4B"/>
    <w:rsid w:val="007D0FE6"/>
    <w:rsid w:val="007D1062"/>
    <w:rsid w:val="007D1088"/>
    <w:rsid w:val="007D1094"/>
    <w:rsid w:val="007D10A5"/>
    <w:rsid w:val="007D1152"/>
    <w:rsid w:val="007D1181"/>
    <w:rsid w:val="007D1214"/>
    <w:rsid w:val="007D133B"/>
    <w:rsid w:val="007D13F4"/>
    <w:rsid w:val="007D14D8"/>
    <w:rsid w:val="007D1676"/>
    <w:rsid w:val="007D1720"/>
    <w:rsid w:val="007D19A1"/>
    <w:rsid w:val="007D19CE"/>
    <w:rsid w:val="007D1D1C"/>
    <w:rsid w:val="007D1D54"/>
    <w:rsid w:val="007D1E0D"/>
    <w:rsid w:val="007D2073"/>
    <w:rsid w:val="007D20FC"/>
    <w:rsid w:val="007D21EB"/>
    <w:rsid w:val="007D229C"/>
    <w:rsid w:val="007D234A"/>
    <w:rsid w:val="007D2428"/>
    <w:rsid w:val="007D248B"/>
    <w:rsid w:val="007D24AE"/>
    <w:rsid w:val="007D24D7"/>
    <w:rsid w:val="007D2522"/>
    <w:rsid w:val="007D2543"/>
    <w:rsid w:val="007D258A"/>
    <w:rsid w:val="007D2696"/>
    <w:rsid w:val="007D26A4"/>
    <w:rsid w:val="007D27E2"/>
    <w:rsid w:val="007D28A5"/>
    <w:rsid w:val="007D2999"/>
    <w:rsid w:val="007D29FE"/>
    <w:rsid w:val="007D2B69"/>
    <w:rsid w:val="007D2C59"/>
    <w:rsid w:val="007D2D71"/>
    <w:rsid w:val="007D2E02"/>
    <w:rsid w:val="007D2E3F"/>
    <w:rsid w:val="007D2ECE"/>
    <w:rsid w:val="007D2EF6"/>
    <w:rsid w:val="007D2F38"/>
    <w:rsid w:val="007D3014"/>
    <w:rsid w:val="007D301E"/>
    <w:rsid w:val="007D3071"/>
    <w:rsid w:val="007D3089"/>
    <w:rsid w:val="007D309F"/>
    <w:rsid w:val="007D3191"/>
    <w:rsid w:val="007D31C9"/>
    <w:rsid w:val="007D3398"/>
    <w:rsid w:val="007D33C8"/>
    <w:rsid w:val="007D343E"/>
    <w:rsid w:val="007D3524"/>
    <w:rsid w:val="007D352C"/>
    <w:rsid w:val="007D3605"/>
    <w:rsid w:val="007D3788"/>
    <w:rsid w:val="007D3899"/>
    <w:rsid w:val="007D39A5"/>
    <w:rsid w:val="007D3B2B"/>
    <w:rsid w:val="007D3C95"/>
    <w:rsid w:val="007D3EAC"/>
    <w:rsid w:val="007D3ECC"/>
    <w:rsid w:val="007D3F0B"/>
    <w:rsid w:val="007D3F1A"/>
    <w:rsid w:val="007D3F47"/>
    <w:rsid w:val="007D3FA9"/>
    <w:rsid w:val="007D41F0"/>
    <w:rsid w:val="007D42E3"/>
    <w:rsid w:val="007D4412"/>
    <w:rsid w:val="007D4448"/>
    <w:rsid w:val="007D4451"/>
    <w:rsid w:val="007D456C"/>
    <w:rsid w:val="007D4956"/>
    <w:rsid w:val="007D497E"/>
    <w:rsid w:val="007D49CB"/>
    <w:rsid w:val="007D4A30"/>
    <w:rsid w:val="007D4A47"/>
    <w:rsid w:val="007D4A83"/>
    <w:rsid w:val="007D4C03"/>
    <w:rsid w:val="007D4CCF"/>
    <w:rsid w:val="007D4E4E"/>
    <w:rsid w:val="007D4E59"/>
    <w:rsid w:val="007D4F3E"/>
    <w:rsid w:val="007D4FE2"/>
    <w:rsid w:val="007D5027"/>
    <w:rsid w:val="007D51B2"/>
    <w:rsid w:val="007D51D7"/>
    <w:rsid w:val="007D51F5"/>
    <w:rsid w:val="007D5237"/>
    <w:rsid w:val="007D5258"/>
    <w:rsid w:val="007D52C1"/>
    <w:rsid w:val="007D5345"/>
    <w:rsid w:val="007D5348"/>
    <w:rsid w:val="007D536B"/>
    <w:rsid w:val="007D5385"/>
    <w:rsid w:val="007D5395"/>
    <w:rsid w:val="007D53BB"/>
    <w:rsid w:val="007D548B"/>
    <w:rsid w:val="007D559F"/>
    <w:rsid w:val="007D565F"/>
    <w:rsid w:val="007D56B4"/>
    <w:rsid w:val="007D57CF"/>
    <w:rsid w:val="007D5855"/>
    <w:rsid w:val="007D596B"/>
    <w:rsid w:val="007D5993"/>
    <w:rsid w:val="007D59DB"/>
    <w:rsid w:val="007D5AAE"/>
    <w:rsid w:val="007D5B7E"/>
    <w:rsid w:val="007D5C1E"/>
    <w:rsid w:val="007D5C8A"/>
    <w:rsid w:val="007D5D0E"/>
    <w:rsid w:val="007D5D38"/>
    <w:rsid w:val="007D5DAF"/>
    <w:rsid w:val="007D5E48"/>
    <w:rsid w:val="007D5F81"/>
    <w:rsid w:val="007D5F87"/>
    <w:rsid w:val="007D6018"/>
    <w:rsid w:val="007D6028"/>
    <w:rsid w:val="007D6059"/>
    <w:rsid w:val="007D60A1"/>
    <w:rsid w:val="007D60B2"/>
    <w:rsid w:val="007D60D1"/>
    <w:rsid w:val="007D6168"/>
    <w:rsid w:val="007D6270"/>
    <w:rsid w:val="007D6466"/>
    <w:rsid w:val="007D64A8"/>
    <w:rsid w:val="007D6626"/>
    <w:rsid w:val="007D666E"/>
    <w:rsid w:val="007D66BA"/>
    <w:rsid w:val="007D67B1"/>
    <w:rsid w:val="007D67E2"/>
    <w:rsid w:val="007D6805"/>
    <w:rsid w:val="007D68A3"/>
    <w:rsid w:val="007D69D0"/>
    <w:rsid w:val="007D6AD6"/>
    <w:rsid w:val="007D6C20"/>
    <w:rsid w:val="007D6C9C"/>
    <w:rsid w:val="007D6CA4"/>
    <w:rsid w:val="007D6D22"/>
    <w:rsid w:val="007D6E74"/>
    <w:rsid w:val="007D6E91"/>
    <w:rsid w:val="007D6EA3"/>
    <w:rsid w:val="007D6F29"/>
    <w:rsid w:val="007D6F2B"/>
    <w:rsid w:val="007D6FAE"/>
    <w:rsid w:val="007D6FB5"/>
    <w:rsid w:val="007D6FCD"/>
    <w:rsid w:val="007D7015"/>
    <w:rsid w:val="007D714D"/>
    <w:rsid w:val="007D71A7"/>
    <w:rsid w:val="007D7208"/>
    <w:rsid w:val="007D7271"/>
    <w:rsid w:val="007D7297"/>
    <w:rsid w:val="007D74F2"/>
    <w:rsid w:val="007D752C"/>
    <w:rsid w:val="007D75C4"/>
    <w:rsid w:val="007D7636"/>
    <w:rsid w:val="007D76D0"/>
    <w:rsid w:val="007D771E"/>
    <w:rsid w:val="007D7725"/>
    <w:rsid w:val="007D77B2"/>
    <w:rsid w:val="007D78D6"/>
    <w:rsid w:val="007D7A2F"/>
    <w:rsid w:val="007D7A93"/>
    <w:rsid w:val="007D7AB2"/>
    <w:rsid w:val="007D7AEE"/>
    <w:rsid w:val="007D7B18"/>
    <w:rsid w:val="007D7B72"/>
    <w:rsid w:val="007D7CCE"/>
    <w:rsid w:val="007D7F03"/>
    <w:rsid w:val="007D7F72"/>
    <w:rsid w:val="007E00B0"/>
    <w:rsid w:val="007E037E"/>
    <w:rsid w:val="007E0404"/>
    <w:rsid w:val="007E0462"/>
    <w:rsid w:val="007E0485"/>
    <w:rsid w:val="007E04B0"/>
    <w:rsid w:val="007E051C"/>
    <w:rsid w:val="007E063A"/>
    <w:rsid w:val="007E069C"/>
    <w:rsid w:val="007E0733"/>
    <w:rsid w:val="007E07DF"/>
    <w:rsid w:val="007E0825"/>
    <w:rsid w:val="007E08F1"/>
    <w:rsid w:val="007E0A1C"/>
    <w:rsid w:val="007E0A21"/>
    <w:rsid w:val="007E0A85"/>
    <w:rsid w:val="007E0B22"/>
    <w:rsid w:val="007E0C01"/>
    <w:rsid w:val="007E0D21"/>
    <w:rsid w:val="007E0D74"/>
    <w:rsid w:val="007E0F08"/>
    <w:rsid w:val="007E0F93"/>
    <w:rsid w:val="007E0FF9"/>
    <w:rsid w:val="007E1067"/>
    <w:rsid w:val="007E11FF"/>
    <w:rsid w:val="007E120A"/>
    <w:rsid w:val="007E124B"/>
    <w:rsid w:val="007E1269"/>
    <w:rsid w:val="007E146A"/>
    <w:rsid w:val="007E14E8"/>
    <w:rsid w:val="007E1539"/>
    <w:rsid w:val="007E167A"/>
    <w:rsid w:val="007E17DA"/>
    <w:rsid w:val="007E1937"/>
    <w:rsid w:val="007E19FD"/>
    <w:rsid w:val="007E1A2E"/>
    <w:rsid w:val="007E1BFA"/>
    <w:rsid w:val="007E1C39"/>
    <w:rsid w:val="007E1E02"/>
    <w:rsid w:val="007E1EE3"/>
    <w:rsid w:val="007E1F27"/>
    <w:rsid w:val="007E2167"/>
    <w:rsid w:val="007E2189"/>
    <w:rsid w:val="007E226F"/>
    <w:rsid w:val="007E2272"/>
    <w:rsid w:val="007E2360"/>
    <w:rsid w:val="007E23C6"/>
    <w:rsid w:val="007E2458"/>
    <w:rsid w:val="007E2495"/>
    <w:rsid w:val="007E24F7"/>
    <w:rsid w:val="007E2555"/>
    <w:rsid w:val="007E2813"/>
    <w:rsid w:val="007E2830"/>
    <w:rsid w:val="007E286B"/>
    <w:rsid w:val="007E2965"/>
    <w:rsid w:val="007E2997"/>
    <w:rsid w:val="007E2CE5"/>
    <w:rsid w:val="007E2D4E"/>
    <w:rsid w:val="007E2D53"/>
    <w:rsid w:val="007E2F0A"/>
    <w:rsid w:val="007E30C2"/>
    <w:rsid w:val="007E3234"/>
    <w:rsid w:val="007E327E"/>
    <w:rsid w:val="007E3331"/>
    <w:rsid w:val="007E33ED"/>
    <w:rsid w:val="007E345F"/>
    <w:rsid w:val="007E3539"/>
    <w:rsid w:val="007E354A"/>
    <w:rsid w:val="007E3608"/>
    <w:rsid w:val="007E36BD"/>
    <w:rsid w:val="007E36D3"/>
    <w:rsid w:val="007E37FD"/>
    <w:rsid w:val="007E3861"/>
    <w:rsid w:val="007E38D5"/>
    <w:rsid w:val="007E3910"/>
    <w:rsid w:val="007E39B1"/>
    <w:rsid w:val="007E39E1"/>
    <w:rsid w:val="007E3A2E"/>
    <w:rsid w:val="007E3A30"/>
    <w:rsid w:val="007E3A67"/>
    <w:rsid w:val="007E3C1D"/>
    <w:rsid w:val="007E3C2B"/>
    <w:rsid w:val="007E3C3A"/>
    <w:rsid w:val="007E3E63"/>
    <w:rsid w:val="007E3EC5"/>
    <w:rsid w:val="007E40D0"/>
    <w:rsid w:val="007E40E6"/>
    <w:rsid w:val="007E419D"/>
    <w:rsid w:val="007E4432"/>
    <w:rsid w:val="007E444A"/>
    <w:rsid w:val="007E448D"/>
    <w:rsid w:val="007E44E5"/>
    <w:rsid w:val="007E457D"/>
    <w:rsid w:val="007E4589"/>
    <w:rsid w:val="007E4712"/>
    <w:rsid w:val="007E4764"/>
    <w:rsid w:val="007E483B"/>
    <w:rsid w:val="007E48F5"/>
    <w:rsid w:val="007E4917"/>
    <w:rsid w:val="007E4AC5"/>
    <w:rsid w:val="007E4B18"/>
    <w:rsid w:val="007E4B74"/>
    <w:rsid w:val="007E4BAB"/>
    <w:rsid w:val="007E4C66"/>
    <w:rsid w:val="007E4C7F"/>
    <w:rsid w:val="007E4C88"/>
    <w:rsid w:val="007E4DD4"/>
    <w:rsid w:val="007E4E51"/>
    <w:rsid w:val="007E4E55"/>
    <w:rsid w:val="007E4FBC"/>
    <w:rsid w:val="007E5015"/>
    <w:rsid w:val="007E508A"/>
    <w:rsid w:val="007E50BD"/>
    <w:rsid w:val="007E5238"/>
    <w:rsid w:val="007E527D"/>
    <w:rsid w:val="007E5286"/>
    <w:rsid w:val="007E52C0"/>
    <w:rsid w:val="007E52E2"/>
    <w:rsid w:val="007E53B0"/>
    <w:rsid w:val="007E53CC"/>
    <w:rsid w:val="007E5495"/>
    <w:rsid w:val="007E54C7"/>
    <w:rsid w:val="007E5601"/>
    <w:rsid w:val="007E5715"/>
    <w:rsid w:val="007E572F"/>
    <w:rsid w:val="007E5739"/>
    <w:rsid w:val="007E575F"/>
    <w:rsid w:val="007E57BF"/>
    <w:rsid w:val="007E587A"/>
    <w:rsid w:val="007E5A55"/>
    <w:rsid w:val="007E5AC4"/>
    <w:rsid w:val="007E5AF9"/>
    <w:rsid w:val="007E5C69"/>
    <w:rsid w:val="007E5D25"/>
    <w:rsid w:val="007E6092"/>
    <w:rsid w:val="007E60C6"/>
    <w:rsid w:val="007E6102"/>
    <w:rsid w:val="007E610F"/>
    <w:rsid w:val="007E61EE"/>
    <w:rsid w:val="007E6218"/>
    <w:rsid w:val="007E62D9"/>
    <w:rsid w:val="007E6375"/>
    <w:rsid w:val="007E6388"/>
    <w:rsid w:val="007E639C"/>
    <w:rsid w:val="007E648F"/>
    <w:rsid w:val="007E65E1"/>
    <w:rsid w:val="007E6620"/>
    <w:rsid w:val="007E666B"/>
    <w:rsid w:val="007E673A"/>
    <w:rsid w:val="007E6842"/>
    <w:rsid w:val="007E6860"/>
    <w:rsid w:val="007E69A0"/>
    <w:rsid w:val="007E6A02"/>
    <w:rsid w:val="007E6A51"/>
    <w:rsid w:val="007E6A5D"/>
    <w:rsid w:val="007E6A79"/>
    <w:rsid w:val="007E6AA3"/>
    <w:rsid w:val="007E6B4D"/>
    <w:rsid w:val="007E6B65"/>
    <w:rsid w:val="007E6BDD"/>
    <w:rsid w:val="007E6C15"/>
    <w:rsid w:val="007E6C70"/>
    <w:rsid w:val="007E6DB7"/>
    <w:rsid w:val="007E6E2D"/>
    <w:rsid w:val="007E6E63"/>
    <w:rsid w:val="007E6ECA"/>
    <w:rsid w:val="007E6F5B"/>
    <w:rsid w:val="007E703A"/>
    <w:rsid w:val="007E7058"/>
    <w:rsid w:val="007E71E7"/>
    <w:rsid w:val="007E7279"/>
    <w:rsid w:val="007E7294"/>
    <w:rsid w:val="007E72EE"/>
    <w:rsid w:val="007E7376"/>
    <w:rsid w:val="007E73E5"/>
    <w:rsid w:val="007E73FA"/>
    <w:rsid w:val="007E7440"/>
    <w:rsid w:val="007E7449"/>
    <w:rsid w:val="007E74CA"/>
    <w:rsid w:val="007E7550"/>
    <w:rsid w:val="007E75C0"/>
    <w:rsid w:val="007E75F2"/>
    <w:rsid w:val="007E7841"/>
    <w:rsid w:val="007E78D7"/>
    <w:rsid w:val="007E78F4"/>
    <w:rsid w:val="007E78F5"/>
    <w:rsid w:val="007E79A9"/>
    <w:rsid w:val="007E79DE"/>
    <w:rsid w:val="007E7AAD"/>
    <w:rsid w:val="007E7CCD"/>
    <w:rsid w:val="007E7DF0"/>
    <w:rsid w:val="007E7E0A"/>
    <w:rsid w:val="007E7E7B"/>
    <w:rsid w:val="007E7FA6"/>
    <w:rsid w:val="007F0030"/>
    <w:rsid w:val="007F0146"/>
    <w:rsid w:val="007F01EF"/>
    <w:rsid w:val="007F0245"/>
    <w:rsid w:val="007F02CD"/>
    <w:rsid w:val="007F0380"/>
    <w:rsid w:val="007F0426"/>
    <w:rsid w:val="007F05F9"/>
    <w:rsid w:val="007F0735"/>
    <w:rsid w:val="007F073F"/>
    <w:rsid w:val="007F079F"/>
    <w:rsid w:val="007F0818"/>
    <w:rsid w:val="007F081A"/>
    <w:rsid w:val="007F087C"/>
    <w:rsid w:val="007F08B0"/>
    <w:rsid w:val="007F0A22"/>
    <w:rsid w:val="007F0AAE"/>
    <w:rsid w:val="007F0ADA"/>
    <w:rsid w:val="007F0B67"/>
    <w:rsid w:val="007F0B7E"/>
    <w:rsid w:val="007F0D7A"/>
    <w:rsid w:val="007F0E64"/>
    <w:rsid w:val="007F0F6C"/>
    <w:rsid w:val="007F0FA2"/>
    <w:rsid w:val="007F11B8"/>
    <w:rsid w:val="007F1201"/>
    <w:rsid w:val="007F124B"/>
    <w:rsid w:val="007F12AE"/>
    <w:rsid w:val="007F1370"/>
    <w:rsid w:val="007F1491"/>
    <w:rsid w:val="007F1560"/>
    <w:rsid w:val="007F159B"/>
    <w:rsid w:val="007F160C"/>
    <w:rsid w:val="007F1664"/>
    <w:rsid w:val="007F1717"/>
    <w:rsid w:val="007F1733"/>
    <w:rsid w:val="007F1736"/>
    <w:rsid w:val="007F17EB"/>
    <w:rsid w:val="007F187B"/>
    <w:rsid w:val="007F1AAE"/>
    <w:rsid w:val="007F1AAF"/>
    <w:rsid w:val="007F1AC1"/>
    <w:rsid w:val="007F1B08"/>
    <w:rsid w:val="007F1BAB"/>
    <w:rsid w:val="007F1DC4"/>
    <w:rsid w:val="007F1DDE"/>
    <w:rsid w:val="007F1E1C"/>
    <w:rsid w:val="007F1E43"/>
    <w:rsid w:val="007F1EA5"/>
    <w:rsid w:val="007F1ED2"/>
    <w:rsid w:val="007F1F77"/>
    <w:rsid w:val="007F215A"/>
    <w:rsid w:val="007F22A3"/>
    <w:rsid w:val="007F232D"/>
    <w:rsid w:val="007F272D"/>
    <w:rsid w:val="007F27B1"/>
    <w:rsid w:val="007F287C"/>
    <w:rsid w:val="007F2959"/>
    <w:rsid w:val="007F2C35"/>
    <w:rsid w:val="007F2C60"/>
    <w:rsid w:val="007F2D06"/>
    <w:rsid w:val="007F2E2F"/>
    <w:rsid w:val="007F2E80"/>
    <w:rsid w:val="007F3016"/>
    <w:rsid w:val="007F3043"/>
    <w:rsid w:val="007F3096"/>
    <w:rsid w:val="007F316D"/>
    <w:rsid w:val="007F327C"/>
    <w:rsid w:val="007F33A6"/>
    <w:rsid w:val="007F346D"/>
    <w:rsid w:val="007F3564"/>
    <w:rsid w:val="007F359E"/>
    <w:rsid w:val="007F3648"/>
    <w:rsid w:val="007F374A"/>
    <w:rsid w:val="007F3750"/>
    <w:rsid w:val="007F37A5"/>
    <w:rsid w:val="007F381D"/>
    <w:rsid w:val="007F38C5"/>
    <w:rsid w:val="007F38E6"/>
    <w:rsid w:val="007F3AEC"/>
    <w:rsid w:val="007F3B2E"/>
    <w:rsid w:val="007F3B45"/>
    <w:rsid w:val="007F3BED"/>
    <w:rsid w:val="007F3D1D"/>
    <w:rsid w:val="007F3E90"/>
    <w:rsid w:val="007F3FA5"/>
    <w:rsid w:val="007F40D6"/>
    <w:rsid w:val="007F419E"/>
    <w:rsid w:val="007F41C9"/>
    <w:rsid w:val="007F41ED"/>
    <w:rsid w:val="007F440F"/>
    <w:rsid w:val="007F4502"/>
    <w:rsid w:val="007F45F8"/>
    <w:rsid w:val="007F46D4"/>
    <w:rsid w:val="007F46D8"/>
    <w:rsid w:val="007F4782"/>
    <w:rsid w:val="007F47E3"/>
    <w:rsid w:val="007F48EF"/>
    <w:rsid w:val="007F4911"/>
    <w:rsid w:val="007F4AAD"/>
    <w:rsid w:val="007F4B32"/>
    <w:rsid w:val="007F4C07"/>
    <w:rsid w:val="007F4DD1"/>
    <w:rsid w:val="007F4ED0"/>
    <w:rsid w:val="007F4EE3"/>
    <w:rsid w:val="007F50AB"/>
    <w:rsid w:val="007F50EC"/>
    <w:rsid w:val="007F511B"/>
    <w:rsid w:val="007F519C"/>
    <w:rsid w:val="007F52A2"/>
    <w:rsid w:val="007F53BC"/>
    <w:rsid w:val="007F54E0"/>
    <w:rsid w:val="007F5562"/>
    <w:rsid w:val="007F556D"/>
    <w:rsid w:val="007F5621"/>
    <w:rsid w:val="007F583A"/>
    <w:rsid w:val="007F5993"/>
    <w:rsid w:val="007F59EC"/>
    <w:rsid w:val="007F5A65"/>
    <w:rsid w:val="007F5BA8"/>
    <w:rsid w:val="007F5BAF"/>
    <w:rsid w:val="007F5BE9"/>
    <w:rsid w:val="007F5C5A"/>
    <w:rsid w:val="007F5D45"/>
    <w:rsid w:val="007F5DF0"/>
    <w:rsid w:val="007F5DFE"/>
    <w:rsid w:val="007F5F4B"/>
    <w:rsid w:val="007F5F7F"/>
    <w:rsid w:val="007F5FBE"/>
    <w:rsid w:val="007F5FD2"/>
    <w:rsid w:val="007F609A"/>
    <w:rsid w:val="007F6183"/>
    <w:rsid w:val="007F626C"/>
    <w:rsid w:val="007F6293"/>
    <w:rsid w:val="007F62C4"/>
    <w:rsid w:val="007F6352"/>
    <w:rsid w:val="007F6493"/>
    <w:rsid w:val="007F652A"/>
    <w:rsid w:val="007F6687"/>
    <w:rsid w:val="007F670D"/>
    <w:rsid w:val="007F683F"/>
    <w:rsid w:val="007F694F"/>
    <w:rsid w:val="007F6A5C"/>
    <w:rsid w:val="007F6A93"/>
    <w:rsid w:val="007F6D22"/>
    <w:rsid w:val="007F6F0D"/>
    <w:rsid w:val="007F6FC0"/>
    <w:rsid w:val="007F70FC"/>
    <w:rsid w:val="007F713C"/>
    <w:rsid w:val="007F7162"/>
    <w:rsid w:val="007F71B8"/>
    <w:rsid w:val="007F71BD"/>
    <w:rsid w:val="007F727E"/>
    <w:rsid w:val="007F7328"/>
    <w:rsid w:val="007F733A"/>
    <w:rsid w:val="007F734A"/>
    <w:rsid w:val="007F7409"/>
    <w:rsid w:val="007F762E"/>
    <w:rsid w:val="007F7652"/>
    <w:rsid w:val="007F76E6"/>
    <w:rsid w:val="007F7710"/>
    <w:rsid w:val="007F77D5"/>
    <w:rsid w:val="007F78A3"/>
    <w:rsid w:val="007F7A63"/>
    <w:rsid w:val="007F7A99"/>
    <w:rsid w:val="007F7B4F"/>
    <w:rsid w:val="007F7CBF"/>
    <w:rsid w:val="007F7D06"/>
    <w:rsid w:val="007F7D60"/>
    <w:rsid w:val="007F7DBB"/>
    <w:rsid w:val="007F7DC2"/>
    <w:rsid w:val="007F7EB1"/>
    <w:rsid w:val="007F7F74"/>
    <w:rsid w:val="008001AC"/>
    <w:rsid w:val="008002F1"/>
    <w:rsid w:val="00800315"/>
    <w:rsid w:val="008003B4"/>
    <w:rsid w:val="00800419"/>
    <w:rsid w:val="00800453"/>
    <w:rsid w:val="00800479"/>
    <w:rsid w:val="008004AC"/>
    <w:rsid w:val="008004F6"/>
    <w:rsid w:val="00800512"/>
    <w:rsid w:val="00800517"/>
    <w:rsid w:val="0080067E"/>
    <w:rsid w:val="0080069A"/>
    <w:rsid w:val="0080069D"/>
    <w:rsid w:val="008006A6"/>
    <w:rsid w:val="0080071C"/>
    <w:rsid w:val="00800777"/>
    <w:rsid w:val="00800830"/>
    <w:rsid w:val="008008D1"/>
    <w:rsid w:val="00800914"/>
    <w:rsid w:val="00800918"/>
    <w:rsid w:val="008009DE"/>
    <w:rsid w:val="00800A62"/>
    <w:rsid w:val="00800A70"/>
    <w:rsid w:val="00800BD8"/>
    <w:rsid w:val="00800C88"/>
    <w:rsid w:val="00800D89"/>
    <w:rsid w:val="00800DE4"/>
    <w:rsid w:val="00800E40"/>
    <w:rsid w:val="00800E48"/>
    <w:rsid w:val="00800E75"/>
    <w:rsid w:val="00800EC4"/>
    <w:rsid w:val="00800F28"/>
    <w:rsid w:val="00800FBD"/>
    <w:rsid w:val="0080114C"/>
    <w:rsid w:val="008011C5"/>
    <w:rsid w:val="00801343"/>
    <w:rsid w:val="00801349"/>
    <w:rsid w:val="00801388"/>
    <w:rsid w:val="0080146D"/>
    <w:rsid w:val="008014FE"/>
    <w:rsid w:val="0080164C"/>
    <w:rsid w:val="008017AE"/>
    <w:rsid w:val="0080194C"/>
    <w:rsid w:val="008019B4"/>
    <w:rsid w:val="008019BB"/>
    <w:rsid w:val="00801A84"/>
    <w:rsid w:val="00801BF3"/>
    <w:rsid w:val="00801CB3"/>
    <w:rsid w:val="00801D37"/>
    <w:rsid w:val="00801D6F"/>
    <w:rsid w:val="00801DB0"/>
    <w:rsid w:val="00801DCF"/>
    <w:rsid w:val="00801E6A"/>
    <w:rsid w:val="00801EDC"/>
    <w:rsid w:val="00801EE2"/>
    <w:rsid w:val="00801FC6"/>
    <w:rsid w:val="00802112"/>
    <w:rsid w:val="008021C4"/>
    <w:rsid w:val="00802204"/>
    <w:rsid w:val="008023F3"/>
    <w:rsid w:val="00802550"/>
    <w:rsid w:val="00802570"/>
    <w:rsid w:val="00802677"/>
    <w:rsid w:val="00802774"/>
    <w:rsid w:val="0080277E"/>
    <w:rsid w:val="008027DD"/>
    <w:rsid w:val="00802A0E"/>
    <w:rsid w:val="00802A10"/>
    <w:rsid w:val="00802B8B"/>
    <w:rsid w:val="00802BAF"/>
    <w:rsid w:val="00802C91"/>
    <w:rsid w:val="00802D0A"/>
    <w:rsid w:val="00802D5E"/>
    <w:rsid w:val="00802E82"/>
    <w:rsid w:val="0080308B"/>
    <w:rsid w:val="0080315A"/>
    <w:rsid w:val="0080323B"/>
    <w:rsid w:val="0080328D"/>
    <w:rsid w:val="008033DA"/>
    <w:rsid w:val="0080395C"/>
    <w:rsid w:val="00803BF5"/>
    <w:rsid w:val="00803D63"/>
    <w:rsid w:val="00803DA1"/>
    <w:rsid w:val="00803E09"/>
    <w:rsid w:val="00803E6C"/>
    <w:rsid w:val="00803F69"/>
    <w:rsid w:val="00803FA1"/>
    <w:rsid w:val="008040DF"/>
    <w:rsid w:val="00804169"/>
    <w:rsid w:val="0080429D"/>
    <w:rsid w:val="008042CA"/>
    <w:rsid w:val="00804311"/>
    <w:rsid w:val="00804342"/>
    <w:rsid w:val="00804386"/>
    <w:rsid w:val="008044F6"/>
    <w:rsid w:val="00804542"/>
    <w:rsid w:val="00804740"/>
    <w:rsid w:val="00804890"/>
    <w:rsid w:val="00804A5C"/>
    <w:rsid w:val="00804A9C"/>
    <w:rsid w:val="00804BEA"/>
    <w:rsid w:val="00804C36"/>
    <w:rsid w:val="00804CDC"/>
    <w:rsid w:val="00804D43"/>
    <w:rsid w:val="00804E47"/>
    <w:rsid w:val="00804E4B"/>
    <w:rsid w:val="00804E91"/>
    <w:rsid w:val="00804EC7"/>
    <w:rsid w:val="00804F2B"/>
    <w:rsid w:val="00804F5D"/>
    <w:rsid w:val="0080514D"/>
    <w:rsid w:val="008052ED"/>
    <w:rsid w:val="00805357"/>
    <w:rsid w:val="008053C4"/>
    <w:rsid w:val="0080560F"/>
    <w:rsid w:val="008056A5"/>
    <w:rsid w:val="00805813"/>
    <w:rsid w:val="0080587E"/>
    <w:rsid w:val="00805880"/>
    <w:rsid w:val="008058C7"/>
    <w:rsid w:val="008058F4"/>
    <w:rsid w:val="008059E8"/>
    <w:rsid w:val="00805A00"/>
    <w:rsid w:val="00805ACF"/>
    <w:rsid w:val="00805B16"/>
    <w:rsid w:val="00805BF4"/>
    <w:rsid w:val="00805CB0"/>
    <w:rsid w:val="00805F04"/>
    <w:rsid w:val="00805F8D"/>
    <w:rsid w:val="00805FD9"/>
    <w:rsid w:val="008060DC"/>
    <w:rsid w:val="00806111"/>
    <w:rsid w:val="008061C4"/>
    <w:rsid w:val="0080633C"/>
    <w:rsid w:val="00806361"/>
    <w:rsid w:val="008063FA"/>
    <w:rsid w:val="0080649B"/>
    <w:rsid w:val="008064B2"/>
    <w:rsid w:val="0080669F"/>
    <w:rsid w:val="008066C1"/>
    <w:rsid w:val="008066EC"/>
    <w:rsid w:val="00806778"/>
    <w:rsid w:val="008067D6"/>
    <w:rsid w:val="008067F1"/>
    <w:rsid w:val="00806935"/>
    <w:rsid w:val="00806C17"/>
    <w:rsid w:val="00806C67"/>
    <w:rsid w:val="00806CA3"/>
    <w:rsid w:val="00806CBB"/>
    <w:rsid w:val="00806DB9"/>
    <w:rsid w:val="00806F30"/>
    <w:rsid w:val="00806FBE"/>
    <w:rsid w:val="00806FD4"/>
    <w:rsid w:val="008070F7"/>
    <w:rsid w:val="008071F2"/>
    <w:rsid w:val="00807220"/>
    <w:rsid w:val="00807241"/>
    <w:rsid w:val="00807242"/>
    <w:rsid w:val="0080740B"/>
    <w:rsid w:val="008074A6"/>
    <w:rsid w:val="008076C6"/>
    <w:rsid w:val="008076D5"/>
    <w:rsid w:val="00807774"/>
    <w:rsid w:val="0080785A"/>
    <w:rsid w:val="0080788E"/>
    <w:rsid w:val="008078CE"/>
    <w:rsid w:val="00807953"/>
    <w:rsid w:val="008079F8"/>
    <w:rsid w:val="00807A1A"/>
    <w:rsid w:val="00807B1F"/>
    <w:rsid w:val="00807CFA"/>
    <w:rsid w:val="00807D95"/>
    <w:rsid w:val="00807EE2"/>
    <w:rsid w:val="00807EEE"/>
    <w:rsid w:val="00807F0F"/>
    <w:rsid w:val="00807FAF"/>
    <w:rsid w:val="00810015"/>
    <w:rsid w:val="0081008C"/>
    <w:rsid w:val="008100E7"/>
    <w:rsid w:val="0081016D"/>
    <w:rsid w:val="0081017D"/>
    <w:rsid w:val="00810212"/>
    <w:rsid w:val="00810232"/>
    <w:rsid w:val="008103ED"/>
    <w:rsid w:val="008103F6"/>
    <w:rsid w:val="00810435"/>
    <w:rsid w:val="0081045D"/>
    <w:rsid w:val="00810578"/>
    <w:rsid w:val="008105AF"/>
    <w:rsid w:val="008105DB"/>
    <w:rsid w:val="008105F2"/>
    <w:rsid w:val="00810729"/>
    <w:rsid w:val="00810772"/>
    <w:rsid w:val="00810A26"/>
    <w:rsid w:val="00810A2D"/>
    <w:rsid w:val="00810A36"/>
    <w:rsid w:val="00810C65"/>
    <w:rsid w:val="00810C97"/>
    <w:rsid w:val="00810D17"/>
    <w:rsid w:val="00810D1D"/>
    <w:rsid w:val="00810E3C"/>
    <w:rsid w:val="00810E3D"/>
    <w:rsid w:val="00810E9B"/>
    <w:rsid w:val="0081112F"/>
    <w:rsid w:val="00811135"/>
    <w:rsid w:val="0081114D"/>
    <w:rsid w:val="0081123E"/>
    <w:rsid w:val="00811246"/>
    <w:rsid w:val="0081125D"/>
    <w:rsid w:val="008112AD"/>
    <w:rsid w:val="008113B5"/>
    <w:rsid w:val="00811653"/>
    <w:rsid w:val="00811709"/>
    <w:rsid w:val="00811811"/>
    <w:rsid w:val="00811854"/>
    <w:rsid w:val="008118E9"/>
    <w:rsid w:val="00811924"/>
    <w:rsid w:val="00811A89"/>
    <w:rsid w:val="00811AA8"/>
    <w:rsid w:val="00811AF5"/>
    <w:rsid w:val="00811B25"/>
    <w:rsid w:val="00811B5E"/>
    <w:rsid w:val="00811BFC"/>
    <w:rsid w:val="00811C35"/>
    <w:rsid w:val="00811C3F"/>
    <w:rsid w:val="00811C8D"/>
    <w:rsid w:val="00811E86"/>
    <w:rsid w:val="00811F89"/>
    <w:rsid w:val="00812090"/>
    <w:rsid w:val="00812114"/>
    <w:rsid w:val="0081217C"/>
    <w:rsid w:val="00812241"/>
    <w:rsid w:val="008122BE"/>
    <w:rsid w:val="00812413"/>
    <w:rsid w:val="008124FC"/>
    <w:rsid w:val="0081257B"/>
    <w:rsid w:val="0081259C"/>
    <w:rsid w:val="0081270D"/>
    <w:rsid w:val="0081275D"/>
    <w:rsid w:val="008127DE"/>
    <w:rsid w:val="008127F4"/>
    <w:rsid w:val="00812811"/>
    <w:rsid w:val="00812845"/>
    <w:rsid w:val="00812927"/>
    <w:rsid w:val="00812A76"/>
    <w:rsid w:val="00812B27"/>
    <w:rsid w:val="00812B5F"/>
    <w:rsid w:val="00812B79"/>
    <w:rsid w:val="008131F7"/>
    <w:rsid w:val="00813319"/>
    <w:rsid w:val="0081333A"/>
    <w:rsid w:val="00813384"/>
    <w:rsid w:val="008133B8"/>
    <w:rsid w:val="00813496"/>
    <w:rsid w:val="00813542"/>
    <w:rsid w:val="008135C1"/>
    <w:rsid w:val="00813687"/>
    <w:rsid w:val="00813718"/>
    <w:rsid w:val="00813729"/>
    <w:rsid w:val="0081383A"/>
    <w:rsid w:val="00813935"/>
    <w:rsid w:val="00813A1A"/>
    <w:rsid w:val="00813A1C"/>
    <w:rsid w:val="00813B6A"/>
    <w:rsid w:val="00813B88"/>
    <w:rsid w:val="00813CC2"/>
    <w:rsid w:val="00813D1D"/>
    <w:rsid w:val="00813D51"/>
    <w:rsid w:val="00813D92"/>
    <w:rsid w:val="00813E5A"/>
    <w:rsid w:val="00813E7A"/>
    <w:rsid w:val="00813F48"/>
    <w:rsid w:val="00814060"/>
    <w:rsid w:val="0081406E"/>
    <w:rsid w:val="0081438B"/>
    <w:rsid w:val="0081439D"/>
    <w:rsid w:val="00814469"/>
    <w:rsid w:val="00814490"/>
    <w:rsid w:val="008144B0"/>
    <w:rsid w:val="008144C5"/>
    <w:rsid w:val="008145D2"/>
    <w:rsid w:val="00814899"/>
    <w:rsid w:val="0081490D"/>
    <w:rsid w:val="00814920"/>
    <w:rsid w:val="00814971"/>
    <w:rsid w:val="008149B2"/>
    <w:rsid w:val="00814AB1"/>
    <w:rsid w:val="00814AD8"/>
    <w:rsid w:val="00814BBB"/>
    <w:rsid w:val="00814D12"/>
    <w:rsid w:val="00814DD8"/>
    <w:rsid w:val="00814E43"/>
    <w:rsid w:val="00814E8C"/>
    <w:rsid w:val="00814FA0"/>
    <w:rsid w:val="008150EB"/>
    <w:rsid w:val="00815140"/>
    <w:rsid w:val="00815145"/>
    <w:rsid w:val="008151FE"/>
    <w:rsid w:val="00815361"/>
    <w:rsid w:val="00815568"/>
    <w:rsid w:val="00815632"/>
    <w:rsid w:val="00815735"/>
    <w:rsid w:val="008157FA"/>
    <w:rsid w:val="0081587B"/>
    <w:rsid w:val="008159FC"/>
    <w:rsid w:val="00815A29"/>
    <w:rsid w:val="00815B14"/>
    <w:rsid w:val="00815CAB"/>
    <w:rsid w:val="00815EBF"/>
    <w:rsid w:val="00816059"/>
    <w:rsid w:val="008160AD"/>
    <w:rsid w:val="0081620C"/>
    <w:rsid w:val="00816340"/>
    <w:rsid w:val="00816415"/>
    <w:rsid w:val="008164CB"/>
    <w:rsid w:val="00816601"/>
    <w:rsid w:val="00816679"/>
    <w:rsid w:val="008166E0"/>
    <w:rsid w:val="00816860"/>
    <w:rsid w:val="00816874"/>
    <w:rsid w:val="008168BF"/>
    <w:rsid w:val="00816A97"/>
    <w:rsid w:val="00816AA1"/>
    <w:rsid w:val="00816AC5"/>
    <w:rsid w:val="00816C9F"/>
    <w:rsid w:val="00816D5D"/>
    <w:rsid w:val="00816DDF"/>
    <w:rsid w:val="00816F37"/>
    <w:rsid w:val="00816F89"/>
    <w:rsid w:val="00816FC6"/>
    <w:rsid w:val="00817084"/>
    <w:rsid w:val="008170F6"/>
    <w:rsid w:val="008171F3"/>
    <w:rsid w:val="00817238"/>
    <w:rsid w:val="00817288"/>
    <w:rsid w:val="0081749C"/>
    <w:rsid w:val="008175DD"/>
    <w:rsid w:val="008175E4"/>
    <w:rsid w:val="008176C6"/>
    <w:rsid w:val="00817847"/>
    <w:rsid w:val="008179DE"/>
    <w:rsid w:val="008179E4"/>
    <w:rsid w:val="00817A6D"/>
    <w:rsid w:val="00817ACA"/>
    <w:rsid w:val="00817B68"/>
    <w:rsid w:val="00817C97"/>
    <w:rsid w:val="00817D3F"/>
    <w:rsid w:val="00817D97"/>
    <w:rsid w:val="00817DCD"/>
    <w:rsid w:val="00817E15"/>
    <w:rsid w:val="00817E62"/>
    <w:rsid w:val="00817ED8"/>
    <w:rsid w:val="00817FAA"/>
    <w:rsid w:val="008201C1"/>
    <w:rsid w:val="00820330"/>
    <w:rsid w:val="0082044E"/>
    <w:rsid w:val="008204BA"/>
    <w:rsid w:val="008205E7"/>
    <w:rsid w:val="00820640"/>
    <w:rsid w:val="008209AC"/>
    <w:rsid w:val="00820ADE"/>
    <w:rsid w:val="00820BCA"/>
    <w:rsid w:val="00820C1A"/>
    <w:rsid w:val="00820C73"/>
    <w:rsid w:val="00820D1A"/>
    <w:rsid w:val="00820EEE"/>
    <w:rsid w:val="00820FBE"/>
    <w:rsid w:val="00820FE7"/>
    <w:rsid w:val="00821021"/>
    <w:rsid w:val="00821050"/>
    <w:rsid w:val="00821110"/>
    <w:rsid w:val="00821149"/>
    <w:rsid w:val="00821197"/>
    <w:rsid w:val="008211F8"/>
    <w:rsid w:val="00821235"/>
    <w:rsid w:val="008213A7"/>
    <w:rsid w:val="008213E3"/>
    <w:rsid w:val="00821458"/>
    <w:rsid w:val="008214BB"/>
    <w:rsid w:val="008214CD"/>
    <w:rsid w:val="00821568"/>
    <w:rsid w:val="00821603"/>
    <w:rsid w:val="008216A8"/>
    <w:rsid w:val="00821775"/>
    <w:rsid w:val="008217BA"/>
    <w:rsid w:val="00821811"/>
    <w:rsid w:val="008219E9"/>
    <w:rsid w:val="00821A00"/>
    <w:rsid w:val="00821A30"/>
    <w:rsid w:val="00821A5A"/>
    <w:rsid w:val="00821B0A"/>
    <w:rsid w:val="00821C6A"/>
    <w:rsid w:val="00821CA0"/>
    <w:rsid w:val="00821D22"/>
    <w:rsid w:val="00821E72"/>
    <w:rsid w:val="00821F77"/>
    <w:rsid w:val="0082201B"/>
    <w:rsid w:val="00822099"/>
    <w:rsid w:val="008220B0"/>
    <w:rsid w:val="0082210B"/>
    <w:rsid w:val="0082220B"/>
    <w:rsid w:val="008222A6"/>
    <w:rsid w:val="008222E8"/>
    <w:rsid w:val="00822314"/>
    <w:rsid w:val="0082248F"/>
    <w:rsid w:val="0082251C"/>
    <w:rsid w:val="0082252A"/>
    <w:rsid w:val="00822685"/>
    <w:rsid w:val="008226F2"/>
    <w:rsid w:val="00822A05"/>
    <w:rsid w:val="00822A29"/>
    <w:rsid w:val="00822A50"/>
    <w:rsid w:val="00822AA8"/>
    <w:rsid w:val="00822AAE"/>
    <w:rsid w:val="00822B2E"/>
    <w:rsid w:val="00822BFE"/>
    <w:rsid w:val="00822C71"/>
    <w:rsid w:val="00822CC0"/>
    <w:rsid w:val="008230B0"/>
    <w:rsid w:val="0082312D"/>
    <w:rsid w:val="0082313C"/>
    <w:rsid w:val="00823186"/>
    <w:rsid w:val="008233D2"/>
    <w:rsid w:val="00823451"/>
    <w:rsid w:val="00823452"/>
    <w:rsid w:val="0082347B"/>
    <w:rsid w:val="008234CF"/>
    <w:rsid w:val="008236E7"/>
    <w:rsid w:val="0082383E"/>
    <w:rsid w:val="00823A4E"/>
    <w:rsid w:val="00823BBC"/>
    <w:rsid w:val="00823C36"/>
    <w:rsid w:val="00823CFB"/>
    <w:rsid w:val="00823D55"/>
    <w:rsid w:val="00823D83"/>
    <w:rsid w:val="00823D8A"/>
    <w:rsid w:val="00823DE7"/>
    <w:rsid w:val="00823F48"/>
    <w:rsid w:val="00824032"/>
    <w:rsid w:val="00824078"/>
    <w:rsid w:val="0082419F"/>
    <w:rsid w:val="008241A7"/>
    <w:rsid w:val="008241C9"/>
    <w:rsid w:val="00824244"/>
    <w:rsid w:val="008242F3"/>
    <w:rsid w:val="00824443"/>
    <w:rsid w:val="008244D2"/>
    <w:rsid w:val="00824689"/>
    <w:rsid w:val="008246EF"/>
    <w:rsid w:val="008247D4"/>
    <w:rsid w:val="008247E4"/>
    <w:rsid w:val="0082485D"/>
    <w:rsid w:val="00824B2A"/>
    <w:rsid w:val="00824BDB"/>
    <w:rsid w:val="00824CA5"/>
    <w:rsid w:val="00824D3D"/>
    <w:rsid w:val="00824E1C"/>
    <w:rsid w:val="00824E90"/>
    <w:rsid w:val="00824EB1"/>
    <w:rsid w:val="00824EE2"/>
    <w:rsid w:val="00824FF5"/>
    <w:rsid w:val="008250B2"/>
    <w:rsid w:val="008251DE"/>
    <w:rsid w:val="00825260"/>
    <w:rsid w:val="00825538"/>
    <w:rsid w:val="00825555"/>
    <w:rsid w:val="0082560D"/>
    <w:rsid w:val="0082586E"/>
    <w:rsid w:val="00825912"/>
    <w:rsid w:val="00825922"/>
    <w:rsid w:val="00825944"/>
    <w:rsid w:val="00825BC5"/>
    <w:rsid w:val="00825C3E"/>
    <w:rsid w:val="00825C4B"/>
    <w:rsid w:val="00825C6E"/>
    <w:rsid w:val="00825CAF"/>
    <w:rsid w:val="00825CEB"/>
    <w:rsid w:val="00825F6E"/>
    <w:rsid w:val="008262B9"/>
    <w:rsid w:val="0082640D"/>
    <w:rsid w:val="0082648C"/>
    <w:rsid w:val="008265B5"/>
    <w:rsid w:val="00826612"/>
    <w:rsid w:val="008266DE"/>
    <w:rsid w:val="00826823"/>
    <w:rsid w:val="00826855"/>
    <w:rsid w:val="008268D7"/>
    <w:rsid w:val="00826903"/>
    <w:rsid w:val="00826925"/>
    <w:rsid w:val="008269F8"/>
    <w:rsid w:val="00826A5C"/>
    <w:rsid w:val="00826AAB"/>
    <w:rsid w:val="00826B65"/>
    <w:rsid w:val="00826BA2"/>
    <w:rsid w:val="00826BE1"/>
    <w:rsid w:val="00826C19"/>
    <w:rsid w:val="00826D50"/>
    <w:rsid w:val="00826D70"/>
    <w:rsid w:val="00826DD7"/>
    <w:rsid w:val="00826E11"/>
    <w:rsid w:val="00826E97"/>
    <w:rsid w:val="00826F17"/>
    <w:rsid w:val="00826F7D"/>
    <w:rsid w:val="008270ED"/>
    <w:rsid w:val="008273AA"/>
    <w:rsid w:val="008273CE"/>
    <w:rsid w:val="008274B2"/>
    <w:rsid w:val="008274D4"/>
    <w:rsid w:val="00827541"/>
    <w:rsid w:val="0082755A"/>
    <w:rsid w:val="00827590"/>
    <w:rsid w:val="00827696"/>
    <w:rsid w:val="008276F5"/>
    <w:rsid w:val="00827771"/>
    <w:rsid w:val="0082777E"/>
    <w:rsid w:val="008277D2"/>
    <w:rsid w:val="00827810"/>
    <w:rsid w:val="008279A7"/>
    <w:rsid w:val="00827A3B"/>
    <w:rsid w:val="00827AB0"/>
    <w:rsid w:val="00827BD8"/>
    <w:rsid w:val="00827CDA"/>
    <w:rsid w:val="00827D9F"/>
    <w:rsid w:val="00827DFB"/>
    <w:rsid w:val="00827EE5"/>
    <w:rsid w:val="00827F1F"/>
    <w:rsid w:val="00827F8D"/>
    <w:rsid w:val="008300C0"/>
    <w:rsid w:val="008301C6"/>
    <w:rsid w:val="008302EF"/>
    <w:rsid w:val="0083031E"/>
    <w:rsid w:val="0083044A"/>
    <w:rsid w:val="0083056C"/>
    <w:rsid w:val="0083058B"/>
    <w:rsid w:val="00830625"/>
    <w:rsid w:val="00830629"/>
    <w:rsid w:val="0083068B"/>
    <w:rsid w:val="00830737"/>
    <w:rsid w:val="00830788"/>
    <w:rsid w:val="008307F6"/>
    <w:rsid w:val="0083088F"/>
    <w:rsid w:val="00830A47"/>
    <w:rsid w:val="00830AD1"/>
    <w:rsid w:val="00830B5E"/>
    <w:rsid w:val="00830BA0"/>
    <w:rsid w:val="00830BD2"/>
    <w:rsid w:val="00830F24"/>
    <w:rsid w:val="00830FCC"/>
    <w:rsid w:val="00831035"/>
    <w:rsid w:val="00831042"/>
    <w:rsid w:val="00831108"/>
    <w:rsid w:val="00831129"/>
    <w:rsid w:val="00831167"/>
    <w:rsid w:val="00831217"/>
    <w:rsid w:val="00831231"/>
    <w:rsid w:val="008312D4"/>
    <w:rsid w:val="008312E0"/>
    <w:rsid w:val="00831366"/>
    <w:rsid w:val="008313E3"/>
    <w:rsid w:val="00831406"/>
    <w:rsid w:val="00831595"/>
    <w:rsid w:val="0083159D"/>
    <w:rsid w:val="008316BB"/>
    <w:rsid w:val="008316F3"/>
    <w:rsid w:val="00831769"/>
    <w:rsid w:val="0083177B"/>
    <w:rsid w:val="0083184C"/>
    <w:rsid w:val="008318A0"/>
    <w:rsid w:val="008318F3"/>
    <w:rsid w:val="0083197D"/>
    <w:rsid w:val="008319B6"/>
    <w:rsid w:val="008319C9"/>
    <w:rsid w:val="00831A96"/>
    <w:rsid w:val="00831AD1"/>
    <w:rsid w:val="00831B4D"/>
    <w:rsid w:val="00831BC4"/>
    <w:rsid w:val="00831D14"/>
    <w:rsid w:val="00831D20"/>
    <w:rsid w:val="00831D4F"/>
    <w:rsid w:val="00831E97"/>
    <w:rsid w:val="00831ECC"/>
    <w:rsid w:val="008320C7"/>
    <w:rsid w:val="008320FD"/>
    <w:rsid w:val="0083231A"/>
    <w:rsid w:val="0083235D"/>
    <w:rsid w:val="008324D5"/>
    <w:rsid w:val="008326A9"/>
    <w:rsid w:val="00832705"/>
    <w:rsid w:val="00832707"/>
    <w:rsid w:val="0083271D"/>
    <w:rsid w:val="00832ACC"/>
    <w:rsid w:val="00832B40"/>
    <w:rsid w:val="00832BB7"/>
    <w:rsid w:val="00832D14"/>
    <w:rsid w:val="00832E13"/>
    <w:rsid w:val="00832E36"/>
    <w:rsid w:val="00832E76"/>
    <w:rsid w:val="00833057"/>
    <w:rsid w:val="0083308C"/>
    <w:rsid w:val="00833153"/>
    <w:rsid w:val="00833228"/>
    <w:rsid w:val="008332D6"/>
    <w:rsid w:val="0083339A"/>
    <w:rsid w:val="0083339E"/>
    <w:rsid w:val="008333A5"/>
    <w:rsid w:val="00833437"/>
    <w:rsid w:val="00833526"/>
    <w:rsid w:val="0083357E"/>
    <w:rsid w:val="008336DD"/>
    <w:rsid w:val="0083377A"/>
    <w:rsid w:val="00833792"/>
    <w:rsid w:val="00833977"/>
    <w:rsid w:val="00833F54"/>
    <w:rsid w:val="00833FAE"/>
    <w:rsid w:val="00834109"/>
    <w:rsid w:val="0083431B"/>
    <w:rsid w:val="0083438E"/>
    <w:rsid w:val="00834395"/>
    <w:rsid w:val="008343E7"/>
    <w:rsid w:val="00834462"/>
    <w:rsid w:val="008344D5"/>
    <w:rsid w:val="008345C1"/>
    <w:rsid w:val="008345F3"/>
    <w:rsid w:val="00834735"/>
    <w:rsid w:val="008347D2"/>
    <w:rsid w:val="008349B9"/>
    <w:rsid w:val="00834A23"/>
    <w:rsid w:val="00834AFC"/>
    <w:rsid w:val="00834B1A"/>
    <w:rsid w:val="00834B4C"/>
    <w:rsid w:val="00834BB8"/>
    <w:rsid w:val="00834BEA"/>
    <w:rsid w:val="00834CAD"/>
    <w:rsid w:val="00834E39"/>
    <w:rsid w:val="00834E66"/>
    <w:rsid w:val="00834E9B"/>
    <w:rsid w:val="00834FBE"/>
    <w:rsid w:val="00834FF0"/>
    <w:rsid w:val="0083509D"/>
    <w:rsid w:val="008350FB"/>
    <w:rsid w:val="008352FF"/>
    <w:rsid w:val="00835307"/>
    <w:rsid w:val="008353AE"/>
    <w:rsid w:val="008353BF"/>
    <w:rsid w:val="00835547"/>
    <w:rsid w:val="0083559A"/>
    <w:rsid w:val="008355A6"/>
    <w:rsid w:val="00835681"/>
    <w:rsid w:val="008357E1"/>
    <w:rsid w:val="00835844"/>
    <w:rsid w:val="00835845"/>
    <w:rsid w:val="00835B12"/>
    <w:rsid w:val="00835B69"/>
    <w:rsid w:val="00835B77"/>
    <w:rsid w:val="00835C4F"/>
    <w:rsid w:val="00835CDC"/>
    <w:rsid w:val="00835F04"/>
    <w:rsid w:val="00835F8F"/>
    <w:rsid w:val="00835FCD"/>
    <w:rsid w:val="008361AB"/>
    <w:rsid w:val="00836253"/>
    <w:rsid w:val="00836307"/>
    <w:rsid w:val="00836343"/>
    <w:rsid w:val="008364B1"/>
    <w:rsid w:val="008365F6"/>
    <w:rsid w:val="008366C0"/>
    <w:rsid w:val="008366CD"/>
    <w:rsid w:val="008366F1"/>
    <w:rsid w:val="00836709"/>
    <w:rsid w:val="00836930"/>
    <w:rsid w:val="0083699A"/>
    <w:rsid w:val="00836AAD"/>
    <w:rsid w:val="00836B09"/>
    <w:rsid w:val="00836E75"/>
    <w:rsid w:val="00837044"/>
    <w:rsid w:val="00837221"/>
    <w:rsid w:val="008373A6"/>
    <w:rsid w:val="008375C9"/>
    <w:rsid w:val="008375E7"/>
    <w:rsid w:val="008376DC"/>
    <w:rsid w:val="00837710"/>
    <w:rsid w:val="008377AE"/>
    <w:rsid w:val="00837912"/>
    <w:rsid w:val="00837A10"/>
    <w:rsid w:val="00837BB0"/>
    <w:rsid w:val="00837C42"/>
    <w:rsid w:val="00837CF2"/>
    <w:rsid w:val="00837D0F"/>
    <w:rsid w:val="00837D1C"/>
    <w:rsid w:val="00837DB2"/>
    <w:rsid w:val="00837DCF"/>
    <w:rsid w:val="00837E87"/>
    <w:rsid w:val="00837EDE"/>
    <w:rsid w:val="00837EF0"/>
    <w:rsid w:val="00840054"/>
    <w:rsid w:val="00840206"/>
    <w:rsid w:val="0084027F"/>
    <w:rsid w:val="00840285"/>
    <w:rsid w:val="00840376"/>
    <w:rsid w:val="0084048B"/>
    <w:rsid w:val="00840578"/>
    <w:rsid w:val="00840580"/>
    <w:rsid w:val="00840589"/>
    <w:rsid w:val="00840598"/>
    <w:rsid w:val="00840634"/>
    <w:rsid w:val="0084064E"/>
    <w:rsid w:val="00840695"/>
    <w:rsid w:val="008406BC"/>
    <w:rsid w:val="00840740"/>
    <w:rsid w:val="0084077C"/>
    <w:rsid w:val="00840809"/>
    <w:rsid w:val="0084092C"/>
    <w:rsid w:val="00840971"/>
    <w:rsid w:val="00840A15"/>
    <w:rsid w:val="00840B16"/>
    <w:rsid w:val="00840C66"/>
    <w:rsid w:val="00840D26"/>
    <w:rsid w:val="00840DDE"/>
    <w:rsid w:val="00840EF8"/>
    <w:rsid w:val="00840F46"/>
    <w:rsid w:val="0084110C"/>
    <w:rsid w:val="00841179"/>
    <w:rsid w:val="00841214"/>
    <w:rsid w:val="008412C9"/>
    <w:rsid w:val="008412DA"/>
    <w:rsid w:val="008413E7"/>
    <w:rsid w:val="008413F8"/>
    <w:rsid w:val="0084148C"/>
    <w:rsid w:val="00841491"/>
    <w:rsid w:val="00841562"/>
    <w:rsid w:val="008415E6"/>
    <w:rsid w:val="00841616"/>
    <w:rsid w:val="00841669"/>
    <w:rsid w:val="00841717"/>
    <w:rsid w:val="00841727"/>
    <w:rsid w:val="008417A9"/>
    <w:rsid w:val="008418D3"/>
    <w:rsid w:val="008419C1"/>
    <w:rsid w:val="00841A89"/>
    <w:rsid w:val="00841AD5"/>
    <w:rsid w:val="00841AF4"/>
    <w:rsid w:val="00841B1E"/>
    <w:rsid w:val="00841B21"/>
    <w:rsid w:val="00841C2A"/>
    <w:rsid w:val="00841DE6"/>
    <w:rsid w:val="00841EC5"/>
    <w:rsid w:val="00841F96"/>
    <w:rsid w:val="008420CD"/>
    <w:rsid w:val="00842101"/>
    <w:rsid w:val="008421E2"/>
    <w:rsid w:val="008421F6"/>
    <w:rsid w:val="00842280"/>
    <w:rsid w:val="0084236A"/>
    <w:rsid w:val="00842429"/>
    <w:rsid w:val="00842518"/>
    <w:rsid w:val="00842556"/>
    <w:rsid w:val="00842580"/>
    <w:rsid w:val="008425FC"/>
    <w:rsid w:val="00842606"/>
    <w:rsid w:val="008426E8"/>
    <w:rsid w:val="008426F6"/>
    <w:rsid w:val="008429EE"/>
    <w:rsid w:val="00842AF3"/>
    <w:rsid w:val="00842B47"/>
    <w:rsid w:val="00842B7C"/>
    <w:rsid w:val="00842B80"/>
    <w:rsid w:val="00842D31"/>
    <w:rsid w:val="00842DBB"/>
    <w:rsid w:val="00842F38"/>
    <w:rsid w:val="00842F65"/>
    <w:rsid w:val="00842F81"/>
    <w:rsid w:val="00842FE1"/>
    <w:rsid w:val="00843193"/>
    <w:rsid w:val="0084329A"/>
    <w:rsid w:val="008433FC"/>
    <w:rsid w:val="0084341E"/>
    <w:rsid w:val="008435F3"/>
    <w:rsid w:val="008436F9"/>
    <w:rsid w:val="00843718"/>
    <w:rsid w:val="008437B9"/>
    <w:rsid w:val="00843801"/>
    <w:rsid w:val="008438A6"/>
    <w:rsid w:val="008438EF"/>
    <w:rsid w:val="008439B1"/>
    <w:rsid w:val="00843A1F"/>
    <w:rsid w:val="00843A3E"/>
    <w:rsid w:val="00843A55"/>
    <w:rsid w:val="00843A7A"/>
    <w:rsid w:val="00843ABE"/>
    <w:rsid w:val="00843AD9"/>
    <w:rsid w:val="00843AED"/>
    <w:rsid w:val="00843AEE"/>
    <w:rsid w:val="00843B7B"/>
    <w:rsid w:val="00843CB3"/>
    <w:rsid w:val="00843D1B"/>
    <w:rsid w:val="00843D33"/>
    <w:rsid w:val="00843DE4"/>
    <w:rsid w:val="00843F58"/>
    <w:rsid w:val="00843F79"/>
    <w:rsid w:val="0084404C"/>
    <w:rsid w:val="008442A1"/>
    <w:rsid w:val="008442E7"/>
    <w:rsid w:val="00844313"/>
    <w:rsid w:val="0084434A"/>
    <w:rsid w:val="00844448"/>
    <w:rsid w:val="00844531"/>
    <w:rsid w:val="0084456B"/>
    <w:rsid w:val="0084458E"/>
    <w:rsid w:val="008445B1"/>
    <w:rsid w:val="0084466F"/>
    <w:rsid w:val="0084490A"/>
    <w:rsid w:val="00844AA3"/>
    <w:rsid w:val="00844CEC"/>
    <w:rsid w:val="00844D95"/>
    <w:rsid w:val="00844DC2"/>
    <w:rsid w:val="00844DC7"/>
    <w:rsid w:val="0084504F"/>
    <w:rsid w:val="00845050"/>
    <w:rsid w:val="00845076"/>
    <w:rsid w:val="00845276"/>
    <w:rsid w:val="0084527B"/>
    <w:rsid w:val="008452BE"/>
    <w:rsid w:val="008452F4"/>
    <w:rsid w:val="00845557"/>
    <w:rsid w:val="008456A2"/>
    <w:rsid w:val="00845753"/>
    <w:rsid w:val="00845757"/>
    <w:rsid w:val="00845761"/>
    <w:rsid w:val="008457A2"/>
    <w:rsid w:val="00845803"/>
    <w:rsid w:val="00845838"/>
    <w:rsid w:val="00845871"/>
    <w:rsid w:val="00845B5E"/>
    <w:rsid w:val="00845BA0"/>
    <w:rsid w:val="00845CAC"/>
    <w:rsid w:val="00845E40"/>
    <w:rsid w:val="00845EA7"/>
    <w:rsid w:val="00846028"/>
    <w:rsid w:val="00846030"/>
    <w:rsid w:val="008460BA"/>
    <w:rsid w:val="00846140"/>
    <w:rsid w:val="00846221"/>
    <w:rsid w:val="0084622D"/>
    <w:rsid w:val="008462A5"/>
    <w:rsid w:val="008462FE"/>
    <w:rsid w:val="0084636E"/>
    <w:rsid w:val="00846379"/>
    <w:rsid w:val="008463A4"/>
    <w:rsid w:val="008464B4"/>
    <w:rsid w:val="008464B8"/>
    <w:rsid w:val="00846791"/>
    <w:rsid w:val="0084688A"/>
    <w:rsid w:val="00846986"/>
    <w:rsid w:val="00846B6E"/>
    <w:rsid w:val="00846C27"/>
    <w:rsid w:val="00846C82"/>
    <w:rsid w:val="00846C8A"/>
    <w:rsid w:val="00846DA5"/>
    <w:rsid w:val="00846E78"/>
    <w:rsid w:val="00846EEF"/>
    <w:rsid w:val="00846F0C"/>
    <w:rsid w:val="00846FCF"/>
    <w:rsid w:val="00846FFD"/>
    <w:rsid w:val="00847028"/>
    <w:rsid w:val="00847062"/>
    <w:rsid w:val="00847077"/>
    <w:rsid w:val="0084709B"/>
    <w:rsid w:val="008470AE"/>
    <w:rsid w:val="00847271"/>
    <w:rsid w:val="00847293"/>
    <w:rsid w:val="00847516"/>
    <w:rsid w:val="0084751D"/>
    <w:rsid w:val="00847531"/>
    <w:rsid w:val="00847572"/>
    <w:rsid w:val="0084762A"/>
    <w:rsid w:val="00847A1B"/>
    <w:rsid w:val="00847A54"/>
    <w:rsid w:val="00847AD2"/>
    <w:rsid w:val="00847B5D"/>
    <w:rsid w:val="00847BD7"/>
    <w:rsid w:val="00847CD7"/>
    <w:rsid w:val="00847D19"/>
    <w:rsid w:val="00847D48"/>
    <w:rsid w:val="00847E74"/>
    <w:rsid w:val="00847F43"/>
    <w:rsid w:val="00847F66"/>
    <w:rsid w:val="00847FF3"/>
    <w:rsid w:val="00850267"/>
    <w:rsid w:val="0085030B"/>
    <w:rsid w:val="0085031A"/>
    <w:rsid w:val="0085044B"/>
    <w:rsid w:val="00850510"/>
    <w:rsid w:val="00850637"/>
    <w:rsid w:val="00850665"/>
    <w:rsid w:val="008508B8"/>
    <w:rsid w:val="00850B00"/>
    <w:rsid w:val="00850B4A"/>
    <w:rsid w:val="00850B4F"/>
    <w:rsid w:val="00850BA9"/>
    <w:rsid w:val="00850BC6"/>
    <w:rsid w:val="00850C72"/>
    <w:rsid w:val="00850D97"/>
    <w:rsid w:val="00850E06"/>
    <w:rsid w:val="00850E08"/>
    <w:rsid w:val="00850F6A"/>
    <w:rsid w:val="00851040"/>
    <w:rsid w:val="008510A5"/>
    <w:rsid w:val="008512AB"/>
    <w:rsid w:val="00851369"/>
    <w:rsid w:val="008513CD"/>
    <w:rsid w:val="00851401"/>
    <w:rsid w:val="00851599"/>
    <w:rsid w:val="0085166F"/>
    <w:rsid w:val="0085174B"/>
    <w:rsid w:val="00851791"/>
    <w:rsid w:val="008517D1"/>
    <w:rsid w:val="0085184F"/>
    <w:rsid w:val="008518B0"/>
    <w:rsid w:val="008518B2"/>
    <w:rsid w:val="008518FC"/>
    <w:rsid w:val="00851918"/>
    <w:rsid w:val="00851925"/>
    <w:rsid w:val="008519A3"/>
    <w:rsid w:val="008519F7"/>
    <w:rsid w:val="00851A89"/>
    <w:rsid w:val="00851AE1"/>
    <w:rsid w:val="00851E47"/>
    <w:rsid w:val="00851EC4"/>
    <w:rsid w:val="00851F01"/>
    <w:rsid w:val="00851F36"/>
    <w:rsid w:val="0085207B"/>
    <w:rsid w:val="0085209B"/>
    <w:rsid w:val="008521C9"/>
    <w:rsid w:val="0085225A"/>
    <w:rsid w:val="0085255E"/>
    <w:rsid w:val="00852567"/>
    <w:rsid w:val="008526A5"/>
    <w:rsid w:val="0085275D"/>
    <w:rsid w:val="00852821"/>
    <w:rsid w:val="00852831"/>
    <w:rsid w:val="00852B76"/>
    <w:rsid w:val="00852B7D"/>
    <w:rsid w:val="00852C85"/>
    <w:rsid w:val="00852C90"/>
    <w:rsid w:val="00852CD0"/>
    <w:rsid w:val="00852CD2"/>
    <w:rsid w:val="00852D86"/>
    <w:rsid w:val="00852ECC"/>
    <w:rsid w:val="00852F7C"/>
    <w:rsid w:val="0085304B"/>
    <w:rsid w:val="008530BF"/>
    <w:rsid w:val="0085315E"/>
    <w:rsid w:val="008531AD"/>
    <w:rsid w:val="008531E6"/>
    <w:rsid w:val="0085322B"/>
    <w:rsid w:val="008532A0"/>
    <w:rsid w:val="00853300"/>
    <w:rsid w:val="00853369"/>
    <w:rsid w:val="00853515"/>
    <w:rsid w:val="00853661"/>
    <w:rsid w:val="00853680"/>
    <w:rsid w:val="008536B7"/>
    <w:rsid w:val="008536C0"/>
    <w:rsid w:val="008536E7"/>
    <w:rsid w:val="008536F7"/>
    <w:rsid w:val="00853826"/>
    <w:rsid w:val="0085386D"/>
    <w:rsid w:val="00853958"/>
    <w:rsid w:val="00853961"/>
    <w:rsid w:val="00853B11"/>
    <w:rsid w:val="00853D36"/>
    <w:rsid w:val="00853DF4"/>
    <w:rsid w:val="00853F1B"/>
    <w:rsid w:val="00853F40"/>
    <w:rsid w:val="008542D7"/>
    <w:rsid w:val="008542F7"/>
    <w:rsid w:val="0085436B"/>
    <w:rsid w:val="008543D7"/>
    <w:rsid w:val="00854411"/>
    <w:rsid w:val="008544AD"/>
    <w:rsid w:val="00854537"/>
    <w:rsid w:val="00854600"/>
    <w:rsid w:val="008546B3"/>
    <w:rsid w:val="00854709"/>
    <w:rsid w:val="00854751"/>
    <w:rsid w:val="008548E0"/>
    <w:rsid w:val="00854947"/>
    <w:rsid w:val="00854948"/>
    <w:rsid w:val="00854A48"/>
    <w:rsid w:val="00854B68"/>
    <w:rsid w:val="00854CAE"/>
    <w:rsid w:val="00854CEB"/>
    <w:rsid w:val="00854D37"/>
    <w:rsid w:val="00854DB9"/>
    <w:rsid w:val="00854DD3"/>
    <w:rsid w:val="00854DD5"/>
    <w:rsid w:val="00854E17"/>
    <w:rsid w:val="00854E4F"/>
    <w:rsid w:val="00855006"/>
    <w:rsid w:val="00855024"/>
    <w:rsid w:val="00855080"/>
    <w:rsid w:val="00855215"/>
    <w:rsid w:val="0085523C"/>
    <w:rsid w:val="00855363"/>
    <w:rsid w:val="008553E3"/>
    <w:rsid w:val="0085553B"/>
    <w:rsid w:val="00855540"/>
    <w:rsid w:val="008555AF"/>
    <w:rsid w:val="00855651"/>
    <w:rsid w:val="008556E2"/>
    <w:rsid w:val="00855814"/>
    <w:rsid w:val="00855875"/>
    <w:rsid w:val="008558AF"/>
    <w:rsid w:val="00855B78"/>
    <w:rsid w:val="00855BDC"/>
    <w:rsid w:val="00855D60"/>
    <w:rsid w:val="00855D7D"/>
    <w:rsid w:val="00855DC9"/>
    <w:rsid w:val="00855E03"/>
    <w:rsid w:val="00855E5C"/>
    <w:rsid w:val="008560CC"/>
    <w:rsid w:val="008561FF"/>
    <w:rsid w:val="00856209"/>
    <w:rsid w:val="0085622E"/>
    <w:rsid w:val="00856238"/>
    <w:rsid w:val="008562B9"/>
    <w:rsid w:val="008562D1"/>
    <w:rsid w:val="00856382"/>
    <w:rsid w:val="00856425"/>
    <w:rsid w:val="0085652E"/>
    <w:rsid w:val="008565D2"/>
    <w:rsid w:val="008567CE"/>
    <w:rsid w:val="008567F7"/>
    <w:rsid w:val="008567F8"/>
    <w:rsid w:val="00856807"/>
    <w:rsid w:val="00856842"/>
    <w:rsid w:val="00856848"/>
    <w:rsid w:val="0085688A"/>
    <w:rsid w:val="00856894"/>
    <w:rsid w:val="00856946"/>
    <w:rsid w:val="00856A17"/>
    <w:rsid w:val="00856A49"/>
    <w:rsid w:val="00856ABC"/>
    <w:rsid w:val="00856B73"/>
    <w:rsid w:val="00856CC4"/>
    <w:rsid w:val="00856CE4"/>
    <w:rsid w:val="00856D2B"/>
    <w:rsid w:val="00856DDD"/>
    <w:rsid w:val="00856E75"/>
    <w:rsid w:val="00856F15"/>
    <w:rsid w:val="00856F80"/>
    <w:rsid w:val="0085701F"/>
    <w:rsid w:val="00857069"/>
    <w:rsid w:val="00857097"/>
    <w:rsid w:val="0085709F"/>
    <w:rsid w:val="008570E9"/>
    <w:rsid w:val="00857167"/>
    <w:rsid w:val="008572D8"/>
    <w:rsid w:val="00857456"/>
    <w:rsid w:val="0085753A"/>
    <w:rsid w:val="008575E8"/>
    <w:rsid w:val="0085764B"/>
    <w:rsid w:val="0085779D"/>
    <w:rsid w:val="008577B5"/>
    <w:rsid w:val="0085788A"/>
    <w:rsid w:val="0085792D"/>
    <w:rsid w:val="00857A50"/>
    <w:rsid w:val="00857AA6"/>
    <w:rsid w:val="00857B6F"/>
    <w:rsid w:val="00857BC7"/>
    <w:rsid w:val="00857BDC"/>
    <w:rsid w:val="00857C39"/>
    <w:rsid w:val="00857C60"/>
    <w:rsid w:val="00857C74"/>
    <w:rsid w:val="00857D4D"/>
    <w:rsid w:val="00857D6B"/>
    <w:rsid w:val="00857D81"/>
    <w:rsid w:val="00857DD1"/>
    <w:rsid w:val="00857FA0"/>
    <w:rsid w:val="00857FD3"/>
    <w:rsid w:val="008600F0"/>
    <w:rsid w:val="00860211"/>
    <w:rsid w:val="00860240"/>
    <w:rsid w:val="008603C0"/>
    <w:rsid w:val="00860414"/>
    <w:rsid w:val="008604C4"/>
    <w:rsid w:val="008604DB"/>
    <w:rsid w:val="00860508"/>
    <w:rsid w:val="008606D8"/>
    <w:rsid w:val="00860804"/>
    <w:rsid w:val="008608CF"/>
    <w:rsid w:val="008609D2"/>
    <w:rsid w:val="00860A68"/>
    <w:rsid w:val="00860B99"/>
    <w:rsid w:val="00860C1A"/>
    <w:rsid w:val="00860C35"/>
    <w:rsid w:val="00860D00"/>
    <w:rsid w:val="00860DAE"/>
    <w:rsid w:val="00860F28"/>
    <w:rsid w:val="00860FEA"/>
    <w:rsid w:val="00861020"/>
    <w:rsid w:val="008610E7"/>
    <w:rsid w:val="008610E9"/>
    <w:rsid w:val="00861139"/>
    <w:rsid w:val="00861154"/>
    <w:rsid w:val="008611FA"/>
    <w:rsid w:val="00861293"/>
    <w:rsid w:val="0086136E"/>
    <w:rsid w:val="0086151C"/>
    <w:rsid w:val="00861529"/>
    <w:rsid w:val="008615AE"/>
    <w:rsid w:val="00861664"/>
    <w:rsid w:val="0086167D"/>
    <w:rsid w:val="008616E2"/>
    <w:rsid w:val="0086176E"/>
    <w:rsid w:val="008618A7"/>
    <w:rsid w:val="008618F0"/>
    <w:rsid w:val="00861914"/>
    <w:rsid w:val="0086198F"/>
    <w:rsid w:val="00861B81"/>
    <w:rsid w:val="00861EE7"/>
    <w:rsid w:val="00861EF0"/>
    <w:rsid w:val="00861F69"/>
    <w:rsid w:val="0086203D"/>
    <w:rsid w:val="008620A4"/>
    <w:rsid w:val="008621BD"/>
    <w:rsid w:val="00862333"/>
    <w:rsid w:val="00862371"/>
    <w:rsid w:val="00862563"/>
    <w:rsid w:val="00862791"/>
    <w:rsid w:val="00862AE8"/>
    <w:rsid w:val="00862BD8"/>
    <w:rsid w:val="00862DE5"/>
    <w:rsid w:val="00862F8C"/>
    <w:rsid w:val="00862FC6"/>
    <w:rsid w:val="00863025"/>
    <w:rsid w:val="00863075"/>
    <w:rsid w:val="0086314D"/>
    <w:rsid w:val="0086324C"/>
    <w:rsid w:val="00863433"/>
    <w:rsid w:val="008634D8"/>
    <w:rsid w:val="00863527"/>
    <w:rsid w:val="008636DB"/>
    <w:rsid w:val="008636E8"/>
    <w:rsid w:val="008636EB"/>
    <w:rsid w:val="008637C3"/>
    <w:rsid w:val="008638C0"/>
    <w:rsid w:val="00863A96"/>
    <w:rsid w:val="00863AF2"/>
    <w:rsid w:val="00863C96"/>
    <w:rsid w:val="00863C9F"/>
    <w:rsid w:val="00863F1E"/>
    <w:rsid w:val="00863F27"/>
    <w:rsid w:val="008640F5"/>
    <w:rsid w:val="00864112"/>
    <w:rsid w:val="00864261"/>
    <w:rsid w:val="00864398"/>
    <w:rsid w:val="008643CA"/>
    <w:rsid w:val="008644DE"/>
    <w:rsid w:val="008644F6"/>
    <w:rsid w:val="0086460D"/>
    <w:rsid w:val="0086464E"/>
    <w:rsid w:val="0086469C"/>
    <w:rsid w:val="00864794"/>
    <w:rsid w:val="008647EB"/>
    <w:rsid w:val="00864967"/>
    <w:rsid w:val="00864A25"/>
    <w:rsid w:val="00864A7D"/>
    <w:rsid w:val="00864C40"/>
    <w:rsid w:val="00864C67"/>
    <w:rsid w:val="00864E38"/>
    <w:rsid w:val="00864F47"/>
    <w:rsid w:val="00864FBC"/>
    <w:rsid w:val="00864FC6"/>
    <w:rsid w:val="00865025"/>
    <w:rsid w:val="00865029"/>
    <w:rsid w:val="0086506E"/>
    <w:rsid w:val="008651DE"/>
    <w:rsid w:val="00865243"/>
    <w:rsid w:val="008652FC"/>
    <w:rsid w:val="00865467"/>
    <w:rsid w:val="00865571"/>
    <w:rsid w:val="008656BC"/>
    <w:rsid w:val="008656F1"/>
    <w:rsid w:val="00865791"/>
    <w:rsid w:val="00865835"/>
    <w:rsid w:val="00865878"/>
    <w:rsid w:val="00865987"/>
    <w:rsid w:val="00865A0D"/>
    <w:rsid w:val="00865A65"/>
    <w:rsid w:val="00865A8D"/>
    <w:rsid w:val="00865AA4"/>
    <w:rsid w:val="00865ADB"/>
    <w:rsid w:val="00865C0F"/>
    <w:rsid w:val="00865C50"/>
    <w:rsid w:val="00865D37"/>
    <w:rsid w:val="00865E4A"/>
    <w:rsid w:val="00865EE9"/>
    <w:rsid w:val="00865F06"/>
    <w:rsid w:val="00866051"/>
    <w:rsid w:val="0086607A"/>
    <w:rsid w:val="0086615D"/>
    <w:rsid w:val="00866296"/>
    <w:rsid w:val="008662C2"/>
    <w:rsid w:val="00866384"/>
    <w:rsid w:val="0086640A"/>
    <w:rsid w:val="00866410"/>
    <w:rsid w:val="00866463"/>
    <w:rsid w:val="00866471"/>
    <w:rsid w:val="008664C1"/>
    <w:rsid w:val="00866506"/>
    <w:rsid w:val="00866541"/>
    <w:rsid w:val="00866710"/>
    <w:rsid w:val="00866712"/>
    <w:rsid w:val="00866733"/>
    <w:rsid w:val="0086682E"/>
    <w:rsid w:val="00866993"/>
    <w:rsid w:val="008669A5"/>
    <w:rsid w:val="00866A1C"/>
    <w:rsid w:val="00866A57"/>
    <w:rsid w:val="00866D24"/>
    <w:rsid w:val="00866E04"/>
    <w:rsid w:val="00866EFB"/>
    <w:rsid w:val="00867092"/>
    <w:rsid w:val="008670D1"/>
    <w:rsid w:val="00867109"/>
    <w:rsid w:val="0086717D"/>
    <w:rsid w:val="008672FB"/>
    <w:rsid w:val="00867303"/>
    <w:rsid w:val="008674C5"/>
    <w:rsid w:val="008674CB"/>
    <w:rsid w:val="00867587"/>
    <w:rsid w:val="008675FF"/>
    <w:rsid w:val="0086768A"/>
    <w:rsid w:val="008676A7"/>
    <w:rsid w:val="0086775F"/>
    <w:rsid w:val="008677AC"/>
    <w:rsid w:val="008677EB"/>
    <w:rsid w:val="008678C1"/>
    <w:rsid w:val="008678EC"/>
    <w:rsid w:val="00867907"/>
    <w:rsid w:val="008679C0"/>
    <w:rsid w:val="008679D6"/>
    <w:rsid w:val="00867A4D"/>
    <w:rsid w:val="00867B30"/>
    <w:rsid w:val="00867BD8"/>
    <w:rsid w:val="00867BE4"/>
    <w:rsid w:val="00867D2C"/>
    <w:rsid w:val="00867DA3"/>
    <w:rsid w:val="00867E6A"/>
    <w:rsid w:val="00867EA8"/>
    <w:rsid w:val="00867EFB"/>
    <w:rsid w:val="00867F0A"/>
    <w:rsid w:val="00867F6F"/>
    <w:rsid w:val="00870018"/>
    <w:rsid w:val="008700BC"/>
    <w:rsid w:val="008700F8"/>
    <w:rsid w:val="0087015F"/>
    <w:rsid w:val="008702D1"/>
    <w:rsid w:val="00870312"/>
    <w:rsid w:val="0087050E"/>
    <w:rsid w:val="00870647"/>
    <w:rsid w:val="008706C0"/>
    <w:rsid w:val="008706CC"/>
    <w:rsid w:val="008706E0"/>
    <w:rsid w:val="0087075B"/>
    <w:rsid w:val="008708B4"/>
    <w:rsid w:val="008709B0"/>
    <w:rsid w:val="00870B1B"/>
    <w:rsid w:val="00870B40"/>
    <w:rsid w:val="00870D8D"/>
    <w:rsid w:val="00870D91"/>
    <w:rsid w:val="00870D9A"/>
    <w:rsid w:val="00870E14"/>
    <w:rsid w:val="00870ED6"/>
    <w:rsid w:val="00870EEA"/>
    <w:rsid w:val="00870F2E"/>
    <w:rsid w:val="00870F86"/>
    <w:rsid w:val="00870FAA"/>
    <w:rsid w:val="00871011"/>
    <w:rsid w:val="00871096"/>
    <w:rsid w:val="008710BC"/>
    <w:rsid w:val="008710E3"/>
    <w:rsid w:val="00871120"/>
    <w:rsid w:val="008712C7"/>
    <w:rsid w:val="00871326"/>
    <w:rsid w:val="0087142F"/>
    <w:rsid w:val="0087147D"/>
    <w:rsid w:val="00871487"/>
    <w:rsid w:val="008714DE"/>
    <w:rsid w:val="00871545"/>
    <w:rsid w:val="008715AC"/>
    <w:rsid w:val="0087164B"/>
    <w:rsid w:val="008716A3"/>
    <w:rsid w:val="008716F7"/>
    <w:rsid w:val="0087175E"/>
    <w:rsid w:val="008717C5"/>
    <w:rsid w:val="008717FF"/>
    <w:rsid w:val="0087181C"/>
    <w:rsid w:val="00871A1E"/>
    <w:rsid w:val="00871CB4"/>
    <w:rsid w:val="00871D06"/>
    <w:rsid w:val="00871D1D"/>
    <w:rsid w:val="00871D27"/>
    <w:rsid w:val="00871DA0"/>
    <w:rsid w:val="00871DC0"/>
    <w:rsid w:val="00871EA9"/>
    <w:rsid w:val="008720C9"/>
    <w:rsid w:val="00872132"/>
    <w:rsid w:val="00872359"/>
    <w:rsid w:val="008724A6"/>
    <w:rsid w:val="008725C4"/>
    <w:rsid w:val="008725E7"/>
    <w:rsid w:val="008725FC"/>
    <w:rsid w:val="00872630"/>
    <w:rsid w:val="00872639"/>
    <w:rsid w:val="008726B5"/>
    <w:rsid w:val="00872932"/>
    <w:rsid w:val="008729E5"/>
    <w:rsid w:val="00872A9A"/>
    <w:rsid w:val="00872C1D"/>
    <w:rsid w:val="00872C6C"/>
    <w:rsid w:val="00872E8A"/>
    <w:rsid w:val="00872F38"/>
    <w:rsid w:val="00872F55"/>
    <w:rsid w:val="0087307F"/>
    <w:rsid w:val="008730A5"/>
    <w:rsid w:val="00873144"/>
    <w:rsid w:val="008731AB"/>
    <w:rsid w:val="0087360C"/>
    <w:rsid w:val="0087361F"/>
    <w:rsid w:val="008736EA"/>
    <w:rsid w:val="0087370D"/>
    <w:rsid w:val="00873754"/>
    <w:rsid w:val="00873791"/>
    <w:rsid w:val="008737C6"/>
    <w:rsid w:val="00873903"/>
    <w:rsid w:val="00873913"/>
    <w:rsid w:val="00873BD6"/>
    <w:rsid w:val="00873C85"/>
    <w:rsid w:val="00873D52"/>
    <w:rsid w:val="00873DF6"/>
    <w:rsid w:val="0087407D"/>
    <w:rsid w:val="008740D7"/>
    <w:rsid w:val="00874229"/>
    <w:rsid w:val="00874372"/>
    <w:rsid w:val="00874446"/>
    <w:rsid w:val="0087445D"/>
    <w:rsid w:val="008744E4"/>
    <w:rsid w:val="008744FD"/>
    <w:rsid w:val="0087465C"/>
    <w:rsid w:val="008746EB"/>
    <w:rsid w:val="00874786"/>
    <w:rsid w:val="0087481F"/>
    <w:rsid w:val="00874860"/>
    <w:rsid w:val="008748E1"/>
    <w:rsid w:val="00874B0F"/>
    <w:rsid w:val="00874F06"/>
    <w:rsid w:val="00874FD2"/>
    <w:rsid w:val="00874FEF"/>
    <w:rsid w:val="00875104"/>
    <w:rsid w:val="008752ED"/>
    <w:rsid w:val="0087531D"/>
    <w:rsid w:val="008753F2"/>
    <w:rsid w:val="00875567"/>
    <w:rsid w:val="00875692"/>
    <w:rsid w:val="008756DA"/>
    <w:rsid w:val="00875731"/>
    <w:rsid w:val="0087576F"/>
    <w:rsid w:val="0087582A"/>
    <w:rsid w:val="008758C0"/>
    <w:rsid w:val="0087597E"/>
    <w:rsid w:val="008759D0"/>
    <w:rsid w:val="00875A70"/>
    <w:rsid w:val="00875B5B"/>
    <w:rsid w:val="00875B7D"/>
    <w:rsid w:val="00875B97"/>
    <w:rsid w:val="00875CFC"/>
    <w:rsid w:val="00875E45"/>
    <w:rsid w:val="00875F83"/>
    <w:rsid w:val="00875F94"/>
    <w:rsid w:val="00875FCB"/>
    <w:rsid w:val="00876007"/>
    <w:rsid w:val="0087607F"/>
    <w:rsid w:val="00876137"/>
    <w:rsid w:val="008761EA"/>
    <w:rsid w:val="00876325"/>
    <w:rsid w:val="00876504"/>
    <w:rsid w:val="0087654E"/>
    <w:rsid w:val="008766A2"/>
    <w:rsid w:val="008767F2"/>
    <w:rsid w:val="008769B7"/>
    <w:rsid w:val="00876A2D"/>
    <w:rsid w:val="00876B96"/>
    <w:rsid w:val="00876BF7"/>
    <w:rsid w:val="00876C59"/>
    <w:rsid w:val="00876CEE"/>
    <w:rsid w:val="00876DE5"/>
    <w:rsid w:val="00876E8F"/>
    <w:rsid w:val="00876E9B"/>
    <w:rsid w:val="00876FDB"/>
    <w:rsid w:val="00877010"/>
    <w:rsid w:val="00877057"/>
    <w:rsid w:val="0087709A"/>
    <w:rsid w:val="008770C3"/>
    <w:rsid w:val="008770E8"/>
    <w:rsid w:val="00877118"/>
    <w:rsid w:val="00877400"/>
    <w:rsid w:val="00877431"/>
    <w:rsid w:val="00877481"/>
    <w:rsid w:val="00877503"/>
    <w:rsid w:val="00877599"/>
    <w:rsid w:val="0087761D"/>
    <w:rsid w:val="00877668"/>
    <w:rsid w:val="008777E8"/>
    <w:rsid w:val="00877813"/>
    <w:rsid w:val="00877843"/>
    <w:rsid w:val="00877C9A"/>
    <w:rsid w:val="00877DA5"/>
    <w:rsid w:val="00877F11"/>
    <w:rsid w:val="00877F3E"/>
    <w:rsid w:val="0088012F"/>
    <w:rsid w:val="00880205"/>
    <w:rsid w:val="00880213"/>
    <w:rsid w:val="00880395"/>
    <w:rsid w:val="008803BD"/>
    <w:rsid w:val="00880525"/>
    <w:rsid w:val="008805AE"/>
    <w:rsid w:val="008805D0"/>
    <w:rsid w:val="008807F2"/>
    <w:rsid w:val="008808C2"/>
    <w:rsid w:val="008809B0"/>
    <w:rsid w:val="00880A7E"/>
    <w:rsid w:val="00880A93"/>
    <w:rsid w:val="00880B4F"/>
    <w:rsid w:val="00880B93"/>
    <w:rsid w:val="00880BF0"/>
    <w:rsid w:val="00880BF1"/>
    <w:rsid w:val="00880C19"/>
    <w:rsid w:val="00880C22"/>
    <w:rsid w:val="00880C2C"/>
    <w:rsid w:val="00880CB0"/>
    <w:rsid w:val="00880CC6"/>
    <w:rsid w:val="00880CD8"/>
    <w:rsid w:val="00880CFD"/>
    <w:rsid w:val="00880D46"/>
    <w:rsid w:val="00880E32"/>
    <w:rsid w:val="00880E5A"/>
    <w:rsid w:val="00880E6B"/>
    <w:rsid w:val="00880E6F"/>
    <w:rsid w:val="00880EFF"/>
    <w:rsid w:val="00880F52"/>
    <w:rsid w:val="00880FE1"/>
    <w:rsid w:val="0088102C"/>
    <w:rsid w:val="0088109C"/>
    <w:rsid w:val="0088111C"/>
    <w:rsid w:val="008812F7"/>
    <w:rsid w:val="00881393"/>
    <w:rsid w:val="008814AD"/>
    <w:rsid w:val="0088165F"/>
    <w:rsid w:val="008816D8"/>
    <w:rsid w:val="00881769"/>
    <w:rsid w:val="008817C8"/>
    <w:rsid w:val="00881901"/>
    <w:rsid w:val="00881914"/>
    <w:rsid w:val="00881977"/>
    <w:rsid w:val="00881B71"/>
    <w:rsid w:val="00881DC4"/>
    <w:rsid w:val="00881E86"/>
    <w:rsid w:val="00881E9C"/>
    <w:rsid w:val="00881EE2"/>
    <w:rsid w:val="00882076"/>
    <w:rsid w:val="008821C5"/>
    <w:rsid w:val="008821CD"/>
    <w:rsid w:val="00882214"/>
    <w:rsid w:val="008822A3"/>
    <w:rsid w:val="0088235F"/>
    <w:rsid w:val="00882401"/>
    <w:rsid w:val="0088266E"/>
    <w:rsid w:val="00882682"/>
    <w:rsid w:val="00882741"/>
    <w:rsid w:val="0088277C"/>
    <w:rsid w:val="00882835"/>
    <w:rsid w:val="008828B8"/>
    <w:rsid w:val="00882AB5"/>
    <w:rsid w:val="00882BB5"/>
    <w:rsid w:val="00882C94"/>
    <w:rsid w:val="00882D5C"/>
    <w:rsid w:val="00882D87"/>
    <w:rsid w:val="00882DA1"/>
    <w:rsid w:val="00882E9D"/>
    <w:rsid w:val="008830B5"/>
    <w:rsid w:val="00883391"/>
    <w:rsid w:val="0088339A"/>
    <w:rsid w:val="008833B3"/>
    <w:rsid w:val="008833DB"/>
    <w:rsid w:val="0088368F"/>
    <w:rsid w:val="0088371D"/>
    <w:rsid w:val="00883867"/>
    <w:rsid w:val="00883A32"/>
    <w:rsid w:val="00883A8A"/>
    <w:rsid w:val="00883BB2"/>
    <w:rsid w:val="00883C2C"/>
    <w:rsid w:val="00883CCB"/>
    <w:rsid w:val="00883D0B"/>
    <w:rsid w:val="00883EE9"/>
    <w:rsid w:val="00883EF7"/>
    <w:rsid w:val="00884008"/>
    <w:rsid w:val="0088404B"/>
    <w:rsid w:val="008840E0"/>
    <w:rsid w:val="00884222"/>
    <w:rsid w:val="00884271"/>
    <w:rsid w:val="0088429B"/>
    <w:rsid w:val="008842FC"/>
    <w:rsid w:val="0088441E"/>
    <w:rsid w:val="00884435"/>
    <w:rsid w:val="00884475"/>
    <w:rsid w:val="00884479"/>
    <w:rsid w:val="0088448B"/>
    <w:rsid w:val="0088455B"/>
    <w:rsid w:val="008845B4"/>
    <w:rsid w:val="008845F0"/>
    <w:rsid w:val="008846DB"/>
    <w:rsid w:val="0088470B"/>
    <w:rsid w:val="00884748"/>
    <w:rsid w:val="00884849"/>
    <w:rsid w:val="00884B57"/>
    <w:rsid w:val="00884B89"/>
    <w:rsid w:val="00884BF9"/>
    <w:rsid w:val="00884BFE"/>
    <w:rsid w:val="00884DA2"/>
    <w:rsid w:val="00884DD6"/>
    <w:rsid w:val="008850DA"/>
    <w:rsid w:val="008850DB"/>
    <w:rsid w:val="00885249"/>
    <w:rsid w:val="0088525C"/>
    <w:rsid w:val="008852EA"/>
    <w:rsid w:val="008852FE"/>
    <w:rsid w:val="008853B7"/>
    <w:rsid w:val="00885461"/>
    <w:rsid w:val="008854D0"/>
    <w:rsid w:val="00885512"/>
    <w:rsid w:val="008855C9"/>
    <w:rsid w:val="008856B3"/>
    <w:rsid w:val="008856EF"/>
    <w:rsid w:val="0088574E"/>
    <w:rsid w:val="00885854"/>
    <w:rsid w:val="00885915"/>
    <w:rsid w:val="00885917"/>
    <w:rsid w:val="00885921"/>
    <w:rsid w:val="00885ADA"/>
    <w:rsid w:val="00885BDB"/>
    <w:rsid w:val="00885C24"/>
    <w:rsid w:val="00885C5B"/>
    <w:rsid w:val="00885FA9"/>
    <w:rsid w:val="00886022"/>
    <w:rsid w:val="0088607B"/>
    <w:rsid w:val="00886159"/>
    <w:rsid w:val="00886276"/>
    <w:rsid w:val="008862A9"/>
    <w:rsid w:val="008862BB"/>
    <w:rsid w:val="00886318"/>
    <w:rsid w:val="008863D7"/>
    <w:rsid w:val="008864F3"/>
    <w:rsid w:val="0088654E"/>
    <w:rsid w:val="008865E6"/>
    <w:rsid w:val="008865F9"/>
    <w:rsid w:val="00886841"/>
    <w:rsid w:val="0088685C"/>
    <w:rsid w:val="008868B5"/>
    <w:rsid w:val="00886932"/>
    <w:rsid w:val="00886945"/>
    <w:rsid w:val="008869EE"/>
    <w:rsid w:val="00886A2C"/>
    <w:rsid w:val="00886AC1"/>
    <w:rsid w:val="00886C60"/>
    <w:rsid w:val="00886C6E"/>
    <w:rsid w:val="00886C71"/>
    <w:rsid w:val="00886C96"/>
    <w:rsid w:val="00886CC0"/>
    <w:rsid w:val="00886DB1"/>
    <w:rsid w:val="00887163"/>
    <w:rsid w:val="0088728A"/>
    <w:rsid w:val="008872F7"/>
    <w:rsid w:val="00887568"/>
    <w:rsid w:val="00887672"/>
    <w:rsid w:val="0088769B"/>
    <w:rsid w:val="00887703"/>
    <w:rsid w:val="008877EE"/>
    <w:rsid w:val="00887832"/>
    <w:rsid w:val="008878A8"/>
    <w:rsid w:val="008878D4"/>
    <w:rsid w:val="008879B6"/>
    <w:rsid w:val="00887A8B"/>
    <w:rsid w:val="00887B04"/>
    <w:rsid w:val="00887B0D"/>
    <w:rsid w:val="00887B5B"/>
    <w:rsid w:val="00887BE7"/>
    <w:rsid w:val="00887C6A"/>
    <w:rsid w:val="00887CB7"/>
    <w:rsid w:val="00887CEA"/>
    <w:rsid w:val="00887D49"/>
    <w:rsid w:val="00887E58"/>
    <w:rsid w:val="00887EA5"/>
    <w:rsid w:val="00887F0B"/>
    <w:rsid w:val="00887F91"/>
    <w:rsid w:val="00887F96"/>
    <w:rsid w:val="00887FD4"/>
    <w:rsid w:val="00890102"/>
    <w:rsid w:val="00890190"/>
    <w:rsid w:val="0089024E"/>
    <w:rsid w:val="008902BD"/>
    <w:rsid w:val="00890372"/>
    <w:rsid w:val="008903CE"/>
    <w:rsid w:val="008903D1"/>
    <w:rsid w:val="00890426"/>
    <w:rsid w:val="008904BB"/>
    <w:rsid w:val="00890721"/>
    <w:rsid w:val="00890829"/>
    <w:rsid w:val="00890868"/>
    <w:rsid w:val="0089088B"/>
    <w:rsid w:val="00890992"/>
    <w:rsid w:val="00890999"/>
    <w:rsid w:val="008909A4"/>
    <w:rsid w:val="008909E6"/>
    <w:rsid w:val="00890B41"/>
    <w:rsid w:val="00890C19"/>
    <w:rsid w:val="00890DFD"/>
    <w:rsid w:val="00890F51"/>
    <w:rsid w:val="00890FCB"/>
    <w:rsid w:val="008910E7"/>
    <w:rsid w:val="00891105"/>
    <w:rsid w:val="008912BE"/>
    <w:rsid w:val="00891315"/>
    <w:rsid w:val="00891695"/>
    <w:rsid w:val="008916B4"/>
    <w:rsid w:val="0089175F"/>
    <w:rsid w:val="00891827"/>
    <w:rsid w:val="0089183D"/>
    <w:rsid w:val="00891869"/>
    <w:rsid w:val="0089186C"/>
    <w:rsid w:val="008919B0"/>
    <w:rsid w:val="00891A2B"/>
    <w:rsid w:val="00891A2F"/>
    <w:rsid w:val="00891A59"/>
    <w:rsid w:val="00891A8D"/>
    <w:rsid w:val="00891B0E"/>
    <w:rsid w:val="00891BE2"/>
    <w:rsid w:val="00891EE5"/>
    <w:rsid w:val="00892011"/>
    <w:rsid w:val="00892021"/>
    <w:rsid w:val="008920C1"/>
    <w:rsid w:val="00892292"/>
    <w:rsid w:val="0089231A"/>
    <w:rsid w:val="00892336"/>
    <w:rsid w:val="008924B3"/>
    <w:rsid w:val="008925D4"/>
    <w:rsid w:val="0089269D"/>
    <w:rsid w:val="008926FF"/>
    <w:rsid w:val="00892763"/>
    <w:rsid w:val="00892ACF"/>
    <w:rsid w:val="00892AD7"/>
    <w:rsid w:val="00892DD5"/>
    <w:rsid w:val="00892E2B"/>
    <w:rsid w:val="00892E65"/>
    <w:rsid w:val="00892F2E"/>
    <w:rsid w:val="00893071"/>
    <w:rsid w:val="008930A4"/>
    <w:rsid w:val="0089319C"/>
    <w:rsid w:val="00893210"/>
    <w:rsid w:val="00893231"/>
    <w:rsid w:val="0089323F"/>
    <w:rsid w:val="008932A5"/>
    <w:rsid w:val="00893359"/>
    <w:rsid w:val="00893391"/>
    <w:rsid w:val="0089341C"/>
    <w:rsid w:val="00893490"/>
    <w:rsid w:val="00893686"/>
    <w:rsid w:val="00893722"/>
    <w:rsid w:val="00893734"/>
    <w:rsid w:val="00893779"/>
    <w:rsid w:val="00893840"/>
    <w:rsid w:val="008939EC"/>
    <w:rsid w:val="00893A1B"/>
    <w:rsid w:val="00893ADF"/>
    <w:rsid w:val="00893C7D"/>
    <w:rsid w:val="00893C90"/>
    <w:rsid w:val="00893CC8"/>
    <w:rsid w:val="00893CF0"/>
    <w:rsid w:val="00893E4A"/>
    <w:rsid w:val="00893E7B"/>
    <w:rsid w:val="00893E8B"/>
    <w:rsid w:val="00893F8B"/>
    <w:rsid w:val="0089417C"/>
    <w:rsid w:val="008941FB"/>
    <w:rsid w:val="0089429F"/>
    <w:rsid w:val="00894370"/>
    <w:rsid w:val="0089437C"/>
    <w:rsid w:val="00894455"/>
    <w:rsid w:val="008946DC"/>
    <w:rsid w:val="008946EB"/>
    <w:rsid w:val="0089473A"/>
    <w:rsid w:val="0089478C"/>
    <w:rsid w:val="008947E4"/>
    <w:rsid w:val="00894838"/>
    <w:rsid w:val="00894879"/>
    <w:rsid w:val="008948C8"/>
    <w:rsid w:val="00894954"/>
    <w:rsid w:val="008949B1"/>
    <w:rsid w:val="00894ADE"/>
    <w:rsid w:val="00894EBF"/>
    <w:rsid w:val="008952FC"/>
    <w:rsid w:val="0089530B"/>
    <w:rsid w:val="0089545E"/>
    <w:rsid w:val="008954CB"/>
    <w:rsid w:val="00895574"/>
    <w:rsid w:val="00895645"/>
    <w:rsid w:val="008956FF"/>
    <w:rsid w:val="00895865"/>
    <w:rsid w:val="00895970"/>
    <w:rsid w:val="00895BD4"/>
    <w:rsid w:val="00895C29"/>
    <w:rsid w:val="00895CD5"/>
    <w:rsid w:val="00895CF1"/>
    <w:rsid w:val="00895E8E"/>
    <w:rsid w:val="00895EFC"/>
    <w:rsid w:val="00895F10"/>
    <w:rsid w:val="00895F32"/>
    <w:rsid w:val="00896020"/>
    <w:rsid w:val="00896079"/>
    <w:rsid w:val="008961B3"/>
    <w:rsid w:val="00896224"/>
    <w:rsid w:val="0089627E"/>
    <w:rsid w:val="008963EE"/>
    <w:rsid w:val="00896401"/>
    <w:rsid w:val="008964F5"/>
    <w:rsid w:val="00896509"/>
    <w:rsid w:val="0089663C"/>
    <w:rsid w:val="008966A0"/>
    <w:rsid w:val="008967F7"/>
    <w:rsid w:val="008968EC"/>
    <w:rsid w:val="00896933"/>
    <w:rsid w:val="00896964"/>
    <w:rsid w:val="00896A26"/>
    <w:rsid w:val="00896B07"/>
    <w:rsid w:val="00896D47"/>
    <w:rsid w:val="00896D67"/>
    <w:rsid w:val="00896E91"/>
    <w:rsid w:val="00896EA2"/>
    <w:rsid w:val="00896F81"/>
    <w:rsid w:val="00896FED"/>
    <w:rsid w:val="0089719B"/>
    <w:rsid w:val="0089719E"/>
    <w:rsid w:val="008971AC"/>
    <w:rsid w:val="00897354"/>
    <w:rsid w:val="0089735D"/>
    <w:rsid w:val="0089741F"/>
    <w:rsid w:val="008974FF"/>
    <w:rsid w:val="00897538"/>
    <w:rsid w:val="0089757C"/>
    <w:rsid w:val="008975D3"/>
    <w:rsid w:val="008975EE"/>
    <w:rsid w:val="00897614"/>
    <w:rsid w:val="00897676"/>
    <w:rsid w:val="0089768F"/>
    <w:rsid w:val="008976B8"/>
    <w:rsid w:val="0089773F"/>
    <w:rsid w:val="0089774C"/>
    <w:rsid w:val="008977FF"/>
    <w:rsid w:val="00897810"/>
    <w:rsid w:val="0089783D"/>
    <w:rsid w:val="00897A44"/>
    <w:rsid w:val="00897A79"/>
    <w:rsid w:val="00897B5A"/>
    <w:rsid w:val="00897B5B"/>
    <w:rsid w:val="00897D70"/>
    <w:rsid w:val="00897DA0"/>
    <w:rsid w:val="00897E0F"/>
    <w:rsid w:val="00897E49"/>
    <w:rsid w:val="00897F20"/>
    <w:rsid w:val="0089C355"/>
    <w:rsid w:val="008A0133"/>
    <w:rsid w:val="008A022E"/>
    <w:rsid w:val="008A0267"/>
    <w:rsid w:val="008A0334"/>
    <w:rsid w:val="008A04A3"/>
    <w:rsid w:val="008A060E"/>
    <w:rsid w:val="008A062A"/>
    <w:rsid w:val="008A0643"/>
    <w:rsid w:val="008A0827"/>
    <w:rsid w:val="008A08DC"/>
    <w:rsid w:val="008A0B40"/>
    <w:rsid w:val="008A0C96"/>
    <w:rsid w:val="008A0CE9"/>
    <w:rsid w:val="008A0D22"/>
    <w:rsid w:val="008A0DC1"/>
    <w:rsid w:val="008A0E7A"/>
    <w:rsid w:val="008A0F7C"/>
    <w:rsid w:val="008A1196"/>
    <w:rsid w:val="008A1287"/>
    <w:rsid w:val="008A12A1"/>
    <w:rsid w:val="008A12D9"/>
    <w:rsid w:val="008A12FB"/>
    <w:rsid w:val="008A1407"/>
    <w:rsid w:val="008A140E"/>
    <w:rsid w:val="008A15AF"/>
    <w:rsid w:val="008A15C2"/>
    <w:rsid w:val="008A16C0"/>
    <w:rsid w:val="008A18A4"/>
    <w:rsid w:val="008A18D3"/>
    <w:rsid w:val="008A18D6"/>
    <w:rsid w:val="008A19FD"/>
    <w:rsid w:val="008A1AD4"/>
    <w:rsid w:val="008A1ADB"/>
    <w:rsid w:val="008A1C91"/>
    <w:rsid w:val="008A1DA6"/>
    <w:rsid w:val="008A1EDD"/>
    <w:rsid w:val="008A2017"/>
    <w:rsid w:val="008A2070"/>
    <w:rsid w:val="008A21EE"/>
    <w:rsid w:val="008A21EF"/>
    <w:rsid w:val="008A2389"/>
    <w:rsid w:val="008A2507"/>
    <w:rsid w:val="008A2559"/>
    <w:rsid w:val="008A2662"/>
    <w:rsid w:val="008A269F"/>
    <w:rsid w:val="008A26B4"/>
    <w:rsid w:val="008A2760"/>
    <w:rsid w:val="008A2AE8"/>
    <w:rsid w:val="008A2C81"/>
    <w:rsid w:val="008A2C9E"/>
    <w:rsid w:val="008A2CDE"/>
    <w:rsid w:val="008A2CE7"/>
    <w:rsid w:val="008A2EAD"/>
    <w:rsid w:val="008A2F64"/>
    <w:rsid w:val="008A311C"/>
    <w:rsid w:val="008A3138"/>
    <w:rsid w:val="008A31ED"/>
    <w:rsid w:val="008A321C"/>
    <w:rsid w:val="008A326F"/>
    <w:rsid w:val="008A328E"/>
    <w:rsid w:val="008A329A"/>
    <w:rsid w:val="008A32B4"/>
    <w:rsid w:val="008A3473"/>
    <w:rsid w:val="008A369F"/>
    <w:rsid w:val="008A389F"/>
    <w:rsid w:val="008A3963"/>
    <w:rsid w:val="008A39E7"/>
    <w:rsid w:val="008A3A96"/>
    <w:rsid w:val="008A3B53"/>
    <w:rsid w:val="008A3BFA"/>
    <w:rsid w:val="008A3CB1"/>
    <w:rsid w:val="008A3D7B"/>
    <w:rsid w:val="008A3E33"/>
    <w:rsid w:val="008A3EF0"/>
    <w:rsid w:val="008A3F35"/>
    <w:rsid w:val="008A4019"/>
    <w:rsid w:val="008A4110"/>
    <w:rsid w:val="008A4164"/>
    <w:rsid w:val="008A41A4"/>
    <w:rsid w:val="008A41AE"/>
    <w:rsid w:val="008A41BF"/>
    <w:rsid w:val="008A43D8"/>
    <w:rsid w:val="008A44C6"/>
    <w:rsid w:val="008A45B4"/>
    <w:rsid w:val="008A4734"/>
    <w:rsid w:val="008A485A"/>
    <w:rsid w:val="008A48E9"/>
    <w:rsid w:val="008A48F2"/>
    <w:rsid w:val="008A4930"/>
    <w:rsid w:val="008A4B27"/>
    <w:rsid w:val="008A4B51"/>
    <w:rsid w:val="008A4C88"/>
    <w:rsid w:val="008A4E1A"/>
    <w:rsid w:val="008A4E83"/>
    <w:rsid w:val="008A4F8E"/>
    <w:rsid w:val="008A5051"/>
    <w:rsid w:val="008A52AB"/>
    <w:rsid w:val="008A52E1"/>
    <w:rsid w:val="008A53C0"/>
    <w:rsid w:val="008A54A8"/>
    <w:rsid w:val="008A54DF"/>
    <w:rsid w:val="008A559B"/>
    <w:rsid w:val="008A55F6"/>
    <w:rsid w:val="008A5923"/>
    <w:rsid w:val="008A59B1"/>
    <w:rsid w:val="008A59E9"/>
    <w:rsid w:val="008A5A5B"/>
    <w:rsid w:val="008A5B49"/>
    <w:rsid w:val="008A5B6B"/>
    <w:rsid w:val="008A5D38"/>
    <w:rsid w:val="008A5D97"/>
    <w:rsid w:val="008A5DED"/>
    <w:rsid w:val="008A5E14"/>
    <w:rsid w:val="008A5E22"/>
    <w:rsid w:val="008A5F4D"/>
    <w:rsid w:val="008A5FD6"/>
    <w:rsid w:val="008A601F"/>
    <w:rsid w:val="008A6086"/>
    <w:rsid w:val="008A6121"/>
    <w:rsid w:val="008A6398"/>
    <w:rsid w:val="008A63F1"/>
    <w:rsid w:val="008A6560"/>
    <w:rsid w:val="008A6672"/>
    <w:rsid w:val="008A6744"/>
    <w:rsid w:val="008A6747"/>
    <w:rsid w:val="008A67C7"/>
    <w:rsid w:val="008A689E"/>
    <w:rsid w:val="008A68E8"/>
    <w:rsid w:val="008A6910"/>
    <w:rsid w:val="008A6928"/>
    <w:rsid w:val="008A6946"/>
    <w:rsid w:val="008A69F7"/>
    <w:rsid w:val="008A6A39"/>
    <w:rsid w:val="008A6AB5"/>
    <w:rsid w:val="008A6BBE"/>
    <w:rsid w:val="008A6BF1"/>
    <w:rsid w:val="008A6C04"/>
    <w:rsid w:val="008A6C3F"/>
    <w:rsid w:val="008A6CDA"/>
    <w:rsid w:val="008A6D6D"/>
    <w:rsid w:val="008A6DC5"/>
    <w:rsid w:val="008A705B"/>
    <w:rsid w:val="008A7247"/>
    <w:rsid w:val="008A725C"/>
    <w:rsid w:val="008A7282"/>
    <w:rsid w:val="008A728F"/>
    <w:rsid w:val="008A72B8"/>
    <w:rsid w:val="008A7343"/>
    <w:rsid w:val="008A7378"/>
    <w:rsid w:val="008A746D"/>
    <w:rsid w:val="008A765E"/>
    <w:rsid w:val="008A7699"/>
    <w:rsid w:val="008A7712"/>
    <w:rsid w:val="008A77CC"/>
    <w:rsid w:val="008A793F"/>
    <w:rsid w:val="008A7B61"/>
    <w:rsid w:val="008A7DF6"/>
    <w:rsid w:val="008A7E1F"/>
    <w:rsid w:val="008A7FE4"/>
    <w:rsid w:val="008AB615"/>
    <w:rsid w:val="008B0043"/>
    <w:rsid w:val="008B017D"/>
    <w:rsid w:val="008B01BE"/>
    <w:rsid w:val="008B025A"/>
    <w:rsid w:val="008B04DE"/>
    <w:rsid w:val="008B0616"/>
    <w:rsid w:val="008B061B"/>
    <w:rsid w:val="008B0640"/>
    <w:rsid w:val="008B0B18"/>
    <w:rsid w:val="008B0B66"/>
    <w:rsid w:val="008B0B95"/>
    <w:rsid w:val="008B0BCB"/>
    <w:rsid w:val="008B0BDC"/>
    <w:rsid w:val="008B0C2E"/>
    <w:rsid w:val="008B0CE6"/>
    <w:rsid w:val="008B0E64"/>
    <w:rsid w:val="008B0ED2"/>
    <w:rsid w:val="008B0F9D"/>
    <w:rsid w:val="008B0FD7"/>
    <w:rsid w:val="008B1091"/>
    <w:rsid w:val="008B12DF"/>
    <w:rsid w:val="008B14AF"/>
    <w:rsid w:val="008B14B5"/>
    <w:rsid w:val="008B15C5"/>
    <w:rsid w:val="008B162C"/>
    <w:rsid w:val="008B1764"/>
    <w:rsid w:val="008B17CA"/>
    <w:rsid w:val="008B17F0"/>
    <w:rsid w:val="008B1834"/>
    <w:rsid w:val="008B187E"/>
    <w:rsid w:val="008B1954"/>
    <w:rsid w:val="008B1AFF"/>
    <w:rsid w:val="008B1B9F"/>
    <w:rsid w:val="008B1BF2"/>
    <w:rsid w:val="008B1C43"/>
    <w:rsid w:val="008B20FB"/>
    <w:rsid w:val="008B20FF"/>
    <w:rsid w:val="008B23FB"/>
    <w:rsid w:val="008B2561"/>
    <w:rsid w:val="008B257E"/>
    <w:rsid w:val="008B2741"/>
    <w:rsid w:val="008B278A"/>
    <w:rsid w:val="008B28F4"/>
    <w:rsid w:val="008B2981"/>
    <w:rsid w:val="008B2A83"/>
    <w:rsid w:val="008B2AAA"/>
    <w:rsid w:val="008B30D9"/>
    <w:rsid w:val="008B3153"/>
    <w:rsid w:val="008B31A7"/>
    <w:rsid w:val="008B32CA"/>
    <w:rsid w:val="008B3314"/>
    <w:rsid w:val="008B3381"/>
    <w:rsid w:val="008B33D1"/>
    <w:rsid w:val="008B33F0"/>
    <w:rsid w:val="008B3477"/>
    <w:rsid w:val="008B347F"/>
    <w:rsid w:val="008B3558"/>
    <w:rsid w:val="008B36C8"/>
    <w:rsid w:val="008B381C"/>
    <w:rsid w:val="008B3B03"/>
    <w:rsid w:val="008B3B4F"/>
    <w:rsid w:val="008B3BE2"/>
    <w:rsid w:val="008B3C7A"/>
    <w:rsid w:val="008B3D86"/>
    <w:rsid w:val="008B3E4E"/>
    <w:rsid w:val="008B3EBD"/>
    <w:rsid w:val="008B3F4C"/>
    <w:rsid w:val="008B3FD0"/>
    <w:rsid w:val="008B3FD5"/>
    <w:rsid w:val="008B4002"/>
    <w:rsid w:val="008B40A9"/>
    <w:rsid w:val="008B4119"/>
    <w:rsid w:val="008B44CB"/>
    <w:rsid w:val="008B44F7"/>
    <w:rsid w:val="008B4509"/>
    <w:rsid w:val="008B4510"/>
    <w:rsid w:val="008B4594"/>
    <w:rsid w:val="008B45FD"/>
    <w:rsid w:val="008B46B7"/>
    <w:rsid w:val="008B4731"/>
    <w:rsid w:val="008B492B"/>
    <w:rsid w:val="008B499A"/>
    <w:rsid w:val="008B4A8D"/>
    <w:rsid w:val="008B4AFE"/>
    <w:rsid w:val="008B4C5D"/>
    <w:rsid w:val="008B4C8E"/>
    <w:rsid w:val="008B4C99"/>
    <w:rsid w:val="008B4D24"/>
    <w:rsid w:val="008B4D6D"/>
    <w:rsid w:val="008B4E96"/>
    <w:rsid w:val="008B4EA4"/>
    <w:rsid w:val="008B4FA7"/>
    <w:rsid w:val="008B500B"/>
    <w:rsid w:val="008B5025"/>
    <w:rsid w:val="008B50BB"/>
    <w:rsid w:val="008B522D"/>
    <w:rsid w:val="008B530A"/>
    <w:rsid w:val="008B5390"/>
    <w:rsid w:val="008B5419"/>
    <w:rsid w:val="008B57CE"/>
    <w:rsid w:val="008B5A9B"/>
    <w:rsid w:val="008B5AAF"/>
    <w:rsid w:val="008B5C4D"/>
    <w:rsid w:val="008B5C68"/>
    <w:rsid w:val="008B5CBD"/>
    <w:rsid w:val="008B5CF6"/>
    <w:rsid w:val="008B5D3E"/>
    <w:rsid w:val="008B5E06"/>
    <w:rsid w:val="008B5E0C"/>
    <w:rsid w:val="008B607D"/>
    <w:rsid w:val="008B60B5"/>
    <w:rsid w:val="008B60FF"/>
    <w:rsid w:val="008B62C3"/>
    <w:rsid w:val="008B62CE"/>
    <w:rsid w:val="008B632D"/>
    <w:rsid w:val="008B64C2"/>
    <w:rsid w:val="008B6526"/>
    <w:rsid w:val="008B656F"/>
    <w:rsid w:val="008B67A0"/>
    <w:rsid w:val="008B67B8"/>
    <w:rsid w:val="008B6813"/>
    <w:rsid w:val="008B68EA"/>
    <w:rsid w:val="008B693F"/>
    <w:rsid w:val="008B6A48"/>
    <w:rsid w:val="008B6B70"/>
    <w:rsid w:val="008B6BDF"/>
    <w:rsid w:val="008B6C43"/>
    <w:rsid w:val="008B6D21"/>
    <w:rsid w:val="008B6D62"/>
    <w:rsid w:val="008B6DA7"/>
    <w:rsid w:val="008B6DAD"/>
    <w:rsid w:val="008B6DB2"/>
    <w:rsid w:val="008B6E01"/>
    <w:rsid w:val="008B6E5D"/>
    <w:rsid w:val="008B6E67"/>
    <w:rsid w:val="008B6E91"/>
    <w:rsid w:val="008B6ECA"/>
    <w:rsid w:val="008B6EDF"/>
    <w:rsid w:val="008B7040"/>
    <w:rsid w:val="008B708C"/>
    <w:rsid w:val="008B70A3"/>
    <w:rsid w:val="008B7107"/>
    <w:rsid w:val="008B7163"/>
    <w:rsid w:val="008B723A"/>
    <w:rsid w:val="008B72C2"/>
    <w:rsid w:val="008B72E9"/>
    <w:rsid w:val="008B7355"/>
    <w:rsid w:val="008B750F"/>
    <w:rsid w:val="008B75FA"/>
    <w:rsid w:val="008B7621"/>
    <w:rsid w:val="008B7647"/>
    <w:rsid w:val="008B7715"/>
    <w:rsid w:val="008B77C6"/>
    <w:rsid w:val="008B7863"/>
    <w:rsid w:val="008B78A1"/>
    <w:rsid w:val="008B78CA"/>
    <w:rsid w:val="008B790D"/>
    <w:rsid w:val="008B7B24"/>
    <w:rsid w:val="008B7BDC"/>
    <w:rsid w:val="008B7D08"/>
    <w:rsid w:val="008B7D5E"/>
    <w:rsid w:val="008B7EB3"/>
    <w:rsid w:val="008B7F08"/>
    <w:rsid w:val="008B7F42"/>
    <w:rsid w:val="008C0004"/>
    <w:rsid w:val="008C0165"/>
    <w:rsid w:val="008C0238"/>
    <w:rsid w:val="008C02E7"/>
    <w:rsid w:val="008C039A"/>
    <w:rsid w:val="008C04B5"/>
    <w:rsid w:val="008C04DF"/>
    <w:rsid w:val="008C0505"/>
    <w:rsid w:val="008C0574"/>
    <w:rsid w:val="008C05F4"/>
    <w:rsid w:val="008C0610"/>
    <w:rsid w:val="008C0661"/>
    <w:rsid w:val="008C068A"/>
    <w:rsid w:val="008C06AE"/>
    <w:rsid w:val="008C0741"/>
    <w:rsid w:val="008C079B"/>
    <w:rsid w:val="008C0959"/>
    <w:rsid w:val="008C0963"/>
    <w:rsid w:val="008C0A05"/>
    <w:rsid w:val="008C0A27"/>
    <w:rsid w:val="008C0A64"/>
    <w:rsid w:val="008C0B32"/>
    <w:rsid w:val="008C0C4C"/>
    <w:rsid w:val="008C0CE1"/>
    <w:rsid w:val="008C0DEA"/>
    <w:rsid w:val="008C0F11"/>
    <w:rsid w:val="008C0F98"/>
    <w:rsid w:val="008C1007"/>
    <w:rsid w:val="008C108F"/>
    <w:rsid w:val="008C11A9"/>
    <w:rsid w:val="008C11DA"/>
    <w:rsid w:val="008C127B"/>
    <w:rsid w:val="008C13FA"/>
    <w:rsid w:val="008C174B"/>
    <w:rsid w:val="008C1998"/>
    <w:rsid w:val="008C19AC"/>
    <w:rsid w:val="008C1A24"/>
    <w:rsid w:val="008C1B5A"/>
    <w:rsid w:val="008C1B8A"/>
    <w:rsid w:val="008C1C18"/>
    <w:rsid w:val="008C1C47"/>
    <w:rsid w:val="008C1C65"/>
    <w:rsid w:val="008C1C9D"/>
    <w:rsid w:val="008C1E31"/>
    <w:rsid w:val="008C1E77"/>
    <w:rsid w:val="008C1ECE"/>
    <w:rsid w:val="008C206D"/>
    <w:rsid w:val="008C20B9"/>
    <w:rsid w:val="008C2295"/>
    <w:rsid w:val="008C22E1"/>
    <w:rsid w:val="008C2372"/>
    <w:rsid w:val="008C23D0"/>
    <w:rsid w:val="008C240E"/>
    <w:rsid w:val="008C27EC"/>
    <w:rsid w:val="008C27EE"/>
    <w:rsid w:val="008C2837"/>
    <w:rsid w:val="008C28AE"/>
    <w:rsid w:val="008C2928"/>
    <w:rsid w:val="008C297E"/>
    <w:rsid w:val="008C298A"/>
    <w:rsid w:val="008C2B4B"/>
    <w:rsid w:val="008C2B9E"/>
    <w:rsid w:val="008C2D4C"/>
    <w:rsid w:val="008C2D8D"/>
    <w:rsid w:val="008C2E75"/>
    <w:rsid w:val="008C2F64"/>
    <w:rsid w:val="008C3050"/>
    <w:rsid w:val="008C308E"/>
    <w:rsid w:val="008C31C3"/>
    <w:rsid w:val="008C3239"/>
    <w:rsid w:val="008C328F"/>
    <w:rsid w:val="008C32EB"/>
    <w:rsid w:val="008C335D"/>
    <w:rsid w:val="008C336D"/>
    <w:rsid w:val="008C3570"/>
    <w:rsid w:val="008C360C"/>
    <w:rsid w:val="008C376E"/>
    <w:rsid w:val="008C37B8"/>
    <w:rsid w:val="008C37D9"/>
    <w:rsid w:val="008C37DC"/>
    <w:rsid w:val="008C3800"/>
    <w:rsid w:val="008C3811"/>
    <w:rsid w:val="008C39D0"/>
    <w:rsid w:val="008C3A2E"/>
    <w:rsid w:val="008C3B18"/>
    <w:rsid w:val="008C3B60"/>
    <w:rsid w:val="008C3B93"/>
    <w:rsid w:val="008C3C0C"/>
    <w:rsid w:val="008C3C69"/>
    <w:rsid w:val="008C3E98"/>
    <w:rsid w:val="008C3F72"/>
    <w:rsid w:val="008C40DA"/>
    <w:rsid w:val="008C4119"/>
    <w:rsid w:val="008C41BD"/>
    <w:rsid w:val="008C4202"/>
    <w:rsid w:val="008C4395"/>
    <w:rsid w:val="008C4657"/>
    <w:rsid w:val="008C4710"/>
    <w:rsid w:val="008C4723"/>
    <w:rsid w:val="008C4865"/>
    <w:rsid w:val="008C4A5E"/>
    <w:rsid w:val="008C4B8F"/>
    <w:rsid w:val="008C4CE0"/>
    <w:rsid w:val="008C4D04"/>
    <w:rsid w:val="008C4DC6"/>
    <w:rsid w:val="008C4E57"/>
    <w:rsid w:val="008C4EBC"/>
    <w:rsid w:val="008C4EDC"/>
    <w:rsid w:val="008C4F56"/>
    <w:rsid w:val="008C505D"/>
    <w:rsid w:val="008C50E4"/>
    <w:rsid w:val="008C5128"/>
    <w:rsid w:val="008C51DE"/>
    <w:rsid w:val="008C5254"/>
    <w:rsid w:val="008C53CA"/>
    <w:rsid w:val="008C540F"/>
    <w:rsid w:val="008C548F"/>
    <w:rsid w:val="008C5519"/>
    <w:rsid w:val="008C55A6"/>
    <w:rsid w:val="008C57AB"/>
    <w:rsid w:val="008C5888"/>
    <w:rsid w:val="008C5938"/>
    <w:rsid w:val="008C5990"/>
    <w:rsid w:val="008C59EA"/>
    <w:rsid w:val="008C5AC3"/>
    <w:rsid w:val="008C5B22"/>
    <w:rsid w:val="008C5C2F"/>
    <w:rsid w:val="008C5C96"/>
    <w:rsid w:val="008C5DCC"/>
    <w:rsid w:val="008C5E5A"/>
    <w:rsid w:val="008C5FA8"/>
    <w:rsid w:val="008C6000"/>
    <w:rsid w:val="008C6190"/>
    <w:rsid w:val="008C61F0"/>
    <w:rsid w:val="008C6269"/>
    <w:rsid w:val="008C62A6"/>
    <w:rsid w:val="008C62BB"/>
    <w:rsid w:val="008C64B7"/>
    <w:rsid w:val="008C6554"/>
    <w:rsid w:val="008C65EB"/>
    <w:rsid w:val="008C685A"/>
    <w:rsid w:val="008C68A0"/>
    <w:rsid w:val="008C68C3"/>
    <w:rsid w:val="008C68C9"/>
    <w:rsid w:val="008C68D1"/>
    <w:rsid w:val="008C6952"/>
    <w:rsid w:val="008C69F0"/>
    <w:rsid w:val="008C6A1C"/>
    <w:rsid w:val="008C6BC2"/>
    <w:rsid w:val="008C6BD3"/>
    <w:rsid w:val="008C6BD4"/>
    <w:rsid w:val="008C6BDF"/>
    <w:rsid w:val="008C6C1D"/>
    <w:rsid w:val="008C6D89"/>
    <w:rsid w:val="008C6DB3"/>
    <w:rsid w:val="008C7118"/>
    <w:rsid w:val="008C7203"/>
    <w:rsid w:val="008C721F"/>
    <w:rsid w:val="008C72B6"/>
    <w:rsid w:val="008C72FC"/>
    <w:rsid w:val="008C7308"/>
    <w:rsid w:val="008C730D"/>
    <w:rsid w:val="008C731A"/>
    <w:rsid w:val="008C7327"/>
    <w:rsid w:val="008C73A1"/>
    <w:rsid w:val="008C74CB"/>
    <w:rsid w:val="008C7714"/>
    <w:rsid w:val="008C7746"/>
    <w:rsid w:val="008C774C"/>
    <w:rsid w:val="008C774F"/>
    <w:rsid w:val="008C7763"/>
    <w:rsid w:val="008C7780"/>
    <w:rsid w:val="008C7878"/>
    <w:rsid w:val="008C78A5"/>
    <w:rsid w:val="008C78A8"/>
    <w:rsid w:val="008C7A86"/>
    <w:rsid w:val="008C7AAE"/>
    <w:rsid w:val="008C7ABC"/>
    <w:rsid w:val="008C7ABE"/>
    <w:rsid w:val="008C7B83"/>
    <w:rsid w:val="008C7CF5"/>
    <w:rsid w:val="008C7D3F"/>
    <w:rsid w:val="008C7D56"/>
    <w:rsid w:val="008C7ED6"/>
    <w:rsid w:val="008C7ED7"/>
    <w:rsid w:val="008C7FCB"/>
    <w:rsid w:val="008C7FE2"/>
    <w:rsid w:val="008D00EC"/>
    <w:rsid w:val="008D01FA"/>
    <w:rsid w:val="008D0220"/>
    <w:rsid w:val="008D02B4"/>
    <w:rsid w:val="008D0318"/>
    <w:rsid w:val="008D034D"/>
    <w:rsid w:val="008D0409"/>
    <w:rsid w:val="008D0441"/>
    <w:rsid w:val="008D0527"/>
    <w:rsid w:val="008D056D"/>
    <w:rsid w:val="008D0682"/>
    <w:rsid w:val="008D06A5"/>
    <w:rsid w:val="008D0739"/>
    <w:rsid w:val="008D0816"/>
    <w:rsid w:val="008D0825"/>
    <w:rsid w:val="008D084E"/>
    <w:rsid w:val="008D0929"/>
    <w:rsid w:val="008D097A"/>
    <w:rsid w:val="008D0CE2"/>
    <w:rsid w:val="008D0CFA"/>
    <w:rsid w:val="008D0E03"/>
    <w:rsid w:val="008D0ED0"/>
    <w:rsid w:val="008D0F52"/>
    <w:rsid w:val="008D1047"/>
    <w:rsid w:val="008D10D7"/>
    <w:rsid w:val="008D1157"/>
    <w:rsid w:val="008D1272"/>
    <w:rsid w:val="008D12CD"/>
    <w:rsid w:val="008D12DF"/>
    <w:rsid w:val="008D1353"/>
    <w:rsid w:val="008D1460"/>
    <w:rsid w:val="008D17FB"/>
    <w:rsid w:val="008D19D3"/>
    <w:rsid w:val="008D1A71"/>
    <w:rsid w:val="008D1A77"/>
    <w:rsid w:val="008D1AF3"/>
    <w:rsid w:val="008D1C5F"/>
    <w:rsid w:val="008D1D29"/>
    <w:rsid w:val="008D1EC0"/>
    <w:rsid w:val="008D1F9D"/>
    <w:rsid w:val="008D203B"/>
    <w:rsid w:val="008D2085"/>
    <w:rsid w:val="008D20E5"/>
    <w:rsid w:val="008D2131"/>
    <w:rsid w:val="008D21D6"/>
    <w:rsid w:val="008D21F6"/>
    <w:rsid w:val="008D228F"/>
    <w:rsid w:val="008D22AA"/>
    <w:rsid w:val="008D22E7"/>
    <w:rsid w:val="008D22EB"/>
    <w:rsid w:val="008D2316"/>
    <w:rsid w:val="008D2357"/>
    <w:rsid w:val="008D2389"/>
    <w:rsid w:val="008D24DE"/>
    <w:rsid w:val="008D2562"/>
    <w:rsid w:val="008D25E0"/>
    <w:rsid w:val="008D26C1"/>
    <w:rsid w:val="008D27A8"/>
    <w:rsid w:val="008D2A41"/>
    <w:rsid w:val="008D2AA7"/>
    <w:rsid w:val="008D2AB6"/>
    <w:rsid w:val="008D2BC0"/>
    <w:rsid w:val="008D2C98"/>
    <w:rsid w:val="008D2D11"/>
    <w:rsid w:val="008D30F1"/>
    <w:rsid w:val="008D31C9"/>
    <w:rsid w:val="008D31FD"/>
    <w:rsid w:val="008D3280"/>
    <w:rsid w:val="008D3521"/>
    <w:rsid w:val="008D352D"/>
    <w:rsid w:val="008D3553"/>
    <w:rsid w:val="008D3577"/>
    <w:rsid w:val="008D35CC"/>
    <w:rsid w:val="008D375C"/>
    <w:rsid w:val="008D37AD"/>
    <w:rsid w:val="008D3861"/>
    <w:rsid w:val="008D38D8"/>
    <w:rsid w:val="008D38EF"/>
    <w:rsid w:val="008D3A09"/>
    <w:rsid w:val="008D3A69"/>
    <w:rsid w:val="008D3B66"/>
    <w:rsid w:val="008D3B7D"/>
    <w:rsid w:val="008D3C20"/>
    <w:rsid w:val="008D3C73"/>
    <w:rsid w:val="008D3D6B"/>
    <w:rsid w:val="008D3F34"/>
    <w:rsid w:val="008D405A"/>
    <w:rsid w:val="008D409E"/>
    <w:rsid w:val="008D40E0"/>
    <w:rsid w:val="008D40EA"/>
    <w:rsid w:val="008D4135"/>
    <w:rsid w:val="008D41B4"/>
    <w:rsid w:val="008D42D6"/>
    <w:rsid w:val="008D4476"/>
    <w:rsid w:val="008D4508"/>
    <w:rsid w:val="008D45F9"/>
    <w:rsid w:val="008D46FE"/>
    <w:rsid w:val="008D4732"/>
    <w:rsid w:val="008D474C"/>
    <w:rsid w:val="008D4763"/>
    <w:rsid w:val="008D4769"/>
    <w:rsid w:val="008D48D2"/>
    <w:rsid w:val="008D4AF1"/>
    <w:rsid w:val="008D4B36"/>
    <w:rsid w:val="008D4B7B"/>
    <w:rsid w:val="008D4BF9"/>
    <w:rsid w:val="008D4C16"/>
    <w:rsid w:val="008D4C2B"/>
    <w:rsid w:val="008D4E58"/>
    <w:rsid w:val="008D4F41"/>
    <w:rsid w:val="008D4FEB"/>
    <w:rsid w:val="008D5276"/>
    <w:rsid w:val="008D52A7"/>
    <w:rsid w:val="008D52EC"/>
    <w:rsid w:val="008D52F3"/>
    <w:rsid w:val="008D54F6"/>
    <w:rsid w:val="008D5541"/>
    <w:rsid w:val="008D566B"/>
    <w:rsid w:val="008D56B4"/>
    <w:rsid w:val="008D57AD"/>
    <w:rsid w:val="008D58CB"/>
    <w:rsid w:val="008D5A88"/>
    <w:rsid w:val="008D5DA6"/>
    <w:rsid w:val="008D5DBA"/>
    <w:rsid w:val="008D5DE2"/>
    <w:rsid w:val="008D5DFD"/>
    <w:rsid w:val="008D5EB2"/>
    <w:rsid w:val="008D5EB9"/>
    <w:rsid w:val="008D6053"/>
    <w:rsid w:val="008D6467"/>
    <w:rsid w:val="008D64EF"/>
    <w:rsid w:val="008D6542"/>
    <w:rsid w:val="008D665E"/>
    <w:rsid w:val="008D66E6"/>
    <w:rsid w:val="008D6769"/>
    <w:rsid w:val="008D678C"/>
    <w:rsid w:val="008D67ED"/>
    <w:rsid w:val="008D6829"/>
    <w:rsid w:val="008D682D"/>
    <w:rsid w:val="008D6874"/>
    <w:rsid w:val="008D68AA"/>
    <w:rsid w:val="008D6982"/>
    <w:rsid w:val="008D6B0C"/>
    <w:rsid w:val="008D6B37"/>
    <w:rsid w:val="008D6BE8"/>
    <w:rsid w:val="008D6DF9"/>
    <w:rsid w:val="008D6ED1"/>
    <w:rsid w:val="008D6FCA"/>
    <w:rsid w:val="008D7016"/>
    <w:rsid w:val="008D724B"/>
    <w:rsid w:val="008D73B0"/>
    <w:rsid w:val="008D764D"/>
    <w:rsid w:val="008D7687"/>
    <w:rsid w:val="008D778C"/>
    <w:rsid w:val="008D77F6"/>
    <w:rsid w:val="008D78B7"/>
    <w:rsid w:val="008D797F"/>
    <w:rsid w:val="008D7A5D"/>
    <w:rsid w:val="008D7CB2"/>
    <w:rsid w:val="008D7CDC"/>
    <w:rsid w:val="008D7D13"/>
    <w:rsid w:val="008D7EB8"/>
    <w:rsid w:val="008D7ED3"/>
    <w:rsid w:val="008E009F"/>
    <w:rsid w:val="008E0275"/>
    <w:rsid w:val="008E029B"/>
    <w:rsid w:val="008E0520"/>
    <w:rsid w:val="008E05C8"/>
    <w:rsid w:val="008E05F7"/>
    <w:rsid w:val="008E06D4"/>
    <w:rsid w:val="008E071C"/>
    <w:rsid w:val="008E0724"/>
    <w:rsid w:val="008E076B"/>
    <w:rsid w:val="008E07CF"/>
    <w:rsid w:val="008E09CE"/>
    <w:rsid w:val="008E0A1A"/>
    <w:rsid w:val="008E0A38"/>
    <w:rsid w:val="008E0A77"/>
    <w:rsid w:val="008E0C9D"/>
    <w:rsid w:val="008E0CAD"/>
    <w:rsid w:val="008E0D1C"/>
    <w:rsid w:val="008E0D48"/>
    <w:rsid w:val="008E0F0F"/>
    <w:rsid w:val="008E0FCB"/>
    <w:rsid w:val="008E0FCE"/>
    <w:rsid w:val="008E109A"/>
    <w:rsid w:val="008E10B6"/>
    <w:rsid w:val="008E1182"/>
    <w:rsid w:val="008E118D"/>
    <w:rsid w:val="008E11B4"/>
    <w:rsid w:val="008E1378"/>
    <w:rsid w:val="008E138C"/>
    <w:rsid w:val="008E146C"/>
    <w:rsid w:val="008E149A"/>
    <w:rsid w:val="008E14A1"/>
    <w:rsid w:val="008E15C2"/>
    <w:rsid w:val="008E15DF"/>
    <w:rsid w:val="008E15FE"/>
    <w:rsid w:val="008E162C"/>
    <w:rsid w:val="008E17D9"/>
    <w:rsid w:val="008E18BC"/>
    <w:rsid w:val="008E191F"/>
    <w:rsid w:val="008E1A70"/>
    <w:rsid w:val="008E1AA1"/>
    <w:rsid w:val="008E1AAF"/>
    <w:rsid w:val="008E1AC9"/>
    <w:rsid w:val="008E1B06"/>
    <w:rsid w:val="008E1CF9"/>
    <w:rsid w:val="008E1DCA"/>
    <w:rsid w:val="008E1F00"/>
    <w:rsid w:val="008E20BC"/>
    <w:rsid w:val="008E20EC"/>
    <w:rsid w:val="008E2274"/>
    <w:rsid w:val="008E235B"/>
    <w:rsid w:val="008E2482"/>
    <w:rsid w:val="008E2491"/>
    <w:rsid w:val="008E24F3"/>
    <w:rsid w:val="008E2784"/>
    <w:rsid w:val="008E27A5"/>
    <w:rsid w:val="008E27B6"/>
    <w:rsid w:val="008E27F4"/>
    <w:rsid w:val="008E2A1D"/>
    <w:rsid w:val="008E2C02"/>
    <w:rsid w:val="008E2C68"/>
    <w:rsid w:val="008E2C73"/>
    <w:rsid w:val="008E2CAC"/>
    <w:rsid w:val="008E2CB3"/>
    <w:rsid w:val="008E2CBB"/>
    <w:rsid w:val="008E2CBD"/>
    <w:rsid w:val="008E2E16"/>
    <w:rsid w:val="008E2EB3"/>
    <w:rsid w:val="008E302F"/>
    <w:rsid w:val="008E322E"/>
    <w:rsid w:val="008E327A"/>
    <w:rsid w:val="008E33AF"/>
    <w:rsid w:val="008E3555"/>
    <w:rsid w:val="008E35AE"/>
    <w:rsid w:val="008E368B"/>
    <w:rsid w:val="008E3704"/>
    <w:rsid w:val="008E3765"/>
    <w:rsid w:val="008E37DD"/>
    <w:rsid w:val="008E380E"/>
    <w:rsid w:val="008E3836"/>
    <w:rsid w:val="008E3908"/>
    <w:rsid w:val="008E3A8F"/>
    <w:rsid w:val="008E3CCD"/>
    <w:rsid w:val="008E3CD2"/>
    <w:rsid w:val="008E3CE7"/>
    <w:rsid w:val="008E3D13"/>
    <w:rsid w:val="008E3D95"/>
    <w:rsid w:val="008E3DCE"/>
    <w:rsid w:val="008E3E4B"/>
    <w:rsid w:val="008E3E4C"/>
    <w:rsid w:val="008E3F30"/>
    <w:rsid w:val="008E3F39"/>
    <w:rsid w:val="008E3F54"/>
    <w:rsid w:val="008E3FCF"/>
    <w:rsid w:val="008E40AA"/>
    <w:rsid w:val="008E41F2"/>
    <w:rsid w:val="008E4261"/>
    <w:rsid w:val="008E42DB"/>
    <w:rsid w:val="008E445D"/>
    <w:rsid w:val="008E452B"/>
    <w:rsid w:val="008E45E7"/>
    <w:rsid w:val="008E467A"/>
    <w:rsid w:val="008E4734"/>
    <w:rsid w:val="008E4763"/>
    <w:rsid w:val="008E4805"/>
    <w:rsid w:val="008E4808"/>
    <w:rsid w:val="008E48B6"/>
    <w:rsid w:val="008E48C1"/>
    <w:rsid w:val="008E490D"/>
    <w:rsid w:val="008E491B"/>
    <w:rsid w:val="008E4970"/>
    <w:rsid w:val="008E4B0B"/>
    <w:rsid w:val="008E4B4C"/>
    <w:rsid w:val="008E4B95"/>
    <w:rsid w:val="008E4D74"/>
    <w:rsid w:val="008E4E88"/>
    <w:rsid w:val="008E4FC1"/>
    <w:rsid w:val="008E510A"/>
    <w:rsid w:val="008E5188"/>
    <w:rsid w:val="008E519E"/>
    <w:rsid w:val="008E52F5"/>
    <w:rsid w:val="008E52FD"/>
    <w:rsid w:val="008E53C8"/>
    <w:rsid w:val="008E5409"/>
    <w:rsid w:val="008E5484"/>
    <w:rsid w:val="008E54F5"/>
    <w:rsid w:val="008E5516"/>
    <w:rsid w:val="008E55EA"/>
    <w:rsid w:val="008E560C"/>
    <w:rsid w:val="008E5674"/>
    <w:rsid w:val="008E573A"/>
    <w:rsid w:val="008E597C"/>
    <w:rsid w:val="008E5986"/>
    <w:rsid w:val="008E5ABE"/>
    <w:rsid w:val="008E5BA9"/>
    <w:rsid w:val="008E5C0F"/>
    <w:rsid w:val="008E5C12"/>
    <w:rsid w:val="008E5CBB"/>
    <w:rsid w:val="008E5CCD"/>
    <w:rsid w:val="008E5D89"/>
    <w:rsid w:val="008E5DC0"/>
    <w:rsid w:val="008E5E7E"/>
    <w:rsid w:val="008E6037"/>
    <w:rsid w:val="008E6045"/>
    <w:rsid w:val="008E60D6"/>
    <w:rsid w:val="008E60E8"/>
    <w:rsid w:val="008E6131"/>
    <w:rsid w:val="008E62CE"/>
    <w:rsid w:val="008E6402"/>
    <w:rsid w:val="008E64F6"/>
    <w:rsid w:val="008E6529"/>
    <w:rsid w:val="008E6732"/>
    <w:rsid w:val="008E6788"/>
    <w:rsid w:val="008E681A"/>
    <w:rsid w:val="008E68A8"/>
    <w:rsid w:val="008E68E2"/>
    <w:rsid w:val="008E6903"/>
    <w:rsid w:val="008E6930"/>
    <w:rsid w:val="008E69A8"/>
    <w:rsid w:val="008E69FF"/>
    <w:rsid w:val="008E6ABC"/>
    <w:rsid w:val="008E6B5B"/>
    <w:rsid w:val="008E6C02"/>
    <w:rsid w:val="008E6C9A"/>
    <w:rsid w:val="008E6CF1"/>
    <w:rsid w:val="008E6D0B"/>
    <w:rsid w:val="008E6DD6"/>
    <w:rsid w:val="008E6E74"/>
    <w:rsid w:val="008E6E8A"/>
    <w:rsid w:val="008E6F5A"/>
    <w:rsid w:val="008E6FA5"/>
    <w:rsid w:val="008E7116"/>
    <w:rsid w:val="008E717D"/>
    <w:rsid w:val="008E724B"/>
    <w:rsid w:val="008E7336"/>
    <w:rsid w:val="008E746F"/>
    <w:rsid w:val="008E74CF"/>
    <w:rsid w:val="008E7510"/>
    <w:rsid w:val="008E757A"/>
    <w:rsid w:val="008E75E4"/>
    <w:rsid w:val="008E7617"/>
    <w:rsid w:val="008E7704"/>
    <w:rsid w:val="008E77B8"/>
    <w:rsid w:val="008E7A31"/>
    <w:rsid w:val="008E7A83"/>
    <w:rsid w:val="008E7B9C"/>
    <w:rsid w:val="008E7CDB"/>
    <w:rsid w:val="008E7D09"/>
    <w:rsid w:val="008E7F8E"/>
    <w:rsid w:val="008E7FEB"/>
    <w:rsid w:val="008F0011"/>
    <w:rsid w:val="008F004D"/>
    <w:rsid w:val="008F00A8"/>
    <w:rsid w:val="008F00AD"/>
    <w:rsid w:val="008F02C0"/>
    <w:rsid w:val="008F050C"/>
    <w:rsid w:val="008F0666"/>
    <w:rsid w:val="008F0689"/>
    <w:rsid w:val="008F075B"/>
    <w:rsid w:val="008F0771"/>
    <w:rsid w:val="008F0794"/>
    <w:rsid w:val="008F07AE"/>
    <w:rsid w:val="008F083D"/>
    <w:rsid w:val="008F0841"/>
    <w:rsid w:val="008F0889"/>
    <w:rsid w:val="008F092E"/>
    <w:rsid w:val="008F09BA"/>
    <w:rsid w:val="008F0A07"/>
    <w:rsid w:val="008F0A16"/>
    <w:rsid w:val="008F0AA1"/>
    <w:rsid w:val="008F0C4D"/>
    <w:rsid w:val="008F0D03"/>
    <w:rsid w:val="008F0D26"/>
    <w:rsid w:val="008F0DF9"/>
    <w:rsid w:val="008F0EDF"/>
    <w:rsid w:val="008F0F0B"/>
    <w:rsid w:val="008F108E"/>
    <w:rsid w:val="008F1104"/>
    <w:rsid w:val="008F110B"/>
    <w:rsid w:val="008F1185"/>
    <w:rsid w:val="008F126D"/>
    <w:rsid w:val="008F127C"/>
    <w:rsid w:val="008F1437"/>
    <w:rsid w:val="008F1476"/>
    <w:rsid w:val="008F15C3"/>
    <w:rsid w:val="008F1679"/>
    <w:rsid w:val="008F16B8"/>
    <w:rsid w:val="008F16C2"/>
    <w:rsid w:val="008F16D6"/>
    <w:rsid w:val="008F1751"/>
    <w:rsid w:val="008F178B"/>
    <w:rsid w:val="008F17E5"/>
    <w:rsid w:val="008F18FC"/>
    <w:rsid w:val="008F1914"/>
    <w:rsid w:val="008F1973"/>
    <w:rsid w:val="008F1BBC"/>
    <w:rsid w:val="008F1D68"/>
    <w:rsid w:val="008F1DD8"/>
    <w:rsid w:val="008F1E03"/>
    <w:rsid w:val="008F1EE8"/>
    <w:rsid w:val="008F1FEE"/>
    <w:rsid w:val="008F21FA"/>
    <w:rsid w:val="008F23B0"/>
    <w:rsid w:val="008F24EE"/>
    <w:rsid w:val="008F2777"/>
    <w:rsid w:val="008F278F"/>
    <w:rsid w:val="008F2825"/>
    <w:rsid w:val="008F28CC"/>
    <w:rsid w:val="008F28D7"/>
    <w:rsid w:val="008F2958"/>
    <w:rsid w:val="008F2A01"/>
    <w:rsid w:val="008F2A33"/>
    <w:rsid w:val="008F2ACE"/>
    <w:rsid w:val="008F2C29"/>
    <w:rsid w:val="008F2DE1"/>
    <w:rsid w:val="008F2E42"/>
    <w:rsid w:val="008F2F3E"/>
    <w:rsid w:val="008F2FED"/>
    <w:rsid w:val="008F3012"/>
    <w:rsid w:val="008F302D"/>
    <w:rsid w:val="008F30A0"/>
    <w:rsid w:val="008F3160"/>
    <w:rsid w:val="008F3289"/>
    <w:rsid w:val="008F353C"/>
    <w:rsid w:val="008F3541"/>
    <w:rsid w:val="008F35B3"/>
    <w:rsid w:val="008F35B8"/>
    <w:rsid w:val="008F36BF"/>
    <w:rsid w:val="008F36F0"/>
    <w:rsid w:val="008F3AA4"/>
    <w:rsid w:val="008F3B04"/>
    <w:rsid w:val="008F3B42"/>
    <w:rsid w:val="008F3BDB"/>
    <w:rsid w:val="008F3C8B"/>
    <w:rsid w:val="008F3D7F"/>
    <w:rsid w:val="008F3EEB"/>
    <w:rsid w:val="008F3F8F"/>
    <w:rsid w:val="008F4007"/>
    <w:rsid w:val="008F40D3"/>
    <w:rsid w:val="008F415A"/>
    <w:rsid w:val="008F41B8"/>
    <w:rsid w:val="008F42F7"/>
    <w:rsid w:val="008F42FC"/>
    <w:rsid w:val="008F4321"/>
    <w:rsid w:val="008F4409"/>
    <w:rsid w:val="008F44D4"/>
    <w:rsid w:val="008F453C"/>
    <w:rsid w:val="008F455E"/>
    <w:rsid w:val="008F4920"/>
    <w:rsid w:val="008F497D"/>
    <w:rsid w:val="008F498E"/>
    <w:rsid w:val="008F4B25"/>
    <w:rsid w:val="008F4B5B"/>
    <w:rsid w:val="008F4C96"/>
    <w:rsid w:val="008F4CF4"/>
    <w:rsid w:val="008F4D27"/>
    <w:rsid w:val="008F4D5F"/>
    <w:rsid w:val="008F4F13"/>
    <w:rsid w:val="008F4F6C"/>
    <w:rsid w:val="008F4F8A"/>
    <w:rsid w:val="008F4FD1"/>
    <w:rsid w:val="008F4FF4"/>
    <w:rsid w:val="008F504F"/>
    <w:rsid w:val="008F509C"/>
    <w:rsid w:val="008F50FD"/>
    <w:rsid w:val="008F5127"/>
    <w:rsid w:val="008F51DC"/>
    <w:rsid w:val="008F521B"/>
    <w:rsid w:val="008F523D"/>
    <w:rsid w:val="008F53DF"/>
    <w:rsid w:val="008F555C"/>
    <w:rsid w:val="008F55A7"/>
    <w:rsid w:val="008F5732"/>
    <w:rsid w:val="008F581B"/>
    <w:rsid w:val="008F585F"/>
    <w:rsid w:val="008F589D"/>
    <w:rsid w:val="008F59A4"/>
    <w:rsid w:val="008F59E8"/>
    <w:rsid w:val="008F5A20"/>
    <w:rsid w:val="008F5AD3"/>
    <w:rsid w:val="008F5B17"/>
    <w:rsid w:val="008F5BC5"/>
    <w:rsid w:val="008F5C00"/>
    <w:rsid w:val="008F5C06"/>
    <w:rsid w:val="008F5C8E"/>
    <w:rsid w:val="008F5DCD"/>
    <w:rsid w:val="008F5ED2"/>
    <w:rsid w:val="008F6131"/>
    <w:rsid w:val="008F614B"/>
    <w:rsid w:val="008F6234"/>
    <w:rsid w:val="008F626B"/>
    <w:rsid w:val="008F62D0"/>
    <w:rsid w:val="008F62FB"/>
    <w:rsid w:val="008F6326"/>
    <w:rsid w:val="008F6407"/>
    <w:rsid w:val="008F645A"/>
    <w:rsid w:val="008F6645"/>
    <w:rsid w:val="008F665C"/>
    <w:rsid w:val="008F66ED"/>
    <w:rsid w:val="008F6740"/>
    <w:rsid w:val="008F6783"/>
    <w:rsid w:val="008F6806"/>
    <w:rsid w:val="008F6892"/>
    <w:rsid w:val="008F698B"/>
    <w:rsid w:val="008F69AB"/>
    <w:rsid w:val="008F6A17"/>
    <w:rsid w:val="008F6A68"/>
    <w:rsid w:val="008F6B21"/>
    <w:rsid w:val="008F6D6A"/>
    <w:rsid w:val="008F6E2F"/>
    <w:rsid w:val="008F6EE0"/>
    <w:rsid w:val="008F6F40"/>
    <w:rsid w:val="008F7032"/>
    <w:rsid w:val="008F7033"/>
    <w:rsid w:val="008F707C"/>
    <w:rsid w:val="008F73C5"/>
    <w:rsid w:val="008F73FD"/>
    <w:rsid w:val="008F7505"/>
    <w:rsid w:val="008F758A"/>
    <w:rsid w:val="008F7629"/>
    <w:rsid w:val="008F769F"/>
    <w:rsid w:val="008F7782"/>
    <w:rsid w:val="008F77A2"/>
    <w:rsid w:val="008F7846"/>
    <w:rsid w:val="008F785E"/>
    <w:rsid w:val="008F7A49"/>
    <w:rsid w:val="008F7AA9"/>
    <w:rsid w:val="008F7C82"/>
    <w:rsid w:val="008F7D2E"/>
    <w:rsid w:val="008F7D3C"/>
    <w:rsid w:val="008F7DDA"/>
    <w:rsid w:val="008F7F5D"/>
    <w:rsid w:val="008F7F9A"/>
    <w:rsid w:val="008F7FDF"/>
    <w:rsid w:val="00900036"/>
    <w:rsid w:val="0090008A"/>
    <w:rsid w:val="00900154"/>
    <w:rsid w:val="009002A1"/>
    <w:rsid w:val="009002D1"/>
    <w:rsid w:val="00900310"/>
    <w:rsid w:val="0090036B"/>
    <w:rsid w:val="009003CB"/>
    <w:rsid w:val="009003EC"/>
    <w:rsid w:val="0090042A"/>
    <w:rsid w:val="0090047E"/>
    <w:rsid w:val="0090051E"/>
    <w:rsid w:val="0090058C"/>
    <w:rsid w:val="009005BB"/>
    <w:rsid w:val="00900638"/>
    <w:rsid w:val="00900718"/>
    <w:rsid w:val="00900745"/>
    <w:rsid w:val="00900942"/>
    <w:rsid w:val="00900A18"/>
    <w:rsid w:val="00900A30"/>
    <w:rsid w:val="00900B90"/>
    <w:rsid w:val="00900B9A"/>
    <w:rsid w:val="00900BC0"/>
    <w:rsid w:val="00900C97"/>
    <w:rsid w:val="00900EE4"/>
    <w:rsid w:val="00900F4C"/>
    <w:rsid w:val="00900F6F"/>
    <w:rsid w:val="00900F8E"/>
    <w:rsid w:val="00900FD9"/>
    <w:rsid w:val="00901051"/>
    <w:rsid w:val="00901073"/>
    <w:rsid w:val="009011A0"/>
    <w:rsid w:val="00901259"/>
    <w:rsid w:val="009012AB"/>
    <w:rsid w:val="009012D9"/>
    <w:rsid w:val="0090135C"/>
    <w:rsid w:val="0090135E"/>
    <w:rsid w:val="009013BF"/>
    <w:rsid w:val="00901708"/>
    <w:rsid w:val="009018F8"/>
    <w:rsid w:val="00901B10"/>
    <w:rsid w:val="00901B34"/>
    <w:rsid w:val="00901B97"/>
    <w:rsid w:val="00901C39"/>
    <w:rsid w:val="00901CAD"/>
    <w:rsid w:val="00901CAE"/>
    <w:rsid w:val="00901E24"/>
    <w:rsid w:val="00901E7C"/>
    <w:rsid w:val="00901EDE"/>
    <w:rsid w:val="0090208D"/>
    <w:rsid w:val="009021DC"/>
    <w:rsid w:val="00902346"/>
    <w:rsid w:val="009023C0"/>
    <w:rsid w:val="00902443"/>
    <w:rsid w:val="009025E7"/>
    <w:rsid w:val="00902678"/>
    <w:rsid w:val="009026A9"/>
    <w:rsid w:val="009026FB"/>
    <w:rsid w:val="009027F1"/>
    <w:rsid w:val="009028CA"/>
    <w:rsid w:val="0090294C"/>
    <w:rsid w:val="00902B66"/>
    <w:rsid w:val="00902BC3"/>
    <w:rsid w:val="00902C0B"/>
    <w:rsid w:val="00902C13"/>
    <w:rsid w:val="00902CDA"/>
    <w:rsid w:val="00902DFE"/>
    <w:rsid w:val="00903007"/>
    <w:rsid w:val="009030FD"/>
    <w:rsid w:val="00903308"/>
    <w:rsid w:val="0090343F"/>
    <w:rsid w:val="009034CD"/>
    <w:rsid w:val="00903913"/>
    <w:rsid w:val="00903954"/>
    <w:rsid w:val="00903955"/>
    <w:rsid w:val="00903981"/>
    <w:rsid w:val="00903AEC"/>
    <w:rsid w:val="00903BCD"/>
    <w:rsid w:val="00903D46"/>
    <w:rsid w:val="00903D59"/>
    <w:rsid w:val="00903E9E"/>
    <w:rsid w:val="00903F4C"/>
    <w:rsid w:val="009040D2"/>
    <w:rsid w:val="0090417B"/>
    <w:rsid w:val="009041AD"/>
    <w:rsid w:val="00904375"/>
    <w:rsid w:val="009043B2"/>
    <w:rsid w:val="009046A0"/>
    <w:rsid w:val="009046C6"/>
    <w:rsid w:val="009046C9"/>
    <w:rsid w:val="00904A27"/>
    <w:rsid w:val="00904A8F"/>
    <w:rsid w:val="00904A96"/>
    <w:rsid w:val="00904ACE"/>
    <w:rsid w:val="00904B24"/>
    <w:rsid w:val="00904B43"/>
    <w:rsid w:val="00904CB5"/>
    <w:rsid w:val="00904D95"/>
    <w:rsid w:val="00904DD1"/>
    <w:rsid w:val="00904DEA"/>
    <w:rsid w:val="00904E3A"/>
    <w:rsid w:val="00904EDC"/>
    <w:rsid w:val="00904F1C"/>
    <w:rsid w:val="00904F2E"/>
    <w:rsid w:val="00905164"/>
    <w:rsid w:val="0090518C"/>
    <w:rsid w:val="009051DD"/>
    <w:rsid w:val="00905276"/>
    <w:rsid w:val="009052FB"/>
    <w:rsid w:val="0090530F"/>
    <w:rsid w:val="00905443"/>
    <w:rsid w:val="00905449"/>
    <w:rsid w:val="00905459"/>
    <w:rsid w:val="0090546B"/>
    <w:rsid w:val="009054D5"/>
    <w:rsid w:val="009055DE"/>
    <w:rsid w:val="009056A1"/>
    <w:rsid w:val="0090573F"/>
    <w:rsid w:val="00905750"/>
    <w:rsid w:val="009057AF"/>
    <w:rsid w:val="0090596F"/>
    <w:rsid w:val="00905C14"/>
    <w:rsid w:val="00905F36"/>
    <w:rsid w:val="00905F5B"/>
    <w:rsid w:val="00905FCA"/>
    <w:rsid w:val="00906036"/>
    <w:rsid w:val="00906092"/>
    <w:rsid w:val="00906177"/>
    <w:rsid w:val="00906458"/>
    <w:rsid w:val="0090661F"/>
    <w:rsid w:val="009066AD"/>
    <w:rsid w:val="0090685F"/>
    <w:rsid w:val="00906972"/>
    <w:rsid w:val="0090698F"/>
    <w:rsid w:val="00906A2B"/>
    <w:rsid w:val="00906A90"/>
    <w:rsid w:val="00906AB1"/>
    <w:rsid w:val="00906AFE"/>
    <w:rsid w:val="00906D7A"/>
    <w:rsid w:val="00906E2B"/>
    <w:rsid w:val="00906E64"/>
    <w:rsid w:val="00906FB0"/>
    <w:rsid w:val="00907091"/>
    <w:rsid w:val="0090710F"/>
    <w:rsid w:val="00907145"/>
    <w:rsid w:val="009071F9"/>
    <w:rsid w:val="0090735A"/>
    <w:rsid w:val="0090751E"/>
    <w:rsid w:val="0090759E"/>
    <w:rsid w:val="0090764D"/>
    <w:rsid w:val="00907654"/>
    <w:rsid w:val="00907774"/>
    <w:rsid w:val="0090777D"/>
    <w:rsid w:val="009077C0"/>
    <w:rsid w:val="009078CE"/>
    <w:rsid w:val="009078E9"/>
    <w:rsid w:val="00907967"/>
    <w:rsid w:val="00907ACA"/>
    <w:rsid w:val="00907B58"/>
    <w:rsid w:val="00907B7C"/>
    <w:rsid w:val="00907B83"/>
    <w:rsid w:val="00907E3E"/>
    <w:rsid w:val="00907E4E"/>
    <w:rsid w:val="00907E67"/>
    <w:rsid w:val="00907EC0"/>
    <w:rsid w:val="00907EFF"/>
    <w:rsid w:val="00907FB1"/>
    <w:rsid w:val="00910094"/>
    <w:rsid w:val="009100CD"/>
    <w:rsid w:val="009100FF"/>
    <w:rsid w:val="0091020F"/>
    <w:rsid w:val="00910222"/>
    <w:rsid w:val="00910255"/>
    <w:rsid w:val="009102DE"/>
    <w:rsid w:val="0091030A"/>
    <w:rsid w:val="00910326"/>
    <w:rsid w:val="00910395"/>
    <w:rsid w:val="009103FD"/>
    <w:rsid w:val="00910418"/>
    <w:rsid w:val="0091042B"/>
    <w:rsid w:val="009104C2"/>
    <w:rsid w:val="00910594"/>
    <w:rsid w:val="009105CD"/>
    <w:rsid w:val="00910633"/>
    <w:rsid w:val="009107B9"/>
    <w:rsid w:val="009107EF"/>
    <w:rsid w:val="00910A3B"/>
    <w:rsid w:val="00910AA0"/>
    <w:rsid w:val="00910B88"/>
    <w:rsid w:val="00910E32"/>
    <w:rsid w:val="00910E83"/>
    <w:rsid w:val="00910EA7"/>
    <w:rsid w:val="00910EE5"/>
    <w:rsid w:val="00910F69"/>
    <w:rsid w:val="00910FAE"/>
    <w:rsid w:val="00911050"/>
    <w:rsid w:val="009110A9"/>
    <w:rsid w:val="0091118C"/>
    <w:rsid w:val="0091121D"/>
    <w:rsid w:val="009112AD"/>
    <w:rsid w:val="0091131E"/>
    <w:rsid w:val="0091133D"/>
    <w:rsid w:val="00911529"/>
    <w:rsid w:val="0091167E"/>
    <w:rsid w:val="00911699"/>
    <w:rsid w:val="00911798"/>
    <w:rsid w:val="00911975"/>
    <w:rsid w:val="00911A01"/>
    <w:rsid w:val="00911A32"/>
    <w:rsid w:val="00911A8F"/>
    <w:rsid w:val="00911BB4"/>
    <w:rsid w:val="00911C18"/>
    <w:rsid w:val="00911C76"/>
    <w:rsid w:val="00911DA5"/>
    <w:rsid w:val="00911DD5"/>
    <w:rsid w:val="00911EFD"/>
    <w:rsid w:val="00911F28"/>
    <w:rsid w:val="009120ED"/>
    <w:rsid w:val="009121E9"/>
    <w:rsid w:val="00912223"/>
    <w:rsid w:val="00912269"/>
    <w:rsid w:val="009122DB"/>
    <w:rsid w:val="009123CB"/>
    <w:rsid w:val="009123D9"/>
    <w:rsid w:val="00912400"/>
    <w:rsid w:val="00912493"/>
    <w:rsid w:val="00912557"/>
    <w:rsid w:val="00912658"/>
    <w:rsid w:val="009126D2"/>
    <w:rsid w:val="00912926"/>
    <w:rsid w:val="00912A1F"/>
    <w:rsid w:val="00912A5D"/>
    <w:rsid w:val="00912D27"/>
    <w:rsid w:val="00912E4C"/>
    <w:rsid w:val="00912E5D"/>
    <w:rsid w:val="00912EA3"/>
    <w:rsid w:val="00913021"/>
    <w:rsid w:val="00913049"/>
    <w:rsid w:val="0091305F"/>
    <w:rsid w:val="009130AB"/>
    <w:rsid w:val="009130C7"/>
    <w:rsid w:val="00913155"/>
    <w:rsid w:val="00913270"/>
    <w:rsid w:val="009132EE"/>
    <w:rsid w:val="009133C7"/>
    <w:rsid w:val="00913578"/>
    <w:rsid w:val="0091361D"/>
    <w:rsid w:val="0091367B"/>
    <w:rsid w:val="009136DE"/>
    <w:rsid w:val="0091389C"/>
    <w:rsid w:val="009138F7"/>
    <w:rsid w:val="0091390A"/>
    <w:rsid w:val="0091390C"/>
    <w:rsid w:val="009139E5"/>
    <w:rsid w:val="00913B28"/>
    <w:rsid w:val="00913BF0"/>
    <w:rsid w:val="00913C2B"/>
    <w:rsid w:val="00913C56"/>
    <w:rsid w:val="00913D06"/>
    <w:rsid w:val="00913D14"/>
    <w:rsid w:val="00913D44"/>
    <w:rsid w:val="00913F17"/>
    <w:rsid w:val="00913F8A"/>
    <w:rsid w:val="00913FAC"/>
    <w:rsid w:val="00914116"/>
    <w:rsid w:val="009141AC"/>
    <w:rsid w:val="009141FC"/>
    <w:rsid w:val="009142C2"/>
    <w:rsid w:val="009142E5"/>
    <w:rsid w:val="00914366"/>
    <w:rsid w:val="009143A1"/>
    <w:rsid w:val="009143B7"/>
    <w:rsid w:val="00914458"/>
    <w:rsid w:val="0091447F"/>
    <w:rsid w:val="009145B5"/>
    <w:rsid w:val="0091474D"/>
    <w:rsid w:val="009147AE"/>
    <w:rsid w:val="009147C4"/>
    <w:rsid w:val="0091481B"/>
    <w:rsid w:val="00914842"/>
    <w:rsid w:val="0091489D"/>
    <w:rsid w:val="009149E1"/>
    <w:rsid w:val="009149F2"/>
    <w:rsid w:val="00914A89"/>
    <w:rsid w:val="00914C9C"/>
    <w:rsid w:val="00914CD8"/>
    <w:rsid w:val="00914CDB"/>
    <w:rsid w:val="00914D2F"/>
    <w:rsid w:val="00914D4E"/>
    <w:rsid w:val="00914DB5"/>
    <w:rsid w:val="00914F90"/>
    <w:rsid w:val="009151B0"/>
    <w:rsid w:val="009151F5"/>
    <w:rsid w:val="009152D4"/>
    <w:rsid w:val="00915356"/>
    <w:rsid w:val="009153A3"/>
    <w:rsid w:val="0091554B"/>
    <w:rsid w:val="0091555F"/>
    <w:rsid w:val="00915560"/>
    <w:rsid w:val="0091558E"/>
    <w:rsid w:val="0091567C"/>
    <w:rsid w:val="00915681"/>
    <w:rsid w:val="009156DC"/>
    <w:rsid w:val="00915722"/>
    <w:rsid w:val="00915809"/>
    <w:rsid w:val="0091590A"/>
    <w:rsid w:val="00915938"/>
    <w:rsid w:val="0091595F"/>
    <w:rsid w:val="00915A79"/>
    <w:rsid w:val="00915A89"/>
    <w:rsid w:val="00915BCB"/>
    <w:rsid w:val="00915C5B"/>
    <w:rsid w:val="00915D21"/>
    <w:rsid w:val="00915EA5"/>
    <w:rsid w:val="00915F00"/>
    <w:rsid w:val="00915F24"/>
    <w:rsid w:val="00915FD0"/>
    <w:rsid w:val="00915FD7"/>
    <w:rsid w:val="00915FE7"/>
    <w:rsid w:val="00916065"/>
    <w:rsid w:val="00916084"/>
    <w:rsid w:val="009160B4"/>
    <w:rsid w:val="00916136"/>
    <w:rsid w:val="009161AB"/>
    <w:rsid w:val="009161CA"/>
    <w:rsid w:val="0091621A"/>
    <w:rsid w:val="0091627F"/>
    <w:rsid w:val="0091629E"/>
    <w:rsid w:val="00916300"/>
    <w:rsid w:val="009163A2"/>
    <w:rsid w:val="009163A6"/>
    <w:rsid w:val="0091640D"/>
    <w:rsid w:val="00916448"/>
    <w:rsid w:val="009164D7"/>
    <w:rsid w:val="009165AF"/>
    <w:rsid w:val="009166B9"/>
    <w:rsid w:val="009166C0"/>
    <w:rsid w:val="00916813"/>
    <w:rsid w:val="00916832"/>
    <w:rsid w:val="0091685F"/>
    <w:rsid w:val="00916876"/>
    <w:rsid w:val="009168BA"/>
    <w:rsid w:val="00916AD5"/>
    <w:rsid w:val="00916BD3"/>
    <w:rsid w:val="00916E79"/>
    <w:rsid w:val="00916F07"/>
    <w:rsid w:val="00916F92"/>
    <w:rsid w:val="00917035"/>
    <w:rsid w:val="00917097"/>
    <w:rsid w:val="0091716E"/>
    <w:rsid w:val="009171AF"/>
    <w:rsid w:val="009171FC"/>
    <w:rsid w:val="00917301"/>
    <w:rsid w:val="00917343"/>
    <w:rsid w:val="0091735C"/>
    <w:rsid w:val="009173BB"/>
    <w:rsid w:val="0091745E"/>
    <w:rsid w:val="00917497"/>
    <w:rsid w:val="009174BD"/>
    <w:rsid w:val="009174DB"/>
    <w:rsid w:val="00917673"/>
    <w:rsid w:val="00917804"/>
    <w:rsid w:val="00917818"/>
    <w:rsid w:val="009179A3"/>
    <w:rsid w:val="009179E1"/>
    <w:rsid w:val="00917DA6"/>
    <w:rsid w:val="00917DD4"/>
    <w:rsid w:val="00920056"/>
    <w:rsid w:val="00920141"/>
    <w:rsid w:val="009201A2"/>
    <w:rsid w:val="0092021E"/>
    <w:rsid w:val="00920220"/>
    <w:rsid w:val="0092022A"/>
    <w:rsid w:val="009202D0"/>
    <w:rsid w:val="009202F0"/>
    <w:rsid w:val="009203D2"/>
    <w:rsid w:val="00920450"/>
    <w:rsid w:val="0092045C"/>
    <w:rsid w:val="0092047D"/>
    <w:rsid w:val="00920575"/>
    <w:rsid w:val="00920580"/>
    <w:rsid w:val="0092066C"/>
    <w:rsid w:val="009206D3"/>
    <w:rsid w:val="0092074E"/>
    <w:rsid w:val="00920792"/>
    <w:rsid w:val="0092079E"/>
    <w:rsid w:val="00920D4E"/>
    <w:rsid w:val="00920EC8"/>
    <w:rsid w:val="00920ED2"/>
    <w:rsid w:val="00920F9F"/>
    <w:rsid w:val="009210AA"/>
    <w:rsid w:val="00921180"/>
    <w:rsid w:val="00921183"/>
    <w:rsid w:val="009211EE"/>
    <w:rsid w:val="009212A0"/>
    <w:rsid w:val="009212A3"/>
    <w:rsid w:val="0092168F"/>
    <w:rsid w:val="009217C9"/>
    <w:rsid w:val="009218CF"/>
    <w:rsid w:val="0092190B"/>
    <w:rsid w:val="009219A2"/>
    <w:rsid w:val="00921AA1"/>
    <w:rsid w:val="00921AF7"/>
    <w:rsid w:val="00921BE6"/>
    <w:rsid w:val="00921C8E"/>
    <w:rsid w:val="00921D6B"/>
    <w:rsid w:val="00921DA7"/>
    <w:rsid w:val="00921DAA"/>
    <w:rsid w:val="009220B2"/>
    <w:rsid w:val="00922239"/>
    <w:rsid w:val="0092226B"/>
    <w:rsid w:val="009222AE"/>
    <w:rsid w:val="0092244A"/>
    <w:rsid w:val="00922455"/>
    <w:rsid w:val="009224C2"/>
    <w:rsid w:val="0092267D"/>
    <w:rsid w:val="009227CF"/>
    <w:rsid w:val="00922814"/>
    <w:rsid w:val="009228C2"/>
    <w:rsid w:val="00922952"/>
    <w:rsid w:val="009229B0"/>
    <w:rsid w:val="00922A36"/>
    <w:rsid w:val="00922A8C"/>
    <w:rsid w:val="00922C40"/>
    <w:rsid w:val="00922C4A"/>
    <w:rsid w:val="00922E64"/>
    <w:rsid w:val="00922F10"/>
    <w:rsid w:val="0092303D"/>
    <w:rsid w:val="00923060"/>
    <w:rsid w:val="009230FB"/>
    <w:rsid w:val="009231C5"/>
    <w:rsid w:val="00923259"/>
    <w:rsid w:val="00923308"/>
    <w:rsid w:val="0092339C"/>
    <w:rsid w:val="009233EC"/>
    <w:rsid w:val="0092346E"/>
    <w:rsid w:val="009234BD"/>
    <w:rsid w:val="00923504"/>
    <w:rsid w:val="00923519"/>
    <w:rsid w:val="0092353D"/>
    <w:rsid w:val="00923577"/>
    <w:rsid w:val="00923677"/>
    <w:rsid w:val="00923703"/>
    <w:rsid w:val="0092377A"/>
    <w:rsid w:val="00923811"/>
    <w:rsid w:val="009238D5"/>
    <w:rsid w:val="00923916"/>
    <w:rsid w:val="0092393A"/>
    <w:rsid w:val="009239F5"/>
    <w:rsid w:val="00923A03"/>
    <w:rsid w:val="00923A6E"/>
    <w:rsid w:val="00923B74"/>
    <w:rsid w:val="00923DE4"/>
    <w:rsid w:val="00923E75"/>
    <w:rsid w:val="00923E85"/>
    <w:rsid w:val="00923F24"/>
    <w:rsid w:val="00923F52"/>
    <w:rsid w:val="00924047"/>
    <w:rsid w:val="00924062"/>
    <w:rsid w:val="00924074"/>
    <w:rsid w:val="009240EE"/>
    <w:rsid w:val="00924102"/>
    <w:rsid w:val="009241F0"/>
    <w:rsid w:val="00924295"/>
    <w:rsid w:val="00924307"/>
    <w:rsid w:val="009244BC"/>
    <w:rsid w:val="0092454C"/>
    <w:rsid w:val="00924561"/>
    <w:rsid w:val="00924684"/>
    <w:rsid w:val="0092468B"/>
    <w:rsid w:val="00924797"/>
    <w:rsid w:val="00924850"/>
    <w:rsid w:val="009248D5"/>
    <w:rsid w:val="0092499B"/>
    <w:rsid w:val="00924A5A"/>
    <w:rsid w:val="00924A78"/>
    <w:rsid w:val="00924B3E"/>
    <w:rsid w:val="00924CAC"/>
    <w:rsid w:val="00924D2B"/>
    <w:rsid w:val="00924D2F"/>
    <w:rsid w:val="00924F50"/>
    <w:rsid w:val="00924F9F"/>
    <w:rsid w:val="0092537C"/>
    <w:rsid w:val="00925608"/>
    <w:rsid w:val="0092566C"/>
    <w:rsid w:val="009256A5"/>
    <w:rsid w:val="009256BB"/>
    <w:rsid w:val="00925712"/>
    <w:rsid w:val="00925739"/>
    <w:rsid w:val="0092591D"/>
    <w:rsid w:val="009259F3"/>
    <w:rsid w:val="00925B15"/>
    <w:rsid w:val="00925B6C"/>
    <w:rsid w:val="00925C68"/>
    <w:rsid w:val="00925CCC"/>
    <w:rsid w:val="00925CF5"/>
    <w:rsid w:val="00925E5A"/>
    <w:rsid w:val="00925EAE"/>
    <w:rsid w:val="00925F3A"/>
    <w:rsid w:val="00925F3F"/>
    <w:rsid w:val="00925F6A"/>
    <w:rsid w:val="00925FB6"/>
    <w:rsid w:val="009261E6"/>
    <w:rsid w:val="009262C5"/>
    <w:rsid w:val="009263F3"/>
    <w:rsid w:val="009264B1"/>
    <w:rsid w:val="009265E5"/>
    <w:rsid w:val="009266FE"/>
    <w:rsid w:val="009268BB"/>
    <w:rsid w:val="009269D6"/>
    <w:rsid w:val="00926A8C"/>
    <w:rsid w:val="00926B96"/>
    <w:rsid w:val="00926C17"/>
    <w:rsid w:val="00926CF7"/>
    <w:rsid w:val="00926D2C"/>
    <w:rsid w:val="00926D6C"/>
    <w:rsid w:val="00926DDE"/>
    <w:rsid w:val="00926DEE"/>
    <w:rsid w:val="00926E6A"/>
    <w:rsid w:val="009270A2"/>
    <w:rsid w:val="009270B7"/>
    <w:rsid w:val="00927108"/>
    <w:rsid w:val="0092715F"/>
    <w:rsid w:val="0092717C"/>
    <w:rsid w:val="00927180"/>
    <w:rsid w:val="009271BD"/>
    <w:rsid w:val="0092728F"/>
    <w:rsid w:val="0092733E"/>
    <w:rsid w:val="00927351"/>
    <w:rsid w:val="0092740D"/>
    <w:rsid w:val="00927525"/>
    <w:rsid w:val="00927551"/>
    <w:rsid w:val="00927649"/>
    <w:rsid w:val="00927724"/>
    <w:rsid w:val="009278A7"/>
    <w:rsid w:val="00927A2B"/>
    <w:rsid w:val="00927A32"/>
    <w:rsid w:val="00927A57"/>
    <w:rsid w:val="00927B03"/>
    <w:rsid w:val="00927B59"/>
    <w:rsid w:val="00927B93"/>
    <w:rsid w:val="00927D0F"/>
    <w:rsid w:val="00927D5E"/>
    <w:rsid w:val="00927D86"/>
    <w:rsid w:val="00927E37"/>
    <w:rsid w:val="00927EA8"/>
    <w:rsid w:val="00927EF8"/>
    <w:rsid w:val="00927F49"/>
    <w:rsid w:val="0093000A"/>
    <w:rsid w:val="009300B4"/>
    <w:rsid w:val="00930186"/>
    <w:rsid w:val="009302D1"/>
    <w:rsid w:val="009303D4"/>
    <w:rsid w:val="00930418"/>
    <w:rsid w:val="00930458"/>
    <w:rsid w:val="0093046D"/>
    <w:rsid w:val="0093047F"/>
    <w:rsid w:val="009304A7"/>
    <w:rsid w:val="009304AE"/>
    <w:rsid w:val="009304C6"/>
    <w:rsid w:val="00930565"/>
    <w:rsid w:val="0093057F"/>
    <w:rsid w:val="009305AC"/>
    <w:rsid w:val="00930614"/>
    <w:rsid w:val="0093063E"/>
    <w:rsid w:val="00930795"/>
    <w:rsid w:val="009309AE"/>
    <w:rsid w:val="009309D8"/>
    <w:rsid w:val="00930A81"/>
    <w:rsid w:val="00930AD8"/>
    <w:rsid w:val="00930BF6"/>
    <w:rsid w:val="00930D42"/>
    <w:rsid w:val="00930D7C"/>
    <w:rsid w:val="00930DCF"/>
    <w:rsid w:val="00930DE8"/>
    <w:rsid w:val="00930DEC"/>
    <w:rsid w:val="00930F58"/>
    <w:rsid w:val="00931028"/>
    <w:rsid w:val="009310B1"/>
    <w:rsid w:val="0093138B"/>
    <w:rsid w:val="00931423"/>
    <w:rsid w:val="00931670"/>
    <w:rsid w:val="00931708"/>
    <w:rsid w:val="00931713"/>
    <w:rsid w:val="0093197F"/>
    <w:rsid w:val="009319FD"/>
    <w:rsid w:val="00931AB5"/>
    <w:rsid w:val="00931AC8"/>
    <w:rsid w:val="00931AE4"/>
    <w:rsid w:val="00931AF6"/>
    <w:rsid w:val="00931B1B"/>
    <w:rsid w:val="00931C97"/>
    <w:rsid w:val="00931D49"/>
    <w:rsid w:val="00931DD0"/>
    <w:rsid w:val="00931E4F"/>
    <w:rsid w:val="00931E79"/>
    <w:rsid w:val="0093202C"/>
    <w:rsid w:val="00932043"/>
    <w:rsid w:val="009321E5"/>
    <w:rsid w:val="00932263"/>
    <w:rsid w:val="00932591"/>
    <w:rsid w:val="00932925"/>
    <w:rsid w:val="00932952"/>
    <w:rsid w:val="00932B83"/>
    <w:rsid w:val="00932C5B"/>
    <w:rsid w:val="00932E46"/>
    <w:rsid w:val="00932F35"/>
    <w:rsid w:val="00933071"/>
    <w:rsid w:val="009333A7"/>
    <w:rsid w:val="00933565"/>
    <w:rsid w:val="009335D8"/>
    <w:rsid w:val="0093361E"/>
    <w:rsid w:val="00933709"/>
    <w:rsid w:val="0093376B"/>
    <w:rsid w:val="00933790"/>
    <w:rsid w:val="009339AB"/>
    <w:rsid w:val="009339D1"/>
    <w:rsid w:val="00933B00"/>
    <w:rsid w:val="00933C76"/>
    <w:rsid w:val="00933DF3"/>
    <w:rsid w:val="00933EA1"/>
    <w:rsid w:val="00933EC3"/>
    <w:rsid w:val="00933EDE"/>
    <w:rsid w:val="00933F93"/>
    <w:rsid w:val="00934037"/>
    <w:rsid w:val="00934064"/>
    <w:rsid w:val="0093406F"/>
    <w:rsid w:val="0093412F"/>
    <w:rsid w:val="00934243"/>
    <w:rsid w:val="00934331"/>
    <w:rsid w:val="00934530"/>
    <w:rsid w:val="0093480A"/>
    <w:rsid w:val="00934A2D"/>
    <w:rsid w:val="00934BA4"/>
    <w:rsid w:val="00934CCE"/>
    <w:rsid w:val="00934D4D"/>
    <w:rsid w:val="00934E36"/>
    <w:rsid w:val="00934F4E"/>
    <w:rsid w:val="00934F68"/>
    <w:rsid w:val="00935125"/>
    <w:rsid w:val="00935191"/>
    <w:rsid w:val="0093525E"/>
    <w:rsid w:val="0093527C"/>
    <w:rsid w:val="00935333"/>
    <w:rsid w:val="00935438"/>
    <w:rsid w:val="00935457"/>
    <w:rsid w:val="009355BF"/>
    <w:rsid w:val="009355E0"/>
    <w:rsid w:val="009356CD"/>
    <w:rsid w:val="009357C2"/>
    <w:rsid w:val="009357F9"/>
    <w:rsid w:val="0093585B"/>
    <w:rsid w:val="009358B9"/>
    <w:rsid w:val="009358F2"/>
    <w:rsid w:val="00935983"/>
    <w:rsid w:val="00935AD4"/>
    <w:rsid w:val="00935C72"/>
    <w:rsid w:val="00935D48"/>
    <w:rsid w:val="00935F2F"/>
    <w:rsid w:val="00935FD0"/>
    <w:rsid w:val="0093602E"/>
    <w:rsid w:val="009362EA"/>
    <w:rsid w:val="0093630D"/>
    <w:rsid w:val="00936348"/>
    <w:rsid w:val="00936381"/>
    <w:rsid w:val="009364B3"/>
    <w:rsid w:val="009365F7"/>
    <w:rsid w:val="009368BE"/>
    <w:rsid w:val="009368EC"/>
    <w:rsid w:val="0093695B"/>
    <w:rsid w:val="00936A57"/>
    <w:rsid w:val="00936AAA"/>
    <w:rsid w:val="00936B01"/>
    <w:rsid w:val="00936B3E"/>
    <w:rsid w:val="00936BF1"/>
    <w:rsid w:val="00936C78"/>
    <w:rsid w:val="00936CD4"/>
    <w:rsid w:val="00936E90"/>
    <w:rsid w:val="00936F99"/>
    <w:rsid w:val="00937003"/>
    <w:rsid w:val="0093712C"/>
    <w:rsid w:val="0093718B"/>
    <w:rsid w:val="00937276"/>
    <w:rsid w:val="0093727C"/>
    <w:rsid w:val="00937490"/>
    <w:rsid w:val="009374CF"/>
    <w:rsid w:val="00937803"/>
    <w:rsid w:val="00937815"/>
    <w:rsid w:val="00937892"/>
    <w:rsid w:val="00937906"/>
    <w:rsid w:val="0093793D"/>
    <w:rsid w:val="00937E6C"/>
    <w:rsid w:val="00937E86"/>
    <w:rsid w:val="00937F03"/>
    <w:rsid w:val="00937F21"/>
    <w:rsid w:val="0094001F"/>
    <w:rsid w:val="009400EB"/>
    <w:rsid w:val="009402D6"/>
    <w:rsid w:val="00940335"/>
    <w:rsid w:val="009403AE"/>
    <w:rsid w:val="009403BC"/>
    <w:rsid w:val="009403D1"/>
    <w:rsid w:val="0094053C"/>
    <w:rsid w:val="00940549"/>
    <w:rsid w:val="00940558"/>
    <w:rsid w:val="0094058E"/>
    <w:rsid w:val="0094064F"/>
    <w:rsid w:val="009406DD"/>
    <w:rsid w:val="009408D6"/>
    <w:rsid w:val="009408E1"/>
    <w:rsid w:val="009408E9"/>
    <w:rsid w:val="0094095E"/>
    <w:rsid w:val="009409B2"/>
    <w:rsid w:val="00940A68"/>
    <w:rsid w:val="00940B61"/>
    <w:rsid w:val="00940B85"/>
    <w:rsid w:val="00940C3D"/>
    <w:rsid w:val="00940C8A"/>
    <w:rsid w:val="00940CDE"/>
    <w:rsid w:val="00940D43"/>
    <w:rsid w:val="00940D78"/>
    <w:rsid w:val="00940E5D"/>
    <w:rsid w:val="00940EB8"/>
    <w:rsid w:val="00940EE4"/>
    <w:rsid w:val="0094103A"/>
    <w:rsid w:val="00941059"/>
    <w:rsid w:val="00941085"/>
    <w:rsid w:val="009410D0"/>
    <w:rsid w:val="0094113A"/>
    <w:rsid w:val="009411E6"/>
    <w:rsid w:val="009412C7"/>
    <w:rsid w:val="009412F9"/>
    <w:rsid w:val="0094131C"/>
    <w:rsid w:val="009413E3"/>
    <w:rsid w:val="00941456"/>
    <w:rsid w:val="009414E5"/>
    <w:rsid w:val="00941551"/>
    <w:rsid w:val="00941592"/>
    <w:rsid w:val="0094159E"/>
    <w:rsid w:val="009416A1"/>
    <w:rsid w:val="00941727"/>
    <w:rsid w:val="009417F7"/>
    <w:rsid w:val="009418D1"/>
    <w:rsid w:val="00941EB9"/>
    <w:rsid w:val="00941FE1"/>
    <w:rsid w:val="00941FE3"/>
    <w:rsid w:val="009420A5"/>
    <w:rsid w:val="009421D0"/>
    <w:rsid w:val="00942351"/>
    <w:rsid w:val="009424B4"/>
    <w:rsid w:val="0094261C"/>
    <w:rsid w:val="00942653"/>
    <w:rsid w:val="009426ED"/>
    <w:rsid w:val="009427D3"/>
    <w:rsid w:val="009427FC"/>
    <w:rsid w:val="0094283C"/>
    <w:rsid w:val="00942860"/>
    <w:rsid w:val="00942969"/>
    <w:rsid w:val="00942A62"/>
    <w:rsid w:val="00942B16"/>
    <w:rsid w:val="00942BC1"/>
    <w:rsid w:val="00942BDB"/>
    <w:rsid w:val="00942C01"/>
    <w:rsid w:val="00942C1E"/>
    <w:rsid w:val="00942D37"/>
    <w:rsid w:val="00942DE1"/>
    <w:rsid w:val="00942E64"/>
    <w:rsid w:val="00942EEF"/>
    <w:rsid w:val="00942FBD"/>
    <w:rsid w:val="00943035"/>
    <w:rsid w:val="00943219"/>
    <w:rsid w:val="00943231"/>
    <w:rsid w:val="0094323B"/>
    <w:rsid w:val="009432D5"/>
    <w:rsid w:val="0094333D"/>
    <w:rsid w:val="00943386"/>
    <w:rsid w:val="009433A7"/>
    <w:rsid w:val="009434A9"/>
    <w:rsid w:val="009434BE"/>
    <w:rsid w:val="009435C1"/>
    <w:rsid w:val="00943670"/>
    <w:rsid w:val="0094373A"/>
    <w:rsid w:val="0094378A"/>
    <w:rsid w:val="0094380E"/>
    <w:rsid w:val="009438B0"/>
    <w:rsid w:val="00943A56"/>
    <w:rsid w:val="00943BA9"/>
    <w:rsid w:val="00943BD7"/>
    <w:rsid w:val="00943C27"/>
    <w:rsid w:val="00943EDC"/>
    <w:rsid w:val="00943F2F"/>
    <w:rsid w:val="009440EA"/>
    <w:rsid w:val="00944290"/>
    <w:rsid w:val="009443C2"/>
    <w:rsid w:val="009443CD"/>
    <w:rsid w:val="009444B6"/>
    <w:rsid w:val="00944503"/>
    <w:rsid w:val="009446C5"/>
    <w:rsid w:val="009446E7"/>
    <w:rsid w:val="00944710"/>
    <w:rsid w:val="00944775"/>
    <w:rsid w:val="009447C0"/>
    <w:rsid w:val="00944877"/>
    <w:rsid w:val="00944BC0"/>
    <w:rsid w:val="00944C00"/>
    <w:rsid w:val="00944C62"/>
    <w:rsid w:val="00944CA8"/>
    <w:rsid w:val="00944CB0"/>
    <w:rsid w:val="00944E54"/>
    <w:rsid w:val="00944F7B"/>
    <w:rsid w:val="00944F8B"/>
    <w:rsid w:val="00945119"/>
    <w:rsid w:val="009453BC"/>
    <w:rsid w:val="00945420"/>
    <w:rsid w:val="00945434"/>
    <w:rsid w:val="00945524"/>
    <w:rsid w:val="009455F2"/>
    <w:rsid w:val="00945658"/>
    <w:rsid w:val="009456DD"/>
    <w:rsid w:val="009457AB"/>
    <w:rsid w:val="009458AA"/>
    <w:rsid w:val="00945A8C"/>
    <w:rsid w:val="00945A9A"/>
    <w:rsid w:val="00945AFF"/>
    <w:rsid w:val="00945B41"/>
    <w:rsid w:val="00945B83"/>
    <w:rsid w:val="00945BD5"/>
    <w:rsid w:val="00945E06"/>
    <w:rsid w:val="00945E1A"/>
    <w:rsid w:val="00945E25"/>
    <w:rsid w:val="00945E33"/>
    <w:rsid w:val="00945E35"/>
    <w:rsid w:val="00945EB2"/>
    <w:rsid w:val="00945FB7"/>
    <w:rsid w:val="00945FEF"/>
    <w:rsid w:val="0094638C"/>
    <w:rsid w:val="009464E5"/>
    <w:rsid w:val="009465FA"/>
    <w:rsid w:val="009466B7"/>
    <w:rsid w:val="0094670E"/>
    <w:rsid w:val="009467C8"/>
    <w:rsid w:val="009467E7"/>
    <w:rsid w:val="009467F0"/>
    <w:rsid w:val="0094687A"/>
    <w:rsid w:val="009468B7"/>
    <w:rsid w:val="00946A35"/>
    <w:rsid w:val="00946A92"/>
    <w:rsid w:val="00946AE7"/>
    <w:rsid w:val="00946C1B"/>
    <w:rsid w:val="00946C39"/>
    <w:rsid w:val="00946C57"/>
    <w:rsid w:val="00946CBC"/>
    <w:rsid w:val="00946E07"/>
    <w:rsid w:val="00946FB9"/>
    <w:rsid w:val="0094720A"/>
    <w:rsid w:val="00947247"/>
    <w:rsid w:val="00947267"/>
    <w:rsid w:val="009472DD"/>
    <w:rsid w:val="0094739B"/>
    <w:rsid w:val="0094768D"/>
    <w:rsid w:val="009476EB"/>
    <w:rsid w:val="00947869"/>
    <w:rsid w:val="00947948"/>
    <w:rsid w:val="00947976"/>
    <w:rsid w:val="00947991"/>
    <w:rsid w:val="009479FA"/>
    <w:rsid w:val="00947B15"/>
    <w:rsid w:val="00947BD9"/>
    <w:rsid w:val="00947D94"/>
    <w:rsid w:val="00947E02"/>
    <w:rsid w:val="00947E5B"/>
    <w:rsid w:val="00947E94"/>
    <w:rsid w:val="00947EA8"/>
    <w:rsid w:val="00947EB4"/>
    <w:rsid w:val="00947F33"/>
    <w:rsid w:val="00950161"/>
    <w:rsid w:val="00950295"/>
    <w:rsid w:val="009502F9"/>
    <w:rsid w:val="00950327"/>
    <w:rsid w:val="009503F9"/>
    <w:rsid w:val="009504BF"/>
    <w:rsid w:val="00950503"/>
    <w:rsid w:val="00950509"/>
    <w:rsid w:val="009505E0"/>
    <w:rsid w:val="0095062E"/>
    <w:rsid w:val="009506BE"/>
    <w:rsid w:val="009506F6"/>
    <w:rsid w:val="009507A0"/>
    <w:rsid w:val="00950899"/>
    <w:rsid w:val="00950913"/>
    <w:rsid w:val="00950A66"/>
    <w:rsid w:val="00950B1C"/>
    <w:rsid w:val="00950B35"/>
    <w:rsid w:val="00950B8A"/>
    <w:rsid w:val="00950B8D"/>
    <w:rsid w:val="00950BC2"/>
    <w:rsid w:val="00950BC8"/>
    <w:rsid w:val="00950C7E"/>
    <w:rsid w:val="00950D0A"/>
    <w:rsid w:val="00950DC6"/>
    <w:rsid w:val="00950E17"/>
    <w:rsid w:val="00950EF8"/>
    <w:rsid w:val="00950F3B"/>
    <w:rsid w:val="00950F5C"/>
    <w:rsid w:val="00950F85"/>
    <w:rsid w:val="00951112"/>
    <w:rsid w:val="00951169"/>
    <w:rsid w:val="00951204"/>
    <w:rsid w:val="0095135C"/>
    <w:rsid w:val="00951456"/>
    <w:rsid w:val="00951491"/>
    <w:rsid w:val="00951557"/>
    <w:rsid w:val="009515EA"/>
    <w:rsid w:val="009518F7"/>
    <w:rsid w:val="009518FD"/>
    <w:rsid w:val="009519CC"/>
    <w:rsid w:val="00951ACF"/>
    <w:rsid w:val="00951B6A"/>
    <w:rsid w:val="00951B73"/>
    <w:rsid w:val="00951E14"/>
    <w:rsid w:val="00951E9E"/>
    <w:rsid w:val="00951FF0"/>
    <w:rsid w:val="0095208B"/>
    <w:rsid w:val="009520A6"/>
    <w:rsid w:val="00952117"/>
    <w:rsid w:val="009521F5"/>
    <w:rsid w:val="00952348"/>
    <w:rsid w:val="00952415"/>
    <w:rsid w:val="00952419"/>
    <w:rsid w:val="00952449"/>
    <w:rsid w:val="0095260C"/>
    <w:rsid w:val="00952729"/>
    <w:rsid w:val="00952783"/>
    <w:rsid w:val="0095278C"/>
    <w:rsid w:val="00952837"/>
    <w:rsid w:val="0095286B"/>
    <w:rsid w:val="009528B5"/>
    <w:rsid w:val="0095292D"/>
    <w:rsid w:val="00952976"/>
    <w:rsid w:val="009529F5"/>
    <w:rsid w:val="00952A43"/>
    <w:rsid w:val="00952ABC"/>
    <w:rsid w:val="00952B20"/>
    <w:rsid w:val="00952D99"/>
    <w:rsid w:val="00952E59"/>
    <w:rsid w:val="00952FE7"/>
    <w:rsid w:val="00953064"/>
    <w:rsid w:val="00953113"/>
    <w:rsid w:val="0095315A"/>
    <w:rsid w:val="00953247"/>
    <w:rsid w:val="00953367"/>
    <w:rsid w:val="0095337F"/>
    <w:rsid w:val="009534BC"/>
    <w:rsid w:val="00953616"/>
    <w:rsid w:val="0095365C"/>
    <w:rsid w:val="0095368B"/>
    <w:rsid w:val="009536BE"/>
    <w:rsid w:val="009537E3"/>
    <w:rsid w:val="00953880"/>
    <w:rsid w:val="009539A2"/>
    <w:rsid w:val="009539BB"/>
    <w:rsid w:val="009539D4"/>
    <w:rsid w:val="00953A43"/>
    <w:rsid w:val="00953B59"/>
    <w:rsid w:val="00953CB4"/>
    <w:rsid w:val="00953D71"/>
    <w:rsid w:val="00953DBD"/>
    <w:rsid w:val="00953E10"/>
    <w:rsid w:val="00953F80"/>
    <w:rsid w:val="0095406C"/>
    <w:rsid w:val="00954137"/>
    <w:rsid w:val="00954241"/>
    <w:rsid w:val="00954383"/>
    <w:rsid w:val="009543C2"/>
    <w:rsid w:val="00954405"/>
    <w:rsid w:val="0095454E"/>
    <w:rsid w:val="009545B7"/>
    <w:rsid w:val="00954659"/>
    <w:rsid w:val="0095476B"/>
    <w:rsid w:val="009548AD"/>
    <w:rsid w:val="00954944"/>
    <w:rsid w:val="0095499B"/>
    <w:rsid w:val="00954A44"/>
    <w:rsid w:val="00954A51"/>
    <w:rsid w:val="00954BE7"/>
    <w:rsid w:val="00954EB0"/>
    <w:rsid w:val="00954F05"/>
    <w:rsid w:val="00955064"/>
    <w:rsid w:val="0095508C"/>
    <w:rsid w:val="00955092"/>
    <w:rsid w:val="00955110"/>
    <w:rsid w:val="009551B5"/>
    <w:rsid w:val="0095530B"/>
    <w:rsid w:val="009553DD"/>
    <w:rsid w:val="00955436"/>
    <w:rsid w:val="00955580"/>
    <w:rsid w:val="00955599"/>
    <w:rsid w:val="009555E4"/>
    <w:rsid w:val="00955705"/>
    <w:rsid w:val="00955710"/>
    <w:rsid w:val="009557DE"/>
    <w:rsid w:val="0095589D"/>
    <w:rsid w:val="009558E7"/>
    <w:rsid w:val="00955961"/>
    <w:rsid w:val="0095596B"/>
    <w:rsid w:val="00955B54"/>
    <w:rsid w:val="00955CFA"/>
    <w:rsid w:val="00955D3E"/>
    <w:rsid w:val="00955F06"/>
    <w:rsid w:val="00956161"/>
    <w:rsid w:val="009561EC"/>
    <w:rsid w:val="009561F8"/>
    <w:rsid w:val="009562BE"/>
    <w:rsid w:val="00956333"/>
    <w:rsid w:val="009563A6"/>
    <w:rsid w:val="00956506"/>
    <w:rsid w:val="00956521"/>
    <w:rsid w:val="0095653A"/>
    <w:rsid w:val="009565FB"/>
    <w:rsid w:val="0095660B"/>
    <w:rsid w:val="009567A9"/>
    <w:rsid w:val="009568AE"/>
    <w:rsid w:val="00956939"/>
    <w:rsid w:val="0095696D"/>
    <w:rsid w:val="00956A41"/>
    <w:rsid w:val="00956D98"/>
    <w:rsid w:val="00956DC1"/>
    <w:rsid w:val="00956E45"/>
    <w:rsid w:val="00956E82"/>
    <w:rsid w:val="00956FCA"/>
    <w:rsid w:val="009570C4"/>
    <w:rsid w:val="009571B5"/>
    <w:rsid w:val="009571FF"/>
    <w:rsid w:val="00957371"/>
    <w:rsid w:val="0095747B"/>
    <w:rsid w:val="00957732"/>
    <w:rsid w:val="009578EB"/>
    <w:rsid w:val="00957989"/>
    <w:rsid w:val="009579A8"/>
    <w:rsid w:val="00957A40"/>
    <w:rsid w:val="00957B88"/>
    <w:rsid w:val="00957BA8"/>
    <w:rsid w:val="00957BDC"/>
    <w:rsid w:val="00957E24"/>
    <w:rsid w:val="009600E4"/>
    <w:rsid w:val="00960133"/>
    <w:rsid w:val="00960207"/>
    <w:rsid w:val="009603D0"/>
    <w:rsid w:val="009603E8"/>
    <w:rsid w:val="009604C4"/>
    <w:rsid w:val="00960561"/>
    <w:rsid w:val="009605CD"/>
    <w:rsid w:val="0096063C"/>
    <w:rsid w:val="00960721"/>
    <w:rsid w:val="00960733"/>
    <w:rsid w:val="00960991"/>
    <w:rsid w:val="009609EB"/>
    <w:rsid w:val="00960A3B"/>
    <w:rsid w:val="00960B11"/>
    <w:rsid w:val="00960C9F"/>
    <w:rsid w:val="00960DDA"/>
    <w:rsid w:val="00960FB8"/>
    <w:rsid w:val="0096107D"/>
    <w:rsid w:val="009610C0"/>
    <w:rsid w:val="009610D7"/>
    <w:rsid w:val="00961105"/>
    <w:rsid w:val="009612EC"/>
    <w:rsid w:val="009612EE"/>
    <w:rsid w:val="00961319"/>
    <w:rsid w:val="009613B2"/>
    <w:rsid w:val="00961404"/>
    <w:rsid w:val="0096143E"/>
    <w:rsid w:val="00961532"/>
    <w:rsid w:val="009615D2"/>
    <w:rsid w:val="009615E4"/>
    <w:rsid w:val="0096173A"/>
    <w:rsid w:val="009617A2"/>
    <w:rsid w:val="009617C2"/>
    <w:rsid w:val="0096180D"/>
    <w:rsid w:val="00961906"/>
    <w:rsid w:val="00961B7D"/>
    <w:rsid w:val="00961BDD"/>
    <w:rsid w:val="00961C0C"/>
    <w:rsid w:val="00961C8B"/>
    <w:rsid w:val="00961CC6"/>
    <w:rsid w:val="00961DC0"/>
    <w:rsid w:val="0096208F"/>
    <w:rsid w:val="0096215F"/>
    <w:rsid w:val="009621E5"/>
    <w:rsid w:val="00962343"/>
    <w:rsid w:val="00962369"/>
    <w:rsid w:val="009624B9"/>
    <w:rsid w:val="0096253C"/>
    <w:rsid w:val="009625E7"/>
    <w:rsid w:val="00962601"/>
    <w:rsid w:val="009626A7"/>
    <w:rsid w:val="00962842"/>
    <w:rsid w:val="00962A74"/>
    <w:rsid w:val="00962A99"/>
    <w:rsid w:val="00962AA7"/>
    <w:rsid w:val="00962AA9"/>
    <w:rsid w:val="00962CDA"/>
    <w:rsid w:val="00962D2F"/>
    <w:rsid w:val="00962E4A"/>
    <w:rsid w:val="00962F6F"/>
    <w:rsid w:val="00963034"/>
    <w:rsid w:val="00963091"/>
    <w:rsid w:val="00963099"/>
    <w:rsid w:val="0096311F"/>
    <w:rsid w:val="009631AB"/>
    <w:rsid w:val="00963261"/>
    <w:rsid w:val="0096346F"/>
    <w:rsid w:val="00963480"/>
    <w:rsid w:val="009634E3"/>
    <w:rsid w:val="00963606"/>
    <w:rsid w:val="009636BB"/>
    <w:rsid w:val="009636BD"/>
    <w:rsid w:val="009636DA"/>
    <w:rsid w:val="009637BA"/>
    <w:rsid w:val="009638A8"/>
    <w:rsid w:val="009639A5"/>
    <w:rsid w:val="009639CE"/>
    <w:rsid w:val="00963AB2"/>
    <w:rsid w:val="00963B62"/>
    <w:rsid w:val="00963BD0"/>
    <w:rsid w:val="00963C0E"/>
    <w:rsid w:val="00963C16"/>
    <w:rsid w:val="00963CA2"/>
    <w:rsid w:val="00963D7D"/>
    <w:rsid w:val="00963DB6"/>
    <w:rsid w:val="00963DC5"/>
    <w:rsid w:val="00963F07"/>
    <w:rsid w:val="0096403F"/>
    <w:rsid w:val="00964068"/>
    <w:rsid w:val="00964250"/>
    <w:rsid w:val="009643EF"/>
    <w:rsid w:val="00964435"/>
    <w:rsid w:val="00964485"/>
    <w:rsid w:val="0096451B"/>
    <w:rsid w:val="0096465A"/>
    <w:rsid w:val="0096478C"/>
    <w:rsid w:val="009647AA"/>
    <w:rsid w:val="009647D0"/>
    <w:rsid w:val="009647FB"/>
    <w:rsid w:val="0096485C"/>
    <w:rsid w:val="009648AE"/>
    <w:rsid w:val="00964A8F"/>
    <w:rsid w:val="00964AFF"/>
    <w:rsid w:val="00964D83"/>
    <w:rsid w:val="00964D94"/>
    <w:rsid w:val="00964DCD"/>
    <w:rsid w:val="00964E91"/>
    <w:rsid w:val="00964EB1"/>
    <w:rsid w:val="00965053"/>
    <w:rsid w:val="0096513C"/>
    <w:rsid w:val="009652B1"/>
    <w:rsid w:val="009652C9"/>
    <w:rsid w:val="0096535F"/>
    <w:rsid w:val="009653CA"/>
    <w:rsid w:val="009653CC"/>
    <w:rsid w:val="00965416"/>
    <w:rsid w:val="0096549B"/>
    <w:rsid w:val="009654AB"/>
    <w:rsid w:val="00965527"/>
    <w:rsid w:val="00965541"/>
    <w:rsid w:val="00965578"/>
    <w:rsid w:val="00965683"/>
    <w:rsid w:val="00965857"/>
    <w:rsid w:val="0096585D"/>
    <w:rsid w:val="00965864"/>
    <w:rsid w:val="00965870"/>
    <w:rsid w:val="009658A1"/>
    <w:rsid w:val="0096591A"/>
    <w:rsid w:val="00965942"/>
    <w:rsid w:val="00965A03"/>
    <w:rsid w:val="00965ADE"/>
    <w:rsid w:val="00965B5E"/>
    <w:rsid w:val="00965C59"/>
    <w:rsid w:val="00965E1A"/>
    <w:rsid w:val="00965F10"/>
    <w:rsid w:val="00966029"/>
    <w:rsid w:val="009660F0"/>
    <w:rsid w:val="00966279"/>
    <w:rsid w:val="00966423"/>
    <w:rsid w:val="009664B7"/>
    <w:rsid w:val="009667EA"/>
    <w:rsid w:val="00966811"/>
    <w:rsid w:val="0096693F"/>
    <w:rsid w:val="00966A38"/>
    <w:rsid w:val="00966A5D"/>
    <w:rsid w:val="00966B0A"/>
    <w:rsid w:val="00966B8D"/>
    <w:rsid w:val="00966BA6"/>
    <w:rsid w:val="00966C19"/>
    <w:rsid w:val="00966CE6"/>
    <w:rsid w:val="00966E33"/>
    <w:rsid w:val="00966EE8"/>
    <w:rsid w:val="00966F99"/>
    <w:rsid w:val="009670A3"/>
    <w:rsid w:val="00967155"/>
    <w:rsid w:val="0096721A"/>
    <w:rsid w:val="00967494"/>
    <w:rsid w:val="009674B6"/>
    <w:rsid w:val="00967536"/>
    <w:rsid w:val="00967570"/>
    <w:rsid w:val="009676F7"/>
    <w:rsid w:val="00967721"/>
    <w:rsid w:val="0096773B"/>
    <w:rsid w:val="00967746"/>
    <w:rsid w:val="0096775E"/>
    <w:rsid w:val="00967829"/>
    <w:rsid w:val="0096782E"/>
    <w:rsid w:val="0096790C"/>
    <w:rsid w:val="009679BA"/>
    <w:rsid w:val="009679BD"/>
    <w:rsid w:val="009679FE"/>
    <w:rsid w:val="00967A7C"/>
    <w:rsid w:val="00967AAD"/>
    <w:rsid w:val="00967BF4"/>
    <w:rsid w:val="00967DBE"/>
    <w:rsid w:val="00967DC5"/>
    <w:rsid w:val="00967E93"/>
    <w:rsid w:val="00967EF8"/>
    <w:rsid w:val="00970089"/>
    <w:rsid w:val="0097012A"/>
    <w:rsid w:val="00970195"/>
    <w:rsid w:val="009701D0"/>
    <w:rsid w:val="00970230"/>
    <w:rsid w:val="00970340"/>
    <w:rsid w:val="0097034D"/>
    <w:rsid w:val="00970417"/>
    <w:rsid w:val="00970600"/>
    <w:rsid w:val="0097062D"/>
    <w:rsid w:val="00970661"/>
    <w:rsid w:val="009706AD"/>
    <w:rsid w:val="0097070E"/>
    <w:rsid w:val="00970756"/>
    <w:rsid w:val="0097078B"/>
    <w:rsid w:val="00970889"/>
    <w:rsid w:val="0097089E"/>
    <w:rsid w:val="00970935"/>
    <w:rsid w:val="00970B64"/>
    <w:rsid w:val="00970D3F"/>
    <w:rsid w:val="00970DC9"/>
    <w:rsid w:val="00970DE5"/>
    <w:rsid w:val="00970E4C"/>
    <w:rsid w:val="00970EF6"/>
    <w:rsid w:val="00970EF9"/>
    <w:rsid w:val="00970FCC"/>
    <w:rsid w:val="00971067"/>
    <w:rsid w:val="0097113A"/>
    <w:rsid w:val="0097126E"/>
    <w:rsid w:val="00971284"/>
    <w:rsid w:val="009713BF"/>
    <w:rsid w:val="009713D9"/>
    <w:rsid w:val="0097149D"/>
    <w:rsid w:val="009714E6"/>
    <w:rsid w:val="00971614"/>
    <w:rsid w:val="009717D8"/>
    <w:rsid w:val="00971848"/>
    <w:rsid w:val="00971AD1"/>
    <w:rsid w:val="00971B43"/>
    <w:rsid w:val="00971B53"/>
    <w:rsid w:val="00971B78"/>
    <w:rsid w:val="00971D65"/>
    <w:rsid w:val="00971D6E"/>
    <w:rsid w:val="00971DE4"/>
    <w:rsid w:val="00971F52"/>
    <w:rsid w:val="00971FE7"/>
    <w:rsid w:val="00971FFA"/>
    <w:rsid w:val="009720C7"/>
    <w:rsid w:val="00972229"/>
    <w:rsid w:val="009722F8"/>
    <w:rsid w:val="0097230D"/>
    <w:rsid w:val="00972586"/>
    <w:rsid w:val="009726B3"/>
    <w:rsid w:val="009727FE"/>
    <w:rsid w:val="0097287D"/>
    <w:rsid w:val="009728C6"/>
    <w:rsid w:val="009729F3"/>
    <w:rsid w:val="00972FA6"/>
    <w:rsid w:val="00973052"/>
    <w:rsid w:val="0097317A"/>
    <w:rsid w:val="0097321B"/>
    <w:rsid w:val="00973229"/>
    <w:rsid w:val="00973348"/>
    <w:rsid w:val="0097339F"/>
    <w:rsid w:val="00973448"/>
    <w:rsid w:val="009735B5"/>
    <w:rsid w:val="00973787"/>
    <w:rsid w:val="00973818"/>
    <w:rsid w:val="0097393E"/>
    <w:rsid w:val="00973957"/>
    <w:rsid w:val="0097397C"/>
    <w:rsid w:val="00973982"/>
    <w:rsid w:val="0097398C"/>
    <w:rsid w:val="00973A29"/>
    <w:rsid w:val="00973A51"/>
    <w:rsid w:val="00973B21"/>
    <w:rsid w:val="00973BCF"/>
    <w:rsid w:val="00973E65"/>
    <w:rsid w:val="00973F0C"/>
    <w:rsid w:val="00973F90"/>
    <w:rsid w:val="00973FEF"/>
    <w:rsid w:val="00974082"/>
    <w:rsid w:val="00974122"/>
    <w:rsid w:val="009741B8"/>
    <w:rsid w:val="009741B9"/>
    <w:rsid w:val="00974221"/>
    <w:rsid w:val="00974361"/>
    <w:rsid w:val="0097440C"/>
    <w:rsid w:val="00974557"/>
    <w:rsid w:val="00974562"/>
    <w:rsid w:val="009746C7"/>
    <w:rsid w:val="009746CA"/>
    <w:rsid w:val="00974722"/>
    <w:rsid w:val="009748FA"/>
    <w:rsid w:val="009749C2"/>
    <w:rsid w:val="009749CE"/>
    <w:rsid w:val="00974ABD"/>
    <w:rsid w:val="00974B75"/>
    <w:rsid w:val="00974C35"/>
    <w:rsid w:val="00974C85"/>
    <w:rsid w:val="00974E51"/>
    <w:rsid w:val="00974E7C"/>
    <w:rsid w:val="00974EE2"/>
    <w:rsid w:val="00974EE4"/>
    <w:rsid w:val="009750F1"/>
    <w:rsid w:val="009750FB"/>
    <w:rsid w:val="009751C1"/>
    <w:rsid w:val="0097528B"/>
    <w:rsid w:val="00975426"/>
    <w:rsid w:val="0097547B"/>
    <w:rsid w:val="0097548A"/>
    <w:rsid w:val="0097557D"/>
    <w:rsid w:val="00975639"/>
    <w:rsid w:val="00975654"/>
    <w:rsid w:val="0097571E"/>
    <w:rsid w:val="00975727"/>
    <w:rsid w:val="009757AD"/>
    <w:rsid w:val="0097588B"/>
    <w:rsid w:val="00975A64"/>
    <w:rsid w:val="00975BD8"/>
    <w:rsid w:val="00975DFC"/>
    <w:rsid w:val="00975E39"/>
    <w:rsid w:val="00975F86"/>
    <w:rsid w:val="009762D1"/>
    <w:rsid w:val="00976330"/>
    <w:rsid w:val="0097636E"/>
    <w:rsid w:val="00976505"/>
    <w:rsid w:val="0097655D"/>
    <w:rsid w:val="0097662F"/>
    <w:rsid w:val="009766F9"/>
    <w:rsid w:val="009767E2"/>
    <w:rsid w:val="00976826"/>
    <w:rsid w:val="00976837"/>
    <w:rsid w:val="00976876"/>
    <w:rsid w:val="009768B5"/>
    <w:rsid w:val="009768DA"/>
    <w:rsid w:val="00976A5A"/>
    <w:rsid w:val="00976A5E"/>
    <w:rsid w:val="00976A6B"/>
    <w:rsid w:val="00976BF3"/>
    <w:rsid w:val="00976BF5"/>
    <w:rsid w:val="00976C82"/>
    <w:rsid w:val="00976C89"/>
    <w:rsid w:val="00976D00"/>
    <w:rsid w:val="00976DCC"/>
    <w:rsid w:val="00976FA8"/>
    <w:rsid w:val="00977350"/>
    <w:rsid w:val="009773DB"/>
    <w:rsid w:val="00977428"/>
    <w:rsid w:val="0097742C"/>
    <w:rsid w:val="0097750D"/>
    <w:rsid w:val="00977524"/>
    <w:rsid w:val="00977742"/>
    <w:rsid w:val="00977799"/>
    <w:rsid w:val="00977837"/>
    <w:rsid w:val="0097785D"/>
    <w:rsid w:val="009778C1"/>
    <w:rsid w:val="009778F2"/>
    <w:rsid w:val="0097791C"/>
    <w:rsid w:val="0097793C"/>
    <w:rsid w:val="0097794F"/>
    <w:rsid w:val="009779EC"/>
    <w:rsid w:val="00977A18"/>
    <w:rsid w:val="00977AD0"/>
    <w:rsid w:val="00977AE6"/>
    <w:rsid w:val="00977B44"/>
    <w:rsid w:val="00977C11"/>
    <w:rsid w:val="00977C22"/>
    <w:rsid w:val="00977CA7"/>
    <w:rsid w:val="00977DF8"/>
    <w:rsid w:val="00977E7A"/>
    <w:rsid w:val="00977F50"/>
    <w:rsid w:val="009800F8"/>
    <w:rsid w:val="0098027B"/>
    <w:rsid w:val="0098035F"/>
    <w:rsid w:val="00980365"/>
    <w:rsid w:val="0098038F"/>
    <w:rsid w:val="009803E0"/>
    <w:rsid w:val="009804C1"/>
    <w:rsid w:val="00980503"/>
    <w:rsid w:val="0098074C"/>
    <w:rsid w:val="009807E6"/>
    <w:rsid w:val="00980834"/>
    <w:rsid w:val="009808BB"/>
    <w:rsid w:val="009808DF"/>
    <w:rsid w:val="009809A2"/>
    <w:rsid w:val="009809B8"/>
    <w:rsid w:val="00980AC5"/>
    <w:rsid w:val="00980CB6"/>
    <w:rsid w:val="00980D08"/>
    <w:rsid w:val="00980D4D"/>
    <w:rsid w:val="00980D91"/>
    <w:rsid w:val="00980D9E"/>
    <w:rsid w:val="00980EA1"/>
    <w:rsid w:val="00980EB4"/>
    <w:rsid w:val="00980F0F"/>
    <w:rsid w:val="00981088"/>
    <w:rsid w:val="0098112D"/>
    <w:rsid w:val="009811C7"/>
    <w:rsid w:val="009811F9"/>
    <w:rsid w:val="009812AC"/>
    <w:rsid w:val="009813AF"/>
    <w:rsid w:val="009813BC"/>
    <w:rsid w:val="0098142C"/>
    <w:rsid w:val="009814FE"/>
    <w:rsid w:val="00981570"/>
    <w:rsid w:val="009815C8"/>
    <w:rsid w:val="009815CD"/>
    <w:rsid w:val="00981646"/>
    <w:rsid w:val="0098164F"/>
    <w:rsid w:val="0098169D"/>
    <w:rsid w:val="009816A2"/>
    <w:rsid w:val="009816B9"/>
    <w:rsid w:val="009816D5"/>
    <w:rsid w:val="0098179C"/>
    <w:rsid w:val="00981852"/>
    <w:rsid w:val="00981A60"/>
    <w:rsid w:val="00981AC9"/>
    <w:rsid w:val="00981B40"/>
    <w:rsid w:val="00981BAB"/>
    <w:rsid w:val="00981BF6"/>
    <w:rsid w:val="00981C29"/>
    <w:rsid w:val="00981C6D"/>
    <w:rsid w:val="00981CDA"/>
    <w:rsid w:val="00981E38"/>
    <w:rsid w:val="00981E72"/>
    <w:rsid w:val="00981F68"/>
    <w:rsid w:val="0098201F"/>
    <w:rsid w:val="009821FA"/>
    <w:rsid w:val="00982291"/>
    <w:rsid w:val="009822B1"/>
    <w:rsid w:val="009822FA"/>
    <w:rsid w:val="0098234B"/>
    <w:rsid w:val="009823D3"/>
    <w:rsid w:val="00982620"/>
    <w:rsid w:val="0098269E"/>
    <w:rsid w:val="0098271F"/>
    <w:rsid w:val="00982818"/>
    <w:rsid w:val="0098299B"/>
    <w:rsid w:val="009829C0"/>
    <w:rsid w:val="00982A6A"/>
    <w:rsid w:val="00982AA9"/>
    <w:rsid w:val="00982AE9"/>
    <w:rsid w:val="00982B8B"/>
    <w:rsid w:val="00982C15"/>
    <w:rsid w:val="00982D5C"/>
    <w:rsid w:val="00982D63"/>
    <w:rsid w:val="00982E1E"/>
    <w:rsid w:val="00982F96"/>
    <w:rsid w:val="00982F9E"/>
    <w:rsid w:val="00982FDC"/>
    <w:rsid w:val="009830B5"/>
    <w:rsid w:val="0098317D"/>
    <w:rsid w:val="009831B3"/>
    <w:rsid w:val="009831EE"/>
    <w:rsid w:val="0098327E"/>
    <w:rsid w:val="009832ED"/>
    <w:rsid w:val="0098342C"/>
    <w:rsid w:val="009834A9"/>
    <w:rsid w:val="00983556"/>
    <w:rsid w:val="00983655"/>
    <w:rsid w:val="00983748"/>
    <w:rsid w:val="009837CC"/>
    <w:rsid w:val="009837E8"/>
    <w:rsid w:val="0098383E"/>
    <w:rsid w:val="0098386C"/>
    <w:rsid w:val="009838FE"/>
    <w:rsid w:val="0098392C"/>
    <w:rsid w:val="00983946"/>
    <w:rsid w:val="00983992"/>
    <w:rsid w:val="009839A3"/>
    <w:rsid w:val="00983B89"/>
    <w:rsid w:val="00983C89"/>
    <w:rsid w:val="00983D95"/>
    <w:rsid w:val="00983DE4"/>
    <w:rsid w:val="00983E58"/>
    <w:rsid w:val="00983E65"/>
    <w:rsid w:val="00983EB8"/>
    <w:rsid w:val="00983EF8"/>
    <w:rsid w:val="00984062"/>
    <w:rsid w:val="0098414F"/>
    <w:rsid w:val="00984212"/>
    <w:rsid w:val="00984266"/>
    <w:rsid w:val="00984399"/>
    <w:rsid w:val="009843DC"/>
    <w:rsid w:val="00984411"/>
    <w:rsid w:val="0098449F"/>
    <w:rsid w:val="009844AA"/>
    <w:rsid w:val="00984879"/>
    <w:rsid w:val="009848A0"/>
    <w:rsid w:val="00984927"/>
    <w:rsid w:val="00984B77"/>
    <w:rsid w:val="00984BBF"/>
    <w:rsid w:val="00984C11"/>
    <w:rsid w:val="00984C18"/>
    <w:rsid w:val="00984C48"/>
    <w:rsid w:val="00984D42"/>
    <w:rsid w:val="00984F02"/>
    <w:rsid w:val="00984FF6"/>
    <w:rsid w:val="00985034"/>
    <w:rsid w:val="00985104"/>
    <w:rsid w:val="009852EB"/>
    <w:rsid w:val="00985424"/>
    <w:rsid w:val="00985477"/>
    <w:rsid w:val="009854A1"/>
    <w:rsid w:val="00985648"/>
    <w:rsid w:val="00985686"/>
    <w:rsid w:val="009856C5"/>
    <w:rsid w:val="009856EA"/>
    <w:rsid w:val="009856EE"/>
    <w:rsid w:val="00985796"/>
    <w:rsid w:val="009857EE"/>
    <w:rsid w:val="00985882"/>
    <w:rsid w:val="009858B6"/>
    <w:rsid w:val="00985A6A"/>
    <w:rsid w:val="00985A85"/>
    <w:rsid w:val="00985ACF"/>
    <w:rsid w:val="00985B45"/>
    <w:rsid w:val="00985C59"/>
    <w:rsid w:val="00985C6F"/>
    <w:rsid w:val="00985D6A"/>
    <w:rsid w:val="00985DD7"/>
    <w:rsid w:val="00985EE8"/>
    <w:rsid w:val="00985F77"/>
    <w:rsid w:val="00986011"/>
    <w:rsid w:val="00986196"/>
    <w:rsid w:val="009861B4"/>
    <w:rsid w:val="00986232"/>
    <w:rsid w:val="00986288"/>
    <w:rsid w:val="009862DB"/>
    <w:rsid w:val="00986397"/>
    <w:rsid w:val="009864EB"/>
    <w:rsid w:val="009865D6"/>
    <w:rsid w:val="0098686F"/>
    <w:rsid w:val="00986976"/>
    <w:rsid w:val="0098697E"/>
    <w:rsid w:val="009869C2"/>
    <w:rsid w:val="00986A29"/>
    <w:rsid w:val="00986AE1"/>
    <w:rsid w:val="00986B19"/>
    <w:rsid w:val="00986B6C"/>
    <w:rsid w:val="00986C60"/>
    <w:rsid w:val="00986F32"/>
    <w:rsid w:val="00986FC9"/>
    <w:rsid w:val="0098714B"/>
    <w:rsid w:val="009871DA"/>
    <w:rsid w:val="009871E0"/>
    <w:rsid w:val="00987205"/>
    <w:rsid w:val="0098724B"/>
    <w:rsid w:val="00987308"/>
    <w:rsid w:val="0098757C"/>
    <w:rsid w:val="0098765A"/>
    <w:rsid w:val="00987754"/>
    <w:rsid w:val="00987867"/>
    <w:rsid w:val="0098787F"/>
    <w:rsid w:val="009878C4"/>
    <w:rsid w:val="00987935"/>
    <w:rsid w:val="00987991"/>
    <w:rsid w:val="00987AEB"/>
    <w:rsid w:val="00987C1B"/>
    <w:rsid w:val="00987C7B"/>
    <w:rsid w:val="00987CB3"/>
    <w:rsid w:val="00987E3E"/>
    <w:rsid w:val="00987E52"/>
    <w:rsid w:val="00987EA5"/>
    <w:rsid w:val="00987EF0"/>
    <w:rsid w:val="00987F05"/>
    <w:rsid w:val="00987F5B"/>
    <w:rsid w:val="00990089"/>
    <w:rsid w:val="00990192"/>
    <w:rsid w:val="0099028B"/>
    <w:rsid w:val="009904FE"/>
    <w:rsid w:val="00990755"/>
    <w:rsid w:val="00990AB8"/>
    <w:rsid w:val="00990B64"/>
    <w:rsid w:val="00990B6B"/>
    <w:rsid w:val="00990BE1"/>
    <w:rsid w:val="00990C24"/>
    <w:rsid w:val="00990D58"/>
    <w:rsid w:val="00990D5B"/>
    <w:rsid w:val="00990DB8"/>
    <w:rsid w:val="00990E3B"/>
    <w:rsid w:val="00990E91"/>
    <w:rsid w:val="00990EDA"/>
    <w:rsid w:val="00990EF0"/>
    <w:rsid w:val="00991043"/>
    <w:rsid w:val="009910D3"/>
    <w:rsid w:val="00991149"/>
    <w:rsid w:val="0099118E"/>
    <w:rsid w:val="009912B6"/>
    <w:rsid w:val="0099131B"/>
    <w:rsid w:val="009913DD"/>
    <w:rsid w:val="009915B3"/>
    <w:rsid w:val="009915E9"/>
    <w:rsid w:val="009917CB"/>
    <w:rsid w:val="009917D2"/>
    <w:rsid w:val="009918C3"/>
    <w:rsid w:val="00991932"/>
    <w:rsid w:val="00991969"/>
    <w:rsid w:val="009919D1"/>
    <w:rsid w:val="00991DE0"/>
    <w:rsid w:val="00991E6A"/>
    <w:rsid w:val="00991FBD"/>
    <w:rsid w:val="00992022"/>
    <w:rsid w:val="0099224E"/>
    <w:rsid w:val="00992338"/>
    <w:rsid w:val="00992411"/>
    <w:rsid w:val="00992446"/>
    <w:rsid w:val="0099245A"/>
    <w:rsid w:val="009924D3"/>
    <w:rsid w:val="00992546"/>
    <w:rsid w:val="0099254C"/>
    <w:rsid w:val="0099261E"/>
    <w:rsid w:val="00992694"/>
    <w:rsid w:val="00992779"/>
    <w:rsid w:val="009927AC"/>
    <w:rsid w:val="009927F2"/>
    <w:rsid w:val="009928E0"/>
    <w:rsid w:val="00992A90"/>
    <w:rsid w:val="00992B72"/>
    <w:rsid w:val="00992B73"/>
    <w:rsid w:val="00992CE8"/>
    <w:rsid w:val="00992FC7"/>
    <w:rsid w:val="0099301B"/>
    <w:rsid w:val="0099303F"/>
    <w:rsid w:val="00993086"/>
    <w:rsid w:val="009930BC"/>
    <w:rsid w:val="009930C3"/>
    <w:rsid w:val="0099314F"/>
    <w:rsid w:val="009931DA"/>
    <w:rsid w:val="009931E0"/>
    <w:rsid w:val="00993258"/>
    <w:rsid w:val="009932C4"/>
    <w:rsid w:val="009932ED"/>
    <w:rsid w:val="009933A4"/>
    <w:rsid w:val="00993553"/>
    <w:rsid w:val="009936DB"/>
    <w:rsid w:val="00993760"/>
    <w:rsid w:val="00993822"/>
    <w:rsid w:val="0099383E"/>
    <w:rsid w:val="009938BE"/>
    <w:rsid w:val="00993911"/>
    <w:rsid w:val="0099397D"/>
    <w:rsid w:val="009939C7"/>
    <w:rsid w:val="00993A99"/>
    <w:rsid w:val="00993B41"/>
    <w:rsid w:val="00993BD0"/>
    <w:rsid w:val="00993C8B"/>
    <w:rsid w:val="00993D17"/>
    <w:rsid w:val="00993DFB"/>
    <w:rsid w:val="00993F85"/>
    <w:rsid w:val="009940F1"/>
    <w:rsid w:val="0099410A"/>
    <w:rsid w:val="009941A5"/>
    <w:rsid w:val="00994246"/>
    <w:rsid w:val="0099424A"/>
    <w:rsid w:val="009942AE"/>
    <w:rsid w:val="009942CB"/>
    <w:rsid w:val="00994319"/>
    <w:rsid w:val="0099442E"/>
    <w:rsid w:val="0099448F"/>
    <w:rsid w:val="00994499"/>
    <w:rsid w:val="009944A5"/>
    <w:rsid w:val="00994606"/>
    <w:rsid w:val="0099465E"/>
    <w:rsid w:val="0099471E"/>
    <w:rsid w:val="00994763"/>
    <w:rsid w:val="00994766"/>
    <w:rsid w:val="009947E3"/>
    <w:rsid w:val="009947E8"/>
    <w:rsid w:val="009948C1"/>
    <w:rsid w:val="009948E4"/>
    <w:rsid w:val="009948FB"/>
    <w:rsid w:val="00994911"/>
    <w:rsid w:val="00994956"/>
    <w:rsid w:val="00994A5C"/>
    <w:rsid w:val="00994ADC"/>
    <w:rsid w:val="00994B31"/>
    <w:rsid w:val="00994BAF"/>
    <w:rsid w:val="00994C3E"/>
    <w:rsid w:val="00994D0D"/>
    <w:rsid w:val="00994D36"/>
    <w:rsid w:val="00994ED8"/>
    <w:rsid w:val="00994EF9"/>
    <w:rsid w:val="00994EFC"/>
    <w:rsid w:val="009950BC"/>
    <w:rsid w:val="00995147"/>
    <w:rsid w:val="0099534D"/>
    <w:rsid w:val="00995468"/>
    <w:rsid w:val="00995545"/>
    <w:rsid w:val="00995586"/>
    <w:rsid w:val="009956A1"/>
    <w:rsid w:val="00995720"/>
    <w:rsid w:val="00995782"/>
    <w:rsid w:val="0099579E"/>
    <w:rsid w:val="009957AF"/>
    <w:rsid w:val="009957CD"/>
    <w:rsid w:val="00995807"/>
    <w:rsid w:val="00995A82"/>
    <w:rsid w:val="00995B70"/>
    <w:rsid w:val="00995B8E"/>
    <w:rsid w:val="00995BA4"/>
    <w:rsid w:val="00995BB6"/>
    <w:rsid w:val="00995D3A"/>
    <w:rsid w:val="00995D96"/>
    <w:rsid w:val="00995E51"/>
    <w:rsid w:val="00995FDC"/>
    <w:rsid w:val="00996169"/>
    <w:rsid w:val="009961A0"/>
    <w:rsid w:val="0099620C"/>
    <w:rsid w:val="0099635F"/>
    <w:rsid w:val="0099638E"/>
    <w:rsid w:val="009963E1"/>
    <w:rsid w:val="0099646C"/>
    <w:rsid w:val="0099654D"/>
    <w:rsid w:val="00996550"/>
    <w:rsid w:val="0099655F"/>
    <w:rsid w:val="009966A3"/>
    <w:rsid w:val="009966CA"/>
    <w:rsid w:val="0099670F"/>
    <w:rsid w:val="00996985"/>
    <w:rsid w:val="009969EB"/>
    <w:rsid w:val="00996A6E"/>
    <w:rsid w:val="00996BF2"/>
    <w:rsid w:val="00996D47"/>
    <w:rsid w:val="00996D4C"/>
    <w:rsid w:val="00996FC1"/>
    <w:rsid w:val="00997168"/>
    <w:rsid w:val="00997170"/>
    <w:rsid w:val="00997174"/>
    <w:rsid w:val="0099718E"/>
    <w:rsid w:val="009971C2"/>
    <w:rsid w:val="00997249"/>
    <w:rsid w:val="0099732E"/>
    <w:rsid w:val="00997388"/>
    <w:rsid w:val="0099742A"/>
    <w:rsid w:val="009974D6"/>
    <w:rsid w:val="009975FC"/>
    <w:rsid w:val="009976C6"/>
    <w:rsid w:val="009977D8"/>
    <w:rsid w:val="0099784D"/>
    <w:rsid w:val="00997953"/>
    <w:rsid w:val="00997957"/>
    <w:rsid w:val="0099796B"/>
    <w:rsid w:val="009979F9"/>
    <w:rsid w:val="00997D3E"/>
    <w:rsid w:val="00997D75"/>
    <w:rsid w:val="00997F78"/>
    <w:rsid w:val="009A00DA"/>
    <w:rsid w:val="009A011F"/>
    <w:rsid w:val="009A016D"/>
    <w:rsid w:val="009A02DE"/>
    <w:rsid w:val="009A03A0"/>
    <w:rsid w:val="009A03D2"/>
    <w:rsid w:val="009A0408"/>
    <w:rsid w:val="009A04A0"/>
    <w:rsid w:val="009A0520"/>
    <w:rsid w:val="009A05AF"/>
    <w:rsid w:val="009A05CE"/>
    <w:rsid w:val="009A05F2"/>
    <w:rsid w:val="009A061A"/>
    <w:rsid w:val="009A065E"/>
    <w:rsid w:val="009A0697"/>
    <w:rsid w:val="009A06C9"/>
    <w:rsid w:val="009A0935"/>
    <w:rsid w:val="009A09AC"/>
    <w:rsid w:val="009A0AC4"/>
    <w:rsid w:val="009A0B21"/>
    <w:rsid w:val="009A0B39"/>
    <w:rsid w:val="009A0C8C"/>
    <w:rsid w:val="009A0D95"/>
    <w:rsid w:val="009A0DE1"/>
    <w:rsid w:val="009A0DFA"/>
    <w:rsid w:val="009A0E35"/>
    <w:rsid w:val="009A0F24"/>
    <w:rsid w:val="009A1003"/>
    <w:rsid w:val="009A1139"/>
    <w:rsid w:val="009A116C"/>
    <w:rsid w:val="009A11DF"/>
    <w:rsid w:val="009A1243"/>
    <w:rsid w:val="009A12C9"/>
    <w:rsid w:val="009A12F8"/>
    <w:rsid w:val="009A137F"/>
    <w:rsid w:val="009A13B4"/>
    <w:rsid w:val="009A1447"/>
    <w:rsid w:val="009A1454"/>
    <w:rsid w:val="009A162C"/>
    <w:rsid w:val="009A1657"/>
    <w:rsid w:val="009A1676"/>
    <w:rsid w:val="009A1A99"/>
    <w:rsid w:val="009A1AE8"/>
    <w:rsid w:val="009A1AEF"/>
    <w:rsid w:val="009A1B83"/>
    <w:rsid w:val="009A1C08"/>
    <w:rsid w:val="009A1C2B"/>
    <w:rsid w:val="009A1C5C"/>
    <w:rsid w:val="009A1DD5"/>
    <w:rsid w:val="009A1E08"/>
    <w:rsid w:val="009A1EBC"/>
    <w:rsid w:val="009A211F"/>
    <w:rsid w:val="009A2135"/>
    <w:rsid w:val="009A2167"/>
    <w:rsid w:val="009A21A1"/>
    <w:rsid w:val="009A21C3"/>
    <w:rsid w:val="009A23CD"/>
    <w:rsid w:val="009A24B4"/>
    <w:rsid w:val="009A2592"/>
    <w:rsid w:val="009A2627"/>
    <w:rsid w:val="009A26F0"/>
    <w:rsid w:val="009A28AC"/>
    <w:rsid w:val="009A290F"/>
    <w:rsid w:val="009A293E"/>
    <w:rsid w:val="009A2A21"/>
    <w:rsid w:val="009A2A98"/>
    <w:rsid w:val="009A2AF3"/>
    <w:rsid w:val="009A2AFA"/>
    <w:rsid w:val="009A2CBF"/>
    <w:rsid w:val="009A2D38"/>
    <w:rsid w:val="009A2DCD"/>
    <w:rsid w:val="009A2DF2"/>
    <w:rsid w:val="009A2E55"/>
    <w:rsid w:val="009A2F81"/>
    <w:rsid w:val="009A32C2"/>
    <w:rsid w:val="009A3394"/>
    <w:rsid w:val="009A34B8"/>
    <w:rsid w:val="009A34EE"/>
    <w:rsid w:val="009A3572"/>
    <w:rsid w:val="009A35F4"/>
    <w:rsid w:val="009A3694"/>
    <w:rsid w:val="009A36DE"/>
    <w:rsid w:val="009A37CC"/>
    <w:rsid w:val="009A3853"/>
    <w:rsid w:val="009A38C0"/>
    <w:rsid w:val="009A38E4"/>
    <w:rsid w:val="009A38FD"/>
    <w:rsid w:val="009A390B"/>
    <w:rsid w:val="009A392A"/>
    <w:rsid w:val="009A3AA7"/>
    <w:rsid w:val="009A3BC0"/>
    <w:rsid w:val="009A3DEE"/>
    <w:rsid w:val="009A3E53"/>
    <w:rsid w:val="009A3E63"/>
    <w:rsid w:val="009A3F50"/>
    <w:rsid w:val="009A3FC3"/>
    <w:rsid w:val="009A41B4"/>
    <w:rsid w:val="009A4364"/>
    <w:rsid w:val="009A4374"/>
    <w:rsid w:val="009A44F8"/>
    <w:rsid w:val="009A4550"/>
    <w:rsid w:val="009A4627"/>
    <w:rsid w:val="009A479D"/>
    <w:rsid w:val="009A48C9"/>
    <w:rsid w:val="009A495F"/>
    <w:rsid w:val="009A4967"/>
    <w:rsid w:val="009A4A6C"/>
    <w:rsid w:val="009A4B77"/>
    <w:rsid w:val="009A4BC6"/>
    <w:rsid w:val="009A4C3B"/>
    <w:rsid w:val="009A4D2D"/>
    <w:rsid w:val="009A4EC9"/>
    <w:rsid w:val="009A4F64"/>
    <w:rsid w:val="009A4FED"/>
    <w:rsid w:val="009A50AB"/>
    <w:rsid w:val="009A50C7"/>
    <w:rsid w:val="009A50EC"/>
    <w:rsid w:val="009A5111"/>
    <w:rsid w:val="009A5134"/>
    <w:rsid w:val="009A5172"/>
    <w:rsid w:val="009A522D"/>
    <w:rsid w:val="009A529A"/>
    <w:rsid w:val="009A5479"/>
    <w:rsid w:val="009A54A6"/>
    <w:rsid w:val="009A5681"/>
    <w:rsid w:val="009A56EC"/>
    <w:rsid w:val="009A5782"/>
    <w:rsid w:val="009A57AC"/>
    <w:rsid w:val="009A5887"/>
    <w:rsid w:val="009A5980"/>
    <w:rsid w:val="009A5A5E"/>
    <w:rsid w:val="009A5A76"/>
    <w:rsid w:val="009A5A9D"/>
    <w:rsid w:val="009A5AD8"/>
    <w:rsid w:val="009A5AE0"/>
    <w:rsid w:val="009A5BBE"/>
    <w:rsid w:val="009A5CEC"/>
    <w:rsid w:val="009A5D7B"/>
    <w:rsid w:val="009A5E7F"/>
    <w:rsid w:val="009A5F99"/>
    <w:rsid w:val="009A60ED"/>
    <w:rsid w:val="009A614F"/>
    <w:rsid w:val="009A61EC"/>
    <w:rsid w:val="009A622D"/>
    <w:rsid w:val="009A6306"/>
    <w:rsid w:val="009A63C6"/>
    <w:rsid w:val="009A644E"/>
    <w:rsid w:val="009A659B"/>
    <w:rsid w:val="009A66A3"/>
    <w:rsid w:val="009A66B7"/>
    <w:rsid w:val="009A66D2"/>
    <w:rsid w:val="009A66F9"/>
    <w:rsid w:val="009A6818"/>
    <w:rsid w:val="009A683F"/>
    <w:rsid w:val="009A684E"/>
    <w:rsid w:val="009A69C8"/>
    <w:rsid w:val="009A69CB"/>
    <w:rsid w:val="009A6ABC"/>
    <w:rsid w:val="009A6B33"/>
    <w:rsid w:val="009A6B56"/>
    <w:rsid w:val="009A6BE9"/>
    <w:rsid w:val="009A6C46"/>
    <w:rsid w:val="009A6C62"/>
    <w:rsid w:val="009A6CFC"/>
    <w:rsid w:val="009A6E88"/>
    <w:rsid w:val="009A6F6B"/>
    <w:rsid w:val="009A6FCF"/>
    <w:rsid w:val="009A702D"/>
    <w:rsid w:val="009A71C4"/>
    <w:rsid w:val="009A73AE"/>
    <w:rsid w:val="009A7402"/>
    <w:rsid w:val="009A7446"/>
    <w:rsid w:val="009A75DB"/>
    <w:rsid w:val="009A78D4"/>
    <w:rsid w:val="009A794A"/>
    <w:rsid w:val="009A798D"/>
    <w:rsid w:val="009A7AE7"/>
    <w:rsid w:val="009A7AF9"/>
    <w:rsid w:val="009A7B05"/>
    <w:rsid w:val="009A7B26"/>
    <w:rsid w:val="009A7C45"/>
    <w:rsid w:val="009A7C8C"/>
    <w:rsid w:val="009A7C8D"/>
    <w:rsid w:val="009A7DAB"/>
    <w:rsid w:val="009A7E24"/>
    <w:rsid w:val="009A7EBC"/>
    <w:rsid w:val="009A7FFE"/>
    <w:rsid w:val="009B00D9"/>
    <w:rsid w:val="009B019F"/>
    <w:rsid w:val="009B0301"/>
    <w:rsid w:val="009B0339"/>
    <w:rsid w:val="009B038E"/>
    <w:rsid w:val="009B039C"/>
    <w:rsid w:val="009B0473"/>
    <w:rsid w:val="009B047D"/>
    <w:rsid w:val="009B051D"/>
    <w:rsid w:val="009B0618"/>
    <w:rsid w:val="009B06E3"/>
    <w:rsid w:val="009B070F"/>
    <w:rsid w:val="009B0729"/>
    <w:rsid w:val="009B0754"/>
    <w:rsid w:val="009B08CD"/>
    <w:rsid w:val="009B09CA"/>
    <w:rsid w:val="009B0BF5"/>
    <w:rsid w:val="009B0C04"/>
    <w:rsid w:val="009B0CF6"/>
    <w:rsid w:val="009B0D0C"/>
    <w:rsid w:val="009B0DFA"/>
    <w:rsid w:val="009B0E04"/>
    <w:rsid w:val="009B0ECF"/>
    <w:rsid w:val="009B0F2F"/>
    <w:rsid w:val="009B1001"/>
    <w:rsid w:val="009B1101"/>
    <w:rsid w:val="009B117B"/>
    <w:rsid w:val="009B12BD"/>
    <w:rsid w:val="009B12D0"/>
    <w:rsid w:val="009B1363"/>
    <w:rsid w:val="009B15D4"/>
    <w:rsid w:val="009B1682"/>
    <w:rsid w:val="009B181C"/>
    <w:rsid w:val="009B18A6"/>
    <w:rsid w:val="009B18B6"/>
    <w:rsid w:val="009B1945"/>
    <w:rsid w:val="009B1AAA"/>
    <w:rsid w:val="009B1C75"/>
    <w:rsid w:val="009B1CE1"/>
    <w:rsid w:val="009B1DCB"/>
    <w:rsid w:val="009B1EB1"/>
    <w:rsid w:val="009B1F1D"/>
    <w:rsid w:val="009B1FC2"/>
    <w:rsid w:val="009B20A2"/>
    <w:rsid w:val="009B22DA"/>
    <w:rsid w:val="009B2346"/>
    <w:rsid w:val="009B2373"/>
    <w:rsid w:val="009B23B5"/>
    <w:rsid w:val="009B23B6"/>
    <w:rsid w:val="009B2460"/>
    <w:rsid w:val="009B26A4"/>
    <w:rsid w:val="009B26ED"/>
    <w:rsid w:val="009B2744"/>
    <w:rsid w:val="009B2752"/>
    <w:rsid w:val="009B28C4"/>
    <w:rsid w:val="009B292B"/>
    <w:rsid w:val="009B2AA4"/>
    <w:rsid w:val="009B2AD5"/>
    <w:rsid w:val="009B2B9A"/>
    <w:rsid w:val="009B2C68"/>
    <w:rsid w:val="009B2CBB"/>
    <w:rsid w:val="009B2D3B"/>
    <w:rsid w:val="009B2D58"/>
    <w:rsid w:val="009B2D92"/>
    <w:rsid w:val="009B2F61"/>
    <w:rsid w:val="009B3001"/>
    <w:rsid w:val="009B303A"/>
    <w:rsid w:val="009B306A"/>
    <w:rsid w:val="009B3121"/>
    <w:rsid w:val="009B327C"/>
    <w:rsid w:val="009B32F7"/>
    <w:rsid w:val="009B3382"/>
    <w:rsid w:val="009B33EE"/>
    <w:rsid w:val="009B34E2"/>
    <w:rsid w:val="009B3577"/>
    <w:rsid w:val="009B368C"/>
    <w:rsid w:val="009B38CB"/>
    <w:rsid w:val="009B38E1"/>
    <w:rsid w:val="009B39D5"/>
    <w:rsid w:val="009B3B11"/>
    <w:rsid w:val="009B3B48"/>
    <w:rsid w:val="009B3BDA"/>
    <w:rsid w:val="009B3BE0"/>
    <w:rsid w:val="009B3C64"/>
    <w:rsid w:val="009B3CC2"/>
    <w:rsid w:val="009B3EB9"/>
    <w:rsid w:val="009B403A"/>
    <w:rsid w:val="009B4073"/>
    <w:rsid w:val="009B414F"/>
    <w:rsid w:val="009B4198"/>
    <w:rsid w:val="009B41E9"/>
    <w:rsid w:val="009B42C8"/>
    <w:rsid w:val="009B4369"/>
    <w:rsid w:val="009B43A6"/>
    <w:rsid w:val="009B43AB"/>
    <w:rsid w:val="009B454E"/>
    <w:rsid w:val="009B4623"/>
    <w:rsid w:val="009B4673"/>
    <w:rsid w:val="009B476C"/>
    <w:rsid w:val="009B47A6"/>
    <w:rsid w:val="009B4928"/>
    <w:rsid w:val="009B4A0C"/>
    <w:rsid w:val="009B4A68"/>
    <w:rsid w:val="009B4B48"/>
    <w:rsid w:val="009B4B81"/>
    <w:rsid w:val="009B4C9B"/>
    <w:rsid w:val="009B4DD6"/>
    <w:rsid w:val="009B4DE4"/>
    <w:rsid w:val="009B5022"/>
    <w:rsid w:val="009B5089"/>
    <w:rsid w:val="009B5110"/>
    <w:rsid w:val="009B5190"/>
    <w:rsid w:val="009B51EB"/>
    <w:rsid w:val="009B520B"/>
    <w:rsid w:val="009B5361"/>
    <w:rsid w:val="009B55BF"/>
    <w:rsid w:val="009B55F7"/>
    <w:rsid w:val="009B567B"/>
    <w:rsid w:val="009B568A"/>
    <w:rsid w:val="009B56B4"/>
    <w:rsid w:val="009B579B"/>
    <w:rsid w:val="009B579D"/>
    <w:rsid w:val="009B57E0"/>
    <w:rsid w:val="009B583A"/>
    <w:rsid w:val="009B5890"/>
    <w:rsid w:val="009B58C5"/>
    <w:rsid w:val="009B58E5"/>
    <w:rsid w:val="009B5986"/>
    <w:rsid w:val="009B59AC"/>
    <w:rsid w:val="009B59B4"/>
    <w:rsid w:val="009B59BC"/>
    <w:rsid w:val="009B5A01"/>
    <w:rsid w:val="009B5B81"/>
    <w:rsid w:val="009B5C0D"/>
    <w:rsid w:val="009B5C0F"/>
    <w:rsid w:val="009B5CDB"/>
    <w:rsid w:val="009B5F6C"/>
    <w:rsid w:val="009B5F91"/>
    <w:rsid w:val="009B5FE8"/>
    <w:rsid w:val="009B601F"/>
    <w:rsid w:val="009B608B"/>
    <w:rsid w:val="009B60A6"/>
    <w:rsid w:val="009B60C5"/>
    <w:rsid w:val="009B6170"/>
    <w:rsid w:val="009B61D2"/>
    <w:rsid w:val="009B622F"/>
    <w:rsid w:val="009B62E9"/>
    <w:rsid w:val="009B62F8"/>
    <w:rsid w:val="009B63C3"/>
    <w:rsid w:val="009B6462"/>
    <w:rsid w:val="009B6496"/>
    <w:rsid w:val="009B6498"/>
    <w:rsid w:val="009B651B"/>
    <w:rsid w:val="009B6619"/>
    <w:rsid w:val="009B66C5"/>
    <w:rsid w:val="009B66E4"/>
    <w:rsid w:val="009B6793"/>
    <w:rsid w:val="009B67DF"/>
    <w:rsid w:val="009B687E"/>
    <w:rsid w:val="009B6A60"/>
    <w:rsid w:val="009B6AA9"/>
    <w:rsid w:val="009B6B86"/>
    <w:rsid w:val="009B6C3D"/>
    <w:rsid w:val="009B7048"/>
    <w:rsid w:val="009B714A"/>
    <w:rsid w:val="009B7173"/>
    <w:rsid w:val="009B71E4"/>
    <w:rsid w:val="009B72F0"/>
    <w:rsid w:val="009B7610"/>
    <w:rsid w:val="009B7631"/>
    <w:rsid w:val="009B76B0"/>
    <w:rsid w:val="009B76C5"/>
    <w:rsid w:val="009B77DF"/>
    <w:rsid w:val="009B7895"/>
    <w:rsid w:val="009B7992"/>
    <w:rsid w:val="009B79CE"/>
    <w:rsid w:val="009B7A3B"/>
    <w:rsid w:val="009B7A66"/>
    <w:rsid w:val="009B7AC5"/>
    <w:rsid w:val="009B7B51"/>
    <w:rsid w:val="009B7CD6"/>
    <w:rsid w:val="009B7CEE"/>
    <w:rsid w:val="009B7CFA"/>
    <w:rsid w:val="009B7D80"/>
    <w:rsid w:val="009C0001"/>
    <w:rsid w:val="009C0036"/>
    <w:rsid w:val="009C01DA"/>
    <w:rsid w:val="009C01EC"/>
    <w:rsid w:val="009C0221"/>
    <w:rsid w:val="009C0292"/>
    <w:rsid w:val="009C0300"/>
    <w:rsid w:val="009C03A1"/>
    <w:rsid w:val="009C040F"/>
    <w:rsid w:val="009C046F"/>
    <w:rsid w:val="009C0487"/>
    <w:rsid w:val="009C0488"/>
    <w:rsid w:val="009C04A3"/>
    <w:rsid w:val="009C0620"/>
    <w:rsid w:val="009C065B"/>
    <w:rsid w:val="009C06E5"/>
    <w:rsid w:val="009C073E"/>
    <w:rsid w:val="009C076A"/>
    <w:rsid w:val="009C08A6"/>
    <w:rsid w:val="009C099F"/>
    <w:rsid w:val="009C0B1F"/>
    <w:rsid w:val="009C0B4D"/>
    <w:rsid w:val="009C0CED"/>
    <w:rsid w:val="009C0DC5"/>
    <w:rsid w:val="009C0DD2"/>
    <w:rsid w:val="009C0E1D"/>
    <w:rsid w:val="009C0E3A"/>
    <w:rsid w:val="009C0F72"/>
    <w:rsid w:val="009C1089"/>
    <w:rsid w:val="009C10C5"/>
    <w:rsid w:val="009C1149"/>
    <w:rsid w:val="009C1187"/>
    <w:rsid w:val="009C1193"/>
    <w:rsid w:val="009C122D"/>
    <w:rsid w:val="009C13A6"/>
    <w:rsid w:val="009C13A7"/>
    <w:rsid w:val="009C15AD"/>
    <w:rsid w:val="009C163F"/>
    <w:rsid w:val="009C16C9"/>
    <w:rsid w:val="009C1821"/>
    <w:rsid w:val="009C1848"/>
    <w:rsid w:val="009C1907"/>
    <w:rsid w:val="009C19B7"/>
    <w:rsid w:val="009C1A36"/>
    <w:rsid w:val="009C1B74"/>
    <w:rsid w:val="009C1E13"/>
    <w:rsid w:val="009C249F"/>
    <w:rsid w:val="009C24D1"/>
    <w:rsid w:val="009C2516"/>
    <w:rsid w:val="009C254E"/>
    <w:rsid w:val="009C26AB"/>
    <w:rsid w:val="009C27C4"/>
    <w:rsid w:val="009C27C6"/>
    <w:rsid w:val="009C2811"/>
    <w:rsid w:val="009C28CE"/>
    <w:rsid w:val="009C2A76"/>
    <w:rsid w:val="009C2AF4"/>
    <w:rsid w:val="009C2B75"/>
    <w:rsid w:val="009C2F15"/>
    <w:rsid w:val="009C2F7D"/>
    <w:rsid w:val="009C304F"/>
    <w:rsid w:val="009C305E"/>
    <w:rsid w:val="009C3086"/>
    <w:rsid w:val="009C3192"/>
    <w:rsid w:val="009C320E"/>
    <w:rsid w:val="009C3232"/>
    <w:rsid w:val="009C33F3"/>
    <w:rsid w:val="009C34B8"/>
    <w:rsid w:val="009C365E"/>
    <w:rsid w:val="009C3690"/>
    <w:rsid w:val="009C3990"/>
    <w:rsid w:val="009C39ED"/>
    <w:rsid w:val="009C3A17"/>
    <w:rsid w:val="009C3A6F"/>
    <w:rsid w:val="009C3A80"/>
    <w:rsid w:val="009C3A91"/>
    <w:rsid w:val="009C3D02"/>
    <w:rsid w:val="009C3DA4"/>
    <w:rsid w:val="009C3DB8"/>
    <w:rsid w:val="009C3DCF"/>
    <w:rsid w:val="009C3DF7"/>
    <w:rsid w:val="009C3EA4"/>
    <w:rsid w:val="009C3F5D"/>
    <w:rsid w:val="009C401A"/>
    <w:rsid w:val="009C4027"/>
    <w:rsid w:val="009C4066"/>
    <w:rsid w:val="009C4249"/>
    <w:rsid w:val="009C446E"/>
    <w:rsid w:val="009C44BA"/>
    <w:rsid w:val="009C4613"/>
    <w:rsid w:val="009C4704"/>
    <w:rsid w:val="009C4710"/>
    <w:rsid w:val="009C47FE"/>
    <w:rsid w:val="009C4920"/>
    <w:rsid w:val="009C49B6"/>
    <w:rsid w:val="009C4A42"/>
    <w:rsid w:val="009C4B45"/>
    <w:rsid w:val="009C4B74"/>
    <w:rsid w:val="009C4C02"/>
    <w:rsid w:val="009C4CFE"/>
    <w:rsid w:val="009C4E8D"/>
    <w:rsid w:val="009C4EE1"/>
    <w:rsid w:val="009C4F16"/>
    <w:rsid w:val="009C4FC1"/>
    <w:rsid w:val="009C5065"/>
    <w:rsid w:val="009C50E9"/>
    <w:rsid w:val="009C5140"/>
    <w:rsid w:val="009C51EB"/>
    <w:rsid w:val="009C530B"/>
    <w:rsid w:val="009C53E5"/>
    <w:rsid w:val="009C5511"/>
    <w:rsid w:val="009C5557"/>
    <w:rsid w:val="009C55DE"/>
    <w:rsid w:val="009C5661"/>
    <w:rsid w:val="009C56B7"/>
    <w:rsid w:val="009C56EB"/>
    <w:rsid w:val="009C57A6"/>
    <w:rsid w:val="009C5A07"/>
    <w:rsid w:val="009C5A64"/>
    <w:rsid w:val="009C5AC8"/>
    <w:rsid w:val="009C5C48"/>
    <w:rsid w:val="009C5C7B"/>
    <w:rsid w:val="009C5DA9"/>
    <w:rsid w:val="009C5DE5"/>
    <w:rsid w:val="009C5E01"/>
    <w:rsid w:val="009C5E74"/>
    <w:rsid w:val="009C5EA3"/>
    <w:rsid w:val="009C5FDD"/>
    <w:rsid w:val="009C6034"/>
    <w:rsid w:val="009C60D2"/>
    <w:rsid w:val="009C6134"/>
    <w:rsid w:val="009C6189"/>
    <w:rsid w:val="009C6517"/>
    <w:rsid w:val="009C6573"/>
    <w:rsid w:val="009C67A9"/>
    <w:rsid w:val="009C67D3"/>
    <w:rsid w:val="009C6814"/>
    <w:rsid w:val="009C685C"/>
    <w:rsid w:val="009C6936"/>
    <w:rsid w:val="009C6984"/>
    <w:rsid w:val="009C69DD"/>
    <w:rsid w:val="009C6A47"/>
    <w:rsid w:val="009C6B4B"/>
    <w:rsid w:val="009C6B9F"/>
    <w:rsid w:val="009C6C5A"/>
    <w:rsid w:val="009C6D1D"/>
    <w:rsid w:val="009C6D96"/>
    <w:rsid w:val="009C6DA3"/>
    <w:rsid w:val="009C6DBA"/>
    <w:rsid w:val="009C6FF7"/>
    <w:rsid w:val="009C7117"/>
    <w:rsid w:val="009C724C"/>
    <w:rsid w:val="009C7302"/>
    <w:rsid w:val="009C731A"/>
    <w:rsid w:val="009C7362"/>
    <w:rsid w:val="009C73B8"/>
    <w:rsid w:val="009C73FD"/>
    <w:rsid w:val="009C74A5"/>
    <w:rsid w:val="009C74FE"/>
    <w:rsid w:val="009C7613"/>
    <w:rsid w:val="009C76A5"/>
    <w:rsid w:val="009C78CD"/>
    <w:rsid w:val="009C79C2"/>
    <w:rsid w:val="009C7B74"/>
    <w:rsid w:val="009C7CC4"/>
    <w:rsid w:val="009C7D36"/>
    <w:rsid w:val="009C7E6A"/>
    <w:rsid w:val="009C7F82"/>
    <w:rsid w:val="009D0018"/>
    <w:rsid w:val="009D00F5"/>
    <w:rsid w:val="009D02FE"/>
    <w:rsid w:val="009D0666"/>
    <w:rsid w:val="009D07AF"/>
    <w:rsid w:val="009D0807"/>
    <w:rsid w:val="009D0A07"/>
    <w:rsid w:val="009D0A19"/>
    <w:rsid w:val="009D0B41"/>
    <w:rsid w:val="009D0D06"/>
    <w:rsid w:val="009D0D19"/>
    <w:rsid w:val="009D0D7F"/>
    <w:rsid w:val="009D0DF3"/>
    <w:rsid w:val="009D0E56"/>
    <w:rsid w:val="009D0F68"/>
    <w:rsid w:val="009D0F71"/>
    <w:rsid w:val="009D0FC2"/>
    <w:rsid w:val="009D104B"/>
    <w:rsid w:val="009D10DF"/>
    <w:rsid w:val="009D112C"/>
    <w:rsid w:val="009D1155"/>
    <w:rsid w:val="009D120A"/>
    <w:rsid w:val="009D1284"/>
    <w:rsid w:val="009D12B0"/>
    <w:rsid w:val="009D143D"/>
    <w:rsid w:val="009D1455"/>
    <w:rsid w:val="009D149E"/>
    <w:rsid w:val="009D14DF"/>
    <w:rsid w:val="009D159F"/>
    <w:rsid w:val="009D15B5"/>
    <w:rsid w:val="009D15F1"/>
    <w:rsid w:val="009D162B"/>
    <w:rsid w:val="009D16A4"/>
    <w:rsid w:val="009D16A5"/>
    <w:rsid w:val="009D16FA"/>
    <w:rsid w:val="009D1714"/>
    <w:rsid w:val="009D1A15"/>
    <w:rsid w:val="009D1A65"/>
    <w:rsid w:val="009D1BA8"/>
    <w:rsid w:val="009D1BDB"/>
    <w:rsid w:val="009D1C2C"/>
    <w:rsid w:val="009D1C3F"/>
    <w:rsid w:val="009D1C90"/>
    <w:rsid w:val="009D1D28"/>
    <w:rsid w:val="009D1D45"/>
    <w:rsid w:val="009D1E96"/>
    <w:rsid w:val="009D1EC8"/>
    <w:rsid w:val="009D1F90"/>
    <w:rsid w:val="009D204B"/>
    <w:rsid w:val="009D2213"/>
    <w:rsid w:val="009D224B"/>
    <w:rsid w:val="009D2362"/>
    <w:rsid w:val="009D23B6"/>
    <w:rsid w:val="009D2486"/>
    <w:rsid w:val="009D25CB"/>
    <w:rsid w:val="009D2615"/>
    <w:rsid w:val="009D28B9"/>
    <w:rsid w:val="009D28EB"/>
    <w:rsid w:val="009D29B3"/>
    <w:rsid w:val="009D2AD0"/>
    <w:rsid w:val="009D2BB9"/>
    <w:rsid w:val="009D2D14"/>
    <w:rsid w:val="009D2D16"/>
    <w:rsid w:val="009D2DAF"/>
    <w:rsid w:val="009D2F10"/>
    <w:rsid w:val="009D3006"/>
    <w:rsid w:val="009D3055"/>
    <w:rsid w:val="009D30DC"/>
    <w:rsid w:val="009D30E7"/>
    <w:rsid w:val="009D316F"/>
    <w:rsid w:val="009D3211"/>
    <w:rsid w:val="009D3296"/>
    <w:rsid w:val="009D32A6"/>
    <w:rsid w:val="009D332A"/>
    <w:rsid w:val="009D332D"/>
    <w:rsid w:val="009D338E"/>
    <w:rsid w:val="009D339F"/>
    <w:rsid w:val="009D33A8"/>
    <w:rsid w:val="009D3663"/>
    <w:rsid w:val="009D36F7"/>
    <w:rsid w:val="009D373C"/>
    <w:rsid w:val="009D375D"/>
    <w:rsid w:val="009D39D7"/>
    <w:rsid w:val="009D3A88"/>
    <w:rsid w:val="009D3C89"/>
    <w:rsid w:val="009D3D13"/>
    <w:rsid w:val="009D3DA4"/>
    <w:rsid w:val="009D3DBB"/>
    <w:rsid w:val="009D3E2E"/>
    <w:rsid w:val="009D3E60"/>
    <w:rsid w:val="009D3EB0"/>
    <w:rsid w:val="009D3ED8"/>
    <w:rsid w:val="009D3F22"/>
    <w:rsid w:val="009D3F30"/>
    <w:rsid w:val="009D3F7D"/>
    <w:rsid w:val="009D3F9B"/>
    <w:rsid w:val="009D41E8"/>
    <w:rsid w:val="009D4235"/>
    <w:rsid w:val="009D42AD"/>
    <w:rsid w:val="009D42D7"/>
    <w:rsid w:val="009D435E"/>
    <w:rsid w:val="009D4370"/>
    <w:rsid w:val="009D4603"/>
    <w:rsid w:val="009D4612"/>
    <w:rsid w:val="009D46A4"/>
    <w:rsid w:val="009D46CC"/>
    <w:rsid w:val="009D46D8"/>
    <w:rsid w:val="009D475A"/>
    <w:rsid w:val="009D479B"/>
    <w:rsid w:val="009D481C"/>
    <w:rsid w:val="009D487F"/>
    <w:rsid w:val="009D48C6"/>
    <w:rsid w:val="009D4A2A"/>
    <w:rsid w:val="009D4A56"/>
    <w:rsid w:val="009D4A92"/>
    <w:rsid w:val="009D4C69"/>
    <w:rsid w:val="009D4CAD"/>
    <w:rsid w:val="009D4CB7"/>
    <w:rsid w:val="009D4CCF"/>
    <w:rsid w:val="009D4CF2"/>
    <w:rsid w:val="009D4D2F"/>
    <w:rsid w:val="009D4D47"/>
    <w:rsid w:val="009D4E36"/>
    <w:rsid w:val="009D4EAC"/>
    <w:rsid w:val="009D4EE1"/>
    <w:rsid w:val="009D4F0C"/>
    <w:rsid w:val="009D4FED"/>
    <w:rsid w:val="009D5063"/>
    <w:rsid w:val="009D5076"/>
    <w:rsid w:val="009D5087"/>
    <w:rsid w:val="009D51D6"/>
    <w:rsid w:val="009D5225"/>
    <w:rsid w:val="009D52D8"/>
    <w:rsid w:val="009D52F7"/>
    <w:rsid w:val="009D530E"/>
    <w:rsid w:val="009D5434"/>
    <w:rsid w:val="009D5477"/>
    <w:rsid w:val="009D554A"/>
    <w:rsid w:val="009D568B"/>
    <w:rsid w:val="009D56EB"/>
    <w:rsid w:val="009D572E"/>
    <w:rsid w:val="009D57BF"/>
    <w:rsid w:val="009D57D5"/>
    <w:rsid w:val="009D582C"/>
    <w:rsid w:val="009D5954"/>
    <w:rsid w:val="009D5A0E"/>
    <w:rsid w:val="009D5A6B"/>
    <w:rsid w:val="009D5B83"/>
    <w:rsid w:val="009D5C38"/>
    <w:rsid w:val="009D5CD1"/>
    <w:rsid w:val="009D6030"/>
    <w:rsid w:val="009D60BE"/>
    <w:rsid w:val="009D61D0"/>
    <w:rsid w:val="009D62DE"/>
    <w:rsid w:val="009D63D7"/>
    <w:rsid w:val="009D6405"/>
    <w:rsid w:val="009D646E"/>
    <w:rsid w:val="009D64AF"/>
    <w:rsid w:val="009D64E5"/>
    <w:rsid w:val="009D672B"/>
    <w:rsid w:val="009D6739"/>
    <w:rsid w:val="009D677E"/>
    <w:rsid w:val="009D6887"/>
    <w:rsid w:val="009D68E1"/>
    <w:rsid w:val="009D69E6"/>
    <w:rsid w:val="009D6BA6"/>
    <w:rsid w:val="009D6DDB"/>
    <w:rsid w:val="009D6DEE"/>
    <w:rsid w:val="009D6E1C"/>
    <w:rsid w:val="009D7084"/>
    <w:rsid w:val="009D74E0"/>
    <w:rsid w:val="009D7563"/>
    <w:rsid w:val="009D75F2"/>
    <w:rsid w:val="009D76BE"/>
    <w:rsid w:val="009D778F"/>
    <w:rsid w:val="009D77D5"/>
    <w:rsid w:val="009D77D6"/>
    <w:rsid w:val="009D7830"/>
    <w:rsid w:val="009D78A7"/>
    <w:rsid w:val="009D78FC"/>
    <w:rsid w:val="009D7B10"/>
    <w:rsid w:val="009D7C90"/>
    <w:rsid w:val="009D7C97"/>
    <w:rsid w:val="009D7E68"/>
    <w:rsid w:val="009D7EFC"/>
    <w:rsid w:val="009D7EFE"/>
    <w:rsid w:val="009D7FD4"/>
    <w:rsid w:val="009D9392"/>
    <w:rsid w:val="009E0081"/>
    <w:rsid w:val="009E0122"/>
    <w:rsid w:val="009E01CC"/>
    <w:rsid w:val="009E021B"/>
    <w:rsid w:val="009E0465"/>
    <w:rsid w:val="009E0500"/>
    <w:rsid w:val="009E06DB"/>
    <w:rsid w:val="009E0AD3"/>
    <w:rsid w:val="009E0CAC"/>
    <w:rsid w:val="009E0DEA"/>
    <w:rsid w:val="009E0DEF"/>
    <w:rsid w:val="009E0E90"/>
    <w:rsid w:val="009E0F50"/>
    <w:rsid w:val="009E1166"/>
    <w:rsid w:val="009E117D"/>
    <w:rsid w:val="009E11D6"/>
    <w:rsid w:val="009E11F5"/>
    <w:rsid w:val="009E122C"/>
    <w:rsid w:val="009E129B"/>
    <w:rsid w:val="009E12CF"/>
    <w:rsid w:val="009E1317"/>
    <w:rsid w:val="009E1377"/>
    <w:rsid w:val="009E13B4"/>
    <w:rsid w:val="009E14CC"/>
    <w:rsid w:val="009E15BD"/>
    <w:rsid w:val="009E17A9"/>
    <w:rsid w:val="009E17C3"/>
    <w:rsid w:val="009E17EB"/>
    <w:rsid w:val="009E1895"/>
    <w:rsid w:val="009E1983"/>
    <w:rsid w:val="009E1A45"/>
    <w:rsid w:val="009E1A76"/>
    <w:rsid w:val="009E1B5A"/>
    <w:rsid w:val="009E1B6C"/>
    <w:rsid w:val="009E1B74"/>
    <w:rsid w:val="009E1C3D"/>
    <w:rsid w:val="009E1D76"/>
    <w:rsid w:val="009E1ED0"/>
    <w:rsid w:val="009E1F0B"/>
    <w:rsid w:val="009E1FFE"/>
    <w:rsid w:val="009E201C"/>
    <w:rsid w:val="009E203F"/>
    <w:rsid w:val="009E2049"/>
    <w:rsid w:val="009E207F"/>
    <w:rsid w:val="009E20BC"/>
    <w:rsid w:val="009E2168"/>
    <w:rsid w:val="009E21E6"/>
    <w:rsid w:val="009E2211"/>
    <w:rsid w:val="009E22EB"/>
    <w:rsid w:val="009E2522"/>
    <w:rsid w:val="009E2536"/>
    <w:rsid w:val="009E2572"/>
    <w:rsid w:val="009E263A"/>
    <w:rsid w:val="009E26CF"/>
    <w:rsid w:val="009E2789"/>
    <w:rsid w:val="009E284B"/>
    <w:rsid w:val="009E2874"/>
    <w:rsid w:val="009E2A37"/>
    <w:rsid w:val="009E2AF2"/>
    <w:rsid w:val="009E2BD7"/>
    <w:rsid w:val="009E2C2D"/>
    <w:rsid w:val="009E2D15"/>
    <w:rsid w:val="009E2DBE"/>
    <w:rsid w:val="009E2EF1"/>
    <w:rsid w:val="009E2FDA"/>
    <w:rsid w:val="009E3037"/>
    <w:rsid w:val="009E30BD"/>
    <w:rsid w:val="009E3186"/>
    <w:rsid w:val="009E31E4"/>
    <w:rsid w:val="009E3270"/>
    <w:rsid w:val="009E33A7"/>
    <w:rsid w:val="009E34AE"/>
    <w:rsid w:val="009E35D2"/>
    <w:rsid w:val="009E3700"/>
    <w:rsid w:val="009E378C"/>
    <w:rsid w:val="009E3906"/>
    <w:rsid w:val="009E390F"/>
    <w:rsid w:val="009E3942"/>
    <w:rsid w:val="009E39AA"/>
    <w:rsid w:val="009E3A1E"/>
    <w:rsid w:val="009E3AB3"/>
    <w:rsid w:val="009E3B38"/>
    <w:rsid w:val="009E3B42"/>
    <w:rsid w:val="009E3CCE"/>
    <w:rsid w:val="009E3E4B"/>
    <w:rsid w:val="009E3E8E"/>
    <w:rsid w:val="009E3F1A"/>
    <w:rsid w:val="009E3F54"/>
    <w:rsid w:val="009E40B8"/>
    <w:rsid w:val="009E4134"/>
    <w:rsid w:val="009E413A"/>
    <w:rsid w:val="009E42FE"/>
    <w:rsid w:val="009E43B0"/>
    <w:rsid w:val="009E43B3"/>
    <w:rsid w:val="009E43E8"/>
    <w:rsid w:val="009E44C4"/>
    <w:rsid w:val="009E45A8"/>
    <w:rsid w:val="009E45D9"/>
    <w:rsid w:val="009E4681"/>
    <w:rsid w:val="009E46D3"/>
    <w:rsid w:val="009E471A"/>
    <w:rsid w:val="009E4728"/>
    <w:rsid w:val="009E4772"/>
    <w:rsid w:val="009E4787"/>
    <w:rsid w:val="009E47C3"/>
    <w:rsid w:val="009E4827"/>
    <w:rsid w:val="009E48F0"/>
    <w:rsid w:val="009E498E"/>
    <w:rsid w:val="009E49EC"/>
    <w:rsid w:val="009E4AB7"/>
    <w:rsid w:val="009E4AE5"/>
    <w:rsid w:val="009E4C35"/>
    <w:rsid w:val="009E4D16"/>
    <w:rsid w:val="009E4DCD"/>
    <w:rsid w:val="009E4E2F"/>
    <w:rsid w:val="009E4ED2"/>
    <w:rsid w:val="009E4F0B"/>
    <w:rsid w:val="009E4F3A"/>
    <w:rsid w:val="009E4FB3"/>
    <w:rsid w:val="009E4FCA"/>
    <w:rsid w:val="009E510A"/>
    <w:rsid w:val="009E51F6"/>
    <w:rsid w:val="009E5270"/>
    <w:rsid w:val="009E528C"/>
    <w:rsid w:val="009E52A5"/>
    <w:rsid w:val="009E52F5"/>
    <w:rsid w:val="009E5385"/>
    <w:rsid w:val="009E53E7"/>
    <w:rsid w:val="009E5405"/>
    <w:rsid w:val="009E55D9"/>
    <w:rsid w:val="009E5A4B"/>
    <w:rsid w:val="009E5B23"/>
    <w:rsid w:val="009E5BA1"/>
    <w:rsid w:val="009E5CD0"/>
    <w:rsid w:val="009E5D46"/>
    <w:rsid w:val="009E5D5F"/>
    <w:rsid w:val="009E5D8D"/>
    <w:rsid w:val="009E5F09"/>
    <w:rsid w:val="009E5FC4"/>
    <w:rsid w:val="009E60AD"/>
    <w:rsid w:val="009E6477"/>
    <w:rsid w:val="009E6492"/>
    <w:rsid w:val="009E65A5"/>
    <w:rsid w:val="009E682E"/>
    <w:rsid w:val="009E6883"/>
    <w:rsid w:val="009E68A7"/>
    <w:rsid w:val="009E6BB5"/>
    <w:rsid w:val="009E6D82"/>
    <w:rsid w:val="009E6DA6"/>
    <w:rsid w:val="009E6F15"/>
    <w:rsid w:val="009E6F9C"/>
    <w:rsid w:val="009E6FAC"/>
    <w:rsid w:val="009E702E"/>
    <w:rsid w:val="009E7031"/>
    <w:rsid w:val="009E7046"/>
    <w:rsid w:val="009E707D"/>
    <w:rsid w:val="009E70D4"/>
    <w:rsid w:val="009E70E3"/>
    <w:rsid w:val="009E725A"/>
    <w:rsid w:val="009E7734"/>
    <w:rsid w:val="009E77D2"/>
    <w:rsid w:val="009E77D9"/>
    <w:rsid w:val="009E7874"/>
    <w:rsid w:val="009E7898"/>
    <w:rsid w:val="009E7A91"/>
    <w:rsid w:val="009E7AF5"/>
    <w:rsid w:val="009E7B0C"/>
    <w:rsid w:val="009E7B32"/>
    <w:rsid w:val="009E7B5F"/>
    <w:rsid w:val="009E7B61"/>
    <w:rsid w:val="009E7D51"/>
    <w:rsid w:val="009E7E3A"/>
    <w:rsid w:val="009E7F58"/>
    <w:rsid w:val="009E7FB9"/>
    <w:rsid w:val="009F000C"/>
    <w:rsid w:val="009F004A"/>
    <w:rsid w:val="009F0178"/>
    <w:rsid w:val="009F01E3"/>
    <w:rsid w:val="009F0322"/>
    <w:rsid w:val="009F0425"/>
    <w:rsid w:val="009F046F"/>
    <w:rsid w:val="009F04D9"/>
    <w:rsid w:val="009F0545"/>
    <w:rsid w:val="009F058F"/>
    <w:rsid w:val="009F05A1"/>
    <w:rsid w:val="009F05DC"/>
    <w:rsid w:val="009F0703"/>
    <w:rsid w:val="009F070C"/>
    <w:rsid w:val="009F0748"/>
    <w:rsid w:val="009F08B2"/>
    <w:rsid w:val="009F0A75"/>
    <w:rsid w:val="009F0BA9"/>
    <w:rsid w:val="009F0C30"/>
    <w:rsid w:val="009F0C71"/>
    <w:rsid w:val="009F0CF1"/>
    <w:rsid w:val="009F0D14"/>
    <w:rsid w:val="009F0E09"/>
    <w:rsid w:val="009F0E25"/>
    <w:rsid w:val="009F0EAF"/>
    <w:rsid w:val="009F0ED2"/>
    <w:rsid w:val="009F0F9C"/>
    <w:rsid w:val="009F10E5"/>
    <w:rsid w:val="009F1148"/>
    <w:rsid w:val="009F118E"/>
    <w:rsid w:val="009F1552"/>
    <w:rsid w:val="009F1667"/>
    <w:rsid w:val="009F1807"/>
    <w:rsid w:val="009F1A5F"/>
    <w:rsid w:val="009F1A6C"/>
    <w:rsid w:val="009F1C56"/>
    <w:rsid w:val="009F1C5F"/>
    <w:rsid w:val="009F1D27"/>
    <w:rsid w:val="009F1D32"/>
    <w:rsid w:val="009F1D51"/>
    <w:rsid w:val="009F1D86"/>
    <w:rsid w:val="009F1DAC"/>
    <w:rsid w:val="009F1DD9"/>
    <w:rsid w:val="009F1EA7"/>
    <w:rsid w:val="009F1EE9"/>
    <w:rsid w:val="009F1F9E"/>
    <w:rsid w:val="009F202D"/>
    <w:rsid w:val="009F2131"/>
    <w:rsid w:val="009F2138"/>
    <w:rsid w:val="009F2157"/>
    <w:rsid w:val="009F21FD"/>
    <w:rsid w:val="009F221F"/>
    <w:rsid w:val="009F2367"/>
    <w:rsid w:val="009F240B"/>
    <w:rsid w:val="009F2450"/>
    <w:rsid w:val="009F2512"/>
    <w:rsid w:val="009F25FC"/>
    <w:rsid w:val="009F287E"/>
    <w:rsid w:val="009F289E"/>
    <w:rsid w:val="009F2B5F"/>
    <w:rsid w:val="009F2C66"/>
    <w:rsid w:val="009F2CC7"/>
    <w:rsid w:val="009F2CF7"/>
    <w:rsid w:val="009F2EBA"/>
    <w:rsid w:val="009F2FC2"/>
    <w:rsid w:val="009F2FE4"/>
    <w:rsid w:val="009F3010"/>
    <w:rsid w:val="009F319E"/>
    <w:rsid w:val="009F3234"/>
    <w:rsid w:val="009F3240"/>
    <w:rsid w:val="009F337C"/>
    <w:rsid w:val="009F35F3"/>
    <w:rsid w:val="009F3678"/>
    <w:rsid w:val="009F3701"/>
    <w:rsid w:val="009F371D"/>
    <w:rsid w:val="009F383B"/>
    <w:rsid w:val="009F38DC"/>
    <w:rsid w:val="009F3ADE"/>
    <w:rsid w:val="009F3C64"/>
    <w:rsid w:val="009F3CA6"/>
    <w:rsid w:val="009F3D51"/>
    <w:rsid w:val="009F3D89"/>
    <w:rsid w:val="009F3E07"/>
    <w:rsid w:val="009F3FA1"/>
    <w:rsid w:val="009F4076"/>
    <w:rsid w:val="009F4078"/>
    <w:rsid w:val="009F4106"/>
    <w:rsid w:val="009F4162"/>
    <w:rsid w:val="009F4267"/>
    <w:rsid w:val="009F43DB"/>
    <w:rsid w:val="009F45DC"/>
    <w:rsid w:val="009F464C"/>
    <w:rsid w:val="009F4996"/>
    <w:rsid w:val="009F4B82"/>
    <w:rsid w:val="009F4CBC"/>
    <w:rsid w:val="009F4D29"/>
    <w:rsid w:val="009F4DA7"/>
    <w:rsid w:val="009F4DF4"/>
    <w:rsid w:val="009F4EDD"/>
    <w:rsid w:val="009F51AF"/>
    <w:rsid w:val="009F51EE"/>
    <w:rsid w:val="009F534E"/>
    <w:rsid w:val="009F541A"/>
    <w:rsid w:val="009F54B8"/>
    <w:rsid w:val="009F5625"/>
    <w:rsid w:val="009F5653"/>
    <w:rsid w:val="009F5737"/>
    <w:rsid w:val="009F58EC"/>
    <w:rsid w:val="009F5A66"/>
    <w:rsid w:val="009F5AAE"/>
    <w:rsid w:val="009F5ACA"/>
    <w:rsid w:val="009F5B7F"/>
    <w:rsid w:val="009F5BE7"/>
    <w:rsid w:val="009F5C07"/>
    <w:rsid w:val="009F5DCC"/>
    <w:rsid w:val="009F5DD7"/>
    <w:rsid w:val="009F5E9C"/>
    <w:rsid w:val="009F5EAD"/>
    <w:rsid w:val="009F5F77"/>
    <w:rsid w:val="009F612B"/>
    <w:rsid w:val="009F6143"/>
    <w:rsid w:val="009F6281"/>
    <w:rsid w:val="009F658A"/>
    <w:rsid w:val="009F6633"/>
    <w:rsid w:val="009F68EC"/>
    <w:rsid w:val="009F693C"/>
    <w:rsid w:val="009F69B5"/>
    <w:rsid w:val="009F6A34"/>
    <w:rsid w:val="009F6A3B"/>
    <w:rsid w:val="009F6AC4"/>
    <w:rsid w:val="009F6B11"/>
    <w:rsid w:val="009F6B57"/>
    <w:rsid w:val="009F6C78"/>
    <w:rsid w:val="009F6DAB"/>
    <w:rsid w:val="009F6DEA"/>
    <w:rsid w:val="009F6F54"/>
    <w:rsid w:val="009F6FF1"/>
    <w:rsid w:val="009F72C1"/>
    <w:rsid w:val="009F7541"/>
    <w:rsid w:val="009F75C6"/>
    <w:rsid w:val="009F75F2"/>
    <w:rsid w:val="009F7726"/>
    <w:rsid w:val="009F77D4"/>
    <w:rsid w:val="009F78EE"/>
    <w:rsid w:val="009F7B02"/>
    <w:rsid w:val="009F7B36"/>
    <w:rsid w:val="009F7BE4"/>
    <w:rsid w:val="009F7BFF"/>
    <w:rsid w:val="009F7C0F"/>
    <w:rsid w:val="009F7C93"/>
    <w:rsid w:val="009F7CC6"/>
    <w:rsid w:val="009F7CD0"/>
    <w:rsid w:val="009F7D12"/>
    <w:rsid w:val="009F7EFA"/>
    <w:rsid w:val="009F7FE0"/>
    <w:rsid w:val="00A0000E"/>
    <w:rsid w:val="00A00024"/>
    <w:rsid w:val="00A0008C"/>
    <w:rsid w:val="00A00109"/>
    <w:rsid w:val="00A00145"/>
    <w:rsid w:val="00A001B1"/>
    <w:rsid w:val="00A001EC"/>
    <w:rsid w:val="00A001F8"/>
    <w:rsid w:val="00A001F9"/>
    <w:rsid w:val="00A0025B"/>
    <w:rsid w:val="00A00271"/>
    <w:rsid w:val="00A002AD"/>
    <w:rsid w:val="00A0030D"/>
    <w:rsid w:val="00A00558"/>
    <w:rsid w:val="00A005AF"/>
    <w:rsid w:val="00A0069B"/>
    <w:rsid w:val="00A0071C"/>
    <w:rsid w:val="00A00731"/>
    <w:rsid w:val="00A00791"/>
    <w:rsid w:val="00A0081D"/>
    <w:rsid w:val="00A00888"/>
    <w:rsid w:val="00A008A8"/>
    <w:rsid w:val="00A008EF"/>
    <w:rsid w:val="00A009B2"/>
    <w:rsid w:val="00A009C9"/>
    <w:rsid w:val="00A00AE1"/>
    <w:rsid w:val="00A00BDD"/>
    <w:rsid w:val="00A00CD7"/>
    <w:rsid w:val="00A00D0F"/>
    <w:rsid w:val="00A00D51"/>
    <w:rsid w:val="00A00D7B"/>
    <w:rsid w:val="00A00DBE"/>
    <w:rsid w:val="00A00EFA"/>
    <w:rsid w:val="00A00FAC"/>
    <w:rsid w:val="00A010F0"/>
    <w:rsid w:val="00A01213"/>
    <w:rsid w:val="00A0135C"/>
    <w:rsid w:val="00A013FC"/>
    <w:rsid w:val="00A015F5"/>
    <w:rsid w:val="00A01695"/>
    <w:rsid w:val="00A016D8"/>
    <w:rsid w:val="00A016ED"/>
    <w:rsid w:val="00A017E3"/>
    <w:rsid w:val="00A017F2"/>
    <w:rsid w:val="00A018E5"/>
    <w:rsid w:val="00A01A7D"/>
    <w:rsid w:val="00A01B33"/>
    <w:rsid w:val="00A01C92"/>
    <w:rsid w:val="00A01D39"/>
    <w:rsid w:val="00A01D3A"/>
    <w:rsid w:val="00A01DF7"/>
    <w:rsid w:val="00A01ECA"/>
    <w:rsid w:val="00A01EE6"/>
    <w:rsid w:val="00A01F4B"/>
    <w:rsid w:val="00A02015"/>
    <w:rsid w:val="00A02377"/>
    <w:rsid w:val="00A023C6"/>
    <w:rsid w:val="00A0242B"/>
    <w:rsid w:val="00A0257D"/>
    <w:rsid w:val="00A02581"/>
    <w:rsid w:val="00A025FE"/>
    <w:rsid w:val="00A026B0"/>
    <w:rsid w:val="00A0278E"/>
    <w:rsid w:val="00A027A1"/>
    <w:rsid w:val="00A027C8"/>
    <w:rsid w:val="00A027CB"/>
    <w:rsid w:val="00A028A7"/>
    <w:rsid w:val="00A0296A"/>
    <w:rsid w:val="00A02A8E"/>
    <w:rsid w:val="00A02AD1"/>
    <w:rsid w:val="00A02BAC"/>
    <w:rsid w:val="00A02BDE"/>
    <w:rsid w:val="00A02BE5"/>
    <w:rsid w:val="00A02C9A"/>
    <w:rsid w:val="00A02C9E"/>
    <w:rsid w:val="00A02D6E"/>
    <w:rsid w:val="00A02DF6"/>
    <w:rsid w:val="00A02E53"/>
    <w:rsid w:val="00A02EEF"/>
    <w:rsid w:val="00A02EF6"/>
    <w:rsid w:val="00A02F60"/>
    <w:rsid w:val="00A02F7D"/>
    <w:rsid w:val="00A02F7F"/>
    <w:rsid w:val="00A02FEA"/>
    <w:rsid w:val="00A03091"/>
    <w:rsid w:val="00A03127"/>
    <w:rsid w:val="00A032CB"/>
    <w:rsid w:val="00A03379"/>
    <w:rsid w:val="00A033C6"/>
    <w:rsid w:val="00A0364F"/>
    <w:rsid w:val="00A03664"/>
    <w:rsid w:val="00A03672"/>
    <w:rsid w:val="00A0379D"/>
    <w:rsid w:val="00A037E1"/>
    <w:rsid w:val="00A038E4"/>
    <w:rsid w:val="00A039AF"/>
    <w:rsid w:val="00A03A33"/>
    <w:rsid w:val="00A03BE2"/>
    <w:rsid w:val="00A03CB1"/>
    <w:rsid w:val="00A03CC4"/>
    <w:rsid w:val="00A03F62"/>
    <w:rsid w:val="00A0414B"/>
    <w:rsid w:val="00A04399"/>
    <w:rsid w:val="00A04456"/>
    <w:rsid w:val="00A04727"/>
    <w:rsid w:val="00A04756"/>
    <w:rsid w:val="00A047F8"/>
    <w:rsid w:val="00A04892"/>
    <w:rsid w:val="00A048AA"/>
    <w:rsid w:val="00A048DC"/>
    <w:rsid w:val="00A0495E"/>
    <w:rsid w:val="00A049CD"/>
    <w:rsid w:val="00A04BDC"/>
    <w:rsid w:val="00A04BF4"/>
    <w:rsid w:val="00A04C8C"/>
    <w:rsid w:val="00A04CEF"/>
    <w:rsid w:val="00A05004"/>
    <w:rsid w:val="00A050AE"/>
    <w:rsid w:val="00A05103"/>
    <w:rsid w:val="00A05126"/>
    <w:rsid w:val="00A05179"/>
    <w:rsid w:val="00A051DF"/>
    <w:rsid w:val="00A05315"/>
    <w:rsid w:val="00A05338"/>
    <w:rsid w:val="00A05350"/>
    <w:rsid w:val="00A05390"/>
    <w:rsid w:val="00A053AB"/>
    <w:rsid w:val="00A05438"/>
    <w:rsid w:val="00A05475"/>
    <w:rsid w:val="00A0547C"/>
    <w:rsid w:val="00A054B3"/>
    <w:rsid w:val="00A05515"/>
    <w:rsid w:val="00A056AF"/>
    <w:rsid w:val="00A05724"/>
    <w:rsid w:val="00A0576B"/>
    <w:rsid w:val="00A05785"/>
    <w:rsid w:val="00A0588B"/>
    <w:rsid w:val="00A058D8"/>
    <w:rsid w:val="00A059C7"/>
    <w:rsid w:val="00A05A46"/>
    <w:rsid w:val="00A05A53"/>
    <w:rsid w:val="00A05B30"/>
    <w:rsid w:val="00A05B7D"/>
    <w:rsid w:val="00A05E63"/>
    <w:rsid w:val="00A05E98"/>
    <w:rsid w:val="00A06083"/>
    <w:rsid w:val="00A0611D"/>
    <w:rsid w:val="00A0617F"/>
    <w:rsid w:val="00A061A8"/>
    <w:rsid w:val="00A065AC"/>
    <w:rsid w:val="00A06670"/>
    <w:rsid w:val="00A06677"/>
    <w:rsid w:val="00A06705"/>
    <w:rsid w:val="00A0682B"/>
    <w:rsid w:val="00A068D6"/>
    <w:rsid w:val="00A068FC"/>
    <w:rsid w:val="00A0695F"/>
    <w:rsid w:val="00A06A2D"/>
    <w:rsid w:val="00A06B5B"/>
    <w:rsid w:val="00A06BFE"/>
    <w:rsid w:val="00A06D86"/>
    <w:rsid w:val="00A06DCA"/>
    <w:rsid w:val="00A06E36"/>
    <w:rsid w:val="00A06F33"/>
    <w:rsid w:val="00A07041"/>
    <w:rsid w:val="00A070D2"/>
    <w:rsid w:val="00A07100"/>
    <w:rsid w:val="00A0724A"/>
    <w:rsid w:val="00A072C2"/>
    <w:rsid w:val="00A072EA"/>
    <w:rsid w:val="00A07310"/>
    <w:rsid w:val="00A07404"/>
    <w:rsid w:val="00A07433"/>
    <w:rsid w:val="00A074A5"/>
    <w:rsid w:val="00A074F7"/>
    <w:rsid w:val="00A07531"/>
    <w:rsid w:val="00A07599"/>
    <w:rsid w:val="00A0778A"/>
    <w:rsid w:val="00A077D7"/>
    <w:rsid w:val="00A07855"/>
    <w:rsid w:val="00A07930"/>
    <w:rsid w:val="00A07AF5"/>
    <w:rsid w:val="00A07B42"/>
    <w:rsid w:val="00A07B82"/>
    <w:rsid w:val="00A07C52"/>
    <w:rsid w:val="00A07C8E"/>
    <w:rsid w:val="00A07D0B"/>
    <w:rsid w:val="00A07D29"/>
    <w:rsid w:val="00A07DF7"/>
    <w:rsid w:val="00A07DFA"/>
    <w:rsid w:val="00A07E62"/>
    <w:rsid w:val="00A07EA4"/>
    <w:rsid w:val="00A07EBD"/>
    <w:rsid w:val="00A07F05"/>
    <w:rsid w:val="00A07F38"/>
    <w:rsid w:val="00A07FE2"/>
    <w:rsid w:val="00A07FF2"/>
    <w:rsid w:val="00A10099"/>
    <w:rsid w:val="00A104E2"/>
    <w:rsid w:val="00A10531"/>
    <w:rsid w:val="00A1053D"/>
    <w:rsid w:val="00A105BC"/>
    <w:rsid w:val="00A1062F"/>
    <w:rsid w:val="00A1072C"/>
    <w:rsid w:val="00A108A6"/>
    <w:rsid w:val="00A1094E"/>
    <w:rsid w:val="00A1098C"/>
    <w:rsid w:val="00A109F9"/>
    <w:rsid w:val="00A10A47"/>
    <w:rsid w:val="00A10B0F"/>
    <w:rsid w:val="00A10B5B"/>
    <w:rsid w:val="00A10B74"/>
    <w:rsid w:val="00A10BF6"/>
    <w:rsid w:val="00A10CA8"/>
    <w:rsid w:val="00A10CC5"/>
    <w:rsid w:val="00A10CEC"/>
    <w:rsid w:val="00A10CF8"/>
    <w:rsid w:val="00A10D51"/>
    <w:rsid w:val="00A10EF6"/>
    <w:rsid w:val="00A10F7A"/>
    <w:rsid w:val="00A10FD3"/>
    <w:rsid w:val="00A1102E"/>
    <w:rsid w:val="00A111BB"/>
    <w:rsid w:val="00A111D6"/>
    <w:rsid w:val="00A11222"/>
    <w:rsid w:val="00A11242"/>
    <w:rsid w:val="00A11304"/>
    <w:rsid w:val="00A1131B"/>
    <w:rsid w:val="00A114E6"/>
    <w:rsid w:val="00A11507"/>
    <w:rsid w:val="00A1156E"/>
    <w:rsid w:val="00A115CB"/>
    <w:rsid w:val="00A115CF"/>
    <w:rsid w:val="00A11624"/>
    <w:rsid w:val="00A1166D"/>
    <w:rsid w:val="00A11697"/>
    <w:rsid w:val="00A117B3"/>
    <w:rsid w:val="00A11917"/>
    <w:rsid w:val="00A119B6"/>
    <w:rsid w:val="00A119CF"/>
    <w:rsid w:val="00A11A5F"/>
    <w:rsid w:val="00A11A88"/>
    <w:rsid w:val="00A11BF9"/>
    <w:rsid w:val="00A11C24"/>
    <w:rsid w:val="00A11C9D"/>
    <w:rsid w:val="00A11D1F"/>
    <w:rsid w:val="00A11D58"/>
    <w:rsid w:val="00A11DFB"/>
    <w:rsid w:val="00A11F99"/>
    <w:rsid w:val="00A12206"/>
    <w:rsid w:val="00A12451"/>
    <w:rsid w:val="00A12457"/>
    <w:rsid w:val="00A126AC"/>
    <w:rsid w:val="00A126B7"/>
    <w:rsid w:val="00A12903"/>
    <w:rsid w:val="00A12995"/>
    <w:rsid w:val="00A129E2"/>
    <w:rsid w:val="00A12A2C"/>
    <w:rsid w:val="00A12A90"/>
    <w:rsid w:val="00A12B04"/>
    <w:rsid w:val="00A12B99"/>
    <w:rsid w:val="00A12BEE"/>
    <w:rsid w:val="00A12C75"/>
    <w:rsid w:val="00A12E05"/>
    <w:rsid w:val="00A131BF"/>
    <w:rsid w:val="00A13220"/>
    <w:rsid w:val="00A1325E"/>
    <w:rsid w:val="00A13368"/>
    <w:rsid w:val="00A1339D"/>
    <w:rsid w:val="00A133D2"/>
    <w:rsid w:val="00A13426"/>
    <w:rsid w:val="00A13437"/>
    <w:rsid w:val="00A134CD"/>
    <w:rsid w:val="00A13573"/>
    <w:rsid w:val="00A135E0"/>
    <w:rsid w:val="00A136F9"/>
    <w:rsid w:val="00A13702"/>
    <w:rsid w:val="00A1370A"/>
    <w:rsid w:val="00A13826"/>
    <w:rsid w:val="00A138F1"/>
    <w:rsid w:val="00A13A2A"/>
    <w:rsid w:val="00A13B21"/>
    <w:rsid w:val="00A13B7F"/>
    <w:rsid w:val="00A13C7C"/>
    <w:rsid w:val="00A13DB9"/>
    <w:rsid w:val="00A13E38"/>
    <w:rsid w:val="00A13E93"/>
    <w:rsid w:val="00A13EDD"/>
    <w:rsid w:val="00A14173"/>
    <w:rsid w:val="00A1422F"/>
    <w:rsid w:val="00A142A0"/>
    <w:rsid w:val="00A14349"/>
    <w:rsid w:val="00A1448E"/>
    <w:rsid w:val="00A1456B"/>
    <w:rsid w:val="00A14627"/>
    <w:rsid w:val="00A1472F"/>
    <w:rsid w:val="00A147A2"/>
    <w:rsid w:val="00A14898"/>
    <w:rsid w:val="00A148D3"/>
    <w:rsid w:val="00A14902"/>
    <w:rsid w:val="00A149A3"/>
    <w:rsid w:val="00A149F3"/>
    <w:rsid w:val="00A14A77"/>
    <w:rsid w:val="00A14AFE"/>
    <w:rsid w:val="00A14B43"/>
    <w:rsid w:val="00A14C28"/>
    <w:rsid w:val="00A14F0F"/>
    <w:rsid w:val="00A14F2B"/>
    <w:rsid w:val="00A14F64"/>
    <w:rsid w:val="00A14FF7"/>
    <w:rsid w:val="00A1502A"/>
    <w:rsid w:val="00A15059"/>
    <w:rsid w:val="00A150E5"/>
    <w:rsid w:val="00A15287"/>
    <w:rsid w:val="00A1536F"/>
    <w:rsid w:val="00A15436"/>
    <w:rsid w:val="00A15443"/>
    <w:rsid w:val="00A15564"/>
    <w:rsid w:val="00A1560D"/>
    <w:rsid w:val="00A15796"/>
    <w:rsid w:val="00A157D9"/>
    <w:rsid w:val="00A157E6"/>
    <w:rsid w:val="00A157F4"/>
    <w:rsid w:val="00A1594E"/>
    <w:rsid w:val="00A15A0B"/>
    <w:rsid w:val="00A15A29"/>
    <w:rsid w:val="00A15C5E"/>
    <w:rsid w:val="00A15C81"/>
    <w:rsid w:val="00A15C8D"/>
    <w:rsid w:val="00A15D66"/>
    <w:rsid w:val="00A15D82"/>
    <w:rsid w:val="00A15ED7"/>
    <w:rsid w:val="00A15F92"/>
    <w:rsid w:val="00A1648F"/>
    <w:rsid w:val="00A165DD"/>
    <w:rsid w:val="00A16676"/>
    <w:rsid w:val="00A166AD"/>
    <w:rsid w:val="00A166D6"/>
    <w:rsid w:val="00A16736"/>
    <w:rsid w:val="00A16896"/>
    <w:rsid w:val="00A169EF"/>
    <w:rsid w:val="00A16BA1"/>
    <w:rsid w:val="00A16BA2"/>
    <w:rsid w:val="00A16C2E"/>
    <w:rsid w:val="00A16C45"/>
    <w:rsid w:val="00A16C8B"/>
    <w:rsid w:val="00A16D5E"/>
    <w:rsid w:val="00A16D8E"/>
    <w:rsid w:val="00A16E3D"/>
    <w:rsid w:val="00A170C4"/>
    <w:rsid w:val="00A17124"/>
    <w:rsid w:val="00A17357"/>
    <w:rsid w:val="00A1736C"/>
    <w:rsid w:val="00A17481"/>
    <w:rsid w:val="00A17555"/>
    <w:rsid w:val="00A17665"/>
    <w:rsid w:val="00A176CD"/>
    <w:rsid w:val="00A1779D"/>
    <w:rsid w:val="00A1782D"/>
    <w:rsid w:val="00A17841"/>
    <w:rsid w:val="00A17A0D"/>
    <w:rsid w:val="00A17A6F"/>
    <w:rsid w:val="00A17AA6"/>
    <w:rsid w:val="00A17B0F"/>
    <w:rsid w:val="00A17BC7"/>
    <w:rsid w:val="00A17CCE"/>
    <w:rsid w:val="00A17D3D"/>
    <w:rsid w:val="00A17FE4"/>
    <w:rsid w:val="00A200A6"/>
    <w:rsid w:val="00A20173"/>
    <w:rsid w:val="00A201B4"/>
    <w:rsid w:val="00A201E3"/>
    <w:rsid w:val="00A20216"/>
    <w:rsid w:val="00A20275"/>
    <w:rsid w:val="00A205BD"/>
    <w:rsid w:val="00A20719"/>
    <w:rsid w:val="00A2083C"/>
    <w:rsid w:val="00A2084C"/>
    <w:rsid w:val="00A208E7"/>
    <w:rsid w:val="00A20AD9"/>
    <w:rsid w:val="00A20B42"/>
    <w:rsid w:val="00A20CA4"/>
    <w:rsid w:val="00A20D1D"/>
    <w:rsid w:val="00A20D24"/>
    <w:rsid w:val="00A20D43"/>
    <w:rsid w:val="00A20DB5"/>
    <w:rsid w:val="00A20E25"/>
    <w:rsid w:val="00A20F27"/>
    <w:rsid w:val="00A20F46"/>
    <w:rsid w:val="00A20FE6"/>
    <w:rsid w:val="00A2103F"/>
    <w:rsid w:val="00A210FA"/>
    <w:rsid w:val="00A211CD"/>
    <w:rsid w:val="00A212F9"/>
    <w:rsid w:val="00A213EE"/>
    <w:rsid w:val="00A21440"/>
    <w:rsid w:val="00A216F1"/>
    <w:rsid w:val="00A2181B"/>
    <w:rsid w:val="00A218BA"/>
    <w:rsid w:val="00A21B77"/>
    <w:rsid w:val="00A21BD2"/>
    <w:rsid w:val="00A21C4E"/>
    <w:rsid w:val="00A21CBD"/>
    <w:rsid w:val="00A21CFD"/>
    <w:rsid w:val="00A21DBB"/>
    <w:rsid w:val="00A21E4E"/>
    <w:rsid w:val="00A21E4F"/>
    <w:rsid w:val="00A21FA2"/>
    <w:rsid w:val="00A220EB"/>
    <w:rsid w:val="00A221FA"/>
    <w:rsid w:val="00A222F6"/>
    <w:rsid w:val="00A2233C"/>
    <w:rsid w:val="00A22469"/>
    <w:rsid w:val="00A224A5"/>
    <w:rsid w:val="00A22634"/>
    <w:rsid w:val="00A2267A"/>
    <w:rsid w:val="00A22716"/>
    <w:rsid w:val="00A22734"/>
    <w:rsid w:val="00A227E9"/>
    <w:rsid w:val="00A22827"/>
    <w:rsid w:val="00A2283A"/>
    <w:rsid w:val="00A22894"/>
    <w:rsid w:val="00A22960"/>
    <w:rsid w:val="00A2299B"/>
    <w:rsid w:val="00A22A7B"/>
    <w:rsid w:val="00A22BA0"/>
    <w:rsid w:val="00A22C41"/>
    <w:rsid w:val="00A22CE6"/>
    <w:rsid w:val="00A22D29"/>
    <w:rsid w:val="00A22D72"/>
    <w:rsid w:val="00A22E5B"/>
    <w:rsid w:val="00A22EEF"/>
    <w:rsid w:val="00A22F2F"/>
    <w:rsid w:val="00A22F56"/>
    <w:rsid w:val="00A22F59"/>
    <w:rsid w:val="00A23080"/>
    <w:rsid w:val="00A23211"/>
    <w:rsid w:val="00A23215"/>
    <w:rsid w:val="00A23219"/>
    <w:rsid w:val="00A2332A"/>
    <w:rsid w:val="00A233A6"/>
    <w:rsid w:val="00A233AB"/>
    <w:rsid w:val="00A2347A"/>
    <w:rsid w:val="00A2348E"/>
    <w:rsid w:val="00A2357D"/>
    <w:rsid w:val="00A235A1"/>
    <w:rsid w:val="00A235DE"/>
    <w:rsid w:val="00A23676"/>
    <w:rsid w:val="00A236A8"/>
    <w:rsid w:val="00A23726"/>
    <w:rsid w:val="00A23771"/>
    <w:rsid w:val="00A23797"/>
    <w:rsid w:val="00A237B7"/>
    <w:rsid w:val="00A23836"/>
    <w:rsid w:val="00A23882"/>
    <w:rsid w:val="00A2393C"/>
    <w:rsid w:val="00A23A25"/>
    <w:rsid w:val="00A23A37"/>
    <w:rsid w:val="00A23C71"/>
    <w:rsid w:val="00A23D1E"/>
    <w:rsid w:val="00A23D48"/>
    <w:rsid w:val="00A23E75"/>
    <w:rsid w:val="00A23EE3"/>
    <w:rsid w:val="00A23FEF"/>
    <w:rsid w:val="00A240A9"/>
    <w:rsid w:val="00A240BC"/>
    <w:rsid w:val="00A24132"/>
    <w:rsid w:val="00A24271"/>
    <w:rsid w:val="00A242D0"/>
    <w:rsid w:val="00A2432C"/>
    <w:rsid w:val="00A244BF"/>
    <w:rsid w:val="00A24539"/>
    <w:rsid w:val="00A24549"/>
    <w:rsid w:val="00A245B8"/>
    <w:rsid w:val="00A245DC"/>
    <w:rsid w:val="00A245EA"/>
    <w:rsid w:val="00A2472D"/>
    <w:rsid w:val="00A24739"/>
    <w:rsid w:val="00A2492F"/>
    <w:rsid w:val="00A2495F"/>
    <w:rsid w:val="00A24A51"/>
    <w:rsid w:val="00A24D54"/>
    <w:rsid w:val="00A24D94"/>
    <w:rsid w:val="00A24DD7"/>
    <w:rsid w:val="00A24DDD"/>
    <w:rsid w:val="00A24E48"/>
    <w:rsid w:val="00A24E52"/>
    <w:rsid w:val="00A24E6A"/>
    <w:rsid w:val="00A24F01"/>
    <w:rsid w:val="00A24F2C"/>
    <w:rsid w:val="00A24F31"/>
    <w:rsid w:val="00A24F6A"/>
    <w:rsid w:val="00A25194"/>
    <w:rsid w:val="00A2522A"/>
    <w:rsid w:val="00A2552B"/>
    <w:rsid w:val="00A256D6"/>
    <w:rsid w:val="00A256E6"/>
    <w:rsid w:val="00A2576B"/>
    <w:rsid w:val="00A257C0"/>
    <w:rsid w:val="00A257CF"/>
    <w:rsid w:val="00A2593D"/>
    <w:rsid w:val="00A259DD"/>
    <w:rsid w:val="00A25A25"/>
    <w:rsid w:val="00A25B92"/>
    <w:rsid w:val="00A25C1D"/>
    <w:rsid w:val="00A25C57"/>
    <w:rsid w:val="00A25CF9"/>
    <w:rsid w:val="00A25DE2"/>
    <w:rsid w:val="00A25F44"/>
    <w:rsid w:val="00A25FA2"/>
    <w:rsid w:val="00A2603D"/>
    <w:rsid w:val="00A26128"/>
    <w:rsid w:val="00A26129"/>
    <w:rsid w:val="00A262AD"/>
    <w:rsid w:val="00A2637E"/>
    <w:rsid w:val="00A26412"/>
    <w:rsid w:val="00A26429"/>
    <w:rsid w:val="00A265FE"/>
    <w:rsid w:val="00A2662C"/>
    <w:rsid w:val="00A26667"/>
    <w:rsid w:val="00A2668C"/>
    <w:rsid w:val="00A26690"/>
    <w:rsid w:val="00A26704"/>
    <w:rsid w:val="00A26868"/>
    <w:rsid w:val="00A26896"/>
    <w:rsid w:val="00A26933"/>
    <w:rsid w:val="00A26944"/>
    <w:rsid w:val="00A2695C"/>
    <w:rsid w:val="00A26A43"/>
    <w:rsid w:val="00A26B60"/>
    <w:rsid w:val="00A26C2A"/>
    <w:rsid w:val="00A26CEF"/>
    <w:rsid w:val="00A26D3D"/>
    <w:rsid w:val="00A26D51"/>
    <w:rsid w:val="00A26E1B"/>
    <w:rsid w:val="00A26E1D"/>
    <w:rsid w:val="00A26E93"/>
    <w:rsid w:val="00A26EEE"/>
    <w:rsid w:val="00A26EFA"/>
    <w:rsid w:val="00A26F5D"/>
    <w:rsid w:val="00A26FB3"/>
    <w:rsid w:val="00A26FFB"/>
    <w:rsid w:val="00A27090"/>
    <w:rsid w:val="00A2709B"/>
    <w:rsid w:val="00A27128"/>
    <w:rsid w:val="00A271FB"/>
    <w:rsid w:val="00A272D7"/>
    <w:rsid w:val="00A27359"/>
    <w:rsid w:val="00A27388"/>
    <w:rsid w:val="00A27396"/>
    <w:rsid w:val="00A2745A"/>
    <w:rsid w:val="00A27499"/>
    <w:rsid w:val="00A275B8"/>
    <w:rsid w:val="00A27667"/>
    <w:rsid w:val="00A276EF"/>
    <w:rsid w:val="00A27700"/>
    <w:rsid w:val="00A27947"/>
    <w:rsid w:val="00A27A99"/>
    <w:rsid w:val="00A27AC3"/>
    <w:rsid w:val="00A27B2C"/>
    <w:rsid w:val="00A27B3C"/>
    <w:rsid w:val="00A27C2D"/>
    <w:rsid w:val="00A27C53"/>
    <w:rsid w:val="00A27D33"/>
    <w:rsid w:val="00A30037"/>
    <w:rsid w:val="00A30148"/>
    <w:rsid w:val="00A301BD"/>
    <w:rsid w:val="00A3033B"/>
    <w:rsid w:val="00A30465"/>
    <w:rsid w:val="00A30495"/>
    <w:rsid w:val="00A30562"/>
    <w:rsid w:val="00A30567"/>
    <w:rsid w:val="00A30671"/>
    <w:rsid w:val="00A30700"/>
    <w:rsid w:val="00A30704"/>
    <w:rsid w:val="00A30749"/>
    <w:rsid w:val="00A307AF"/>
    <w:rsid w:val="00A307B4"/>
    <w:rsid w:val="00A307BD"/>
    <w:rsid w:val="00A307DA"/>
    <w:rsid w:val="00A30883"/>
    <w:rsid w:val="00A308C5"/>
    <w:rsid w:val="00A308F0"/>
    <w:rsid w:val="00A30933"/>
    <w:rsid w:val="00A309C2"/>
    <w:rsid w:val="00A30B5C"/>
    <w:rsid w:val="00A30C4F"/>
    <w:rsid w:val="00A30C60"/>
    <w:rsid w:val="00A30D95"/>
    <w:rsid w:val="00A30E60"/>
    <w:rsid w:val="00A30E9A"/>
    <w:rsid w:val="00A30EC5"/>
    <w:rsid w:val="00A3105C"/>
    <w:rsid w:val="00A311E2"/>
    <w:rsid w:val="00A312A6"/>
    <w:rsid w:val="00A31360"/>
    <w:rsid w:val="00A314B6"/>
    <w:rsid w:val="00A3158E"/>
    <w:rsid w:val="00A31676"/>
    <w:rsid w:val="00A316B7"/>
    <w:rsid w:val="00A3177D"/>
    <w:rsid w:val="00A31809"/>
    <w:rsid w:val="00A3182B"/>
    <w:rsid w:val="00A318E3"/>
    <w:rsid w:val="00A319A2"/>
    <w:rsid w:val="00A31B5E"/>
    <w:rsid w:val="00A31B64"/>
    <w:rsid w:val="00A31CA9"/>
    <w:rsid w:val="00A31CEC"/>
    <w:rsid w:val="00A31D01"/>
    <w:rsid w:val="00A31E0D"/>
    <w:rsid w:val="00A31FCB"/>
    <w:rsid w:val="00A32030"/>
    <w:rsid w:val="00A322D7"/>
    <w:rsid w:val="00A32348"/>
    <w:rsid w:val="00A32380"/>
    <w:rsid w:val="00A3247C"/>
    <w:rsid w:val="00A3252E"/>
    <w:rsid w:val="00A325F1"/>
    <w:rsid w:val="00A3263C"/>
    <w:rsid w:val="00A326F4"/>
    <w:rsid w:val="00A32737"/>
    <w:rsid w:val="00A32828"/>
    <w:rsid w:val="00A3290E"/>
    <w:rsid w:val="00A329ED"/>
    <w:rsid w:val="00A32A45"/>
    <w:rsid w:val="00A32ABD"/>
    <w:rsid w:val="00A32AEE"/>
    <w:rsid w:val="00A32B88"/>
    <w:rsid w:val="00A32B8E"/>
    <w:rsid w:val="00A32BFC"/>
    <w:rsid w:val="00A32C6A"/>
    <w:rsid w:val="00A32CFA"/>
    <w:rsid w:val="00A32EEF"/>
    <w:rsid w:val="00A32F89"/>
    <w:rsid w:val="00A32FB1"/>
    <w:rsid w:val="00A330E7"/>
    <w:rsid w:val="00A331D4"/>
    <w:rsid w:val="00A331DF"/>
    <w:rsid w:val="00A3330A"/>
    <w:rsid w:val="00A33351"/>
    <w:rsid w:val="00A33404"/>
    <w:rsid w:val="00A33609"/>
    <w:rsid w:val="00A3362E"/>
    <w:rsid w:val="00A33793"/>
    <w:rsid w:val="00A3381E"/>
    <w:rsid w:val="00A338CB"/>
    <w:rsid w:val="00A339D9"/>
    <w:rsid w:val="00A33A68"/>
    <w:rsid w:val="00A33AA9"/>
    <w:rsid w:val="00A33DCE"/>
    <w:rsid w:val="00A33E3B"/>
    <w:rsid w:val="00A33F10"/>
    <w:rsid w:val="00A33F9F"/>
    <w:rsid w:val="00A3420B"/>
    <w:rsid w:val="00A34290"/>
    <w:rsid w:val="00A34302"/>
    <w:rsid w:val="00A3433F"/>
    <w:rsid w:val="00A34348"/>
    <w:rsid w:val="00A34393"/>
    <w:rsid w:val="00A34449"/>
    <w:rsid w:val="00A3450B"/>
    <w:rsid w:val="00A3457D"/>
    <w:rsid w:val="00A3460A"/>
    <w:rsid w:val="00A3470C"/>
    <w:rsid w:val="00A34763"/>
    <w:rsid w:val="00A348C2"/>
    <w:rsid w:val="00A3493C"/>
    <w:rsid w:val="00A349C5"/>
    <w:rsid w:val="00A34A6F"/>
    <w:rsid w:val="00A34B6C"/>
    <w:rsid w:val="00A34B9D"/>
    <w:rsid w:val="00A34DC8"/>
    <w:rsid w:val="00A34E10"/>
    <w:rsid w:val="00A34F54"/>
    <w:rsid w:val="00A35053"/>
    <w:rsid w:val="00A35136"/>
    <w:rsid w:val="00A3522F"/>
    <w:rsid w:val="00A35273"/>
    <w:rsid w:val="00A352EE"/>
    <w:rsid w:val="00A35354"/>
    <w:rsid w:val="00A35357"/>
    <w:rsid w:val="00A3564A"/>
    <w:rsid w:val="00A358CE"/>
    <w:rsid w:val="00A3591D"/>
    <w:rsid w:val="00A35A2E"/>
    <w:rsid w:val="00A35A40"/>
    <w:rsid w:val="00A35B5C"/>
    <w:rsid w:val="00A35BE8"/>
    <w:rsid w:val="00A35CBC"/>
    <w:rsid w:val="00A35CF1"/>
    <w:rsid w:val="00A35D13"/>
    <w:rsid w:val="00A35D36"/>
    <w:rsid w:val="00A36025"/>
    <w:rsid w:val="00A3603E"/>
    <w:rsid w:val="00A3604D"/>
    <w:rsid w:val="00A36053"/>
    <w:rsid w:val="00A360DF"/>
    <w:rsid w:val="00A361A9"/>
    <w:rsid w:val="00A36202"/>
    <w:rsid w:val="00A3622A"/>
    <w:rsid w:val="00A36240"/>
    <w:rsid w:val="00A362EB"/>
    <w:rsid w:val="00A3637E"/>
    <w:rsid w:val="00A36525"/>
    <w:rsid w:val="00A36570"/>
    <w:rsid w:val="00A365EA"/>
    <w:rsid w:val="00A36606"/>
    <w:rsid w:val="00A367E9"/>
    <w:rsid w:val="00A36835"/>
    <w:rsid w:val="00A36972"/>
    <w:rsid w:val="00A36ABD"/>
    <w:rsid w:val="00A36B23"/>
    <w:rsid w:val="00A36B2E"/>
    <w:rsid w:val="00A36BD9"/>
    <w:rsid w:val="00A36E0D"/>
    <w:rsid w:val="00A36EB6"/>
    <w:rsid w:val="00A36EF9"/>
    <w:rsid w:val="00A36FB8"/>
    <w:rsid w:val="00A3705D"/>
    <w:rsid w:val="00A370C8"/>
    <w:rsid w:val="00A37109"/>
    <w:rsid w:val="00A371BA"/>
    <w:rsid w:val="00A37276"/>
    <w:rsid w:val="00A37313"/>
    <w:rsid w:val="00A37326"/>
    <w:rsid w:val="00A37355"/>
    <w:rsid w:val="00A3743D"/>
    <w:rsid w:val="00A3750F"/>
    <w:rsid w:val="00A37516"/>
    <w:rsid w:val="00A375C6"/>
    <w:rsid w:val="00A37656"/>
    <w:rsid w:val="00A377D9"/>
    <w:rsid w:val="00A3782C"/>
    <w:rsid w:val="00A37851"/>
    <w:rsid w:val="00A37892"/>
    <w:rsid w:val="00A37970"/>
    <w:rsid w:val="00A37BDC"/>
    <w:rsid w:val="00A37D43"/>
    <w:rsid w:val="00A37E47"/>
    <w:rsid w:val="00A37E7E"/>
    <w:rsid w:val="00A37E8A"/>
    <w:rsid w:val="00A37EC3"/>
    <w:rsid w:val="00A37EE7"/>
    <w:rsid w:val="00A37F10"/>
    <w:rsid w:val="00A37F81"/>
    <w:rsid w:val="00A400A3"/>
    <w:rsid w:val="00A400A8"/>
    <w:rsid w:val="00A400ED"/>
    <w:rsid w:val="00A40110"/>
    <w:rsid w:val="00A401D1"/>
    <w:rsid w:val="00A40309"/>
    <w:rsid w:val="00A40371"/>
    <w:rsid w:val="00A40404"/>
    <w:rsid w:val="00A4051B"/>
    <w:rsid w:val="00A405EF"/>
    <w:rsid w:val="00A40704"/>
    <w:rsid w:val="00A407A0"/>
    <w:rsid w:val="00A407D2"/>
    <w:rsid w:val="00A4095A"/>
    <w:rsid w:val="00A40B12"/>
    <w:rsid w:val="00A40B66"/>
    <w:rsid w:val="00A40C07"/>
    <w:rsid w:val="00A40C7C"/>
    <w:rsid w:val="00A40CAF"/>
    <w:rsid w:val="00A40D9D"/>
    <w:rsid w:val="00A40EE0"/>
    <w:rsid w:val="00A40F1C"/>
    <w:rsid w:val="00A41029"/>
    <w:rsid w:val="00A411A7"/>
    <w:rsid w:val="00A41282"/>
    <w:rsid w:val="00A412EF"/>
    <w:rsid w:val="00A41328"/>
    <w:rsid w:val="00A413D8"/>
    <w:rsid w:val="00A41404"/>
    <w:rsid w:val="00A4141D"/>
    <w:rsid w:val="00A4145A"/>
    <w:rsid w:val="00A41592"/>
    <w:rsid w:val="00A41675"/>
    <w:rsid w:val="00A416B7"/>
    <w:rsid w:val="00A416F0"/>
    <w:rsid w:val="00A41752"/>
    <w:rsid w:val="00A41803"/>
    <w:rsid w:val="00A4181E"/>
    <w:rsid w:val="00A419AA"/>
    <w:rsid w:val="00A41A44"/>
    <w:rsid w:val="00A41ABD"/>
    <w:rsid w:val="00A41AD5"/>
    <w:rsid w:val="00A41B2E"/>
    <w:rsid w:val="00A41B44"/>
    <w:rsid w:val="00A41B4B"/>
    <w:rsid w:val="00A41BB2"/>
    <w:rsid w:val="00A41C19"/>
    <w:rsid w:val="00A41C35"/>
    <w:rsid w:val="00A41C67"/>
    <w:rsid w:val="00A41CC4"/>
    <w:rsid w:val="00A41DEA"/>
    <w:rsid w:val="00A41F85"/>
    <w:rsid w:val="00A41FAC"/>
    <w:rsid w:val="00A42023"/>
    <w:rsid w:val="00A42170"/>
    <w:rsid w:val="00A423FF"/>
    <w:rsid w:val="00A4257D"/>
    <w:rsid w:val="00A425F3"/>
    <w:rsid w:val="00A4274F"/>
    <w:rsid w:val="00A42811"/>
    <w:rsid w:val="00A42991"/>
    <w:rsid w:val="00A429B5"/>
    <w:rsid w:val="00A42AD1"/>
    <w:rsid w:val="00A42B1D"/>
    <w:rsid w:val="00A42B1F"/>
    <w:rsid w:val="00A42B5C"/>
    <w:rsid w:val="00A42B9C"/>
    <w:rsid w:val="00A42BEE"/>
    <w:rsid w:val="00A42C18"/>
    <w:rsid w:val="00A42C2C"/>
    <w:rsid w:val="00A42DC9"/>
    <w:rsid w:val="00A42DF4"/>
    <w:rsid w:val="00A42FB5"/>
    <w:rsid w:val="00A43061"/>
    <w:rsid w:val="00A4309D"/>
    <w:rsid w:val="00A430E4"/>
    <w:rsid w:val="00A430EB"/>
    <w:rsid w:val="00A4313D"/>
    <w:rsid w:val="00A43149"/>
    <w:rsid w:val="00A433BE"/>
    <w:rsid w:val="00A43472"/>
    <w:rsid w:val="00A435F0"/>
    <w:rsid w:val="00A435F9"/>
    <w:rsid w:val="00A43790"/>
    <w:rsid w:val="00A43889"/>
    <w:rsid w:val="00A4388A"/>
    <w:rsid w:val="00A43952"/>
    <w:rsid w:val="00A43A37"/>
    <w:rsid w:val="00A43B29"/>
    <w:rsid w:val="00A43BAF"/>
    <w:rsid w:val="00A43C2B"/>
    <w:rsid w:val="00A43C8B"/>
    <w:rsid w:val="00A43CAD"/>
    <w:rsid w:val="00A43DA8"/>
    <w:rsid w:val="00A43F4E"/>
    <w:rsid w:val="00A44047"/>
    <w:rsid w:val="00A440CF"/>
    <w:rsid w:val="00A4410A"/>
    <w:rsid w:val="00A44237"/>
    <w:rsid w:val="00A4424E"/>
    <w:rsid w:val="00A4425C"/>
    <w:rsid w:val="00A4426A"/>
    <w:rsid w:val="00A443E0"/>
    <w:rsid w:val="00A443F3"/>
    <w:rsid w:val="00A444E9"/>
    <w:rsid w:val="00A444FF"/>
    <w:rsid w:val="00A44607"/>
    <w:rsid w:val="00A446BC"/>
    <w:rsid w:val="00A44891"/>
    <w:rsid w:val="00A448CB"/>
    <w:rsid w:val="00A44931"/>
    <w:rsid w:val="00A44973"/>
    <w:rsid w:val="00A44A53"/>
    <w:rsid w:val="00A44A54"/>
    <w:rsid w:val="00A44A8B"/>
    <w:rsid w:val="00A44AA8"/>
    <w:rsid w:val="00A44B32"/>
    <w:rsid w:val="00A44BEA"/>
    <w:rsid w:val="00A44E43"/>
    <w:rsid w:val="00A44FE7"/>
    <w:rsid w:val="00A451F7"/>
    <w:rsid w:val="00A452A2"/>
    <w:rsid w:val="00A452F1"/>
    <w:rsid w:val="00A45469"/>
    <w:rsid w:val="00A45490"/>
    <w:rsid w:val="00A455DC"/>
    <w:rsid w:val="00A45600"/>
    <w:rsid w:val="00A45902"/>
    <w:rsid w:val="00A4597B"/>
    <w:rsid w:val="00A45999"/>
    <w:rsid w:val="00A459D6"/>
    <w:rsid w:val="00A45BFE"/>
    <w:rsid w:val="00A45C0A"/>
    <w:rsid w:val="00A45D32"/>
    <w:rsid w:val="00A45D4B"/>
    <w:rsid w:val="00A45D4D"/>
    <w:rsid w:val="00A45D8F"/>
    <w:rsid w:val="00A45E39"/>
    <w:rsid w:val="00A45E50"/>
    <w:rsid w:val="00A45F61"/>
    <w:rsid w:val="00A45F68"/>
    <w:rsid w:val="00A45FC2"/>
    <w:rsid w:val="00A46078"/>
    <w:rsid w:val="00A460B5"/>
    <w:rsid w:val="00A46108"/>
    <w:rsid w:val="00A46205"/>
    <w:rsid w:val="00A462E0"/>
    <w:rsid w:val="00A46321"/>
    <w:rsid w:val="00A46548"/>
    <w:rsid w:val="00A46625"/>
    <w:rsid w:val="00A4663E"/>
    <w:rsid w:val="00A4672E"/>
    <w:rsid w:val="00A4678F"/>
    <w:rsid w:val="00A468AB"/>
    <w:rsid w:val="00A46953"/>
    <w:rsid w:val="00A469CF"/>
    <w:rsid w:val="00A46A94"/>
    <w:rsid w:val="00A46B9C"/>
    <w:rsid w:val="00A46E7E"/>
    <w:rsid w:val="00A46E8E"/>
    <w:rsid w:val="00A4708B"/>
    <w:rsid w:val="00A4721E"/>
    <w:rsid w:val="00A47220"/>
    <w:rsid w:val="00A473F1"/>
    <w:rsid w:val="00A4746A"/>
    <w:rsid w:val="00A4750B"/>
    <w:rsid w:val="00A475B9"/>
    <w:rsid w:val="00A47612"/>
    <w:rsid w:val="00A4788A"/>
    <w:rsid w:val="00A4792E"/>
    <w:rsid w:val="00A479F3"/>
    <w:rsid w:val="00A47A69"/>
    <w:rsid w:val="00A47B3D"/>
    <w:rsid w:val="00A47C7C"/>
    <w:rsid w:val="00A47CE1"/>
    <w:rsid w:val="00A47CF1"/>
    <w:rsid w:val="00A47D17"/>
    <w:rsid w:val="00A47D27"/>
    <w:rsid w:val="00A47E3F"/>
    <w:rsid w:val="00A5004C"/>
    <w:rsid w:val="00A50318"/>
    <w:rsid w:val="00A50384"/>
    <w:rsid w:val="00A50626"/>
    <w:rsid w:val="00A50644"/>
    <w:rsid w:val="00A506B0"/>
    <w:rsid w:val="00A50713"/>
    <w:rsid w:val="00A50808"/>
    <w:rsid w:val="00A5082D"/>
    <w:rsid w:val="00A508B7"/>
    <w:rsid w:val="00A50922"/>
    <w:rsid w:val="00A50BDF"/>
    <w:rsid w:val="00A50EAC"/>
    <w:rsid w:val="00A50F51"/>
    <w:rsid w:val="00A50FD6"/>
    <w:rsid w:val="00A5112B"/>
    <w:rsid w:val="00A514AD"/>
    <w:rsid w:val="00A514D3"/>
    <w:rsid w:val="00A51548"/>
    <w:rsid w:val="00A51643"/>
    <w:rsid w:val="00A516CB"/>
    <w:rsid w:val="00A51748"/>
    <w:rsid w:val="00A51805"/>
    <w:rsid w:val="00A51821"/>
    <w:rsid w:val="00A5183F"/>
    <w:rsid w:val="00A518F9"/>
    <w:rsid w:val="00A51950"/>
    <w:rsid w:val="00A519C0"/>
    <w:rsid w:val="00A51ACE"/>
    <w:rsid w:val="00A51AF2"/>
    <w:rsid w:val="00A51BA4"/>
    <w:rsid w:val="00A51C32"/>
    <w:rsid w:val="00A51C4A"/>
    <w:rsid w:val="00A51C71"/>
    <w:rsid w:val="00A51D32"/>
    <w:rsid w:val="00A51DB7"/>
    <w:rsid w:val="00A51DC4"/>
    <w:rsid w:val="00A51F10"/>
    <w:rsid w:val="00A52091"/>
    <w:rsid w:val="00A5209F"/>
    <w:rsid w:val="00A520ED"/>
    <w:rsid w:val="00A522F6"/>
    <w:rsid w:val="00A5233C"/>
    <w:rsid w:val="00A5245D"/>
    <w:rsid w:val="00A5249F"/>
    <w:rsid w:val="00A52541"/>
    <w:rsid w:val="00A52598"/>
    <w:rsid w:val="00A526DB"/>
    <w:rsid w:val="00A5272C"/>
    <w:rsid w:val="00A52803"/>
    <w:rsid w:val="00A52893"/>
    <w:rsid w:val="00A528FB"/>
    <w:rsid w:val="00A52A25"/>
    <w:rsid w:val="00A52B21"/>
    <w:rsid w:val="00A52D0E"/>
    <w:rsid w:val="00A53076"/>
    <w:rsid w:val="00A532D0"/>
    <w:rsid w:val="00A5338F"/>
    <w:rsid w:val="00A53458"/>
    <w:rsid w:val="00A53503"/>
    <w:rsid w:val="00A53554"/>
    <w:rsid w:val="00A53593"/>
    <w:rsid w:val="00A535D8"/>
    <w:rsid w:val="00A535F9"/>
    <w:rsid w:val="00A53640"/>
    <w:rsid w:val="00A537A2"/>
    <w:rsid w:val="00A53807"/>
    <w:rsid w:val="00A53855"/>
    <w:rsid w:val="00A539BF"/>
    <w:rsid w:val="00A53A14"/>
    <w:rsid w:val="00A53B05"/>
    <w:rsid w:val="00A53C1D"/>
    <w:rsid w:val="00A53CC5"/>
    <w:rsid w:val="00A53D13"/>
    <w:rsid w:val="00A53D22"/>
    <w:rsid w:val="00A53D51"/>
    <w:rsid w:val="00A53D71"/>
    <w:rsid w:val="00A53EA2"/>
    <w:rsid w:val="00A53F10"/>
    <w:rsid w:val="00A53F8B"/>
    <w:rsid w:val="00A53F8F"/>
    <w:rsid w:val="00A5405A"/>
    <w:rsid w:val="00A540A5"/>
    <w:rsid w:val="00A540BF"/>
    <w:rsid w:val="00A5412B"/>
    <w:rsid w:val="00A54135"/>
    <w:rsid w:val="00A541BF"/>
    <w:rsid w:val="00A54363"/>
    <w:rsid w:val="00A54381"/>
    <w:rsid w:val="00A54440"/>
    <w:rsid w:val="00A54473"/>
    <w:rsid w:val="00A54486"/>
    <w:rsid w:val="00A54601"/>
    <w:rsid w:val="00A546E5"/>
    <w:rsid w:val="00A54866"/>
    <w:rsid w:val="00A54925"/>
    <w:rsid w:val="00A5495C"/>
    <w:rsid w:val="00A5498A"/>
    <w:rsid w:val="00A549AB"/>
    <w:rsid w:val="00A54B6E"/>
    <w:rsid w:val="00A54D31"/>
    <w:rsid w:val="00A54E86"/>
    <w:rsid w:val="00A54EE9"/>
    <w:rsid w:val="00A54F0F"/>
    <w:rsid w:val="00A54F70"/>
    <w:rsid w:val="00A5514D"/>
    <w:rsid w:val="00A55187"/>
    <w:rsid w:val="00A554D7"/>
    <w:rsid w:val="00A55507"/>
    <w:rsid w:val="00A5552A"/>
    <w:rsid w:val="00A55566"/>
    <w:rsid w:val="00A55578"/>
    <w:rsid w:val="00A5557C"/>
    <w:rsid w:val="00A55594"/>
    <w:rsid w:val="00A558C5"/>
    <w:rsid w:val="00A558CA"/>
    <w:rsid w:val="00A558E7"/>
    <w:rsid w:val="00A559C5"/>
    <w:rsid w:val="00A559D8"/>
    <w:rsid w:val="00A55A20"/>
    <w:rsid w:val="00A55C90"/>
    <w:rsid w:val="00A55CC4"/>
    <w:rsid w:val="00A55EB0"/>
    <w:rsid w:val="00A55F17"/>
    <w:rsid w:val="00A55FA2"/>
    <w:rsid w:val="00A55FB2"/>
    <w:rsid w:val="00A56007"/>
    <w:rsid w:val="00A56053"/>
    <w:rsid w:val="00A560A1"/>
    <w:rsid w:val="00A560AF"/>
    <w:rsid w:val="00A560D2"/>
    <w:rsid w:val="00A562A4"/>
    <w:rsid w:val="00A562A6"/>
    <w:rsid w:val="00A56511"/>
    <w:rsid w:val="00A5654C"/>
    <w:rsid w:val="00A565D4"/>
    <w:rsid w:val="00A565E4"/>
    <w:rsid w:val="00A5661D"/>
    <w:rsid w:val="00A5669A"/>
    <w:rsid w:val="00A566D8"/>
    <w:rsid w:val="00A56846"/>
    <w:rsid w:val="00A5688D"/>
    <w:rsid w:val="00A568F4"/>
    <w:rsid w:val="00A5691B"/>
    <w:rsid w:val="00A56958"/>
    <w:rsid w:val="00A569B0"/>
    <w:rsid w:val="00A569EA"/>
    <w:rsid w:val="00A56A19"/>
    <w:rsid w:val="00A56A55"/>
    <w:rsid w:val="00A56A86"/>
    <w:rsid w:val="00A56BF4"/>
    <w:rsid w:val="00A56CF1"/>
    <w:rsid w:val="00A56EAB"/>
    <w:rsid w:val="00A56F35"/>
    <w:rsid w:val="00A5701E"/>
    <w:rsid w:val="00A5714D"/>
    <w:rsid w:val="00A57190"/>
    <w:rsid w:val="00A5726C"/>
    <w:rsid w:val="00A573A6"/>
    <w:rsid w:val="00A573C2"/>
    <w:rsid w:val="00A573CB"/>
    <w:rsid w:val="00A57517"/>
    <w:rsid w:val="00A575F3"/>
    <w:rsid w:val="00A5796A"/>
    <w:rsid w:val="00A57B21"/>
    <w:rsid w:val="00A57BA9"/>
    <w:rsid w:val="00A57BD6"/>
    <w:rsid w:val="00A57CD4"/>
    <w:rsid w:val="00A57E9A"/>
    <w:rsid w:val="00A57EC8"/>
    <w:rsid w:val="00A57FB2"/>
    <w:rsid w:val="00A60021"/>
    <w:rsid w:val="00A60048"/>
    <w:rsid w:val="00A60072"/>
    <w:rsid w:val="00A600E2"/>
    <w:rsid w:val="00A6013F"/>
    <w:rsid w:val="00A6018F"/>
    <w:rsid w:val="00A6032B"/>
    <w:rsid w:val="00A60388"/>
    <w:rsid w:val="00A6054F"/>
    <w:rsid w:val="00A60551"/>
    <w:rsid w:val="00A6065C"/>
    <w:rsid w:val="00A606CA"/>
    <w:rsid w:val="00A60919"/>
    <w:rsid w:val="00A6091F"/>
    <w:rsid w:val="00A609BD"/>
    <w:rsid w:val="00A60BB9"/>
    <w:rsid w:val="00A60F07"/>
    <w:rsid w:val="00A60FBF"/>
    <w:rsid w:val="00A6102D"/>
    <w:rsid w:val="00A6115D"/>
    <w:rsid w:val="00A611B0"/>
    <w:rsid w:val="00A612F3"/>
    <w:rsid w:val="00A61446"/>
    <w:rsid w:val="00A615C5"/>
    <w:rsid w:val="00A6163B"/>
    <w:rsid w:val="00A616BF"/>
    <w:rsid w:val="00A616EF"/>
    <w:rsid w:val="00A616F1"/>
    <w:rsid w:val="00A61724"/>
    <w:rsid w:val="00A617BD"/>
    <w:rsid w:val="00A618C8"/>
    <w:rsid w:val="00A619D8"/>
    <w:rsid w:val="00A61AC1"/>
    <w:rsid w:val="00A61ACE"/>
    <w:rsid w:val="00A61B8B"/>
    <w:rsid w:val="00A61B9B"/>
    <w:rsid w:val="00A61C32"/>
    <w:rsid w:val="00A61D6A"/>
    <w:rsid w:val="00A61F82"/>
    <w:rsid w:val="00A61F90"/>
    <w:rsid w:val="00A62080"/>
    <w:rsid w:val="00A62089"/>
    <w:rsid w:val="00A621CB"/>
    <w:rsid w:val="00A62380"/>
    <w:rsid w:val="00A623CE"/>
    <w:rsid w:val="00A62438"/>
    <w:rsid w:val="00A62466"/>
    <w:rsid w:val="00A6246E"/>
    <w:rsid w:val="00A62553"/>
    <w:rsid w:val="00A6256E"/>
    <w:rsid w:val="00A625F9"/>
    <w:rsid w:val="00A62863"/>
    <w:rsid w:val="00A62967"/>
    <w:rsid w:val="00A629F2"/>
    <w:rsid w:val="00A62A95"/>
    <w:rsid w:val="00A62AAC"/>
    <w:rsid w:val="00A62B63"/>
    <w:rsid w:val="00A62C19"/>
    <w:rsid w:val="00A62C40"/>
    <w:rsid w:val="00A62C7F"/>
    <w:rsid w:val="00A62D11"/>
    <w:rsid w:val="00A62D3F"/>
    <w:rsid w:val="00A62DAB"/>
    <w:rsid w:val="00A62DC0"/>
    <w:rsid w:val="00A62EC0"/>
    <w:rsid w:val="00A62EF6"/>
    <w:rsid w:val="00A62F98"/>
    <w:rsid w:val="00A63041"/>
    <w:rsid w:val="00A63091"/>
    <w:rsid w:val="00A6312C"/>
    <w:rsid w:val="00A63330"/>
    <w:rsid w:val="00A6335A"/>
    <w:rsid w:val="00A633CE"/>
    <w:rsid w:val="00A63453"/>
    <w:rsid w:val="00A634BA"/>
    <w:rsid w:val="00A634F7"/>
    <w:rsid w:val="00A636BC"/>
    <w:rsid w:val="00A63886"/>
    <w:rsid w:val="00A6392F"/>
    <w:rsid w:val="00A6394B"/>
    <w:rsid w:val="00A63A10"/>
    <w:rsid w:val="00A63A66"/>
    <w:rsid w:val="00A63B0D"/>
    <w:rsid w:val="00A63B7B"/>
    <w:rsid w:val="00A63BE2"/>
    <w:rsid w:val="00A63DC8"/>
    <w:rsid w:val="00A63ECA"/>
    <w:rsid w:val="00A63EE8"/>
    <w:rsid w:val="00A63FAE"/>
    <w:rsid w:val="00A6404D"/>
    <w:rsid w:val="00A64066"/>
    <w:rsid w:val="00A6412E"/>
    <w:rsid w:val="00A6418A"/>
    <w:rsid w:val="00A641CB"/>
    <w:rsid w:val="00A641D4"/>
    <w:rsid w:val="00A641EC"/>
    <w:rsid w:val="00A64205"/>
    <w:rsid w:val="00A6428B"/>
    <w:rsid w:val="00A643AB"/>
    <w:rsid w:val="00A64445"/>
    <w:rsid w:val="00A64549"/>
    <w:rsid w:val="00A64576"/>
    <w:rsid w:val="00A6458A"/>
    <w:rsid w:val="00A6459F"/>
    <w:rsid w:val="00A64669"/>
    <w:rsid w:val="00A64684"/>
    <w:rsid w:val="00A64793"/>
    <w:rsid w:val="00A648A7"/>
    <w:rsid w:val="00A648E5"/>
    <w:rsid w:val="00A64925"/>
    <w:rsid w:val="00A649D6"/>
    <w:rsid w:val="00A64A2F"/>
    <w:rsid w:val="00A64A6E"/>
    <w:rsid w:val="00A64B20"/>
    <w:rsid w:val="00A64B41"/>
    <w:rsid w:val="00A64DB9"/>
    <w:rsid w:val="00A64E05"/>
    <w:rsid w:val="00A64ED3"/>
    <w:rsid w:val="00A64F1F"/>
    <w:rsid w:val="00A65123"/>
    <w:rsid w:val="00A652B8"/>
    <w:rsid w:val="00A65330"/>
    <w:rsid w:val="00A6537A"/>
    <w:rsid w:val="00A6552B"/>
    <w:rsid w:val="00A6564A"/>
    <w:rsid w:val="00A65651"/>
    <w:rsid w:val="00A6565D"/>
    <w:rsid w:val="00A656AD"/>
    <w:rsid w:val="00A6570F"/>
    <w:rsid w:val="00A65719"/>
    <w:rsid w:val="00A65721"/>
    <w:rsid w:val="00A657E1"/>
    <w:rsid w:val="00A65827"/>
    <w:rsid w:val="00A6585E"/>
    <w:rsid w:val="00A65864"/>
    <w:rsid w:val="00A6599F"/>
    <w:rsid w:val="00A65A66"/>
    <w:rsid w:val="00A65E9F"/>
    <w:rsid w:val="00A65FE5"/>
    <w:rsid w:val="00A66142"/>
    <w:rsid w:val="00A66194"/>
    <w:rsid w:val="00A66198"/>
    <w:rsid w:val="00A665E8"/>
    <w:rsid w:val="00A6662C"/>
    <w:rsid w:val="00A666D1"/>
    <w:rsid w:val="00A666D6"/>
    <w:rsid w:val="00A666DF"/>
    <w:rsid w:val="00A666FC"/>
    <w:rsid w:val="00A6679D"/>
    <w:rsid w:val="00A66824"/>
    <w:rsid w:val="00A66911"/>
    <w:rsid w:val="00A669E0"/>
    <w:rsid w:val="00A66A5D"/>
    <w:rsid w:val="00A66AEC"/>
    <w:rsid w:val="00A66BE0"/>
    <w:rsid w:val="00A66D56"/>
    <w:rsid w:val="00A66DA5"/>
    <w:rsid w:val="00A66E11"/>
    <w:rsid w:val="00A66E55"/>
    <w:rsid w:val="00A66E71"/>
    <w:rsid w:val="00A66F13"/>
    <w:rsid w:val="00A66FA3"/>
    <w:rsid w:val="00A67141"/>
    <w:rsid w:val="00A67192"/>
    <w:rsid w:val="00A671B5"/>
    <w:rsid w:val="00A6725F"/>
    <w:rsid w:val="00A6730A"/>
    <w:rsid w:val="00A674B1"/>
    <w:rsid w:val="00A6760D"/>
    <w:rsid w:val="00A67618"/>
    <w:rsid w:val="00A676FE"/>
    <w:rsid w:val="00A677C3"/>
    <w:rsid w:val="00A677F5"/>
    <w:rsid w:val="00A679D4"/>
    <w:rsid w:val="00A67A2C"/>
    <w:rsid w:val="00A67B02"/>
    <w:rsid w:val="00A67C22"/>
    <w:rsid w:val="00A67C2B"/>
    <w:rsid w:val="00A67CD7"/>
    <w:rsid w:val="00A67DDF"/>
    <w:rsid w:val="00A67E61"/>
    <w:rsid w:val="00A67EE6"/>
    <w:rsid w:val="00A700AA"/>
    <w:rsid w:val="00A700EA"/>
    <w:rsid w:val="00A700F5"/>
    <w:rsid w:val="00A70239"/>
    <w:rsid w:val="00A70273"/>
    <w:rsid w:val="00A702F2"/>
    <w:rsid w:val="00A7031C"/>
    <w:rsid w:val="00A7033F"/>
    <w:rsid w:val="00A703B3"/>
    <w:rsid w:val="00A703F3"/>
    <w:rsid w:val="00A7050A"/>
    <w:rsid w:val="00A70678"/>
    <w:rsid w:val="00A706A6"/>
    <w:rsid w:val="00A70734"/>
    <w:rsid w:val="00A708D5"/>
    <w:rsid w:val="00A708DF"/>
    <w:rsid w:val="00A7090C"/>
    <w:rsid w:val="00A70916"/>
    <w:rsid w:val="00A70957"/>
    <w:rsid w:val="00A70AFF"/>
    <w:rsid w:val="00A70B12"/>
    <w:rsid w:val="00A70C91"/>
    <w:rsid w:val="00A70CE7"/>
    <w:rsid w:val="00A70D09"/>
    <w:rsid w:val="00A70D34"/>
    <w:rsid w:val="00A70E85"/>
    <w:rsid w:val="00A71004"/>
    <w:rsid w:val="00A712B4"/>
    <w:rsid w:val="00A7154A"/>
    <w:rsid w:val="00A71557"/>
    <w:rsid w:val="00A715B0"/>
    <w:rsid w:val="00A715F5"/>
    <w:rsid w:val="00A7176F"/>
    <w:rsid w:val="00A718BC"/>
    <w:rsid w:val="00A718C3"/>
    <w:rsid w:val="00A718D6"/>
    <w:rsid w:val="00A71941"/>
    <w:rsid w:val="00A71A02"/>
    <w:rsid w:val="00A71A10"/>
    <w:rsid w:val="00A71D70"/>
    <w:rsid w:val="00A7231C"/>
    <w:rsid w:val="00A723B8"/>
    <w:rsid w:val="00A724A6"/>
    <w:rsid w:val="00A725EF"/>
    <w:rsid w:val="00A725FE"/>
    <w:rsid w:val="00A72705"/>
    <w:rsid w:val="00A72962"/>
    <w:rsid w:val="00A72A77"/>
    <w:rsid w:val="00A72B30"/>
    <w:rsid w:val="00A72B67"/>
    <w:rsid w:val="00A72C3A"/>
    <w:rsid w:val="00A72D37"/>
    <w:rsid w:val="00A72E86"/>
    <w:rsid w:val="00A73039"/>
    <w:rsid w:val="00A73177"/>
    <w:rsid w:val="00A7318E"/>
    <w:rsid w:val="00A73190"/>
    <w:rsid w:val="00A731E9"/>
    <w:rsid w:val="00A7322A"/>
    <w:rsid w:val="00A73275"/>
    <w:rsid w:val="00A73281"/>
    <w:rsid w:val="00A732BF"/>
    <w:rsid w:val="00A7344F"/>
    <w:rsid w:val="00A73495"/>
    <w:rsid w:val="00A7358E"/>
    <w:rsid w:val="00A736B7"/>
    <w:rsid w:val="00A737C6"/>
    <w:rsid w:val="00A73902"/>
    <w:rsid w:val="00A73926"/>
    <w:rsid w:val="00A73A19"/>
    <w:rsid w:val="00A73B2F"/>
    <w:rsid w:val="00A73B48"/>
    <w:rsid w:val="00A73C65"/>
    <w:rsid w:val="00A73F3A"/>
    <w:rsid w:val="00A73F94"/>
    <w:rsid w:val="00A74022"/>
    <w:rsid w:val="00A7412F"/>
    <w:rsid w:val="00A7426A"/>
    <w:rsid w:val="00A743D9"/>
    <w:rsid w:val="00A74493"/>
    <w:rsid w:val="00A744AB"/>
    <w:rsid w:val="00A74690"/>
    <w:rsid w:val="00A746B7"/>
    <w:rsid w:val="00A748F5"/>
    <w:rsid w:val="00A749C4"/>
    <w:rsid w:val="00A74A4F"/>
    <w:rsid w:val="00A74C2A"/>
    <w:rsid w:val="00A74C80"/>
    <w:rsid w:val="00A74D3A"/>
    <w:rsid w:val="00A74D81"/>
    <w:rsid w:val="00A74EF1"/>
    <w:rsid w:val="00A74F87"/>
    <w:rsid w:val="00A7524D"/>
    <w:rsid w:val="00A75276"/>
    <w:rsid w:val="00A7528E"/>
    <w:rsid w:val="00A752DB"/>
    <w:rsid w:val="00A7538A"/>
    <w:rsid w:val="00A753B3"/>
    <w:rsid w:val="00A75418"/>
    <w:rsid w:val="00A75465"/>
    <w:rsid w:val="00A75590"/>
    <w:rsid w:val="00A756A5"/>
    <w:rsid w:val="00A75717"/>
    <w:rsid w:val="00A75742"/>
    <w:rsid w:val="00A757CC"/>
    <w:rsid w:val="00A7588A"/>
    <w:rsid w:val="00A75906"/>
    <w:rsid w:val="00A75AAD"/>
    <w:rsid w:val="00A75AB4"/>
    <w:rsid w:val="00A75BB5"/>
    <w:rsid w:val="00A75BCE"/>
    <w:rsid w:val="00A75BD7"/>
    <w:rsid w:val="00A75C30"/>
    <w:rsid w:val="00A75C47"/>
    <w:rsid w:val="00A75C63"/>
    <w:rsid w:val="00A75CFA"/>
    <w:rsid w:val="00A75D7D"/>
    <w:rsid w:val="00A75DE3"/>
    <w:rsid w:val="00A75E8C"/>
    <w:rsid w:val="00A75EEB"/>
    <w:rsid w:val="00A75FE0"/>
    <w:rsid w:val="00A76017"/>
    <w:rsid w:val="00A760FE"/>
    <w:rsid w:val="00A76108"/>
    <w:rsid w:val="00A76185"/>
    <w:rsid w:val="00A7634E"/>
    <w:rsid w:val="00A7635C"/>
    <w:rsid w:val="00A76379"/>
    <w:rsid w:val="00A766E1"/>
    <w:rsid w:val="00A76722"/>
    <w:rsid w:val="00A7687E"/>
    <w:rsid w:val="00A7689C"/>
    <w:rsid w:val="00A7698E"/>
    <w:rsid w:val="00A76A0B"/>
    <w:rsid w:val="00A76AA3"/>
    <w:rsid w:val="00A76BC9"/>
    <w:rsid w:val="00A76C58"/>
    <w:rsid w:val="00A76C82"/>
    <w:rsid w:val="00A76CA2"/>
    <w:rsid w:val="00A76D7F"/>
    <w:rsid w:val="00A770A0"/>
    <w:rsid w:val="00A770CE"/>
    <w:rsid w:val="00A7712B"/>
    <w:rsid w:val="00A772C7"/>
    <w:rsid w:val="00A7732B"/>
    <w:rsid w:val="00A7736A"/>
    <w:rsid w:val="00A774A3"/>
    <w:rsid w:val="00A774C3"/>
    <w:rsid w:val="00A774DF"/>
    <w:rsid w:val="00A7760E"/>
    <w:rsid w:val="00A7776B"/>
    <w:rsid w:val="00A7777B"/>
    <w:rsid w:val="00A77898"/>
    <w:rsid w:val="00A778D8"/>
    <w:rsid w:val="00A779B7"/>
    <w:rsid w:val="00A77B2A"/>
    <w:rsid w:val="00A77B7C"/>
    <w:rsid w:val="00A77BBD"/>
    <w:rsid w:val="00A77C68"/>
    <w:rsid w:val="00A77C6A"/>
    <w:rsid w:val="00A77CA4"/>
    <w:rsid w:val="00A77D7C"/>
    <w:rsid w:val="00A77DEC"/>
    <w:rsid w:val="00A77EC4"/>
    <w:rsid w:val="00A80017"/>
    <w:rsid w:val="00A80144"/>
    <w:rsid w:val="00A8036C"/>
    <w:rsid w:val="00A803C5"/>
    <w:rsid w:val="00A805A1"/>
    <w:rsid w:val="00A805F9"/>
    <w:rsid w:val="00A80660"/>
    <w:rsid w:val="00A806FB"/>
    <w:rsid w:val="00A80767"/>
    <w:rsid w:val="00A807A0"/>
    <w:rsid w:val="00A808EB"/>
    <w:rsid w:val="00A809AA"/>
    <w:rsid w:val="00A809F7"/>
    <w:rsid w:val="00A80A87"/>
    <w:rsid w:val="00A80BD6"/>
    <w:rsid w:val="00A80BEA"/>
    <w:rsid w:val="00A80C66"/>
    <w:rsid w:val="00A80E34"/>
    <w:rsid w:val="00A80E4A"/>
    <w:rsid w:val="00A81140"/>
    <w:rsid w:val="00A811BF"/>
    <w:rsid w:val="00A813C9"/>
    <w:rsid w:val="00A81484"/>
    <w:rsid w:val="00A8149D"/>
    <w:rsid w:val="00A814E8"/>
    <w:rsid w:val="00A814EF"/>
    <w:rsid w:val="00A81588"/>
    <w:rsid w:val="00A8176C"/>
    <w:rsid w:val="00A81865"/>
    <w:rsid w:val="00A81899"/>
    <w:rsid w:val="00A818B2"/>
    <w:rsid w:val="00A818FD"/>
    <w:rsid w:val="00A81962"/>
    <w:rsid w:val="00A81977"/>
    <w:rsid w:val="00A81A13"/>
    <w:rsid w:val="00A81D8C"/>
    <w:rsid w:val="00A81E3E"/>
    <w:rsid w:val="00A81E49"/>
    <w:rsid w:val="00A82034"/>
    <w:rsid w:val="00A821B9"/>
    <w:rsid w:val="00A82296"/>
    <w:rsid w:val="00A82433"/>
    <w:rsid w:val="00A82489"/>
    <w:rsid w:val="00A824BF"/>
    <w:rsid w:val="00A825CB"/>
    <w:rsid w:val="00A825CF"/>
    <w:rsid w:val="00A825E0"/>
    <w:rsid w:val="00A82719"/>
    <w:rsid w:val="00A82784"/>
    <w:rsid w:val="00A82B34"/>
    <w:rsid w:val="00A82C1B"/>
    <w:rsid w:val="00A82C21"/>
    <w:rsid w:val="00A82DF1"/>
    <w:rsid w:val="00A82E3E"/>
    <w:rsid w:val="00A82E7D"/>
    <w:rsid w:val="00A82F66"/>
    <w:rsid w:val="00A83004"/>
    <w:rsid w:val="00A830E3"/>
    <w:rsid w:val="00A83173"/>
    <w:rsid w:val="00A83181"/>
    <w:rsid w:val="00A83211"/>
    <w:rsid w:val="00A83315"/>
    <w:rsid w:val="00A83323"/>
    <w:rsid w:val="00A833A9"/>
    <w:rsid w:val="00A833C1"/>
    <w:rsid w:val="00A833FC"/>
    <w:rsid w:val="00A8350F"/>
    <w:rsid w:val="00A8352C"/>
    <w:rsid w:val="00A8353A"/>
    <w:rsid w:val="00A83542"/>
    <w:rsid w:val="00A836A4"/>
    <w:rsid w:val="00A836B9"/>
    <w:rsid w:val="00A836CB"/>
    <w:rsid w:val="00A83761"/>
    <w:rsid w:val="00A837AA"/>
    <w:rsid w:val="00A837DE"/>
    <w:rsid w:val="00A839E3"/>
    <w:rsid w:val="00A83A33"/>
    <w:rsid w:val="00A83A4F"/>
    <w:rsid w:val="00A83A6C"/>
    <w:rsid w:val="00A83C62"/>
    <w:rsid w:val="00A83C78"/>
    <w:rsid w:val="00A83D42"/>
    <w:rsid w:val="00A83DA1"/>
    <w:rsid w:val="00A83DA4"/>
    <w:rsid w:val="00A83DAB"/>
    <w:rsid w:val="00A83E08"/>
    <w:rsid w:val="00A83E51"/>
    <w:rsid w:val="00A83ECB"/>
    <w:rsid w:val="00A83F54"/>
    <w:rsid w:val="00A8415A"/>
    <w:rsid w:val="00A84244"/>
    <w:rsid w:val="00A842F9"/>
    <w:rsid w:val="00A84520"/>
    <w:rsid w:val="00A84547"/>
    <w:rsid w:val="00A84676"/>
    <w:rsid w:val="00A8467F"/>
    <w:rsid w:val="00A84967"/>
    <w:rsid w:val="00A84994"/>
    <w:rsid w:val="00A849B4"/>
    <w:rsid w:val="00A84A0F"/>
    <w:rsid w:val="00A84B27"/>
    <w:rsid w:val="00A84B29"/>
    <w:rsid w:val="00A84B2F"/>
    <w:rsid w:val="00A84C50"/>
    <w:rsid w:val="00A84CBE"/>
    <w:rsid w:val="00A84D71"/>
    <w:rsid w:val="00A84F7A"/>
    <w:rsid w:val="00A84F94"/>
    <w:rsid w:val="00A84FC4"/>
    <w:rsid w:val="00A85089"/>
    <w:rsid w:val="00A850B9"/>
    <w:rsid w:val="00A85165"/>
    <w:rsid w:val="00A85243"/>
    <w:rsid w:val="00A85268"/>
    <w:rsid w:val="00A853C6"/>
    <w:rsid w:val="00A8545B"/>
    <w:rsid w:val="00A854BA"/>
    <w:rsid w:val="00A85511"/>
    <w:rsid w:val="00A8552C"/>
    <w:rsid w:val="00A85748"/>
    <w:rsid w:val="00A8576A"/>
    <w:rsid w:val="00A85775"/>
    <w:rsid w:val="00A8581D"/>
    <w:rsid w:val="00A858C9"/>
    <w:rsid w:val="00A85944"/>
    <w:rsid w:val="00A85A35"/>
    <w:rsid w:val="00A85A75"/>
    <w:rsid w:val="00A85CA8"/>
    <w:rsid w:val="00A85D71"/>
    <w:rsid w:val="00A85D9C"/>
    <w:rsid w:val="00A85DD3"/>
    <w:rsid w:val="00A85EE1"/>
    <w:rsid w:val="00A86022"/>
    <w:rsid w:val="00A86060"/>
    <w:rsid w:val="00A861E6"/>
    <w:rsid w:val="00A862E7"/>
    <w:rsid w:val="00A86405"/>
    <w:rsid w:val="00A8642C"/>
    <w:rsid w:val="00A8653F"/>
    <w:rsid w:val="00A8664D"/>
    <w:rsid w:val="00A86679"/>
    <w:rsid w:val="00A866E5"/>
    <w:rsid w:val="00A867C6"/>
    <w:rsid w:val="00A867D6"/>
    <w:rsid w:val="00A8680F"/>
    <w:rsid w:val="00A8698D"/>
    <w:rsid w:val="00A86BF6"/>
    <w:rsid w:val="00A86E29"/>
    <w:rsid w:val="00A86E2A"/>
    <w:rsid w:val="00A86F0F"/>
    <w:rsid w:val="00A87094"/>
    <w:rsid w:val="00A870B9"/>
    <w:rsid w:val="00A870ED"/>
    <w:rsid w:val="00A8717A"/>
    <w:rsid w:val="00A871BB"/>
    <w:rsid w:val="00A87287"/>
    <w:rsid w:val="00A8728D"/>
    <w:rsid w:val="00A872A8"/>
    <w:rsid w:val="00A876D0"/>
    <w:rsid w:val="00A87786"/>
    <w:rsid w:val="00A878EA"/>
    <w:rsid w:val="00A87A39"/>
    <w:rsid w:val="00A87A48"/>
    <w:rsid w:val="00A87ACC"/>
    <w:rsid w:val="00A87B3C"/>
    <w:rsid w:val="00A87B9A"/>
    <w:rsid w:val="00A87BA4"/>
    <w:rsid w:val="00A87C06"/>
    <w:rsid w:val="00A87C8C"/>
    <w:rsid w:val="00A87CA9"/>
    <w:rsid w:val="00A87F3F"/>
    <w:rsid w:val="00A87FB4"/>
    <w:rsid w:val="00A87FDE"/>
    <w:rsid w:val="00A90050"/>
    <w:rsid w:val="00A9008C"/>
    <w:rsid w:val="00A90197"/>
    <w:rsid w:val="00A90343"/>
    <w:rsid w:val="00A90383"/>
    <w:rsid w:val="00A904F0"/>
    <w:rsid w:val="00A904F1"/>
    <w:rsid w:val="00A90505"/>
    <w:rsid w:val="00A90523"/>
    <w:rsid w:val="00A90586"/>
    <w:rsid w:val="00A906A7"/>
    <w:rsid w:val="00A9070B"/>
    <w:rsid w:val="00A9082C"/>
    <w:rsid w:val="00A908BE"/>
    <w:rsid w:val="00A908D0"/>
    <w:rsid w:val="00A9090C"/>
    <w:rsid w:val="00A9096C"/>
    <w:rsid w:val="00A9096E"/>
    <w:rsid w:val="00A909EE"/>
    <w:rsid w:val="00A90AF6"/>
    <w:rsid w:val="00A90C7D"/>
    <w:rsid w:val="00A90D4A"/>
    <w:rsid w:val="00A90D7E"/>
    <w:rsid w:val="00A90F73"/>
    <w:rsid w:val="00A910ED"/>
    <w:rsid w:val="00A91225"/>
    <w:rsid w:val="00A91294"/>
    <w:rsid w:val="00A914D2"/>
    <w:rsid w:val="00A91718"/>
    <w:rsid w:val="00A91834"/>
    <w:rsid w:val="00A91A3C"/>
    <w:rsid w:val="00A91AB5"/>
    <w:rsid w:val="00A91AC9"/>
    <w:rsid w:val="00A91BDE"/>
    <w:rsid w:val="00A91C00"/>
    <w:rsid w:val="00A91C66"/>
    <w:rsid w:val="00A91E35"/>
    <w:rsid w:val="00A91F00"/>
    <w:rsid w:val="00A91F27"/>
    <w:rsid w:val="00A92053"/>
    <w:rsid w:val="00A920E7"/>
    <w:rsid w:val="00A92107"/>
    <w:rsid w:val="00A9210D"/>
    <w:rsid w:val="00A9220A"/>
    <w:rsid w:val="00A92251"/>
    <w:rsid w:val="00A92258"/>
    <w:rsid w:val="00A922D8"/>
    <w:rsid w:val="00A92383"/>
    <w:rsid w:val="00A924FD"/>
    <w:rsid w:val="00A925E6"/>
    <w:rsid w:val="00A925FA"/>
    <w:rsid w:val="00A92636"/>
    <w:rsid w:val="00A92691"/>
    <w:rsid w:val="00A926A7"/>
    <w:rsid w:val="00A92815"/>
    <w:rsid w:val="00A92A41"/>
    <w:rsid w:val="00A92B2E"/>
    <w:rsid w:val="00A92B38"/>
    <w:rsid w:val="00A92BD7"/>
    <w:rsid w:val="00A92C6F"/>
    <w:rsid w:val="00A92F14"/>
    <w:rsid w:val="00A93098"/>
    <w:rsid w:val="00A93168"/>
    <w:rsid w:val="00A93194"/>
    <w:rsid w:val="00A931ED"/>
    <w:rsid w:val="00A9320B"/>
    <w:rsid w:val="00A93240"/>
    <w:rsid w:val="00A93383"/>
    <w:rsid w:val="00A935B3"/>
    <w:rsid w:val="00A9369E"/>
    <w:rsid w:val="00A937DA"/>
    <w:rsid w:val="00A937DD"/>
    <w:rsid w:val="00A937F4"/>
    <w:rsid w:val="00A93804"/>
    <w:rsid w:val="00A93882"/>
    <w:rsid w:val="00A938AA"/>
    <w:rsid w:val="00A9390E"/>
    <w:rsid w:val="00A939CE"/>
    <w:rsid w:val="00A93A5D"/>
    <w:rsid w:val="00A93AE4"/>
    <w:rsid w:val="00A93CD8"/>
    <w:rsid w:val="00A93D2F"/>
    <w:rsid w:val="00A93F21"/>
    <w:rsid w:val="00A93F9C"/>
    <w:rsid w:val="00A94061"/>
    <w:rsid w:val="00A94198"/>
    <w:rsid w:val="00A94235"/>
    <w:rsid w:val="00A942B3"/>
    <w:rsid w:val="00A942E0"/>
    <w:rsid w:val="00A94369"/>
    <w:rsid w:val="00A94417"/>
    <w:rsid w:val="00A9445D"/>
    <w:rsid w:val="00A944B9"/>
    <w:rsid w:val="00A9461C"/>
    <w:rsid w:val="00A94659"/>
    <w:rsid w:val="00A946C9"/>
    <w:rsid w:val="00A9483E"/>
    <w:rsid w:val="00A94A87"/>
    <w:rsid w:val="00A94B98"/>
    <w:rsid w:val="00A94C59"/>
    <w:rsid w:val="00A94CB6"/>
    <w:rsid w:val="00A94D0C"/>
    <w:rsid w:val="00A94D28"/>
    <w:rsid w:val="00A94E8E"/>
    <w:rsid w:val="00A95016"/>
    <w:rsid w:val="00A95097"/>
    <w:rsid w:val="00A950BA"/>
    <w:rsid w:val="00A9510B"/>
    <w:rsid w:val="00A95153"/>
    <w:rsid w:val="00A952DC"/>
    <w:rsid w:val="00A952FC"/>
    <w:rsid w:val="00A9535F"/>
    <w:rsid w:val="00A954E1"/>
    <w:rsid w:val="00A95588"/>
    <w:rsid w:val="00A95712"/>
    <w:rsid w:val="00A9572F"/>
    <w:rsid w:val="00A958C7"/>
    <w:rsid w:val="00A9595A"/>
    <w:rsid w:val="00A959D2"/>
    <w:rsid w:val="00A95A7D"/>
    <w:rsid w:val="00A95AC6"/>
    <w:rsid w:val="00A95AD3"/>
    <w:rsid w:val="00A95AE0"/>
    <w:rsid w:val="00A95BB2"/>
    <w:rsid w:val="00A95BDA"/>
    <w:rsid w:val="00A95C72"/>
    <w:rsid w:val="00A95CAE"/>
    <w:rsid w:val="00A95DB4"/>
    <w:rsid w:val="00A95DC6"/>
    <w:rsid w:val="00A95E0E"/>
    <w:rsid w:val="00A95EA0"/>
    <w:rsid w:val="00A95EC4"/>
    <w:rsid w:val="00A96022"/>
    <w:rsid w:val="00A9612B"/>
    <w:rsid w:val="00A961AE"/>
    <w:rsid w:val="00A96232"/>
    <w:rsid w:val="00A96298"/>
    <w:rsid w:val="00A96338"/>
    <w:rsid w:val="00A9640B"/>
    <w:rsid w:val="00A964A8"/>
    <w:rsid w:val="00A965EC"/>
    <w:rsid w:val="00A96613"/>
    <w:rsid w:val="00A967B1"/>
    <w:rsid w:val="00A96952"/>
    <w:rsid w:val="00A969BF"/>
    <w:rsid w:val="00A96A9D"/>
    <w:rsid w:val="00A96AE3"/>
    <w:rsid w:val="00A96B29"/>
    <w:rsid w:val="00A96B46"/>
    <w:rsid w:val="00A96B80"/>
    <w:rsid w:val="00A96BBA"/>
    <w:rsid w:val="00A96BC2"/>
    <w:rsid w:val="00A96BEF"/>
    <w:rsid w:val="00A96C9D"/>
    <w:rsid w:val="00A96DCF"/>
    <w:rsid w:val="00A96EDB"/>
    <w:rsid w:val="00A96EF7"/>
    <w:rsid w:val="00A96F17"/>
    <w:rsid w:val="00A96F66"/>
    <w:rsid w:val="00A970C9"/>
    <w:rsid w:val="00A97190"/>
    <w:rsid w:val="00A97203"/>
    <w:rsid w:val="00A972C5"/>
    <w:rsid w:val="00A97317"/>
    <w:rsid w:val="00A97431"/>
    <w:rsid w:val="00A97795"/>
    <w:rsid w:val="00A978FC"/>
    <w:rsid w:val="00A979B8"/>
    <w:rsid w:val="00A97B7B"/>
    <w:rsid w:val="00A97C28"/>
    <w:rsid w:val="00A97D6E"/>
    <w:rsid w:val="00A97DAC"/>
    <w:rsid w:val="00A97EA3"/>
    <w:rsid w:val="00A97F94"/>
    <w:rsid w:val="00A97FEE"/>
    <w:rsid w:val="00AA004D"/>
    <w:rsid w:val="00AA0057"/>
    <w:rsid w:val="00AA00EB"/>
    <w:rsid w:val="00AA0178"/>
    <w:rsid w:val="00AA021A"/>
    <w:rsid w:val="00AA03FA"/>
    <w:rsid w:val="00AA062E"/>
    <w:rsid w:val="00AA079C"/>
    <w:rsid w:val="00AA07B6"/>
    <w:rsid w:val="00AA07E6"/>
    <w:rsid w:val="00AA08AD"/>
    <w:rsid w:val="00AA08EF"/>
    <w:rsid w:val="00AA098A"/>
    <w:rsid w:val="00AA09D4"/>
    <w:rsid w:val="00AA0A2D"/>
    <w:rsid w:val="00AA0B69"/>
    <w:rsid w:val="00AA0B7E"/>
    <w:rsid w:val="00AA0D25"/>
    <w:rsid w:val="00AA0D28"/>
    <w:rsid w:val="00AA0D59"/>
    <w:rsid w:val="00AA0E19"/>
    <w:rsid w:val="00AA0FA2"/>
    <w:rsid w:val="00AA0FED"/>
    <w:rsid w:val="00AA1013"/>
    <w:rsid w:val="00AA1089"/>
    <w:rsid w:val="00AA10E8"/>
    <w:rsid w:val="00AA1328"/>
    <w:rsid w:val="00AA157B"/>
    <w:rsid w:val="00AA15F4"/>
    <w:rsid w:val="00AA169C"/>
    <w:rsid w:val="00AA16D7"/>
    <w:rsid w:val="00AA175B"/>
    <w:rsid w:val="00AA17FD"/>
    <w:rsid w:val="00AA18F8"/>
    <w:rsid w:val="00AA1A8F"/>
    <w:rsid w:val="00AA1AB2"/>
    <w:rsid w:val="00AA1AF3"/>
    <w:rsid w:val="00AA1C14"/>
    <w:rsid w:val="00AA1C3B"/>
    <w:rsid w:val="00AA1DFF"/>
    <w:rsid w:val="00AA1E1F"/>
    <w:rsid w:val="00AA1E5C"/>
    <w:rsid w:val="00AA1E74"/>
    <w:rsid w:val="00AA1F1D"/>
    <w:rsid w:val="00AA1FEC"/>
    <w:rsid w:val="00AA204F"/>
    <w:rsid w:val="00AA2149"/>
    <w:rsid w:val="00AA224D"/>
    <w:rsid w:val="00AA22E0"/>
    <w:rsid w:val="00AA231E"/>
    <w:rsid w:val="00AA2422"/>
    <w:rsid w:val="00AA2504"/>
    <w:rsid w:val="00AA2585"/>
    <w:rsid w:val="00AA2797"/>
    <w:rsid w:val="00AA29A2"/>
    <w:rsid w:val="00AA2A8D"/>
    <w:rsid w:val="00AA2BFD"/>
    <w:rsid w:val="00AA2C70"/>
    <w:rsid w:val="00AA2D51"/>
    <w:rsid w:val="00AA2D7E"/>
    <w:rsid w:val="00AA2DF2"/>
    <w:rsid w:val="00AA2E0E"/>
    <w:rsid w:val="00AA2EB0"/>
    <w:rsid w:val="00AA2EBB"/>
    <w:rsid w:val="00AA2FAA"/>
    <w:rsid w:val="00AA3142"/>
    <w:rsid w:val="00AA3184"/>
    <w:rsid w:val="00AA3250"/>
    <w:rsid w:val="00AA32AD"/>
    <w:rsid w:val="00AA3386"/>
    <w:rsid w:val="00AA33D5"/>
    <w:rsid w:val="00AA34AA"/>
    <w:rsid w:val="00AA3620"/>
    <w:rsid w:val="00AA36B9"/>
    <w:rsid w:val="00AA3949"/>
    <w:rsid w:val="00AA3A2B"/>
    <w:rsid w:val="00AA3AAD"/>
    <w:rsid w:val="00AA3B82"/>
    <w:rsid w:val="00AA3C60"/>
    <w:rsid w:val="00AA3CC3"/>
    <w:rsid w:val="00AA3D5D"/>
    <w:rsid w:val="00AA3E9C"/>
    <w:rsid w:val="00AA3F02"/>
    <w:rsid w:val="00AA3FE8"/>
    <w:rsid w:val="00AA4064"/>
    <w:rsid w:val="00AA40E7"/>
    <w:rsid w:val="00AA4118"/>
    <w:rsid w:val="00AA41BD"/>
    <w:rsid w:val="00AA420D"/>
    <w:rsid w:val="00AA423A"/>
    <w:rsid w:val="00AA42B8"/>
    <w:rsid w:val="00AA4624"/>
    <w:rsid w:val="00AA468A"/>
    <w:rsid w:val="00AA47CB"/>
    <w:rsid w:val="00AA4825"/>
    <w:rsid w:val="00AA488A"/>
    <w:rsid w:val="00AA495B"/>
    <w:rsid w:val="00AA4993"/>
    <w:rsid w:val="00AA49C5"/>
    <w:rsid w:val="00AA49D1"/>
    <w:rsid w:val="00AA4A73"/>
    <w:rsid w:val="00AA4AE0"/>
    <w:rsid w:val="00AA4CCA"/>
    <w:rsid w:val="00AA4DCB"/>
    <w:rsid w:val="00AA4E34"/>
    <w:rsid w:val="00AA4E38"/>
    <w:rsid w:val="00AA4EED"/>
    <w:rsid w:val="00AA4F0D"/>
    <w:rsid w:val="00AA4FD5"/>
    <w:rsid w:val="00AA51DB"/>
    <w:rsid w:val="00AA52C0"/>
    <w:rsid w:val="00AA5336"/>
    <w:rsid w:val="00AA53CE"/>
    <w:rsid w:val="00AA53D7"/>
    <w:rsid w:val="00AA53EE"/>
    <w:rsid w:val="00AA5421"/>
    <w:rsid w:val="00AA548F"/>
    <w:rsid w:val="00AA5647"/>
    <w:rsid w:val="00AA57D4"/>
    <w:rsid w:val="00AA582D"/>
    <w:rsid w:val="00AA5875"/>
    <w:rsid w:val="00AA58BE"/>
    <w:rsid w:val="00AA5915"/>
    <w:rsid w:val="00AA5919"/>
    <w:rsid w:val="00AA59EA"/>
    <w:rsid w:val="00AA59F3"/>
    <w:rsid w:val="00AA5AFF"/>
    <w:rsid w:val="00AA5BF1"/>
    <w:rsid w:val="00AA5C15"/>
    <w:rsid w:val="00AA5C29"/>
    <w:rsid w:val="00AA5D89"/>
    <w:rsid w:val="00AA5DF8"/>
    <w:rsid w:val="00AA5E1B"/>
    <w:rsid w:val="00AA5EC4"/>
    <w:rsid w:val="00AA5EDA"/>
    <w:rsid w:val="00AA5EE0"/>
    <w:rsid w:val="00AA5F2A"/>
    <w:rsid w:val="00AA5F95"/>
    <w:rsid w:val="00AA5FE6"/>
    <w:rsid w:val="00AA6045"/>
    <w:rsid w:val="00AA6063"/>
    <w:rsid w:val="00AA60C3"/>
    <w:rsid w:val="00AA60EC"/>
    <w:rsid w:val="00AA6114"/>
    <w:rsid w:val="00AA619D"/>
    <w:rsid w:val="00AA6202"/>
    <w:rsid w:val="00AA62B2"/>
    <w:rsid w:val="00AA648B"/>
    <w:rsid w:val="00AA64D4"/>
    <w:rsid w:val="00AA65F0"/>
    <w:rsid w:val="00AA6639"/>
    <w:rsid w:val="00AA6687"/>
    <w:rsid w:val="00AA678D"/>
    <w:rsid w:val="00AA67E3"/>
    <w:rsid w:val="00AA6825"/>
    <w:rsid w:val="00AA6834"/>
    <w:rsid w:val="00AA6944"/>
    <w:rsid w:val="00AA6A55"/>
    <w:rsid w:val="00AA6A6C"/>
    <w:rsid w:val="00AA6A81"/>
    <w:rsid w:val="00AA6B13"/>
    <w:rsid w:val="00AA6BF7"/>
    <w:rsid w:val="00AA6C9E"/>
    <w:rsid w:val="00AA6D4B"/>
    <w:rsid w:val="00AA6D76"/>
    <w:rsid w:val="00AA6E8B"/>
    <w:rsid w:val="00AA706F"/>
    <w:rsid w:val="00AA711D"/>
    <w:rsid w:val="00AA7133"/>
    <w:rsid w:val="00AA743B"/>
    <w:rsid w:val="00AA7485"/>
    <w:rsid w:val="00AA7486"/>
    <w:rsid w:val="00AA7557"/>
    <w:rsid w:val="00AA7808"/>
    <w:rsid w:val="00AA7858"/>
    <w:rsid w:val="00AA7894"/>
    <w:rsid w:val="00AA7931"/>
    <w:rsid w:val="00AA7A44"/>
    <w:rsid w:val="00AA7A50"/>
    <w:rsid w:val="00AA7A70"/>
    <w:rsid w:val="00AA7AA8"/>
    <w:rsid w:val="00AA7AC4"/>
    <w:rsid w:val="00AA7AC5"/>
    <w:rsid w:val="00AA7AC9"/>
    <w:rsid w:val="00AA7D30"/>
    <w:rsid w:val="00AA7D31"/>
    <w:rsid w:val="00AA7D38"/>
    <w:rsid w:val="00AA7E2E"/>
    <w:rsid w:val="00AA7E4A"/>
    <w:rsid w:val="00AA7F78"/>
    <w:rsid w:val="00AA7FBC"/>
    <w:rsid w:val="00AB0171"/>
    <w:rsid w:val="00AB01C9"/>
    <w:rsid w:val="00AB0367"/>
    <w:rsid w:val="00AB042E"/>
    <w:rsid w:val="00AB044F"/>
    <w:rsid w:val="00AB0472"/>
    <w:rsid w:val="00AB05B3"/>
    <w:rsid w:val="00AB0680"/>
    <w:rsid w:val="00AB06E0"/>
    <w:rsid w:val="00AB0744"/>
    <w:rsid w:val="00AB08EA"/>
    <w:rsid w:val="00AB094B"/>
    <w:rsid w:val="00AB0A5B"/>
    <w:rsid w:val="00AB0C9C"/>
    <w:rsid w:val="00AB0DAE"/>
    <w:rsid w:val="00AB0E4D"/>
    <w:rsid w:val="00AB0EF7"/>
    <w:rsid w:val="00AB0F64"/>
    <w:rsid w:val="00AB0F6B"/>
    <w:rsid w:val="00AB1000"/>
    <w:rsid w:val="00AB10F4"/>
    <w:rsid w:val="00AB11CB"/>
    <w:rsid w:val="00AB11F8"/>
    <w:rsid w:val="00AB1214"/>
    <w:rsid w:val="00AB13E2"/>
    <w:rsid w:val="00AB159E"/>
    <w:rsid w:val="00AB16DD"/>
    <w:rsid w:val="00AB1733"/>
    <w:rsid w:val="00AB1749"/>
    <w:rsid w:val="00AB17C2"/>
    <w:rsid w:val="00AB1831"/>
    <w:rsid w:val="00AB18F8"/>
    <w:rsid w:val="00AB198A"/>
    <w:rsid w:val="00AB19C1"/>
    <w:rsid w:val="00AB1A43"/>
    <w:rsid w:val="00AB1C92"/>
    <w:rsid w:val="00AB1D57"/>
    <w:rsid w:val="00AB1DD8"/>
    <w:rsid w:val="00AB1DDD"/>
    <w:rsid w:val="00AB1E0C"/>
    <w:rsid w:val="00AB1E30"/>
    <w:rsid w:val="00AB1E62"/>
    <w:rsid w:val="00AB1E90"/>
    <w:rsid w:val="00AB1FB0"/>
    <w:rsid w:val="00AB2097"/>
    <w:rsid w:val="00AB2285"/>
    <w:rsid w:val="00AB24B5"/>
    <w:rsid w:val="00AB2515"/>
    <w:rsid w:val="00AB2539"/>
    <w:rsid w:val="00AB2595"/>
    <w:rsid w:val="00AB2638"/>
    <w:rsid w:val="00AB26FD"/>
    <w:rsid w:val="00AB293B"/>
    <w:rsid w:val="00AB2A19"/>
    <w:rsid w:val="00AB2A8B"/>
    <w:rsid w:val="00AB2AFE"/>
    <w:rsid w:val="00AB2B4C"/>
    <w:rsid w:val="00AB2BAC"/>
    <w:rsid w:val="00AB2BB4"/>
    <w:rsid w:val="00AB2C6C"/>
    <w:rsid w:val="00AB2D44"/>
    <w:rsid w:val="00AB3182"/>
    <w:rsid w:val="00AB31EF"/>
    <w:rsid w:val="00AB32BD"/>
    <w:rsid w:val="00AB32FF"/>
    <w:rsid w:val="00AB3409"/>
    <w:rsid w:val="00AB3454"/>
    <w:rsid w:val="00AB34B8"/>
    <w:rsid w:val="00AB350F"/>
    <w:rsid w:val="00AB35A7"/>
    <w:rsid w:val="00AB3708"/>
    <w:rsid w:val="00AB37C8"/>
    <w:rsid w:val="00AB3922"/>
    <w:rsid w:val="00AB394B"/>
    <w:rsid w:val="00AB39A3"/>
    <w:rsid w:val="00AB3B5B"/>
    <w:rsid w:val="00AB3F09"/>
    <w:rsid w:val="00AB3F83"/>
    <w:rsid w:val="00AB41B6"/>
    <w:rsid w:val="00AB41FC"/>
    <w:rsid w:val="00AB4213"/>
    <w:rsid w:val="00AB4300"/>
    <w:rsid w:val="00AB4486"/>
    <w:rsid w:val="00AB44F8"/>
    <w:rsid w:val="00AB4502"/>
    <w:rsid w:val="00AB45BC"/>
    <w:rsid w:val="00AB468A"/>
    <w:rsid w:val="00AB4803"/>
    <w:rsid w:val="00AB4863"/>
    <w:rsid w:val="00AB48EF"/>
    <w:rsid w:val="00AB4A31"/>
    <w:rsid w:val="00AB4AA6"/>
    <w:rsid w:val="00AB4C46"/>
    <w:rsid w:val="00AB4CF6"/>
    <w:rsid w:val="00AB4D5B"/>
    <w:rsid w:val="00AB4DEF"/>
    <w:rsid w:val="00AB4E0D"/>
    <w:rsid w:val="00AB4E65"/>
    <w:rsid w:val="00AB4E69"/>
    <w:rsid w:val="00AB4FDF"/>
    <w:rsid w:val="00AB50B1"/>
    <w:rsid w:val="00AB52CB"/>
    <w:rsid w:val="00AB5384"/>
    <w:rsid w:val="00AB539D"/>
    <w:rsid w:val="00AB53B1"/>
    <w:rsid w:val="00AB563D"/>
    <w:rsid w:val="00AB5723"/>
    <w:rsid w:val="00AB580A"/>
    <w:rsid w:val="00AB5853"/>
    <w:rsid w:val="00AB5A61"/>
    <w:rsid w:val="00AB5BEF"/>
    <w:rsid w:val="00AB5F4B"/>
    <w:rsid w:val="00AB617C"/>
    <w:rsid w:val="00AB61F4"/>
    <w:rsid w:val="00AB61FD"/>
    <w:rsid w:val="00AB62A4"/>
    <w:rsid w:val="00AB63A3"/>
    <w:rsid w:val="00AB66C5"/>
    <w:rsid w:val="00AB6721"/>
    <w:rsid w:val="00AB68A2"/>
    <w:rsid w:val="00AB690E"/>
    <w:rsid w:val="00AB695B"/>
    <w:rsid w:val="00AB6970"/>
    <w:rsid w:val="00AB6ADB"/>
    <w:rsid w:val="00AB6BFF"/>
    <w:rsid w:val="00AB6EE2"/>
    <w:rsid w:val="00AB6F32"/>
    <w:rsid w:val="00AB6F96"/>
    <w:rsid w:val="00AB704B"/>
    <w:rsid w:val="00AB7098"/>
    <w:rsid w:val="00AB70EF"/>
    <w:rsid w:val="00AB7183"/>
    <w:rsid w:val="00AB7185"/>
    <w:rsid w:val="00AB73A6"/>
    <w:rsid w:val="00AB74F0"/>
    <w:rsid w:val="00AB75B5"/>
    <w:rsid w:val="00AB75C1"/>
    <w:rsid w:val="00AB769B"/>
    <w:rsid w:val="00AB773C"/>
    <w:rsid w:val="00AB78BE"/>
    <w:rsid w:val="00AB7A26"/>
    <w:rsid w:val="00AB7A54"/>
    <w:rsid w:val="00AB7AE3"/>
    <w:rsid w:val="00AB7CB8"/>
    <w:rsid w:val="00AB7D04"/>
    <w:rsid w:val="00AB7DD6"/>
    <w:rsid w:val="00AB7FB7"/>
    <w:rsid w:val="00AB7FEF"/>
    <w:rsid w:val="00AC0053"/>
    <w:rsid w:val="00AC01BE"/>
    <w:rsid w:val="00AC039F"/>
    <w:rsid w:val="00AC0420"/>
    <w:rsid w:val="00AC05B5"/>
    <w:rsid w:val="00AC0622"/>
    <w:rsid w:val="00AC0642"/>
    <w:rsid w:val="00AC0769"/>
    <w:rsid w:val="00AC0915"/>
    <w:rsid w:val="00AC0A57"/>
    <w:rsid w:val="00AC0BE2"/>
    <w:rsid w:val="00AC0BF3"/>
    <w:rsid w:val="00AC0C2B"/>
    <w:rsid w:val="00AC0C63"/>
    <w:rsid w:val="00AC0C88"/>
    <w:rsid w:val="00AC0C89"/>
    <w:rsid w:val="00AC0D17"/>
    <w:rsid w:val="00AC0DB6"/>
    <w:rsid w:val="00AC0DD9"/>
    <w:rsid w:val="00AC0EA6"/>
    <w:rsid w:val="00AC1027"/>
    <w:rsid w:val="00AC1058"/>
    <w:rsid w:val="00AC11B7"/>
    <w:rsid w:val="00AC1391"/>
    <w:rsid w:val="00AC172E"/>
    <w:rsid w:val="00AC1843"/>
    <w:rsid w:val="00AC1965"/>
    <w:rsid w:val="00AC1985"/>
    <w:rsid w:val="00AC19C1"/>
    <w:rsid w:val="00AC19F3"/>
    <w:rsid w:val="00AC1AF2"/>
    <w:rsid w:val="00AC1B48"/>
    <w:rsid w:val="00AC1C11"/>
    <w:rsid w:val="00AC1C9A"/>
    <w:rsid w:val="00AC1F55"/>
    <w:rsid w:val="00AC1FA7"/>
    <w:rsid w:val="00AC1FEF"/>
    <w:rsid w:val="00AC2329"/>
    <w:rsid w:val="00AC2336"/>
    <w:rsid w:val="00AC25B8"/>
    <w:rsid w:val="00AC2692"/>
    <w:rsid w:val="00AC2A2B"/>
    <w:rsid w:val="00AC2C1A"/>
    <w:rsid w:val="00AC2D29"/>
    <w:rsid w:val="00AC2DE5"/>
    <w:rsid w:val="00AC2EB4"/>
    <w:rsid w:val="00AC2F26"/>
    <w:rsid w:val="00AC306A"/>
    <w:rsid w:val="00AC30BA"/>
    <w:rsid w:val="00AC30C2"/>
    <w:rsid w:val="00AC3149"/>
    <w:rsid w:val="00AC315A"/>
    <w:rsid w:val="00AC31D7"/>
    <w:rsid w:val="00AC3233"/>
    <w:rsid w:val="00AC3246"/>
    <w:rsid w:val="00AC3284"/>
    <w:rsid w:val="00AC341E"/>
    <w:rsid w:val="00AC345E"/>
    <w:rsid w:val="00AC3485"/>
    <w:rsid w:val="00AC351B"/>
    <w:rsid w:val="00AC3552"/>
    <w:rsid w:val="00AC3591"/>
    <w:rsid w:val="00AC3624"/>
    <w:rsid w:val="00AC38EA"/>
    <w:rsid w:val="00AC3937"/>
    <w:rsid w:val="00AC3986"/>
    <w:rsid w:val="00AC3997"/>
    <w:rsid w:val="00AC3AFD"/>
    <w:rsid w:val="00AC3D4C"/>
    <w:rsid w:val="00AC3EB9"/>
    <w:rsid w:val="00AC3FDE"/>
    <w:rsid w:val="00AC400D"/>
    <w:rsid w:val="00AC41E4"/>
    <w:rsid w:val="00AC4269"/>
    <w:rsid w:val="00AC427B"/>
    <w:rsid w:val="00AC4289"/>
    <w:rsid w:val="00AC430D"/>
    <w:rsid w:val="00AC43C8"/>
    <w:rsid w:val="00AC4470"/>
    <w:rsid w:val="00AC4579"/>
    <w:rsid w:val="00AC45B8"/>
    <w:rsid w:val="00AC45CE"/>
    <w:rsid w:val="00AC4609"/>
    <w:rsid w:val="00AC462F"/>
    <w:rsid w:val="00AC4921"/>
    <w:rsid w:val="00AC4B24"/>
    <w:rsid w:val="00AC4BB7"/>
    <w:rsid w:val="00AC4C62"/>
    <w:rsid w:val="00AC4D79"/>
    <w:rsid w:val="00AC4DFA"/>
    <w:rsid w:val="00AC4E28"/>
    <w:rsid w:val="00AC4E95"/>
    <w:rsid w:val="00AC5050"/>
    <w:rsid w:val="00AC5158"/>
    <w:rsid w:val="00AC540A"/>
    <w:rsid w:val="00AC5495"/>
    <w:rsid w:val="00AC54A5"/>
    <w:rsid w:val="00AC550A"/>
    <w:rsid w:val="00AC5513"/>
    <w:rsid w:val="00AC55BC"/>
    <w:rsid w:val="00AC55D3"/>
    <w:rsid w:val="00AC5703"/>
    <w:rsid w:val="00AC575E"/>
    <w:rsid w:val="00AC57C0"/>
    <w:rsid w:val="00AC57F7"/>
    <w:rsid w:val="00AC59B0"/>
    <w:rsid w:val="00AC59E6"/>
    <w:rsid w:val="00AC5BF9"/>
    <w:rsid w:val="00AC5C2E"/>
    <w:rsid w:val="00AC5CB6"/>
    <w:rsid w:val="00AC5CCF"/>
    <w:rsid w:val="00AC5DDE"/>
    <w:rsid w:val="00AC5E57"/>
    <w:rsid w:val="00AC5F2A"/>
    <w:rsid w:val="00AC5F4C"/>
    <w:rsid w:val="00AC6026"/>
    <w:rsid w:val="00AC604C"/>
    <w:rsid w:val="00AC6055"/>
    <w:rsid w:val="00AC61A6"/>
    <w:rsid w:val="00AC628E"/>
    <w:rsid w:val="00AC6322"/>
    <w:rsid w:val="00AC6367"/>
    <w:rsid w:val="00AC6432"/>
    <w:rsid w:val="00AC6434"/>
    <w:rsid w:val="00AC6549"/>
    <w:rsid w:val="00AC6710"/>
    <w:rsid w:val="00AC6773"/>
    <w:rsid w:val="00AC67EB"/>
    <w:rsid w:val="00AC68A6"/>
    <w:rsid w:val="00AC6906"/>
    <w:rsid w:val="00AC69B1"/>
    <w:rsid w:val="00AC69DC"/>
    <w:rsid w:val="00AC6A34"/>
    <w:rsid w:val="00AC6B2C"/>
    <w:rsid w:val="00AC6CBF"/>
    <w:rsid w:val="00AC6CF0"/>
    <w:rsid w:val="00AC6CFB"/>
    <w:rsid w:val="00AC6DF2"/>
    <w:rsid w:val="00AC6EF1"/>
    <w:rsid w:val="00AC6F22"/>
    <w:rsid w:val="00AC7103"/>
    <w:rsid w:val="00AC7228"/>
    <w:rsid w:val="00AC726A"/>
    <w:rsid w:val="00AC72FB"/>
    <w:rsid w:val="00AC736F"/>
    <w:rsid w:val="00AC74E3"/>
    <w:rsid w:val="00AC74F3"/>
    <w:rsid w:val="00AC757B"/>
    <w:rsid w:val="00AC76D5"/>
    <w:rsid w:val="00AC7736"/>
    <w:rsid w:val="00AC798F"/>
    <w:rsid w:val="00AC7AE9"/>
    <w:rsid w:val="00AC7B6C"/>
    <w:rsid w:val="00AC7BA2"/>
    <w:rsid w:val="00AC7BC9"/>
    <w:rsid w:val="00AC7CAC"/>
    <w:rsid w:val="00AC7D69"/>
    <w:rsid w:val="00AC7E66"/>
    <w:rsid w:val="00AD0036"/>
    <w:rsid w:val="00AD0264"/>
    <w:rsid w:val="00AD029C"/>
    <w:rsid w:val="00AD02FC"/>
    <w:rsid w:val="00AD0322"/>
    <w:rsid w:val="00AD0371"/>
    <w:rsid w:val="00AD04AC"/>
    <w:rsid w:val="00AD0548"/>
    <w:rsid w:val="00AD0572"/>
    <w:rsid w:val="00AD07C1"/>
    <w:rsid w:val="00AD098F"/>
    <w:rsid w:val="00AD0A53"/>
    <w:rsid w:val="00AD0AA2"/>
    <w:rsid w:val="00AD0B89"/>
    <w:rsid w:val="00AD0BF0"/>
    <w:rsid w:val="00AD0C08"/>
    <w:rsid w:val="00AD0D04"/>
    <w:rsid w:val="00AD0DB8"/>
    <w:rsid w:val="00AD0DF9"/>
    <w:rsid w:val="00AD0E17"/>
    <w:rsid w:val="00AD0E4F"/>
    <w:rsid w:val="00AD0F92"/>
    <w:rsid w:val="00AD0FCF"/>
    <w:rsid w:val="00AD1021"/>
    <w:rsid w:val="00AD1151"/>
    <w:rsid w:val="00AD11E8"/>
    <w:rsid w:val="00AD123F"/>
    <w:rsid w:val="00AD1274"/>
    <w:rsid w:val="00AD148F"/>
    <w:rsid w:val="00AD14B9"/>
    <w:rsid w:val="00AD1582"/>
    <w:rsid w:val="00AD15F3"/>
    <w:rsid w:val="00AD1647"/>
    <w:rsid w:val="00AD16B4"/>
    <w:rsid w:val="00AD16BD"/>
    <w:rsid w:val="00AD1837"/>
    <w:rsid w:val="00AD184B"/>
    <w:rsid w:val="00AD18F9"/>
    <w:rsid w:val="00AD19A2"/>
    <w:rsid w:val="00AD19F6"/>
    <w:rsid w:val="00AD1AE4"/>
    <w:rsid w:val="00AD1B4C"/>
    <w:rsid w:val="00AD1BAE"/>
    <w:rsid w:val="00AD1E4E"/>
    <w:rsid w:val="00AD1F21"/>
    <w:rsid w:val="00AD1FE6"/>
    <w:rsid w:val="00AD20B2"/>
    <w:rsid w:val="00AD20EA"/>
    <w:rsid w:val="00AD2124"/>
    <w:rsid w:val="00AD21F7"/>
    <w:rsid w:val="00AD23DA"/>
    <w:rsid w:val="00AD2552"/>
    <w:rsid w:val="00AD2765"/>
    <w:rsid w:val="00AD2A00"/>
    <w:rsid w:val="00AD2A09"/>
    <w:rsid w:val="00AD2A68"/>
    <w:rsid w:val="00AD2C5D"/>
    <w:rsid w:val="00AD2EBF"/>
    <w:rsid w:val="00AD2EF7"/>
    <w:rsid w:val="00AD2FD0"/>
    <w:rsid w:val="00AD3023"/>
    <w:rsid w:val="00AD3036"/>
    <w:rsid w:val="00AD3062"/>
    <w:rsid w:val="00AD3097"/>
    <w:rsid w:val="00AD30FD"/>
    <w:rsid w:val="00AD3119"/>
    <w:rsid w:val="00AD3279"/>
    <w:rsid w:val="00AD328B"/>
    <w:rsid w:val="00AD32DC"/>
    <w:rsid w:val="00AD32ED"/>
    <w:rsid w:val="00AD342D"/>
    <w:rsid w:val="00AD348B"/>
    <w:rsid w:val="00AD3551"/>
    <w:rsid w:val="00AD36B0"/>
    <w:rsid w:val="00AD37C9"/>
    <w:rsid w:val="00AD37D9"/>
    <w:rsid w:val="00AD382E"/>
    <w:rsid w:val="00AD3941"/>
    <w:rsid w:val="00AD3D26"/>
    <w:rsid w:val="00AD3D41"/>
    <w:rsid w:val="00AD3DC5"/>
    <w:rsid w:val="00AD3E02"/>
    <w:rsid w:val="00AD3ED4"/>
    <w:rsid w:val="00AD3F4D"/>
    <w:rsid w:val="00AD3FAE"/>
    <w:rsid w:val="00AD40F3"/>
    <w:rsid w:val="00AD4104"/>
    <w:rsid w:val="00AD41CE"/>
    <w:rsid w:val="00AD41EB"/>
    <w:rsid w:val="00AD42E3"/>
    <w:rsid w:val="00AD42ED"/>
    <w:rsid w:val="00AD44D6"/>
    <w:rsid w:val="00AD4590"/>
    <w:rsid w:val="00AD460C"/>
    <w:rsid w:val="00AD46C0"/>
    <w:rsid w:val="00AD4799"/>
    <w:rsid w:val="00AD4952"/>
    <w:rsid w:val="00AD49A8"/>
    <w:rsid w:val="00AD4A56"/>
    <w:rsid w:val="00AD4AF7"/>
    <w:rsid w:val="00AD4B77"/>
    <w:rsid w:val="00AD4C02"/>
    <w:rsid w:val="00AD4C38"/>
    <w:rsid w:val="00AD4CB9"/>
    <w:rsid w:val="00AD4CF8"/>
    <w:rsid w:val="00AD4E07"/>
    <w:rsid w:val="00AD4E10"/>
    <w:rsid w:val="00AD4EC6"/>
    <w:rsid w:val="00AD4FA8"/>
    <w:rsid w:val="00AD503B"/>
    <w:rsid w:val="00AD505A"/>
    <w:rsid w:val="00AD5110"/>
    <w:rsid w:val="00AD542F"/>
    <w:rsid w:val="00AD58FB"/>
    <w:rsid w:val="00AD5962"/>
    <w:rsid w:val="00AD5A86"/>
    <w:rsid w:val="00AD5AA5"/>
    <w:rsid w:val="00AD5AE8"/>
    <w:rsid w:val="00AD5D19"/>
    <w:rsid w:val="00AD5D90"/>
    <w:rsid w:val="00AD5E17"/>
    <w:rsid w:val="00AD5E76"/>
    <w:rsid w:val="00AD5EEB"/>
    <w:rsid w:val="00AD5FB6"/>
    <w:rsid w:val="00AD5FF0"/>
    <w:rsid w:val="00AD638F"/>
    <w:rsid w:val="00AD63AB"/>
    <w:rsid w:val="00AD644E"/>
    <w:rsid w:val="00AD64D4"/>
    <w:rsid w:val="00AD663A"/>
    <w:rsid w:val="00AD66DA"/>
    <w:rsid w:val="00AD6725"/>
    <w:rsid w:val="00AD6733"/>
    <w:rsid w:val="00AD6831"/>
    <w:rsid w:val="00AD6A04"/>
    <w:rsid w:val="00AD6AE8"/>
    <w:rsid w:val="00AD6BEB"/>
    <w:rsid w:val="00AD6BF4"/>
    <w:rsid w:val="00AD6C1C"/>
    <w:rsid w:val="00AD6C2A"/>
    <w:rsid w:val="00AD6C91"/>
    <w:rsid w:val="00AD6CB8"/>
    <w:rsid w:val="00AD6CD4"/>
    <w:rsid w:val="00AD6EBA"/>
    <w:rsid w:val="00AD6F56"/>
    <w:rsid w:val="00AD6FBA"/>
    <w:rsid w:val="00AD70F4"/>
    <w:rsid w:val="00AD71DB"/>
    <w:rsid w:val="00AD729B"/>
    <w:rsid w:val="00AD733F"/>
    <w:rsid w:val="00AD7368"/>
    <w:rsid w:val="00AD739F"/>
    <w:rsid w:val="00AD7410"/>
    <w:rsid w:val="00AD7413"/>
    <w:rsid w:val="00AD7454"/>
    <w:rsid w:val="00AD745B"/>
    <w:rsid w:val="00AD7620"/>
    <w:rsid w:val="00AD762D"/>
    <w:rsid w:val="00AD76D1"/>
    <w:rsid w:val="00AD76EB"/>
    <w:rsid w:val="00AD76F8"/>
    <w:rsid w:val="00AD7872"/>
    <w:rsid w:val="00AD790B"/>
    <w:rsid w:val="00AD7A3D"/>
    <w:rsid w:val="00AD7A6B"/>
    <w:rsid w:val="00AD7AB5"/>
    <w:rsid w:val="00AD7ABE"/>
    <w:rsid w:val="00AD7BE4"/>
    <w:rsid w:val="00AD7C04"/>
    <w:rsid w:val="00AD7C43"/>
    <w:rsid w:val="00AD7CAD"/>
    <w:rsid w:val="00AD7CEC"/>
    <w:rsid w:val="00AD7D6D"/>
    <w:rsid w:val="00AD7DCD"/>
    <w:rsid w:val="00AD7E75"/>
    <w:rsid w:val="00AD7F55"/>
    <w:rsid w:val="00AE008D"/>
    <w:rsid w:val="00AE00B9"/>
    <w:rsid w:val="00AE00DA"/>
    <w:rsid w:val="00AE00E7"/>
    <w:rsid w:val="00AE010E"/>
    <w:rsid w:val="00AE01F6"/>
    <w:rsid w:val="00AE0203"/>
    <w:rsid w:val="00AE021F"/>
    <w:rsid w:val="00AE028D"/>
    <w:rsid w:val="00AE02E0"/>
    <w:rsid w:val="00AE0320"/>
    <w:rsid w:val="00AE038E"/>
    <w:rsid w:val="00AE040E"/>
    <w:rsid w:val="00AE041F"/>
    <w:rsid w:val="00AE0474"/>
    <w:rsid w:val="00AE0552"/>
    <w:rsid w:val="00AE057A"/>
    <w:rsid w:val="00AE06CF"/>
    <w:rsid w:val="00AE06DB"/>
    <w:rsid w:val="00AE070E"/>
    <w:rsid w:val="00AE08B2"/>
    <w:rsid w:val="00AE08E3"/>
    <w:rsid w:val="00AE0A08"/>
    <w:rsid w:val="00AE0A0D"/>
    <w:rsid w:val="00AE0A36"/>
    <w:rsid w:val="00AE0AE8"/>
    <w:rsid w:val="00AE0CBF"/>
    <w:rsid w:val="00AE0E39"/>
    <w:rsid w:val="00AE102A"/>
    <w:rsid w:val="00AE1065"/>
    <w:rsid w:val="00AE1129"/>
    <w:rsid w:val="00AE1340"/>
    <w:rsid w:val="00AE13E1"/>
    <w:rsid w:val="00AE158D"/>
    <w:rsid w:val="00AE15D5"/>
    <w:rsid w:val="00AE15E2"/>
    <w:rsid w:val="00AE1661"/>
    <w:rsid w:val="00AE18B2"/>
    <w:rsid w:val="00AE1900"/>
    <w:rsid w:val="00AE1A8D"/>
    <w:rsid w:val="00AE1B1A"/>
    <w:rsid w:val="00AE1C20"/>
    <w:rsid w:val="00AE1C37"/>
    <w:rsid w:val="00AE1C6F"/>
    <w:rsid w:val="00AE1D51"/>
    <w:rsid w:val="00AE1DF9"/>
    <w:rsid w:val="00AE1F04"/>
    <w:rsid w:val="00AE2058"/>
    <w:rsid w:val="00AE212D"/>
    <w:rsid w:val="00AE21CC"/>
    <w:rsid w:val="00AE21D8"/>
    <w:rsid w:val="00AE2275"/>
    <w:rsid w:val="00AE24BA"/>
    <w:rsid w:val="00AE261E"/>
    <w:rsid w:val="00AE264F"/>
    <w:rsid w:val="00AE2679"/>
    <w:rsid w:val="00AE2769"/>
    <w:rsid w:val="00AE27C1"/>
    <w:rsid w:val="00AE281B"/>
    <w:rsid w:val="00AE28E5"/>
    <w:rsid w:val="00AE29AD"/>
    <w:rsid w:val="00AE2A7D"/>
    <w:rsid w:val="00AE2A9A"/>
    <w:rsid w:val="00AE2B1B"/>
    <w:rsid w:val="00AE2BE2"/>
    <w:rsid w:val="00AE2C6B"/>
    <w:rsid w:val="00AE2F15"/>
    <w:rsid w:val="00AE2F21"/>
    <w:rsid w:val="00AE2FD8"/>
    <w:rsid w:val="00AE3106"/>
    <w:rsid w:val="00AE3166"/>
    <w:rsid w:val="00AE328E"/>
    <w:rsid w:val="00AE3504"/>
    <w:rsid w:val="00AE3517"/>
    <w:rsid w:val="00AE35D9"/>
    <w:rsid w:val="00AE36C2"/>
    <w:rsid w:val="00AE38EC"/>
    <w:rsid w:val="00AE3959"/>
    <w:rsid w:val="00AE3D39"/>
    <w:rsid w:val="00AE409D"/>
    <w:rsid w:val="00AE4137"/>
    <w:rsid w:val="00AE420D"/>
    <w:rsid w:val="00AE4219"/>
    <w:rsid w:val="00AE4258"/>
    <w:rsid w:val="00AE43B9"/>
    <w:rsid w:val="00AE4810"/>
    <w:rsid w:val="00AE48F4"/>
    <w:rsid w:val="00AE4939"/>
    <w:rsid w:val="00AE4966"/>
    <w:rsid w:val="00AE4A42"/>
    <w:rsid w:val="00AE4A49"/>
    <w:rsid w:val="00AE4B68"/>
    <w:rsid w:val="00AE4C3A"/>
    <w:rsid w:val="00AE4C61"/>
    <w:rsid w:val="00AE4CC1"/>
    <w:rsid w:val="00AE4D5A"/>
    <w:rsid w:val="00AE4D98"/>
    <w:rsid w:val="00AE4E48"/>
    <w:rsid w:val="00AE4E8F"/>
    <w:rsid w:val="00AE4EC8"/>
    <w:rsid w:val="00AE4FE1"/>
    <w:rsid w:val="00AE5356"/>
    <w:rsid w:val="00AE556E"/>
    <w:rsid w:val="00AE557A"/>
    <w:rsid w:val="00AE5590"/>
    <w:rsid w:val="00AE56C6"/>
    <w:rsid w:val="00AE57E9"/>
    <w:rsid w:val="00AE5934"/>
    <w:rsid w:val="00AE599A"/>
    <w:rsid w:val="00AE5AE9"/>
    <w:rsid w:val="00AE5B2C"/>
    <w:rsid w:val="00AE5B57"/>
    <w:rsid w:val="00AE5E4F"/>
    <w:rsid w:val="00AE5EB5"/>
    <w:rsid w:val="00AE5EDE"/>
    <w:rsid w:val="00AE6001"/>
    <w:rsid w:val="00AE606E"/>
    <w:rsid w:val="00AE62E8"/>
    <w:rsid w:val="00AE64E9"/>
    <w:rsid w:val="00AE6698"/>
    <w:rsid w:val="00AE6702"/>
    <w:rsid w:val="00AE6797"/>
    <w:rsid w:val="00AE67BC"/>
    <w:rsid w:val="00AE6823"/>
    <w:rsid w:val="00AE685B"/>
    <w:rsid w:val="00AE6893"/>
    <w:rsid w:val="00AE6906"/>
    <w:rsid w:val="00AE697B"/>
    <w:rsid w:val="00AE6AC7"/>
    <w:rsid w:val="00AE6BCA"/>
    <w:rsid w:val="00AE6C13"/>
    <w:rsid w:val="00AE6C1C"/>
    <w:rsid w:val="00AE6CD1"/>
    <w:rsid w:val="00AE6E45"/>
    <w:rsid w:val="00AE6E66"/>
    <w:rsid w:val="00AE6EE7"/>
    <w:rsid w:val="00AE7043"/>
    <w:rsid w:val="00AE7051"/>
    <w:rsid w:val="00AE710F"/>
    <w:rsid w:val="00AE7147"/>
    <w:rsid w:val="00AE7165"/>
    <w:rsid w:val="00AE71AA"/>
    <w:rsid w:val="00AE71AC"/>
    <w:rsid w:val="00AE72B6"/>
    <w:rsid w:val="00AE733C"/>
    <w:rsid w:val="00AE7343"/>
    <w:rsid w:val="00AE743C"/>
    <w:rsid w:val="00AE74EC"/>
    <w:rsid w:val="00AE7565"/>
    <w:rsid w:val="00AE758A"/>
    <w:rsid w:val="00AE7690"/>
    <w:rsid w:val="00AE77B0"/>
    <w:rsid w:val="00AE7829"/>
    <w:rsid w:val="00AE78BE"/>
    <w:rsid w:val="00AE7B6B"/>
    <w:rsid w:val="00AE7B9E"/>
    <w:rsid w:val="00AE7C68"/>
    <w:rsid w:val="00AE7CF1"/>
    <w:rsid w:val="00AE7DB7"/>
    <w:rsid w:val="00AE7E8E"/>
    <w:rsid w:val="00AE7ED0"/>
    <w:rsid w:val="00AF00A4"/>
    <w:rsid w:val="00AF00AD"/>
    <w:rsid w:val="00AF0180"/>
    <w:rsid w:val="00AF0190"/>
    <w:rsid w:val="00AF01EA"/>
    <w:rsid w:val="00AF0214"/>
    <w:rsid w:val="00AF029A"/>
    <w:rsid w:val="00AF03C5"/>
    <w:rsid w:val="00AF0406"/>
    <w:rsid w:val="00AF0587"/>
    <w:rsid w:val="00AF05FE"/>
    <w:rsid w:val="00AF06D9"/>
    <w:rsid w:val="00AF0913"/>
    <w:rsid w:val="00AF0A3C"/>
    <w:rsid w:val="00AF0B8A"/>
    <w:rsid w:val="00AF0C24"/>
    <w:rsid w:val="00AF0CF1"/>
    <w:rsid w:val="00AF0F4E"/>
    <w:rsid w:val="00AF0F80"/>
    <w:rsid w:val="00AF0FF6"/>
    <w:rsid w:val="00AF1067"/>
    <w:rsid w:val="00AF111C"/>
    <w:rsid w:val="00AF1122"/>
    <w:rsid w:val="00AF119F"/>
    <w:rsid w:val="00AF11E5"/>
    <w:rsid w:val="00AF135B"/>
    <w:rsid w:val="00AF1377"/>
    <w:rsid w:val="00AF150A"/>
    <w:rsid w:val="00AF158F"/>
    <w:rsid w:val="00AF16E9"/>
    <w:rsid w:val="00AF16F8"/>
    <w:rsid w:val="00AF1701"/>
    <w:rsid w:val="00AF18A9"/>
    <w:rsid w:val="00AF1B1F"/>
    <w:rsid w:val="00AF1BDB"/>
    <w:rsid w:val="00AF1C62"/>
    <w:rsid w:val="00AF1C65"/>
    <w:rsid w:val="00AF1CD7"/>
    <w:rsid w:val="00AF1DEA"/>
    <w:rsid w:val="00AF1E80"/>
    <w:rsid w:val="00AF2126"/>
    <w:rsid w:val="00AF214E"/>
    <w:rsid w:val="00AF22E0"/>
    <w:rsid w:val="00AF23EF"/>
    <w:rsid w:val="00AF248A"/>
    <w:rsid w:val="00AF255E"/>
    <w:rsid w:val="00AF2585"/>
    <w:rsid w:val="00AF259D"/>
    <w:rsid w:val="00AF2693"/>
    <w:rsid w:val="00AF26F1"/>
    <w:rsid w:val="00AF2746"/>
    <w:rsid w:val="00AF291E"/>
    <w:rsid w:val="00AF29EE"/>
    <w:rsid w:val="00AF2C9B"/>
    <w:rsid w:val="00AF2CE2"/>
    <w:rsid w:val="00AF2DA9"/>
    <w:rsid w:val="00AF2F61"/>
    <w:rsid w:val="00AF2F9D"/>
    <w:rsid w:val="00AF32DE"/>
    <w:rsid w:val="00AF32FD"/>
    <w:rsid w:val="00AF340C"/>
    <w:rsid w:val="00AF34A8"/>
    <w:rsid w:val="00AF34FA"/>
    <w:rsid w:val="00AF356A"/>
    <w:rsid w:val="00AF35F1"/>
    <w:rsid w:val="00AF3642"/>
    <w:rsid w:val="00AF364A"/>
    <w:rsid w:val="00AF36B1"/>
    <w:rsid w:val="00AF372C"/>
    <w:rsid w:val="00AF382C"/>
    <w:rsid w:val="00AF386D"/>
    <w:rsid w:val="00AF3870"/>
    <w:rsid w:val="00AF396C"/>
    <w:rsid w:val="00AF3A4F"/>
    <w:rsid w:val="00AF3A9A"/>
    <w:rsid w:val="00AF3B0D"/>
    <w:rsid w:val="00AF3E97"/>
    <w:rsid w:val="00AF3FD6"/>
    <w:rsid w:val="00AF3FDC"/>
    <w:rsid w:val="00AF3FFC"/>
    <w:rsid w:val="00AF4032"/>
    <w:rsid w:val="00AF405E"/>
    <w:rsid w:val="00AF4082"/>
    <w:rsid w:val="00AF4085"/>
    <w:rsid w:val="00AF4104"/>
    <w:rsid w:val="00AF41AD"/>
    <w:rsid w:val="00AF4230"/>
    <w:rsid w:val="00AF42CE"/>
    <w:rsid w:val="00AF43A5"/>
    <w:rsid w:val="00AF459D"/>
    <w:rsid w:val="00AF45E7"/>
    <w:rsid w:val="00AF4617"/>
    <w:rsid w:val="00AF463B"/>
    <w:rsid w:val="00AF4672"/>
    <w:rsid w:val="00AF468A"/>
    <w:rsid w:val="00AF4694"/>
    <w:rsid w:val="00AF472E"/>
    <w:rsid w:val="00AF4745"/>
    <w:rsid w:val="00AF483D"/>
    <w:rsid w:val="00AF485F"/>
    <w:rsid w:val="00AF4968"/>
    <w:rsid w:val="00AF4991"/>
    <w:rsid w:val="00AF499E"/>
    <w:rsid w:val="00AF4A2F"/>
    <w:rsid w:val="00AF4A70"/>
    <w:rsid w:val="00AF4B2F"/>
    <w:rsid w:val="00AF4B81"/>
    <w:rsid w:val="00AF4BB0"/>
    <w:rsid w:val="00AF4ECB"/>
    <w:rsid w:val="00AF4F5A"/>
    <w:rsid w:val="00AF4F76"/>
    <w:rsid w:val="00AF4FF0"/>
    <w:rsid w:val="00AF50A6"/>
    <w:rsid w:val="00AF50AB"/>
    <w:rsid w:val="00AF515D"/>
    <w:rsid w:val="00AF527F"/>
    <w:rsid w:val="00AF5386"/>
    <w:rsid w:val="00AF539E"/>
    <w:rsid w:val="00AF54DC"/>
    <w:rsid w:val="00AF555A"/>
    <w:rsid w:val="00AF5616"/>
    <w:rsid w:val="00AF5642"/>
    <w:rsid w:val="00AF5662"/>
    <w:rsid w:val="00AF56D9"/>
    <w:rsid w:val="00AF579A"/>
    <w:rsid w:val="00AF57A4"/>
    <w:rsid w:val="00AF58BC"/>
    <w:rsid w:val="00AF58DC"/>
    <w:rsid w:val="00AF58FA"/>
    <w:rsid w:val="00AF5BB8"/>
    <w:rsid w:val="00AF5C36"/>
    <w:rsid w:val="00AF5D11"/>
    <w:rsid w:val="00AF5D5F"/>
    <w:rsid w:val="00AF5E44"/>
    <w:rsid w:val="00AF5E73"/>
    <w:rsid w:val="00AF5EBC"/>
    <w:rsid w:val="00AF5F00"/>
    <w:rsid w:val="00AF5F09"/>
    <w:rsid w:val="00AF5F25"/>
    <w:rsid w:val="00AF5F5E"/>
    <w:rsid w:val="00AF5F67"/>
    <w:rsid w:val="00AF5FAE"/>
    <w:rsid w:val="00AF5FCE"/>
    <w:rsid w:val="00AF6060"/>
    <w:rsid w:val="00AF6097"/>
    <w:rsid w:val="00AF60D8"/>
    <w:rsid w:val="00AF6247"/>
    <w:rsid w:val="00AF62E0"/>
    <w:rsid w:val="00AF62E1"/>
    <w:rsid w:val="00AF6301"/>
    <w:rsid w:val="00AF630A"/>
    <w:rsid w:val="00AF6539"/>
    <w:rsid w:val="00AF65FE"/>
    <w:rsid w:val="00AF661B"/>
    <w:rsid w:val="00AF6638"/>
    <w:rsid w:val="00AF6693"/>
    <w:rsid w:val="00AF6729"/>
    <w:rsid w:val="00AF679C"/>
    <w:rsid w:val="00AF67B0"/>
    <w:rsid w:val="00AF692A"/>
    <w:rsid w:val="00AF6A6F"/>
    <w:rsid w:val="00AF6B23"/>
    <w:rsid w:val="00AF6CC8"/>
    <w:rsid w:val="00AF6CF3"/>
    <w:rsid w:val="00AF6D05"/>
    <w:rsid w:val="00AF6D18"/>
    <w:rsid w:val="00AF6D6D"/>
    <w:rsid w:val="00AF6E82"/>
    <w:rsid w:val="00AF6FB4"/>
    <w:rsid w:val="00AF6FF9"/>
    <w:rsid w:val="00AF6FFE"/>
    <w:rsid w:val="00AF7004"/>
    <w:rsid w:val="00AF716C"/>
    <w:rsid w:val="00AF7177"/>
    <w:rsid w:val="00AF718A"/>
    <w:rsid w:val="00AF7227"/>
    <w:rsid w:val="00AF7243"/>
    <w:rsid w:val="00AF72A8"/>
    <w:rsid w:val="00AF7314"/>
    <w:rsid w:val="00AF733F"/>
    <w:rsid w:val="00AF74A0"/>
    <w:rsid w:val="00AF74B7"/>
    <w:rsid w:val="00AF7676"/>
    <w:rsid w:val="00AF7884"/>
    <w:rsid w:val="00AF7A56"/>
    <w:rsid w:val="00AF7AC8"/>
    <w:rsid w:val="00AF7B30"/>
    <w:rsid w:val="00AF7B4D"/>
    <w:rsid w:val="00AF7B55"/>
    <w:rsid w:val="00AF7C6C"/>
    <w:rsid w:val="00AF7CD1"/>
    <w:rsid w:val="00AF7D20"/>
    <w:rsid w:val="00AF7D36"/>
    <w:rsid w:val="00AF7E9F"/>
    <w:rsid w:val="00AF7ECA"/>
    <w:rsid w:val="00AF7F74"/>
    <w:rsid w:val="00AF7F8D"/>
    <w:rsid w:val="00B0000C"/>
    <w:rsid w:val="00B000A3"/>
    <w:rsid w:val="00B00222"/>
    <w:rsid w:val="00B0034C"/>
    <w:rsid w:val="00B003D5"/>
    <w:rsid w:val="00B00423"/>
    <w:rsid w:val="00B004A9"/>
    <w:rsid w:val="00B00617"/>
    <w:rsid w:val="00B00755"/>
    <w:rsid w:val="00B009E0"/>
    <w:rsid w:val="00B00A14"/>
    <w:rsid w:val="00B00A46"/>
    <w:rsid w:val="00B00A8B"/>
    <w:rsid w:val="00B00B94"/>
    <w:rsid w:val="00B00C54"/>
    <w:rsid w:val="00B00CE7"/>
    <w:rsid w:val="00B00D09"/>
    <w:rsid w:val="00B00DAF"/>
    <w:rsid w:val="00B00FC2"/>
    <w:rsid w:val="00B010AB"/>
    <w:rsid w:val="00B01188"/>
    <w:rsid w:val="00B011FA"/>
    <w:rsid w:val="00B01294"/>
    <w:rsid w:val="00B01426"/>
    <w:rsid w:val="00B01461"/>
    <w:rsid w:val="00B01487"/>
    <w:rsid w:val="00B014A4"/>
    <w:rsid w:val="00B0157F"/>
    <w:rsid w:val="00B015E5"/>
    <w:rsid w:val="00B0160F"/>
    <w:rsid w:val="00B0165D"/>
    <w:rsid w:val="00B016AA"/>
    <w:rsid w:val="00B0170F"/>
    <w:rsid w:val="00B0178C"/>
    <w:rsid w:val="00B0180E"/>
    <w:rsid w:val="00B01A7C"/>
    <w:rsid w:val="00B01BAD"/>
    <w:rsid w:val="00B01C83"/>
    <w:rsid w:val="00B01D91"/>
    <w:rsid w:val="00B01D9F"/>
    <w:rsid w:val="00B01EE1"/>
    <w:rsid w:val="00B01F8F"/>
    <w:rsid w:val="00B01FB6"/>
    <w:rsid w:val="00B02069"/>
    <w:rsid w:val="00B020B7"/>
    <w:rsid w:val="00B0211D"/>
    <w:rsid w:val="00B02146"/>
    <w:rsid w:val="00B02204"/>
    <w:rsid w:val="00B02265"/>
    <w:rsid w:val="00B022CD"/>
    <w:rsid w:val="00B0239E"/>
    <w:rsid w:val="00B023CE"/>
    <w:rsid w:val="00B0248C"/>
    <w:rsid w:val="00B024F9"/>
    <w:rsid w:val="00B02660"/>
    <w:rsid w:val="00B027EF"/>
    <w:rsid w:val="00B028D7"/>
    <w:rsid w:val="00B02A1B"/>
    <w:rsid w:val="00B02AC4"/>
    <w:rsid w:val="00B02B63"/>
    <w:rsid w:val="00B02C6A"/>
    <w:rsid w:val="00B02C6B"/>
    <w:rsid w:val="00B02CD3"/>
    <w:rsid w:val="00B02E17"/>
    <w:rsid w:val="00B03184"/>
    <w:rsid w:val="00B0323A"/>
    <w:rsid w:val="00B032B9"/>
    <w:rsid w:val="00B032C1"/>
    <w:rsid w:val="00B032C9"/>
    <w:rsid w:val="00B032DF"/>
    <w:rsid w:val="00B0332B"/>
    <w:rsid w:val="00B03427"/>
    <w:rsid w:val="00B0353F"/>
    <w:rsid w:val="00B03559"/>
    <w:rsid w:val="00B035F6"/>
    <w:rsid w:val="00B0366A"/>
    <w:rsid w:val="00B036CB"/>
    <w:rsid w:val="00B037FD"/>
    <w:rsid w:val="00B03846"/>
    <w:rsid w:val="00B03904"/>
    <w:rsid w:val="00B039A6"/>
    <w:rsid w:val="00B03BB2"/>
    <w:rsid w:val="00B03C2D"/>
    <w:rsid w:val="00B03D16"/>
    <w:rsid w:val="00B03E4E"/>
    <w:rsid w:val="00B03E96"/>
    <w:rsid w:val="00B03F6A"/>
    <w:rsid w:val="00B04097"/>
    <w:rsid w:val="00B0417D"/>
    <w:rsid w:val="00B041F8"/>
    <w:rsid w:val="00B04297"/>
    <w:rsid w:val="00B042CF"/>
    <w:rsid w:val="00B044DC"/>
    <w:rsid w:val="00B044F6"/>
    <w:rsid w:val="00B04890"/>
    <w:rsid w:val="00B0493E"/>
    <w:rsid w:val="00B049AA"/>
    <w:rsid w:val="00B04A5A"/>
    <w:rsid w:val="00B04C5D"/>
    <w:rsid w:val="00B04C6C"/>
    <w:rsid w:val="00B04E41"/>
    <w:rsid w:val="00B04E68"/>
    <w:rsid w:val="00B04F71"/>
    <w:rsid w:val="00B0517F"/>
    <w:rsid w:val="00B052D9"/>
    <w:rsid w:val="00B052F3"/>
    <w:rsid w:val="00B053C5"/>
    <w:rsid w:val="00B053D1"/>
    <w:rsid w:val="00B05413"/>
    <w:rsid w:val="00B05522"/>
    <w:rsid w:val="00B055FC"/>
    <w:rsid w:val="00B05687"/>
    <w:rsid w:val="00B0578D"/>
    <w:rsid w:val="00B058AF"/>
    <w:rsid w:val="00B058B1"/>
    <w:rsid w:val="00B05C16"/>
    <w:rsid w:val="00B05CEF"/>
    <w:rsid w:val="00B0603D"/>
    <w:rsid w:val="00B0609C"/>
    <w:rsid w:val="00B060B2"/>
    <w:rsid w:val="00B061AA"/>
    <w:rsid w:val="00B06277"/>
    <w:rsid w:val="00B062D9"/>
    <w:rsid w:val="00B0633B"/>
    <w:rsid w:val="00B063B7"/>
    <w:rsid w:val="00B0650B"/>
    <w:rsid w:val="00B06621"/>
    <w:rsid w:val="00B06675"/>
    <w:rsid w:val="00B06800"/>
    <w:rsid w:val="00B0690A"/>
    <w:rsid w:val="00B06979"/>
    <w:rsid w:val="00B06A5B"/>
    <w:rsid w:val="00B06AB0"/>
    <w:rsid w:val="00B06CA7"/>
    <w:rsid w:val="00B06D16"/>
    <w:rsid w:val="00B06D7A"/>
    <w:rsid w:val="00B06E7A"/>
    <w:rsid w:val="00B06EBF"/>
    <w:rsid w:val="00B07016"/>
    <w:rsid w:val="00B070E3"/>
    <w:rsid w:val="00B07144"/>
    <w:rsid w:val="00B07173"/>
    <w:rsid w:val="00B0726E"/>
    <w:rsid w:val="00B07288"/>
    <w:rsid w:val="00B073AE"/>
    <w:rsid w:val="00B07411"/>
    <w:rsid w:val="00B074CB"/>
    <w:rsid w:val="00B07507"/>
    <w:rsid w:val="00B07534"/>
    <w:rsid w:val="00B07687"/>
    <w:rsid w:val="00B07706"/>
    <w:rsid w:val="00B077F7"/>
    <w:rsid w:val="00B07847"/>
    <w:rsid w:val="00B078D0"/>
    <w:rsid w:val="00B07905"/>
    <w:rsid w:val="00B079FB"/>
    <w:rsid w:val="00B07A64"/>
    <w:rsid w:val="00B07AC3"/>
    <w:rsid w:val="00B07B20"/>
    <w:rsid w:val="00B07D21"/>
    <w:rsid w:val="00B07F78"/>
    <w:rsid w:val="00B07FAB"/>
    <w:rsid w:val="00B07FE9"/>
    <w:rsid w:val="00B1003A"/>
    <w:rsid w:val="00B10091"/>
    <w:rsid w:val="00B10157"/>
    <w:rsid w:val="00B1028E"/>
    <w:rsid w:val="00B102DF"/>
    <w:rsid w:val="00B10368"/>
    <w:rsid w:val="00B103D9"/>
    <w:rsid w:val="00B10423"/>
    <w:rsid w:val="00B10464"/>
    <w:rsid w:val="00B104A9"/>
    <w:rsid w:val="00B105CC"/>
    <w:rsid w:val="00B105F6"/>
    <w:rsid w:val="00B1067F"/>
    <w:rsid w:val="00B1079B"/>
    <w:rsid w:val="00B107CB"/>
    <w:rsid w:val="00B10861"/>
    <w:rsid w:val="00B108B8"/>
    <w:rsid w:val="00B108BC"/>
    <w:rsid w:val="00B10AC9"/>
    <w:rsid w:val="00B10AED"/>
    <w:rsid w:val="00B10B17"/>
    <w:rsid w:val="00B10B20"/>
    <w:rsid w:val="00B10C3D"/>
    <w:rsid w:val="00B10D4E"/>
    <w:rsid w:val="00B10D92"/>
    <w:rsid w:val="00B10E0E"/>
    <w:rsid w:val="00B10E54"/>
    <w:rsid w:val="00B10EA5"/>
    <w:rsid w:val="00B1103B"/>
    <w:rsid w:val="00B1105B"/>
    <w:rsid w:val="00B11063"/>
    <w:rsid w:val="00B11137"/>
    <w:rsid w:val="00B11509"/>
    <w:rsid w:val="00B11619"/>
    <w:rsid w:val="00B11685"/>
    <w:rsid w:val="00B117E4"/>
    <w:rsid w:val="00B1180A"/>
    <w:rsid w:val="00B11810"/>
    <w:rsid w:val="00B11813"/>
    <w:rsid w:val="00B11823"/>
    <w:rsid w:val="00B11895"/>
    <w:rsid w:val="00B118E4"/>
    <w:rsid w:val="00B119A4"/>
    <w:rsid w:val="00B11A7F"/>
    <w:rsid w:val="00B11CFE"/>
    <w:rsid w:val="00B11DA0"/>
    <w:rsid w:val="00B11E94"/>
    <w:rsid w:val="00B11F53"/>
    <w:rsid w:val="00B12009"/>
    <w:rsid w:val="00B12065"/>
    <w:rsid w:val="00B12160"/>
    <w:rsid w:val="00B12232"/>
    <w:rsid w:val="00B122B3"/>
    <w:rsid w:val="00B122CB"/>
    <w:rsid w:val="00B1243B"/>
    <w:rsid w:val="00B124D4"/>
    <w:rsid w:val="00B12500"/>
    <w:rsid w:val="00B1281E"/>
    <w:rsid w:val="00B1295B"/>
    <w:rsid w:val="00B12977"/>
    <w:rsid w:val="00B12A75"/>
    <w:rsid w:val="00B12B4E"/>
    <w:rsid w:val="00B12C4F"/>
    <w:rsid w:val="00B12C6B"/>
    <w:rsid w:val="00B12C6E"/>
    <w:rsid w:val="00B12CEC"/>
    <w:rsid w:val="00B12D4D"/>
    <w:rsid w:val="00B12E8F"/>
    <w:rsid w:val="00B12EF2"/>
    <w:rsid w:val="00B12EFD"/>
    <w:rsid w:val="00B12F0A"/>
    <w:rsid w:val="00B130A2"/>
    <w:rsid w:val="00B1312F"/>
    <w:rsid w:val="00B13132"/>
    <w:rsid w:val="00B13136"/>
    <w:rsid w:val="00B131E7"/>
    <w:rsid w:val="00B131EA"/>
    <w:rsid w:val="00B1323E"/>
    <w:rsid w:val="00B1325E"/>
    <w:rsid w:val="00B13333"/>
    <w:rsid w:val="00B13343"/>
    <w:rsid w:val="00B13408"/>
    <w:rsid w:val="00B1341E"/>
    <w:rsid w:val="00B134D4"/>
    <w:rsid w:val="00B134F9"/>
    <w:rsid w:val="00B134FB"/>
    <w:rsid w:val="00B1350E"/>
    <w:rsid w:val="00B135DC"/>
    <w:rsid w:val="00B13672"/>
    <w:rsid w:val="00B13712"/>
    <w:rsid w:val="00B13728"/>
    <w:rsid w:val="00B1389A"/>
    <w:rsid w:val="00B138A8"/>
    <w:rsid w:val="00B138B7"/>
    <w:rsid w:val="00B13990"/>
    <w:rsid w:val="00B1399C"/>
    <w:rsid w:val="00B13A2F"/>
    <w:rsid w:val="00B13B78"/>
    <w:rsid w:val="00B13B97"/>
    <w:rsid w:val="00B13CA4"/>
    <w:rsid w:val="00B13D3C"/>
    <w:rsid w:val="00B13D96"/>
    <w:rsid w:val="00B13F2B"/>
    <w:rsid w:val="00B13F7C"/>
    <w:rsid w:val="00B13FAB"/>
    <w:rsid w:val="00B141E9"/>
    <w:rsid w:val="00B1425A"/>
    <w:rsid w:val="00B143C4"/>
    <w:rsid w:val="00B143DE"/>
    <w:rsid w:val="00B14434"/>
    <w:rsid w:val="00B14510"/>
    <w:rsid w:val="00B145A4"/>
    <w:rsid w:val="00B1464D"/>
    <w:rsid w:val="00B1468C"/>
    <w:rsid w:val="00B146D0"/>
    <w:rsid w:val="00B14841"/>
    <w:rsid w:val="00B14843"/>
    <w:rsid w:val="00B14866"/>
    <w:rsid w:val="00B148D9"/>
    <w:rsid w:val="00B14A66"/>
    <w:rsid w:val="00B14BC2"/>
    <w:rsid w:val="00B14C2D"/>
    <w:rsid w:val="00B14D4B"/>
    <w:rsid w:val="00B14FAC"/>
    <w:rsid w:val="00B14FFC"/>
    <w:rsid w:val="00B15007"/>
    <w:rsid w:val="00B1505D"/>
    <w:rsid w:val="00B15076"/>
    <w:rsid w:val="00B150E5"/>
    <w:rsid w:val="00B152B7"/>
    <w:rsid w:val="00B154CD"/>
    <w:rsid w:val="00B154D9"/>
    <w:rsid w:val="00B155C7"/>
    <w:rsid w:val="00B156AF"/>
    <w:rsid w:val="00B1591D"/>
    <w:rsid w:val="00B159E3"/>
    <w:rsid w:val="00B159F5"/>
    <w:rsid w:val="00B15A09"/>
    <w:rsid w:val="00B15A8B"/>
    <w:rsid w:val="00B15B0F"/>
    <w:rsid w:val="00B15B13"/>
    <w:rsid w:val="00B15B7A"/>
    <w:rsid w:val="00B15E0A"/>
    <w:rsid w:val="00B15E25"/>
    <w:rsid w:val="00B15E2F"/>
    <w:rsid w:val="00B15E35"/>
    <w:rsid w:val="00B15E9C"/>
    <w:rsid w:val="00B15FDC"/>
    <w:rsid w:val="00B15FE5"/>
    <w:rsid w:val="00B1602F"/>
    <w:rsid w:val="00B16035"/>
    <w:rsid w:val="00B16059"/>
    <w:rsid w:val="00B162CE"/>
    <w:rsid w:val="00B163D9"/>
    <w:rsid w:val="00B164AB"/>
    <w:rsid w:val="00B164E3"/>
    <w:rsid w:val="00B1651A"/>
    <w:rsid w:val="00B16602"/>
    <w:rsid w:val="00B166FE"/>
    <w:rsid w:val="00B16728"/>
    <w:rsid w:val="00B16755"/>
    <w:rsid w:val="00B16775"/>
    <w:rsid w:val="00B1685F"/>
    <w:rsid w:val="00B16960"/>
    <w:rsid w:val="00B1697D"/>
    <w:rsid w:val="00B16AA7"/>
    <w:rsid w:val="00B16B29"/>
    <w:rsid w:val="00B16C10"/>
    <w:rsid w:val="00B16C17"/>
    <w:rsid w:val="00B16DB0"/>
    <w:rsid w:val="00B16E35"/>
    <w:rsid w:val="00B16F09"/>
    <w:rsid w:val="00B16F45"/>
    <w:rsid w:val="00B170EB"/>
    <w:rsid w:val="00B171F7"/>
    <w:rsid w:val="00B17330"/>
    <w:rsid w:val="00B17514"/>
    <w:rsid w:val="00B175C4"/>
    <w:rsid w:val="00B175C6"/>
    <w:rsid w:val="00B17643"/>
    <w:rsid w:val="00B17748"/>
    <w:rsid w:val="00B177C7"/>
    <w:rsid w:val="00B17879"/>
    <w:rsid w:val="00B179AF"/>
    <w:rsid w:val="00B17AE3"/>
    <w:rsid w:val="00B17B8B"/>
    <w:rsid w:val="00B17BC9"/>
    <w:rsid w:val="00B17C6C"/>
    <w:rsid w:val="00B17CF5"/>
    <w:rsid w:val="00B17EE4"/>
    <w:rsid w:val="00B17EED"/>
    <w:rsid w:val="00B17F69"/>
    <w:rsid w:val="00B17FB7"/>
    <w:rsid w:val="00B20085"/>
    <w:rsid w:val="00B201E2"/>
    <w:rsid w:val="00B2023A"/>
    <w:rsid w:val="00B20298"/>
    <w:rsid w:val="00B2038F"/>
    <w:rsid w:val="00B20455"/>
    <w:rsid w:val="00B2048D"/>
    <w:rsid w:val="00B2052D"/>
    <w:rsid w:val="00B20648"/>
    <w:rsid w:val="00B207BD"/>
    <w:rsid w:val="00B208EA"/>
    <w:rsid w:val="00B208F6"/>
    <w:rsid w:val="00B20920"/>
    <w:rsid w:val="00B209E4"/>
    <w:rsid w:val="00B209E7"/>
    <w:rsid w:val="00B20A68"/>
    <w:rsid w:val="00B20AFA"/>
    <w:rsid w:val="00B20BE9"/>
    <w:rsid w:val="00B20C11"/>
    <w:rsid w:val="00B20CF4"/>
    <w:rsid w:val="00B20D12"/>
    <w:rsid w:val="00B20EBD"/>
    <w:rsid w:val="00B21369"/>
    <w:rsid w:val="00B214DE"/>
    <w:rsid w:val="00B2157D"/>
    <w:rsid w:val="00B21665"/>
    <w:rsid w:val="00B21692"/>
    <w:rsid w:val="00B216A8"/>
    <w:rsid w:val="00B2171D"/>
    <w:rsid w:val="00B2172C"/>
    <w:rsid w:val="00B21997"/>
    <w:rsid w:val="00B21B26"/>
    <w:rsid w:val="00B21C90"/>
    <w:rsid w:val="00B21D1D"/>
    <w:rsid w:val="00B21D94"/>
    <w:rsid w:val="00B21E7A"/>
    <w:rsid w:val="00B21EE0"/>
    <w:rsid w:val="00B21EED"/>
    <w:rsid w:val="00B21F95"/>
    <w:rsid w:val="00B22135"/>
    <w:rsid w:val="00B22165"/>
    <w:rsid w:val="00B221F8"/>
    <w:rsid w:val="00B22427"/>
    <w:rsid w:val="00B22453"/>
    <w:rsid w:val="00B22490"/>
    <w:rsid w:val="00B224E7"/>
    <w:rsid w:val="00B22678"/>
    <w:rsid w:val="00B22704"/>
    <w:rsid w:val="00B22744"/>
    <w:rsid w:val="00B22868"/>
    <w:rsid w:val="00B22AAB"/>
    <w:rsid w:val="00B22AC2"/>
    <w:rsid w:val="00B22B1D"/>
    <w:rsid w:val="00B22BFF"/>
    <w:rsid w:val="00B22C3C"/>
    <w:rsid w:val="00B22CDE"/>
    <w:rsid w:val="00B22D01"/>
    <w:rsid w:val="00B22E3D"/>
    <w:rsid w:val="00B22E92"/>
    <w:rsid w:val="00B22F32"/>
    <w:rsid w:val="00B22F35"/>
    <w:rsid w:val="00B22FCA"/>
    <w:rsid w:val="00B23468"/>
    <w:rsid w:val="00B23542"/>
    <w:rsid w:val="00B2363F"/>
    <w:rsid w:val="00B2369A"/>
    <w:rsid w:val="00B23713"/>
    <w:rsid w:val="00B23776"/>
    <w:rsid w:val="00B23782"/>
    <w:rsid w:val="00B237AB"/>
    <w:rsid w:val="00B2386E"/>
    <w:rsid w:val="00B239C5"/>
    <w:rsid w:val="00B23A30"/>
    <w:rsid w:val="00B23C5A"/>
    <w:rsid w:val="00B23CA4"/>
    <w:rsid w:val="00B23D06"/>
    <w:rsid w:val="00B23D63"/>
    <w:rsid w:val="00B23E36"/>
    <w:rsid w:val="00B23E6A"/>
    <w:rsid w:val="00B23FFF"/>
    <w:rsid w:val="00B2404E"/>
    <w:rsid w:val="00B2405F"/>
    <w:rsid w:val="00B241E4"/>
    <w:rsid w:val="00B242FB"/>
    <w:rsid w:val="00B2430D"/>
    <w:rsid w:val="00B24385"/>
    <w:rsid w:val="00B243F3"/>
    <w:rsid w:val="00B2445C"/>
    <w:rsid w:val="00B24469"/>
    <w:rsid w:val="00B245CB"/>
    <w:rsid w:val="00B245F7"/>
    <w:rsid w:val="00B24649"/>
    <w:rsid w:val="00B24665"/>
    <w:rsid w:val="00B246B5"/>
    <w:rsid w:val="00B247D5"/>
    <w:rsid w:val="00B24DF2"/>
    <w:rsid w:val="00B24EE0"/>
    <w:rsid w:val="00B24EE4"/>
    <w:rsid w:val="00B24FA6"/>
    <w:rsid w:val="00B252E4"/>
    <w:rsid w:val="00B2537E"/>
    <w:rsid w:val="00B253D1"/>
    <w:rsid w:val="00B254E1"/>
    <w:rsid w:val="00B254FF"/>
    <w:rsid w:val="00B25525"/>
    <w:rsid w:val="00B25567"/>
    <w:rsid w:val="00B255FB"/>
    <w:rsid w:val="00B2566C"/>
    <w:rsid w:val="00B25748"/>
    <w:rsid w:val="00B25767"/>
    <w:rsid w:val="00B25863"/>
    <w:rsid w:val="00B25872"/>
    <w:rsid w:val="00B259D0"/>
    <w:rsid w:val="00B259EA"/>
    <w:rsid w:val="00B25A21"/>
    <w:rsid w:val="00B25AFF"/>
    <w:rsid w:val="00B25B72"/>
    <w:rsid w:val="00B25BAF"/>
    <w:rsid w:val="00B25C29"/>
    <w:rsid w:val="00B25C31"/>
    <w:rsid w:val="00B25CF7"/>
    <w:rsid w:val="00B25DE2"/>
    <w:rsid w:val="00B25E25"/>
    <w:rsid w:val="00B25F04"/>
    <w:rsid w:val="00B25F30"/>
    <w:rsid w:val="00B25F9E"/>
    <w:rsid w:val="00B25FC2"/>
    <w:rsid w:val="00B26091"/>
    <w:rsid w:val="00B26170"/>
    <w:rsid w:val="00B2622B"/>
    <w:rsid w:val="00B26258"/>
    <w:rsid w:val="00B26273"/>
    <w:rsid w:val="00B2629E"/>
    <w:rsid w:val="00B2633B"/>
    <w:rsid w:val="00B263AC"/>
    <w:rsid w:val="00B26445"/>
    <w:rsid w:val="00B2663F"/>
    <w:rsid w:val="00B26649"/>
    <w:rsid w:val="00B26699"/>
    <w:rsid w:val="00B26782"/>
    <w:rsid w:val="00B2689D"/>
    <w:rsid w:val="00B26924"/>
    <w:rsid w:val="00B269E2"/>
    <w:rsid w:val="00B26A7D"/>
    <w:rsid w:val="00B26B6C"/>
    <w:rsid w:val="00B26B95"/>
    <w:rsid w:val="00B26C19"/>
    <w:rsid w:val="00B26C80"/>
    <w:rsid w:val="00B26C81"/>
    <w:rsid w:val="00B26CDC"/>
    <w:rsid w:val="00B26D8A"/>
    <w:rsid w:val="00B26DB4"/>
    <w:rsid w:val="00B26DCA"/>
    <w:rsid w:val="00B26F50"/>
    <w:rsid w:val="00B26F96"/>
    <w:rsid w:val="00B26FD0"/>
    <w:rsid w:val="00B27119"/>
    <w:rsid w:val="00B2719C"/>
    <w:rsid w:val="00B272D9"/>
    <w:rsid w:val="00B272EA"/>
    <w:rsid w:val="00B2740F"/>
    <w:rsid w:val="00B274DA"/>
    <w:rsid w:val="00B274E4"/>
    <w:rsid w:val="00B27647"/>
    <w:rsid w:val="00B27653"/>
    <w:rsid w:val="00B278CD"/>
    <w:rsid w:val="00B27989"/>
    <w:rsid w:val="00B279C1"/>
    <w:rsid w:val="00B279DC"/>
    <w:rsid w:val="00B27A22"/>
    <w:rsid w:val="00B27AD2"/>
    <w:rsid w:val="00B27AFA"/>
    <w:rsid w:val="00B27B02"/>
    <w:rsid w:val="00B27B73"/>
    <w:rsid w:val="00B27BE0"/>
    <w:rsid w:val="00B27BE3"/>
    <w:rsid w:val="00B27C21"/>
    <w:rsid w:val="00B27D29"/>
    <w:rsid w:val="00B27D57"/>
    <w:rsid w:val="00B27E1C"/>
    <w:rsid w:val="00B27E88"/>
    <w:rsid w:val="00B27F27"/>
    <w:rsid w:val="00B30000"/>
    <w:rsid w:val="00B30115"/>
    <w:rsid w:val="00B30150"/>
    <w:rsid w:val="00B301CA"/>
    <w:rsid w:val="00B3024D"/>
    <w:rsid w:val="00B30294"/>
    <w:rsid w:val="00B3031B"/>
    <w:rsid w:val="00B30368"/>
    <w:rsid w:val="00B303C7"/>
    <w:rsid w:val="00B30524"/>
    <w:rsid w:val="00B30618"/>
    <w:rsid w:val="00B30623"/>
    <w:rsid w:val="00B306A2"/>
    <w:rsid w:val="00B307CC"/>
    <w:rsid w:val="00B307F6"/>
    <w:rsid w:val="00B30910"/>
    <w:rsid w:val="00B30925"/>
    <w:rsid w:val="00B309D7"/>
    <w:rsid w:val="00B309F0"/>
    <w:rsid w:val="00B30B63"/>
    <w:rsid w:val="00B30B83"/>
    <w:rsid w:val="00B30BDD"/>
    <w:rsid w:val="00B30D75"/>
    <w:rsid w:val="00B30D96"/>
    <w:rsid w:val="00B30DA6"/>
    <w:rsid w:val="00B30DE6"/>
    <w:rsid w:val="00B30EDB"/>
    <w:rsid w:val="00B30FEC"/>
    <w:rsid w:val="00B310B1"/>
    <w:rsid w:val="00B310E7"/>
    <w:rsid w:val="00B3120F"/>
    <w:rsid w:val="00B312BD"/>
    <w:rsid w:val="00B3136E"/>
    <w:rsid w:val="00B31371"/>
    <w:rsid w:val="00B3138F"/>
    <w:rsid w:val="00B3139E"/>
    <w:rsid w:val="00B3140A"/>
    <w:rsid w:val="00B3146D"/>
    <w:rsid w:val="00B31486"/>
    <w:rsid w:val="00B317BD"/>
    <w:rsid w:val="00B31845"/>
    <w:rsid w:val="00B318DF"/>
    <w:rsid w:val="00B31915"/>
    <w:rsid w:val="00B31936"/>
    <w:rsid w:val="00B31970"/>
    <w:rsid w:val="00B31981"/>
    <w:rsid w:val="00B31B0A"/>
    <w:rsid w:val="00B31BED"/>
    <w:rsid w:val="00B31C7B"/>
    <w:rsid w:val="00B31DDC"/>
    <w:rsid w:val="00B31DFA"/>
    <w:rsid w:val="00B31E3A"/>
    <w:rsid w:val="00B31EBD"/>
    <w:rsid w:val="00B31F6C"/>
    <w:rsid w:val="00B31FEE"/>
    <w:rsid w:val="00B32138"/>
    <w:rsid w:val="00B32191"/>
    <w:rsid w:val="00B3228A"/>
    <w:rsid w:val="00B3246C"/>
    <w:rsid w:val="00B32485"/>
    <w:rsid w:val="00B324DB"/>
    <w:rsid w:val="00B3258C"/>
    <w:rsid w:val="00B3259C"/>
    <w:rsid w:val="00B3275C"/>
    <w:rsid w:val="00B327EC"/>
    <w:rsid w:val="00B328A1"/>
    <w:rsid w:val="00B3290C"/>
    <w:rsid w:val="00B3294E"/>
    <w:rsid w:val="00B32996"/>
    <w:rsid w:val="00B32A71"/>
    <w:rsid w:val="00B32ABC"/>
    <w:rsid w:val="00B32ABF"/>
    <w:rsid w:val="00B32B38"/>
    <w:rsid w:val="00B32B7C"/>
    <w:rsid w:val="00B32C01"/>
    <w:rsid w:val="00B32C1D"/>
    <w:rsid w:val="00B32C21"/>
    <w:rsid w:val="00B32D05"/>
    <w:rsid w:val="00B32DC7"/>
    <w:rsid w:val="00B32EB0"/>
    <w:rsid w:val="00B32F7E"/>
    <w:rsid w:val="00B33029"/>
    <w:rsid w:val="00B33085"/>
    <w:rsid w:val="00B330F8"/>
    <w:rsid w:val="00B33132"/>
    <w:rsid w:val="00B332E6"/>
    <w:rsid w:val="00B333BF"/>
    <w:rsid w:val="00B334FB"/>
    <w:rsid w:val="00B338A9"/>
    <w:rsid w:val="00B33961"/>
    <w:rsid w:val="00B339AD"/>
    <w:rsid w:val="00B33AA6"/>
    <w:rsid w:val="00B33BCA"/>
    <w:rsid w:val="00B33C44"/>
    <w:rsid w:val="00B33CE5"/>
    <w:rsid w:val="00B33E57"/>
    <w:rsid w:val="00B33E91"/>
    <w:rsid w:val="00B33EA1"/>
    <w:rsid w:val="00B33F04"/>
    <w:rsid w:val="00B33FC0"/>
    <w:rsid w:val="00B340D8"/>
    <w:rsid w:val="00B3429B"/>
    <w:rsid w:val="00B3431E"/>
    <w:rsid w:val="00B344C9"/>
    <w:rsid w:val="00B344FE"/>
    <w:rsid w:val="00B3458F"/>
    <w:rsid w:val="00B34647"/>
    <w:rsid w:val="00B3472E"/>
    <w:rsid w:val="00B3476E"/>
    <w:rsid w:val="00B34858"/>
    <w:rsid w:val="00B348A0"/>
    <w:rsid w:val="00B34AA1"/>
    <w:rsid w:val="00B34ACD"/>
    <w:rsid w:val="00B34B3D"/>
    <w:rsid w:val="00B34E6E"/>
    <w:rsid w:val="00B34EE9"/>
    <w:rsid w:val="00B34F21"/>
    <w:rsid w:val="00B3523F"/>
    <w:rsid w:val="00B35332"/>
    <w:rsid w:val="00B35424"/>
    <w:rsid w:val="00B35441"/>
    <w:rsid w:val="00B355C8"/>
    <w:rsid w:val="00B355EB"/>
    <w:rsid w:val="00B356B3"/>
    <w:rsid w:val="00B356FA"/>
    <w:rsid w:val="00B357D4"/>
    <w:rsid w:val="00B35806"/>
    <w:rsid w:val="00B35BF1"/>
    <w:rsid w:val="00B35DEE"/>
    <w:rsid w:val="00B35E14"/>
    <w:rsid w:val="00B35E67"/>
    <w:rsid w:val="00B35E84"/>
    <w:rsid w:val="00B35F4A"/>
    <w:rsid w:val="00B35F56"/>
    <w:rsid w:val="00B361CE"/>
    <w:rsid w:val="00B36265"/>
    <w:rsid w:val="00B36276"/>
    <w:rsid w:val="00B363AE"/>
    <w:rsid w:val="00B36557"/>
    <w:rsid w:val="00B366E4"/>
    <w:rsid w:val="00B3673A"/>
    <w:rsid w:val="00B367EE"/>
    <w:rsid w:val="00B36803"/>
    <w:rsid w:val="00B36A5A"/>
    <w:rsid w:val="00B36B72"/>
    <w:rsid w:val="00B36B74"/>
    <w:rsid w:val="00B36CA7"/>
    <w:rsid w:val="00B36E1D"/>
    <w:rsid w:val="00B36E25"/>
    <w:rsid w:val="00B3705C"/>
    <w:rsid w:val="00B370BA"/>
    <w:rsid w:val="00B370C1"/>
    <w:rsid w:val="00B3718A"/>
    <w:rsid w:val="00B3724B"/>
    <w:rsid w:val="00B37283"/>
    <w:rsid w:val="00B37288"/>
    <w:rsid w:val="00B3730D"/>
    <w:rsid w:val="00B37398"/>
    <w:rsid w:val="00B373A9"/>
    <w:rsid w:val="00B37444"/>
    <w:rsid w:val="00B375D5"/>
    <w:rsid w:val="00B376A9"/>
    <w:rsid w:val="00B376BB"/>
    <w:rsid w:val="00B37786"/>
    <w:rsid w:val="00B3781A"/>
    <w:rsid w:val="00B37889"/>
    <w:rsid w:val="00B378B7"/>
    <w:rsid w:val="00B37917"/>
    <w:rsid w:val="00B379EE"/>
    <w:rsid w:val="00B37AD3"/>
    <w:rsid w:val="00B37B36"/>
    <w:rsid w:val="00B37D01"/>
    <w:rsid w:val="00B37D6E"/>
    <w:rsid w:val="00B37DA7"/>
    <w:rsid w:val="00B37FE8"/>
    <w:rsid w:val="00B40120"/>
    <w:rsid w:val="00B4021A"/>
    <w:rsid w:val="00B40309"/>
    <w:rsid w:val="00B4030A"/>
    <w:rsid w:val="00B40391"/>
    <w:rsid w:val="00B403E9"/>
    <w:rsid w:val="00B4058F"/>
    <w:rsid w:val="00B405C0"/>
    <w:rsid w:val="00B405F1"/>
    <w:rsid w:val="00B4070C"/>
    <w:rsid w:val="00B40840"/>
    <w:rsid w:val="00B4087D"/>
    <w:rsid w:val="00B40900"/>
    <w:rsid w:val="00B409D0"/>
    <w:rsid w:val="00B40A14"/>
    <w:rsid w:val="00B40A62"/>
    <w:rsid w:val="00B40B00"/>
    <w:rsid w:val="00B40B1A"/>
    <w:rsid w:val="00B40BB4"/>
    <w:rsid w:val="00B40C4D"/>
    <w:rsid w:val="00B40D27"/>
    <w:rsid w:val="00B40ED0"/>
    <w:rsid w:val="00B40F36"/>
    <w:rsid w:val="00B40F4F"/>
    <w:rsid w:val="00B40F50"/>
    <w:rsid w:val="00B40F7C"/>
    <w:rsid w:val="00B40F85"/>
    <w:rsid w:val="00B41174"/>
    <w:rsid w:val="00B41195"/>
    <w:rsid w:val="00B412E6"/>
    <w:rsid w:val="00B413BA"/>
    <w:rsid w:val="00B414B7"/>
    <w:rsid w:val="00B414F1"/>
    <w:rsid w:val="00B4154E"/>
    <w:rsid w:val="00B4157A"/>
    <w:rsid w:val="00B415C8"/>
    <w:rsid w:val="00B4169E"/>
    <w:rsid w:val="00B4175C"/>
    <w:rsid w:val="00B4177B"/>
    <w:rsid w:val="00B41805"/>
    <w:rsid w:val="00B4182E"/>
    <w:rsid w:val="00B41835"/>
    <w:rsid w:val="00B4183D"/>
    <w:rsid w:val="00B4185A"/>
    <w:rsid w:val="00B41A07"/>
    <w:rsid w:val="00B41A20"/>
    <w:rsid w:val="00B41ABA"/>
    <w:rsid w:val="00B41AC3"/>
    <w:rsid w:val="00B41AD6"/>
    <w:rsid w:val="00B41B22"/>
    <w:rsid w:val="00B41B33"/>
    <w:rsid w:val="00B41B9B"/>
    <w:rsid w:val="00B41C0A"/>
    <w:rsid w:val="00B41C1F"/>
    <w:rsid w:val="00B41E0D"/>
    <w:rsid w:val="00B41E69"/>
    <w:rsid w:val="00B41EE3"/>
    <w:rsid w:val="00B41F2A"/>
    <w:rsid w:val="00B4201B"/>
    <w:rsid w:val="00B42034"/>
    <w:rsid w:val="00B4214C"/>
    <w:rsid w:val="00B421CB"/>
    <w:rsid w:val="00B422C5"/>
    <w:rsid w:val="00B423DA"/>
    <w:rsid w:val="00B424B1"/>
    <w:rsid w:val="00B424C0"/>
    <w:rsid w:val="00B425FB"/>
    <w:rsid w:val="00B426EE"/>
    <w:rsid w:val="00B428D8"/>
    <w:rsid w:val="00B429E1"/>
    <w:rsid w:val="00B42A81"/>
    <w:rsid w:val="00B42BE8"/>
    <w:rsid w:val="00B42D18"/>
    <w:rsid w:val="00B42D72"/>
    <w:rsid w:val="00B42D78"/>
    <w:rsid w:val="00B42E00"/>
    <w:rsid w:val="00B42E25"/>
    <w:rsid w:val="00B42E79"/>
    <w:rsid w:val="00B42FA1"/>
    <w:rsid w:val="00B42FE5"/>
    <w:rsid w:val="00B4302D"/>
    <w:rsid w:val="00B4306B"/>
    <w:rsid w:val="00B430B6"/>
    <w:rsid w:val="00B4311B"/>
    <w:rsid w:val="00B4313E"/>
    <w:rsid w:val="00B43158"/>
    <w:rsid w:val="00B4317A"/>
    <w:rsid w:val="00B433D2"/>
    <w:rsid w:val="00B4343B"/>
    <w:rsid w:val="00B43588"/>
    <w:rsid w:val="00B43589"/>
    <w:rsid w:val="00B435DF"/>
    <w:rsid w:val="00B435E0"/>
    <w:rsid w:val="00B43605"/>
    <w:rsid w:val="00B43798"/>
    <w:rsid w:val="00B437DE"/>
    <w:rsid w:val="00B438D6"/>
    <w:rsid w:val="00B439A4"/>
    <w:rsid w:val="00B439D1"/>
    <w:rsid w:val="00B439F5"/>
    <w:rsid w:val="00B43A14"/>
    <w:rsid w:val="00B43A6C"/>
    <w:rsid w:val="00B43AAF"/>
    <w:rsid w:val="00B43ACD"/>
    <w:rsid w:val="00B43B24"/>
    <w:rsid w:val="00B43B35"/>
    <w:rsid w:val="00B43B5B"/>
    <w:rsid w:val="00B43B63"/>
    <w:rsid w:val="00B43B7A"/>
    <w:rsid w:val="00B43B9E"/>
    <w:rsid w:val="00B43BA4"/>
    <w:rsid w:val="00B43BC8"/>
    <w:rsid w:val="00B43BF4"/>
    <w:rsid w:val="00B43C8A"/>
    <w:rsid w:val="00B43D82"/>
    <w:rsid w:val="00B43EA7"/>
    <w:rsid w:val="00B43EF4"/>
    <w:rsid w:val="00B43F31"/>
    <w:rsid w:val="00B43F85"/>
    <w:rsid w:val="00B43FC7"/>
    <w:rsid w:val="00B43FF0"/>
    <w:rsid w:val="00B440BB"/>
    <w:rsid w:val="00B44120"/>
    <w:rsid w:val="00B4421D"/>
    <w:rsid w:val="00B442CC"/>
    <w:rsid w:val="00B442DF"/>
    <w:rsid w:val="00B4439B"/>
    <w:rsid w:val="00B44473"/>
    <w:rsid w:val="00B445A9"/>
    <w:rsid w:val="00B44603"/>
    <w:rsid w:val="00B44665"/>
    <w:rsid w:val="00B44682"/>
    <w:rsid w:val="00B446A9"/>
    <w:rsid w:val="00B44766"/>
    <w:rsid w:val="00B44796"/>
    <w:rsid w:val="00B447EB"/>
    <w:rsid w:val="00B448A4"/>
    <w:rsid w:val="00B44978"/>
    <w:rsid w:val="00B44A27"/>
    <w:rsid w:val="00B44C12"/>
    <w:rsid w:val="00B44CAC"/>
    <w:rsid w:val="00B44D17"/>
    <w:rsid w:val="00B44D9C"/>
    <w:rsid w:val="00B44E33"/>
    <w:rsid w:val="00B44FD3"/>
    <w:rsid w:val="00B451E6"/>
    <w:rsid w:val="00B4526E"/>
    <w:rsid w:val="00B45274"/>
    <w:rsid w:val="00B45525"/>
    <w:rsid w:val="00B4569F"/>
    <w:rsid w:val="00B456C4"/>
    <w:rsid w:val="00B4572A"/>
    <w:rsid w:val="00B457B0"/>
    <w:rsid w:val="00B457D7"/>
    <w:rsid w:val="00B457FC"/>
    <w:rsid w:val="00B45823"/>
    <w:rsid w:val="00B45893"/>
    <w:rsid w:val="00B458F1"/>
    <w:rsid w:val="00B458FF"/>
    <w:rsid w:val="00B45947"/>
    <w:rsid w:val="00B45A27"/>
    <w:rsid w:val="00B45AB3"/>
    <w:rsid w:val="00B45AF4"/>
    <w:rsid w:val="00B45C1B"/>
    <w:rsid w:val="00B45C2C"/>
    <w:rsid w:val="00B45C8B"/>
    <w:rsid w:val="00B45CA7"/>
    <w:rsid w:val="00B45CB8"/>
    <w:rsid w:val="00B45DB4"/>
    <w:rsid w:val="00B45E13"/>
    <w:rsid w:val="00B45E14"/>
    <w:rsid w:val="00B45E1C"/>
    <w:rsid w:val="00B45E5C"/>
    <w:rsid w:val="00B45F61"/>
    <w:rsid w:val="00B46283"/>
    <w:rsid w:val="00B46287"/>
    <w:rsid w:val="00B46494"/>
    <w:rsid w:val="00B46592"/>
    <w:rsid w:val="00B46625"/>
    <w:rsid w:val="00B4662B"/>
    <w:rsid w:val="00B466C6"/>
    <w:rsid w:val="00B467EB"/>
    <w:rsid w:val="00B46881"/>
    <w:rsid w:val="00B46916"/>
    <w:rsid w:val="00B46933"/>
    <w:rsid w:val="00B46969"/>
    <w:rsid w:val="00B4698D"/>
    <w:rsid w:val="00B469AB"/>
    <w:rsid w:val="00B469C4"/>
    <w:rsid w:val="00B46A0D"/>
    <w:rsid w:val="00B46AA3"/>
    <w:rsid w:val="00B46BA0"/>
    <w:rsid w:val="00B46C2E"/>
    <w:rsid w:val="00B46CD8"/>
    <w:rsid w:val="00B46D9B"/>
    <w:rsid w:val="00B46DD4"/>
    <w:rsid w:val="00B46E34"/>
    <w:rsid w:val="00B46F50"/>
    <w:rsid w:val="00B46F80"/>
    <w:rsid w:val="00B46FA7"/>
    <w:rsid w:val="00B47249"/>
    <w:rsid w:val="00B47298"/>
    <w:rsid w:val="00B472A5"/>
    <w:rsid w:val="00B47314"/>
    <w:rsid w:val="00B473D1"/>
    <w:rsid w:val="00B47556"/>
    <w:rsid w:val="00B4760A"/>
    <w:rsid w:val="00B479F9"/>
    <w:rsid w:val="00B47B88"/>
    <w:rsid w:val="00B47C9E"/>
    <w:rsid w:val="00B47CCE"/>
    <w:rsid w:val="00B47CFA"/>
    <w:rsid w:val="00B47D22"/>
    <w:rsid w:val="00B47D84"/>
    <w:rsid w:val="00B47E94"/>
    <w:rsid w:val="00B47ED9"/>
    <w:rsid w:val="00B47FB3"/>
    <w:rsid w:val="00B5002B"/>
    <w:rsid w:val="00B50078"/>
    <w:rsid w:val="00B5026E"/>
    <w:rsid w:val="00B502DB"/>
    <w:rsid w:val="00B50531"/>
    <w:rsid w:val="00B5055F"/>
    <w:rsid w:val="00B50565"/>
    <w:rsid w:val="00B505A1"/>
    <w:rsid w:val="00B50883"/>
    <w:rsid w:val="00B5088C"/>
    <w:rsid w:val="00B509C1"/>
    <w:rsid w:val="00B509FB"/>
    <w:rsid w:val="00B50A54"/>
    <w:rsid w:val="00B50B86"/>
    <w:rsid w:val="00B50CE0"/>
    <w:rsid w:val="00B50DA2"/>
    <w:rsid w:val="00B50DAC"/>
    <w:rsid w:val="00B50DCD"/>
    <w:rsid w:val="00B50E56"/>
    <w:rsid w:val="00B50ED2"/>
    <w:rsid w:val="00B50FA8"/>
    <w:rsid w:val="00B50FCB"/>
    <w:rsid w:val="00B5103A"/>
    <w:rsid w:val="00B51092"/>
    <w:rsid w:val="00B511AA"/>
    <w:rsid w:val="00B513B7"/>
    <w:rsid w:val="00B5148B"/>
    <w:rsid w:val="00B514C7"/>
    <w:rsid w:val="00B5163E"/>
    <w:rsid w:val="00B516B0"/>
    <w:rsid w:val="00B5172A"/>
    <w:rsid w:val="00B51788"/>
    <w:rsid w:val="00B517A9"/>
    <w:rsid w:val="00B5193C"/>
    <w:rsid w:val="00B51993"/>
    <w:rsid w:val="00B519D1"/>
    <w:rsid w:val="00B51A05"/>
    <w:rsid w:val="00B51B47"/>
    <w:rsid w:val="00B51B61"/>
    <w:rsid w:val="00B51BD4"/>
    <w:rsid w:val="00B51BFA"/>
    <w:rsid w:val="00B51C02"/>
    <w:rsid w:val="00B51C73"/>
    <w:rsid w:val="00B51D59"/>
    <w:rsid w:val="00B51E1F"/>
    <w:rsid w:val="00B520C2"/>
    <w:rsid w:val="00B52119"/>
    <w:rsid w:val="00B5217F"/>
    <w:rsid w:val="00B52201"/>
    <w:rsid w:val="00B52244"/>
    <w:rsid w:val="00B52309"/>
    <w:rsid w:val="00B523AA"/>
    <w:rsid w:val="00B52476"/>
    <w:rsid w:val="00B52530"/>
    <w:rsid w:val="00B5258F"/>
    <w:rsid w:val="00B525AF"/>
    <w:rsid w:val="00B5260F"/>
    <w:rsid w:val="00B52645"/>
    <w:rsid w:val="00B52709"/>
    <w:rsid w:val="00B52782"/>
    <w:rsid w:val="00B527C7"/>
    <w:rsid w:val="00B52808"/>
    <w:rsid w:val="00B528DB"/>
    <w:rsid w:val="00B52A13"/>
    <w:rsid w:val="00B52A41"/>
    <w:rsid w:val="00B52B52"/>
    <w:rsid w:val="00B52B53"/>
    <w:rsid w:val="00B52BA4"/>
    <w:rsid w:val="00B52C21"/>
    <w:rsid w:val="00B52C3D"/>
    <w:rsid w:val="00B52CCC"/>
    <w:rsid w:val="00B52E83"/>
    <w:rsid w:val="00B52EB9"/>
    <w:rsid w:val="00B52F01"/>
    <w:rsid w:val="00B53094"/>
    <w:rsid w:val="00B530CF"/>
    <w:rsid w:val="00B53149"/>
    <w:rsid w:val="00B531CB"/>
    <w:rsid w:val="00B5320A"/>
    <w:rsid w:val="00B5334A"/>
    <w:rsid w:val="00B533C3"/>
    <w:rsid w:val="00B533D9"/>
    <w:rsid w:val="00B5364B"/>
    <w:rsid w:val="00B5371E"/>
    <w:rsid w:val="00B53885"/>
    <w:rsid w:val="00B539A2"/>
    <w:rsid w:val="00B53BA2"/>
    <w:rsid w:val="00B53C6E"/>
    <w:rsid w:val="00B53DCF"/>
    <w:rsid w:val="00B53F12"/>
    <w:rsid w:val="00B53F2F"/>
    <w:rsid w:val="00B54023"/>
    <w:rsid w:val="00B54123"/>
    <w:rsid w:val="00B5412B"/>
    <w:rsid w:val="00B54193"/>
    <w:rsid w:val="00B5422B"/>
    <w:rsid w:val="00B543D0"/>
    <w:rsid w:val="00B5462F"/>
    <w:rsid w:val="00B54638"/>
    <w:rsid w:val="00B54640"/>
    <w:rsid w:val="00B54727"/>
    <w:rsid w:val="00B54788"/>
    <w:rsid w:val="00B54874"/>
    <w:rsid w:val="00B54988"/>
    <w:rsid w:val="00B54B97"/>
    <w:rsid w:val="00B54C41"/>
    <w:rsid w:val="00B54CCC"/>
    <w:rsid w:val="00B54D65"/>
    <w:rsid w:val="00B54D73"/>
    <w:rsid w:val="00B54E5D"/>
    <w:rsid w:val="00B54F18"/>
    <w:rsid w:val="00B54F3B"/>
    <w:rsid w:val="00B54FB5"/>
    <w:rsid w:val="00B551D2"/>
    <w:rsid w:val="00B5527C"/>
    <w:rsid w:val="00B553EA"/>
    <w:rsid w:val="00B553ED"/>
    <w:rsid w:val="00B556BB"/>
    <w:rsid w:val="00B557C5"/>
    <w:rsid w:val="00B55884"/>
    <w:rsid w:val="00B559E2"/>
    <w:rsid w:val="00B55A3E"/>
    <w:rsid w:val="00B55A58"/>
    <w:rsid w:val="00B55B72"/>
    <w:rsid w:val="00B55B87"/>
    <w:rsid w:val="00B55CF6"/>
    <w:rsid w:val="00B55FEA"/>
    <w:rsid w:val="00B5601F"/>
    <w:rsid w:val="00B56105"/>
    <w:rsid w:val="00B562F4"/>
    <w:rsid w:val="00B563DB"/>
    <w:rsid w:val="00B5641C"/>
    <w:rsid w:val="00B564A9"/>
    <w:rsid w:val="00B565A8"/>
    <w:rsid w:val="00B565E7"/>
    <w:rsid w:val="00B5661E"/>
    <w:rsid w:val="00B566DA"/>
    <w:rsid w:val="00B56776"/>
    <w:rsid w:val="00B567CC"/>
    <w:rsid w:val="00B567E2"/>
    <w:rsid w:val="00B569D8"/>
    <w:rsid w:val="00B56A29"/>
    <w:rsid w:val="00B56C4F"/>
    <w:rsid w:val="00B56C6E"/>
    <w:rsid w:val="00B56C79"/>
    <w:rsid w:val="00B56CA0"/>
    <w:rsid w:val="00B56DD2"/>
    <w:rsid w:val="00B5701C"/>
    <w:rsid w:val="00B57125"/>
    <w:rsid w:val="00B5720C"/>
    <w:rsid w:val="00B5730E"/>
    <w:rsid w:val="00B5739D"/>
    <w:rsid w:val="00B57410"/>
    <w:rsid w:val="00B574F1"/>
    <w:rsid w:val="00B57507"/>
    <w:rsid w:val="00B57746"/>
    <w:rsid w:val="00B577A3"/>
    <w:rsid w:val="00B5782C"/>
    <w:rsid w:val="00B578A9"/>
    <w:rsid w:val="00B57980"/>
    <w:rsid w:val="00B57AAA"/>
    <w:rsid w:val="00B57B82"/>
    <w:rsid w:val="00B57CDD"/>
    <w:rsid w:val="00B57E24"/>
    <w:rsid w:val="00B57F0B"/>
    <w:rsid w:val="00B57F7C"/>
    <w:rsid w:val="00B600C7"/>
    <w:rsid w:val="00B600E9"/>
    <w:rsid w:val="00B6015D"/>
    <w:rsid w:val="00B6016A"/>
    <w:rsid w:val="00B601DE"/>
    <w:rsid w:val="00B6023D"/>
    <w:rsid w:val="00B60283"/>
    <w:rsid w:val="00B603F8"/>
    <w:rsid w:val="00B6043C"/>
    <w:rsid w:val="00B607D8"/>
    <w:rsid w:val="00B607DF"/>
    <w:rsid w:val="00B60989"/>
    <w:rsid w:val="00B60A5C"/>
    <w:rsid w:val="00B60ADD"/>
    <w:rsid w:val="00B60AF6"/>
    <w:rsid w:val="00B60BC3"/>
    <w:rsid w:val="00B60BD6"/>
    <w:rsid w:val="00B60D31"/>
    <w:rsid w:val="00B60DDF"/>
    <w:rsid w:val="00B60E28"/>
    <w:rsid w:val="00B60E3F"/>
    <w:rsid w:val="00B60E57"/>
    <w:rsid w:val="00B60E9E"/>
    <w:rsid w:val="00B60F9C"/>
    <w:rsid w:val="00B6102F"/>
    <w:rsid w:val="00B61033"/>
    <w:rsid w:val="00B611FC"/>
    <w:rsid w:val="00B61428"/>
    <w:rsid w:val="00B61543"/>
    <w:rsid w:val="00B615CD"/>
    <w:rsid w:val="00B61696"/>
    <w:rsid w:val="00B616FF"/>
    <w:rsid w:val="00B6172A"/>
    <w:rsid w:val="00B61829"/>
    <w:rsid w:val="00B6184D"/>
    <w:rsid w:val="00B61888"/>
    <w:rsid w:val="00B61A4E"/>
    <w:rsid w:val="00B61ADD"/>
    <w:rsid w:val="00B61B5C"/>
    <w:rsid w:val="00B61BE7"/>
    <w:rsid w:val="00B61C3A"/>
    <w:rsid w:val="00B61C79"/>
    <w:rsid w:val="00B61CE2"/>
    <w:rsid w:val="00B61D37"/>
    <w:rsid w:val="00B61DB7"/>
    <w:rsid w:val="00B61EE6"/>
    <w:rsid w:val="00B61F3F"/>
    <w:rsid w:val="00B62113"/>
    <w:rsid w:val="00B6233E"/>
    <w:rsid w:val="00B623AF"/>
    <w:rsid w:val="00B624CB"/>
    <w:rsid w:val="00B6250A"/>
    <w:rsid w:val="00B6256D"/>
    <w:rsid w:val="00B626EB"/>
    <w:rsid w:val="00B6279B"/>
    <w:rsid w:val="00B62842"/>
    <w:rsid w:val="00B62858"/>
    <w:rsid w:val="00B62908"/>
    <w:rsid w:val="00B6298B"/>
    <w:rsid w:val="00B62990"/>
    <w:rsid w:val="00B629F9"/>
    <w:rsid w:val="00B62A5B"/>
    <w:rsid w:val="00B62A90"/>
    <w:rsid w:val="00B62AE2"/>
    <w:rsid w:val="00B62F26"/>
    <w:rsid w:val="00B63156"/>
    <w:rsid w:val="00B6319B"/>
    <w:rsid w:val="00B631F7"/>
    <w:rsid w:val="00B631F8"/>
    <w:rsid w:val="00B632BB"/>
    <w:rsid w:val="00B632E5"/>
    <w:rsid w:val="00B63367"/>
    <w:rsid w:val="00B63466"/>
    <w:rsid w:val="00B6346D"/>
    <w:rsid w:val="00B63693"/>
    <w:rsid w:val="00B6373F"/>
    <w:rsid w:val="00B6387B"/>
    <w:rsid w:val="00B638F9"/>
    <w:rsid w:val="00B63A87"/>
    <w:rsid w:val="00B63AC4"/>
    <w:rsid w:val="00B63D48"/>
    <w:rsid w:val="00B63DC0"/>
    <w:rsid w:val="00B63E5A"/>
    <w:rsid w:val="00B63E8C"/>
    <w:rsid w:val="00B63EAF"/>
    <w:rsid w:val="00B63F47"/>
    <w:rsid w:val="00B63F70"/>
    <w:rsid w:val="00B63FB7"/>
    <w:rsid w:val="00B63FF8"/>
    <w:rsid w:val="00B64131"/>
    <w:rsid w:val="00B641DA"/>
    <w:rsid w:val="00B64236"/>
    <w:rsid w:val="00B643A5"/>
    <w:rsid w:val="00B644F3"/>
    <w:rsid w:val="00B6456B"/>
    <w:rsid w:val="00B647B0"/>
    <w:rsid w:val="00B6492D"/>
    <w:rsid w:val="00B64967"/>
    <w:rsid w:val="00B64992"/>
    <w:rsid w:val="00B649B3"/>
    <w:rsid w:val="00B64ADD"/>
    <w:rsid w:val="00B64B1D"/>
    <w:rsid w:val="00B64C22"/>
    <w:rsid w:val="00B64C47"/>
    <w:rsid w:val="00B64D11"/>
    <w:rsid w:val="00B64E02"/>
    <w:rsid w:val="00B64FEA"/>
    <w:rsid w:val="00B650BC"/>
    <w:rsid w:val="00B65157"/>
    <w:rsid w:val="00B651BD"/>
    <w:rsid w:val="00B651D4"/>
    <w:rsid w:val="00B652A4"/>
    <w:rsid w:val="00B652F5"/>
    <w:rsid w:val="00B65351"/>
    <w:rsid w:val="00B653FC"/>
    <w:rsid w:val="00B654AB"/>
    <w:rsid w:val="00B654B6"/>
    <w:rsid w:val="00B654CA"/>
    <w:rsid w:val="00B6551D"/>
    <w:rsid w:val="00B65603"/>
    <w:rsid w:val="00B65717"/>
    <w:rsid w:val="00B657DB"/>
    <w:rsid w:val="00B657F5"/>
    <w:rsid w:val="00B657F9"/>
    <w:rsid w:val="00B65800"/>
    <w:rsid w:val="00B658C4"/>
    <w:rsid w:val="00B658C9"/>
    <w:rsid w:val="00B659FB"/>
    <w:rsid w:val="00B65A2D"/>
    <w:rsid w:val="00B65B4B"/>
    <w:rsid w:val="00B65B7D"/>
    <w:rsid w:val="00B65C1B"/>
    <w:rsid w:val="00B65C51"/>
    <w:rsid w:val="00B65D07"/>
    <w:rsid w:val="00B65D78"/>
    <w:rsid w:val="00B65D8C"/>
    <w:rsid w:val="00B65E14"/>
    <w:rsid w:val="00B65E8E"/>
    <w:rsid w:val="00B65EC2"/>
    <w:rsid w:val="00B6604D"/>
    <w:rsid w:val="00B660F1"/>
    <w:rsid w:val="00B66132"/>
    <w:rsid w:val="00B661B2"/>
    <w:rsid w:val="00B661FC"/>
    <w:rsid w:val="00B6637B"/>
    <w:rsid w:val="00B663B7"/>
    <w:rsid w:val="00B663EA"/>
    <w:rsid w:val="00B66436"/>
    <w:rsid w:val="00B6648B"/>
    <w:rsid w:val="00B66529"/>
    <w:rsid w:val="00B665F8"/>
    <w:rsid w:val="00B6662D"/>
    <w:rsid w:val="00B666D7"/>
    <w:rsid w:val="00B66807"/>
    <w:rsid w:val="00B6684A"/>
    <w:rsid w:val="00B66990"/>
    <w:rsid w:val="00B669C4"/>
    <w:rsid w:val="00B66B0E"/>
    <w:rsid w:val="00B66B8A"/>
    <w:rsid w:val="00B66BB1"/>
    <w:rsid w:val="00B66C50"/>
    <w:rsid w:val="00B66C8B"/>
    <w:rsid w:val="00B66DEE"/>
    <w:rsid w:val="00B66E14"/>
    <w:rsid w:val="00B66EF6"/>
    <w:rsid w:val="00B66F0B"/>
    <w:rsid w:val="00B67072"/>
    <w:rsid w:val="00B67151"/>
    <w:rsid w:val="00B67187"/>
    <w:rsid w:val="00B67190"/>
    <w:rsid w:val="00B671E0"/>
    <w:rsid w:val="00B67256"/>
    <w:rsid w:val="00B673E9"/>
    <w:rsid w:val="00B678C1"/>
    <w:rsid w:val="00B67961"/>
    <w:rsid w:val="00B67976"/>
    <w:rsid w:val="00B67997"/>
    <w:rsid w:val="00B679C4"/>
    <w:rsid w:val="00B67A26"/>
    <w:rsid w:val="00B67A6E"/>
    <w:rsid w:val="00B67ABA"/>
    <w:rsid w:val="00B67B72"/>
    <w:rsid w:val="00B67B8B"/>
    <w:rsid w:val="00B67BAB"/>
    <w:rsid w:val="00B67C24"/>
    <w:rsid w:val="00B67CD7"/>
    <w:rsid w:val="00B67D27"/>
    <w:rsid w:val="00B67F87"/>
    <w:rsid w:val="00B67FB0"/>
    <w:rsid w:val="00B67FDC"/>
    <w:rsid w:val="00B70003"/>
    <w:rsid w:val="00B7003E"/>
    <w:rsid w:val="00B70043"/>
    <w:rsid w:val="00B70056"/>
    <w:rsid w:val="00B7020D"/>
    <w:rsid w:val="00B70218"/>
    <w:rsid w:val="00B70314"/>
    <w:rsid w:val="00B70398"/>
    <w:rsid w:val="00B703F1"/>
    <w:rsid w:val="00B705D0"/>
    <w:rsid w:val="00B7064B"/>
    <w:rsid w:val="00B70710"/>
    <w:rsid w:val="00B7071A"/>
    <w:rsid w:val="00B70738"/>
    <w:rsid w:val="00B70745"/>
    <w:rsid w:val="00B708EB"/>
    <w:rsid w:val="00B70975"/>
    <w:rsid w:val="00B70997"/>
    <w:rsid w:val="00B70A7D"/>
    <w:rsid w:val="00B70B07"/>
    <w:rsid w:val="00B70B21"/>
    <w:rsid w:val="00B70B2F"/>
    <w:rsid w:val="00B70B3B"/>
    <w:rsid w:val="00B70BC4"/>
    <w:rsid w:val="00B70BE0"/>
    <w:rsid w:val="00B70C36"/>
    <w:rsid w:val="00B70C3C"/>
    <w:rsid w:val="00B70D7D"/>
    <w:rsid w:val="00B70E87"/>
    <w:rsid w:val="00B70EF8"/>
    <w:rsid w:val="00B71070"/>
    <w:rsid w:val="00B71143"/>
    <w:rsid w:val="00B711B0"/>
    <w:rsid w:val="00B711B2"/>
    <w:rsid w:val="00B7122F"/>
    <w:rsid w:val="00B71256"/>
    <w:rsid w:val="00B712E8"/>
    <w:rsid w:val="00B714D4"/>
    <w:rsid w:val="00B71532"/>
    <w:rsid w:val="00B715B7"/>
    <w:rsid w:val="00B7162E"/>
    <w:rsid w:val="00B716C8"/>
    <w:rsid w:val="00B716F4"/>
    <w:rsid w:val="00B71765"/>
    <w:rsid w:val="00B717C5"/>
    <w:rsid w:val="00B71867"/>
    <w:rsid w:val="00B71992"/>
    <w:rsid w:val="00B719C7"/>
    <w:rsid w:val="00B71B1A"/>
    <w:rsid w:val="00B71B44"/>
    <w:rsid w:val="00B71C3C"/>
    <w:rsid w:val="00B71CCD"/>
    <w:rsid w:val="00B71E18"/>
    <w:rsid w:val="00B71E21"/>
    <w:rsid w:val="00B71F05"/>
    <w:rsid w:val="00B71F9D"/>
    <w:rsid w:val="00B71FAF"/>
    <w:rsid w:val="00B72058"/>
    <w:rsid w:val="00B720A4"/>
    <w:rsid w:val="00B721A0"/>
    <w:rsid w:val="00B72528"/>
    <w:rsid w:val="00B7273D"/>
    <w:rsid w:val="00B7279E"/>
    <w:rsid w:val="00B72818"/>
    <w:rsid w:val="00B728AB"/>
    <w:rsid w:val="00B728C2"/>
    <w:rsid w:val="00B728F8"/>
    <w:rsid w:val="00B72980"/>
    <w:rsid w:val="00B7299A"/>
    <w:rsid w:val="00B729F3"/>
    <w:rsid w:val="00B72ADF"/>
    <w:rsid w:val="00B72DF9"/>
    <w:rsid w:val="00B72E68"/>
    <w:rsid w:val="00B72E85"/>
    <w:rsid w:val="00B72F1F"/>
    <w:rsid w:val="00B72F66"/>
    <w:rsid w:val="00B72FFD"/>
    <w:rsid w:val="00B73115"/>
    <w:rsid w:val="00B73131"/>
    <w:rsid w:val="00B73150"/>
    <w:rsid w:val="00B7319C"/>
    <w:rsid w:val="00B731A1"/>
    <w:rsid w:val="00B73254"/>
    <w:rsid w:val="00B7326F"/>
    <w:rsid w:val="00B733B4"/>
    <w:rsid w:val="00B73400"/>
    <w:rsid w:val="00B7349E"/>
    <w:rsid w:val="00B7352C"/>
    <w:rsid w:val="00B735A8"/>
    <w:rsid w:val="00B735CE"/>
    <w:rsid w:val="00B73718"/>
    <w:rsid w:val="00B73830"/>
    <w:rsid w:val="00B73856"/>
    <w:rsid w:val="00B7389A"/>
    <w:rsid w:val="00B73959"/>
    <w:rsid w:val="00B73A62"/>
    <w:rsid w:val="00B73B64"/>
    <w:rsid w:val="00B73C88"/>
    <w:rsid w:val="00B73D73"/>
    <w:rsid w:val="00B73F4E"/>
    <w:rsid w:val="00B74024"/>
    <w:rsid w:val="00B74036"/>
    <w:rsid w:val="00B742C1"/>
    <w:rsid w:val="00B7432F"/>
    <w:rsid w:val="00B74397"/>
    <w:rsid w:val="00B743EF"/>
    <w:rsid w:val="00B74482"/>
    <w:rsid w:val="00B74620"/>
    <w:rsid w:val="00B746D0"/>
    <w:rsid w:val="00B7481A"/>
    <w:rsid w:val="00B74831"/>
    <w:rsid w:val="00B7493D"/>
    <w:rsid w:val="00B74B80"/>
    <w:rsid w:val="00B74BA2"/>
    <w:rsid w:val="00B74BC4"/>
    <w:rsid w:val="00B74F55"/>
    <w:rsid w:val="00B75019"/>
    <w:rsid w:val="00B75029"/>
    <w:rsid w:val="00B75056"/>
    <w:rsid w:val="00B75305"/>
    <w:rsid w:val="00B75461"/>
    <w:rsid w:val="00B75519"/>
    <w:rsid w:val="00B7563B"/>
    <w:rsid w:val="00B75681"/>
    <w:rsid w:val="00B756F8"/>
    <w:rsid w:val="00B757C3"/>
    <w:rsid w:val="00B757EF"/>
    <w:rsid w:val="00B757FC"/>
    <w:rsid w:val="00B759A2"/>
    <w:rsid w:val="00B759FF"/>
    <w:rsid w:val="00B75A07"/>
    <w:rsid w:val="00B75B17"/>
    <w:rsid w:val="00B75B73"/>
    <w:rsid w:val="00B75BDF"/>
    <w:rsid w:val="00B75C57"/>
    <w:rsid w:val="00B75C97"/>
    <w:rsid w:val="00B75C98"/>
    <w:rsid w:val="00B75D3A"/>
    <w:rsid w:val="00B75D50"/>
    <w:rsid w:val="00B75D58"/>
    <w:rsid w:val="00B75D8E"/>
    <w:rsid w:val="00B75DC6"/>
    <w:rsid w:val="00B75DD9"/>
    <w:rsid w:val="00B75EAF"/>
    <w:rsid w:val="00B75ED8"/>
    <w:rsid w:val="00B7608B"/>
    <w:rsid w:val="00B7611E"/>
    <w:rsid w:val="00B76138"/>
    <w:rsid w:val="00B76157"/>
    <w:rsid w:val="00B76199"/>
    <w:rsid w:val="00B762B3"/>
    <w:rsid w:val="00B762DF"/>
    <w:rsid w:val="00B7631A"/>
    <w:rsid w:val="00B7632C"/>
    <w:rsid w:val="00B7634D"/>
    <w:rsid w:val="00B76372"/>
    <w:rsid w:val="00B7640B"/>
    <w:rsid w:val="00B76449"/>
    <w:rsid w:val="00B76494"/>
    <w:rsid w:val="00B7659E"/>
    <w:rsid w:val="00B7661B"/>
    <w:rsid w:val="00B766BC"/>
    <w:rsid w:val="00B767B3"/>
    <w:rsid w:val="00B768CB"/>
    <w:rsid w:val="00B769BF"/>
    <w:rsid w:val="00B769FB"/>
    <w:rsid w:val="00B76A4E"/>
    <w:rsid w:val="00B76B77"/>
    <w:rsid w:val="00B76BC4"/>
    <w:rsid w:val="00B76D09"/>
    <w:rsid w:val="00B76D41"/>
    <w:rsid w:val="00B76E40"/>
    <w:rsid w:val="00B77025"/>
    <w:rsid w:val="00B770B0"/>
    <w:rsid w:val="00B77152"/>
    <w:rsid w:val="00B7724D"/>
    <w:rsid w:val="00B772FF"/>
    <w:rsid w:val="00B77362"/>
    <w:rsid w:val="00B77372"/>
    <w:rsid w:val="00B77498"/>
    <w:rsid w:val="00B7749E"/>
    <w:rsid w:val="00B774D3"/>
    <w:rsid w:val="00B775D6"/>
    <w:rsid w:val="00B77626"/>
    <w:rsid w:val="00B777F9"/>
    <w:rsid w:val="00B77950"/>
    <w:rsid w:val="00B779AF"/>
    <w:rsid w:val="00B77A83"/>
    <w:rsid w:val="00B77B19"/>
    <w:rsid w:val="00B77C80"/>
    <w:rsid w:val="00B77CAD"/>
    <w:rsid w:val="00B77CDF"/>
    <w:rsid w:val="00B77D91"/>
    <w:rsid w:val="00B77DCF"/>
    <w:rsid w:val="00B77F4D"/>
    <w:rsid w:val="00B77FD1"/>
    <w:rsid w:val="00B80117"/>
    <w:rsid w:val="00B80135"/>
    <w:rsid w:val="00B80143"/>
    <w:rsid w:val="00B80185"/>
    <w:rsid w:val="00B801AB"/>
    <w:rsid w:val="00B8022E"/>
    <w:rsid w:val="00B80257"/>
    <w:rsid w:val="00B80276"/>
    <w:rsid w:val="00B802E2"/>
    <w:rsid w:val="00B802E9"/>
    <w:rsid w:val="00B803A8"/>
    <w:rsid w:val="00B803C1"/>
    <w:rsid w:val="00B806B9"/>
    <w:rsid w:val="00B806EF"/>
    <w:rsid w:val="00B809F4"/>
    <w:rsid w:val="00B80A81"/>
    <w:rsid w:val="00B80ADC"/>
    <w:rsid w:val="00B80BDD"/>
    <w:rsid w:val="00B80C99"/>
    <w:rsid w:val="00B80CB8"/>
    <w:rsid w:val="00B80EDB"/>
    <w:rsid w:val="00B80EEB"/>
    <w:rsid w:val="00B80F46"/>
    <w:rsid w:val="00B80F5C"/>
    <w:rsid w:val="00B80FAD"/>
    <w:rsid w:val="00B80FF1"/>
    <w:rsid w:val="00B8106C"/>
    <w:rsid w:val="00B811CF"/>
    <w:rsid w:val="00B813B8"/>
    <w:rsid w:val="00B813D0"/>
    <w:rsid w:val="00B8149D"/>
    <w:rsid w:val="00B8152A"/>
    <w:rsid w:val="00B816F7"/>
    <w:rsid w:val="00B81896"/>
    <w:rsid w:val="00B818B7"/>
    <w:rsid w:val="00B81A53"/>
    <w:rsid w:val="00B81C4F"/>
    <w:rsid w:val="00B81CB3"/>
    <w:rsid w:val="00B81D4F"/>
    <w:rsid w:val="00B81DC3"/>
    <w:rsid w:val="00B81DC5"/>
    <w:rsid w:val="00B81E4E"/>
    <w:rsid w:val="00B82104"/>
    <w:rsid w:val="00B821A9"/>
    <w:rsid w:val="00B82309"/>
    <w:rsid w:val="00B82402"/>
    <w:rsid w:val="00B82434"/>
    <w:rsid w:val="00B824ED"/>
    <w:rsid w:val="00B825A6"/>
    <w:rsid w:val="00B825F0"/>
    <w:rsid w:val="00B825F6"/>
    <w:rsid w:val="00B82691"/>
    <w:rsid w:val="00B826A2"/>
    <w:rsid w:val="00B826ED"/>
    <w:rsid w:val="00B827A1"/>
    <w:rsid w:val="00B828FF"/>
    <w:rsid w:val="00B82A00"/>
    <w:rsid w:val="00B82A1A"/>
    <w:rsid w:val="00B82BBB"/>
    <w:rsid w:val="00B82EA1"/>
    <w:rsid w:val="00B82EA8"/>
    <w:rsid w:val="00B82F60"/>
    <w:rsid w:val="00B83066"/>
    <w:rsid w:val="00B83083"/>
    <w:rsid w:val="00B831B3"/>
    <w:rsid w:val="00B8329E"/>
    <w:rsid w:val="00B83612"/>
    <w:rsid w:val="00B83649"/>
    <w:rsid w:val="00B83663"/>
    <w:rsid w:val="00B837B1"/>
    <w:rsid w:val="00B837B6"/>
    <w:rsid w:val="00B83907"/>
    <w:rsid w:val="00B8396E"/>
    <w:rsid w:val="00B8397A"/>
    <w:rsid w:val="00B83984"/>
    <w:rsid w:val="00B83B75"/>
    <w:rsid w:val="00B83C45"/>
    <w:rsid w:val="00B83C67"/>
    <w:rsid w:val="00B83CAA"/>
    <w:rsid w:val="00B83DCC"/>
    <w:rsid w:val="00B83F5E"/>
    <w:rsid w:val="00B83F68"/>
    <w:rsid w:val="00B84112"/>
    <w:rsid w:val="00B8417A"/>
    <w:rsid w:val="00B841A9"/>
    <w:rsid w:val="00B843F3"/>
    <w:rsid w:val="00B84465"/>
    <w:rsid w:val="00B8448F"/>
    <w:rsid w:val="00B844AD"/>
    <w:rsid w:val="00B844C8"/>
    <w:rsid w:val="00B8459F"/>
    <w:rsid w:val="00B845AC"/>
    <w:rsid w:val="00B8475D"/>
    <w:rsid w:val="00B84863"/>
    <w:rsid w:val="00B84875"/>
    <w:rsid w:val="00B84915"/>
    <w:rsid w:val="00B84932"/>
    <w:rsid w:val="00B84A36"/>
    <w:rsid w:val="00B84C64"/>
    <w:rsid w:val="00B84CF9"/>
    <w:rsid w:val="00B84D78"/>
    <w:rsid w:val="00B84DA3"/>
    <w:rsid w:val="00B84E9C"/>
    <w:rsid w:val="00B84EBD"/>
    <w:rsid w:val="00B850ED"/>
    <w:rsid w:val="00B852CF"/>
    <w:rsid w:val="00B85334"/>
    <w:rsid w:val="00B855C7"/>
    <w:rsid w:val="00B855E6"/>
    <w:rsid w:val="00B85609"/>
    <w:rsid w:val="00B85660"/>
    <w:rsid w:val="00B856D8"/>
    <w:rsid w:val="00B8581C"/>
    <w:rsid w:val="00B85949"/>
    <w:rsid w:val="00B85AA6"/>
    <w:rsid w:val="00B85B03"/>
    <w:rsid w:val="00B85B20"/>
    <w:rsid w:val="00B85B90"/>
    <w:rsid w:val="00B85CA5"/>
    <w:rsid w:val="00B85CBC"/>
    <w:rsid w:val="00B85D30"/>
    <w:rsid w:val="00B85D85"/>
    <w:rsid w:val="00B8601D"/>
    <w:rsid w:val="00B86022"/>
    <w:rsid w:val="00B86076"/>
    <w:rsid w:val="00B86126"/>
    <w:rsid w:val="00B861E9"/>
    <w:rsid w:val="00B8626C"/>
    <w:rsid w:val="00B862EF"/>
    <w:rsid w:val="00B86566"/>
    <w:rsid w:val="00B865C6"/>
    <w:rsid w:val="00B86815"/>
    <w:rsid w:val="00B86831"/>
    <w:rsid w:val="00B868AD"/>
    <w:rsid w:val="00B86919"/>
    <w:rsid w:val="00B8692A"/>
    <w:rsid w:val="00B869C6"/>
    <w:rsid w:val="00B86B49"/>
    <w:rsid w:val="00B86C07"/>
    <w:rsid w:val="00B86C32"/>
    <w:rsid w:val="00B86CE0"/>
    <w:rsid w:val="00B86D9C"/>
    <w:rsid w:val="00B86ECF"/>
    <w:rsid w:val="00B86ED6"/>
    <w:rsid w:val="00B870AA"/>
    <w:rsid w:val="00B870AD"/>
    <w:rsid w:val="00B870E8"/>
    <w:rsid w:val="00B870F7"/>
    <w:rsid w:val="00B87158"/>
    <w:rsid w:val="00B87171"/>
    <w:rsid w:val="00B87189"/>
    <w:rsid w:val="00B871B5"/>
    <w:rsid w:val="00B87320"/>
    <w:rsid w:val="00B87336"/>
    <w:rsid w:val="00B873EF"/>
    <w:rsid w:val="00B87402"/>
    <w:rsid w:val="00B8760E"/>
    <w:rsid w:val="00B87643"/>
    <w:rsid w:val="00B876EB"/>
    <w:rsid w:val="00B876F6"/>
    <w:rsid w:val="00B8796A"/>
    <w:rsid w:val="00B8796F"/>
    <w:rsid w:val="00B879A0"/>
    <w:rsid w:val="00B87A41"/>
    <w:rsid w:val="00B87C6F"/>
    <w:rsid w:val="00B87D47"/>
    <w:rsid w:val="00B87E37"/>
    <w:rsid w:val="00B87E44"/>
    <w:rsid w:val="00B87EBC"/>
    <w:rsid w:val="00B87EF6"/>
    <w:rsid w:val="00B87FE1"/>
    <w:rsid w:val="00B9006C"/>
    <w:rsid w:val="00B9022D"/>
    <w:rsid w:val="00B90276"/>
    <w:rsid w:val="00B902E4"/>
    <w:rsid w:val="00B90337"/>
    <w:rsid w:val="00B903CF"/>
    <w:rsid w:val="00B90465"/>
    <w:rsid w:val="00B904A5"/>
    <w:rsid w:val="00B905A5"/>
    <w:rsid w:val="00B905C3"/>
    <w:rsid w:val="00B908F2"/>
    <w:rsid w:val="00B90929"/>
    <w:rsid w:val="00B90986"/>
    <w:rsid w:val="00B90C0D"/>
    <w:rsid w:val="00B90C8B"/>
    <w:rsid w:val="00B90D1C"/>
    <w:rsid w:val="00B90D70"/>
    <w:rsid w:val="00B9117C"/>
    <w:rsid w:val="00B91187"/>
    <w:rsid w:val="00B91302"/>
    <w:rsid w:val="00B9140F"/>
    <w:rsid w:val="00B914ED"/>
    <w:rsid w:val="00B91518"/>
    <w:rsid w:val="00B91552"/>
    <w:rsid w:val="00B91579"/>
    <w:rsid w:val="00B915A9"/>
    <w:rsid w:val="00B915EB"/>
    <w:rsid w:val="00B9160B"/>
    <w:rsid w:val="00B91653"/>
    <w:rsid w:val="00B916E5"/>
    <w:rsid w:val="00B917C5"/>
    <w:rsid w:val="00B91841"/>
    <w:rsid w:val="00B91898"/>
    <w:rsid w:val="00B9195F"/>
    <w:rsid w:val="00B91A6F"/>
    <w:rsid w:val="00B91A83"/>
    <w:rsid w:val="00B91AB3"/>
    <w:rsid w:val="00B91C06"/>
    <w:rsid w:val="00B91C45"/>
    <w:rsid w:val="00B91CA5"/>
    <w:rsid w:val="00B91D02"/>
    <w:rsid w:val="00B91D41"/>
    <w:rsid w:val="00B91D5A"/>
    <w:rsid w:val="00B91D81"/>
    <w:rsid w:val="00B91E3C"/>
    <w:rsid w:val="00B91F13"/>
    <w:rsid w:val="00B92265"/>
    <w:rsid w:val="00B92384"/>
    <w:rsid w:val="00B923E1"/>
    <w:rsid w:val="00B9245F"/>
    <w:rsid w:val="00B92631"/>
    <w:rsid w:val="00B92734"/>
    <w:rsid w:val="00B9283B"/>
    <w:rsid w:val="00B9286A"/>
    <w:rsid w:val="00B928BF"/>
    <w:rsid w:val="00B928E9"/>
    <w:rsid w:val="00B92A78"/>
    <w:rsid w:val="00B92AE1"/>
    <w:rsid w:val="00B92B11"/>
    <w:rsid w:val="00B92B5A"/>
    <w:rsid w:val="00B92CED"/>
    <w:rsid w:val="00B92D4C"/>
    <w:rsid w:val="00B92DF0"/>
    <w:rsid w:val="00B92E72"/>
    <w:rsid w:val="00B92F3A"/>
    <w:rsid w:val="00B9303A"/>
    <w:rsid w:val="00B9304D"/>
    <w:rsid w:val="00B930C4"/>
    <w:rsid w:val="00B931C3"/>
    <w:rsid w:val="00B931C4"/>
    <w:rsid w:val="00B93329"/>
    <w:rsid w:val="00B933CF"/>
    <w:rsid w:val="00B9341E"/>
    <w:rsid w:val="00B934CF"/>
    <w:rsid w:val="00B9369C"/>
    <w:rsid w:val="00B937E1"/>
    <w:rsid w:val="00B938A6"/>
    <w:rsid w:val="00B939FB"/>
    <w:rsid w:val="00B93B17"/>
    <w:rsid w:val="00B93B6B"/>
    <w:rsid w:val="00B93C08"/>
    <w:rsid w:val="00B93CCB"/>
    <w:rsid w:val="00B93D6B"/>
    <w:rsid w:val="00B93DC7"/>
    <w:rsid w:val="00B93E0F"/>
    <w:rsid w:val="00B93E24"/>
    <w:rsid w:val="00B93E62"/>
    <w:rsid w:val="00B93ED9"/>
    <w:rsid w:val="00B93F07"/>
    <w:rsid w:val="00B93F1A"/>
    <w:rsid w:val="00B93F9F"/>
    <w:rsid w:val="00B940C2"/>
    <w:rsid w:val="00B94239"/>
    <w:rsid w:val="00B942E4"/>
    <w:rsid w:val="00B942F7"/>
    <w:rsid w:val="00B9437B"/>
    <w:rsid w:val="00B943D3"/>
    <w:rsid w:val="00B945C7"/>
    <w:rsid w:val="00B94703"/>
    <w:rsid w:val="00B947C6"/>
    <w:rsid w:val="00B94857"/>
    <w:rsid w:val="00B94878"/>
    <w:rsid w:val="00B9494D"/>
    <w:rsid w:val="00B94ADF"/>
    <w:rsid w:val="00B94BF4"/>
    <w:rsid w:val="00B94CF2"/>
    <w:rsid w:val="00B94D8C"/>
    <w:rsid w:val="00B94E98"/>
    <w:rsid w:val="00B94EC9"/>
    <w:rsid w:val="00B950F1"/>
    <w:rsid w:val="00B950F6"/>
    <w:rsid w:val="00B95102"/>
    <w:rsid w:val="00B9516F"/>
    <w:rsid w:val="00B9527D"/>
    <w:rsid w:val="00B952DC"/>
    <w:rsid w:val="00B95307"/>
    <w:rsid w:val="00B9532A"/>
    <w:rsid w:val="00B95523"/>
    <w:rsid w:val="00B95743"/>
    <w:rsid w:val="00B95792"/>
    <w:rsid w:val="00B957ED"/>
    <w:rsid w:val="00B958D8"/>
    <w:rsid w:val="00B95A6C"/>
    <w:rsid w:val="00B95AE4"/>
    <w:rsid w:val="00B95DCE"/>
    <w:rsid w:val="00B95DE4"/>
    <w:rsid w:val="00B95EC6"/>
    <w:rsid w:val="00B95EDF"/>
    <w:rsid w:val="00B96095"/>
    <w:rsid w:val="00B96138"/>
    <w:rsid w:val="00B9613D"/>
    <w:rsid w:val="00B96159"/>
    <w:rsid w:val="00B961A9"/>
    <w:rsid w:val="00B961B2"/>
    <w:rsid w:val="00B961B8"/>
    <w:rsid w:val="00B96247"/>
    <w:rsid w:val="00B962C5"/>
    <w:rsid w:val="00B962C8"/>
    <w:rsid w:val="00B96343"/>
    <w:rsid w:val="00B9641F"/>
    <w:rsid w:val="00B96443"/>
    <w:rsid w:val="00B96459"/>
    <w:rsid w:val="00B964A5"/>
    <w:rsid w:val="00B9654D"/>
    <w:rsid w:val="00B9654F"/>
    <w:rsid w:val="00B96613"/>
    <w:rsid w:val="00B96709"/>
    <w:rsid w:val="00B96767"/>
    <w:rsid w:val="00B96846"/>
    <w:rsid w:val="00B96860"/>
    <w:rsid w:val="00B96897"/>
    <w:rsid w:val="00B96926"/>
    <w:rsid w:val="00B96B9C"/>
    <w:rsid w:val="00B96C42"/>
    <w:rsid w:val="00B96CD5"/>
    <w:rsid w:val="00B96D93"/>
    <w:rsid w:val="00B96E70"/>
    <w:rsid w:val="00B96E97"/>
    <w:rsid w:val="00B96F60"/>
    <w:rsid w:val="00B96F84"/>
    <w:rsid w:val="00B9701F"/>
    <w:rsid w:val="00B97122"/>
    <w:rsid w:val="00B97323"/>
    <w:rsid w:val="00B973CD"/>
    <w:rsid w:val="00B97493"/>
    <w:rsid w:val="00B974CE"/>
    <w:rsid w:val="00B97631"/>
    <w:rsid w:val="00B976BE"/>
    <w:rsid w:val="00B978FC"/>
    <w:rsid w:val="00B97924"/>
    <w:rsid w:val="00B97ABF"/>
    <w:rsid w:val="00B97ACF"/>
    <w:rsid w:val="00B97AD8"/>
    <w:rsid w:val="00B97B11"/>
    <w:rsid w:val="00B97BF8"/>
    <w:rsid w:val="00B97C1D"/>
    <w:rsid w:val="00B97D6A"/>
    <w:rsid w:val="00B97D88"/>
    <w:rsid w:val="00B97DB6"/>
    <w:rsid w:val="00B97F4F"/>
    <w:rsid w:val="00BA00E2"/>
    <w:rsid w:val="00BA03D2"/>
    <w:rsid w:val="00BA041E"/>
    <w:rsid w:val="00BA04D4"/>
    <w:rsid w:val="00BA0555"/>
    <w:rsid w:val="00BA0665"/>
    <w:rsid w:val="00BA06DC"/>
    <w:rsid w:val="00BA06DF"/>
    <w:rsid w:val="00BA0701"/>
    <w:rsid w:val="00BA08CE"/>
    <w:rsid w:val="00BA0A70"/>
    <w:rsid w:val="00BA0DEB"/>
    <w:rsid w:val="00BA0E4B"/>
    <w:rsid w:val="00BA0F0E"/>
    <w:rsid w:val="00BA0F47"/>
    <w:rsid w:val="00BA0F82"/>
    <w:rsid w:val="00BA0F94"/>
    <w:rsid w:val="00BA1074"/>
    <w:rsid w:val="00BA119F"/>
    <w:rsid w:val="00BA11F5"/>
    <w:rsid w:val="00BA11FB"/>
    <w:rsid w:val="00BA1290"/>
    <w:rsid w:val="00BA12E3"/>
    <w:rsid w:val="00BA139F"/>
    <w:rsid w:val="00BA1423"/>
    <w:rsid w:val="00BA1493"/>
    <w:rsid w:val="00BA16FB"/>
    <w:rsid w:val="00BA171D"/>
    <w:rsid w:val="00BA18FD"/>
    <w:rsid w:val="00BA1963"/>
    <w:rsid w:val="00BA1AFF"/>
    <w:rsid w:val="00BA1B37"/>
    <w:rsid w:val="00BA1B8C"/>
    <w:rsid w:val="00BA1BDB"/>
    <w:rsid w:val="00BA1BF3"/>
    <w:rsid w:val="00BA1C32"/>
    <w:rsid w:val="00BA1C4E"/>
    <w:rsid w:val="00BA1C81"/>
    <w:rsid w:val="00BA1DAE"/>
    <w:rsid w:val="00BA1E3F"/>
    <w:rsid w:val="00BA1E96"/>
    <w:rsid w:val="00BA1EA4"/>
    <w:rsid w:val="00BA1EA5"/>
    <w:rsid w:val="00BA1EB5"/>
    <w:rsid w:val="00BA2094"/>
    <w:rsid w:val="00BA2214"/>
    <w:rsid w:val="00BA222C"/>
    <w:rsid w:val="00BA2384"/>
    <w:rsid w:val="00BA2484"/>
    <w:rsid w:val="00BA2731"/>
    <w:rsid w:val="00BA2738"/>
    <w:rsid w:val="00BA28F8"/>
    <w:rsid w:val="00BA293A"/>
    <w:rsid w:val="00BA2A0E"/>
    <w:rsid w:val="00BA2A36"/>
    <w:rsid w:val="00BA2A4B"/>
    <w:rsid w:val="00BA2B28"/>
    <w:rsid w:val="00BA2E05"/>
    <w:rsid w:val="00BA2EAD"/>
    <w:rsid w:val="00BA3156"/>
    <w:rsid w:val="00BA33AA"/>
    <w:rsid w:val="00BA33CE"/>
    <w:rsid w:val="00BA3416"/>
    <w:rsid w:val="00BA3459"/>
    <w:rsid w:val="00BA357C"/>
    <w:rsid w:val="00BA35BF"/>
    <w:rsid w:val="00BA35F1"/>
    <w:rsid w:val="00BA369C"/>
    <w:rsid w:val="00BA372A"/>
    <w:rsid w:val="00BA3850"/>
    <w:rsid w:val="00BA3921"/>
    <w:rsid w:val="00BA3B37"/>
    <w:rsid w:val="00BA3DC6"/>
    <w:rsid w:val="00BA3F12"/>
    <w:rsid w:val="00BA3F5A"/>
    <w:rsid w:val="00BA3FBA"/>
    <w:rsid w:val="00BA426A"/>
    <w:rsid w:val="00BA4391"/>
    <w:rsid w:val="00BA4556"/>
    <w:rsid w:val="00BA4586"/>
    <w:rsid w:val="00BA4633"/>
    <w:rsid w:val="00BA471E"/>
    <w:rsid w:val="00BA4726"/>
    <w:rsid w:val="00BA4796"/>
    <w:rsid w:val="00BA48D4"/>
    <w:rsid w:val="00BA4960"/>
    <w:rsid w:val="00BA4AAD"/>
    <w:rsid w:val="00BA4B01"/>
    <w:rsid w:val="00BA4B6C"/>
    <w:rsid w:val="00BA4BCB"/>
    <w:rsid w:val="00BA4C05"/>
    <w:rsid w:val="00BA4C85"/>
    <w:rsid w:val="00BA4C89"/>
    <w:rsid w:val="00BA4E42"/>
    <w:rsid w:val="00BA4EFC"/>
    <w:rsid w:val="00BA4F94"/>
    <w:rsid w:val="00BA5210"/>
    <w:rsid w:val="00BA521E"/>
    <w:rsid w:val="00BA5299"/>
    <w:rsid w:val="00BA52F0"/>
    <w:rsid w:val="00BA560A"/>
    <w:rsid w:val="00BA5638"/>
    <w:rsid w:val="00BA56B2"/>
    <w:rsid w:val="00BA59A4"/>
    <w:rsid w:val="00BA59F6"/>
    <w:rsid w:val="00BA5A15"/>
    <w:rsid w:val="00BA5A2E"/>
    <w:rsid w:val="00BA5A3B"/>
    <w:rsid w:val="00BA5A3C"/>
    <w:rsid w:val="00BA5ABA"/>
    <w:rsid w:val="00BA5AE3"/>
    <w:rsid w:val="00BA5B99"/>
    <w:rsid w:val="00BA5C35"/>
    <w:rsid w:val="00BA5CE3"/>
    <w:rsid w:val="00BA5D07"/>
    <w:rsid w:val="00BA5D18"/>
    <w:rsid w:val="00BA5EC3"/>
    <w:rsid w:val="00BA5F21"/>
    <w:rsid w:val="00BA5FAD"/>
    <w:rsid w:val="00BA609E"/>
    <w:rsid w:val="00BA6355"/>
    <w:rsid w:val="00BA637A"/>
    <w:rsid w:val="00BA63B2"/>
    <w:rsid w:val="00BA6416"/>
    <w:rsid w:val="00BA64F5"/>
    <w:rsid w:val="00BA663B"/>
    <w:rsid w:val="00BA6770"/>
    <w:rsid w:val="00BA680C"/>
    <w:rsid w:val="00BA68BA"/>
    <w:rsid w:val="00BA68FF"/>
    <w:rsid w:val="00BA6A13"/>
    <w:rsid w:val="00BA6A42"/>
    <w:rsid w:val="00BA6B1E"/>
    <w:rsid w:val="00BA6B45"/>
    <w:rsid w:val="00BA6B7E"/>
    <w:rsid w:val="00BA6DA6"/>
    <w:rsid w:val="00BA6EC3"/>
    <w:rsid w:val="00BA7042"/>
    <w:rsid w:val="00BA704D"/>
    <w:rsid w:val="00BA71FD"/>
    <w:rsid w:val="00BA722B"/>
    <w:rsid w:val="00BA7292"/>
    <w:rsid w:val="00BA7373"/>
    <w:rsid w:val="00BA738F"/>
    <w:rsid w:val="00BA7410"/>
    <w:rsid w:val="00BA74AC"/>
    <w:rsid w:val="00BA7525"/>
    <w:rsid w:val="00BA754F"/>
    <w:rsid w:val="00BA7602"/>
    <w:rsid w:val="00BA78B4"/>
    <w:rsid w:val="00BA794C"/>
    <w:rsid w:val="00BA79D1"/>
    <w:rsid w:val="00BA7A86"/>
    <w:rsid w:val="00BA7AD4"/>
    <w:rsid w:val="00BA7AE2"/>
    <w:rsid w:val="00BA7B3C"/>
    <w:rsid w:val="00BA7CD8"/>
    <w:rsid w:val="00BA7D09"/>
    <w:rsid w:val="00BA7DBC"/>
    <w:rsid w:val="00BA7EE8"/>
    <w:rsid w:val="00BA7F00"/>
    <w:rsid w:val="00BB017C"/>
    <w:rsid w:val="00BB0228"/>
    <w:rsid w:val="00BB02E9"/>
    <w:rsid w:val="00BB03EC"/>
    <w:rsid w:val="00BB0404"/>
    <w:rsid w:val="00BB04A2"/>
    <w:rsid w:val="00BB04D6"/>
    <w:rsid w:val="00BB0525"/>
    <w:rsid w:val="00BB0580"/>
    <w:rsid w:val="00BB0599"/>
    <w:rsid w:val="00BB0656"/>
    <w:rsid w:val="00BB06B4"/>
    <w:rsid w:val="00BB074A"/>
    <w:rsid w:val="00BB088A"/>
    <w:rsid w:val="00BB0997"/>
    <w:rsid w:val="00BB0999"/>
    <w:rsid w:val="00BB0A6C"/>
    <w:rsid w:val="00BB0C4E"/>
    <w:rsid w:val="00BB0DA5"/>
    <w:rsid w:val="00BB0DAB"/>
    <w:rsid w:val="00BB0E14"/>
    <w:rsid w:val="00BB0FBF"/>
    <w:rsid w:val="00BB11CE"/>
    <w:rsid w:val="00BB121B"/>
    <w:rsid w:val="00BB1272"/>
    <w:rsid w:val="00BB128C"/>
    <w:rsid w:val="00BB12A5"/>
    <w:rsid w:val="00BB133A"/>
    <w:rsid w:val="00BB13B7"/>
    <w:rsid w:val="00BB1649"/>
    <w:rsid w:val="00BB165E"/>
    <w:rsid w:val="00BB1916"/>
    <w:rsid w:val="00BB1922"/>
    <w:rsid w:val="00BB195D"/>
    <w:rsid w:val="00BB19A8"/>
    <w:rsid w:val="00BB19FD"/>
    <w:rsid w:val="00BB1B8F"/>
    <w:rsid w:val="00BB1E79"/>
    <w:rsid w:val="00BB1F3A"/>
    <w:rsid w:val="00BB1F73"/>
    <w:rsid w:val="00BB243A"/>
    <w:rsid w:val="00BB2677"/>
    <w:rsid w:val="00BB26C8"/>
    <w:rsid w:val="00BB28E8"/>
    <w:rsid w:val="00BB290B"/>
    <w:rsid w:val="00BB293F"/>
    <w:rsid w:val="00BB2A9D"/>
    <w:rsid w:val="00BB2B7B"/>
    <w:rsid w:val="00BB2C06"/>
    <w:rsid w:val="00BB2CE8"/>
    <w:rsid w:val="00BB2DF9"/>
    <w:rsid w:val="00BB2E27"/>
    <w:rsid w:val="00BB2E70"/>
    <w:rsid w:val="00BB2EFA"/>
    <w:rsid w:val="00BB303C"/>
    <w:rsid w:val="00BB31C2"/>
    <w:rsid w:val="00BB329B"/>
    <w:rsid w:val="00BB32F9"/>
    <w:rsid w:val="00BB3324"/>
    <w:rsid w:val="00BB3417"/>
    <w:rsid w:val="00BB359B"/>
    <w:rsid w:val="00BB3638"/>
    <w:rsid w:val="00BB3683"/>
    <w:rsid w:val="00BB36A4"/>
    <w:rsid w:val="00BB371B"/>
    <w:rsid w:val="00BB37EC"/>
    <w:rsid w:val="00BB37FA"/>
    <w:rsid w:val="00BB3814"/>
    <w:rsid w:val="00BB3874"/>
    <w:rsid w:val="00BB38D4"/>
    <w:rsid w:val="00BB3D2C"/>
    <w:rsid w:val="00BB3DBA"/>
    <w:rsid w:val="00BB3E26"/>
    <w:rsid w:val="00BB3EE0"/>
    <w:rsid w:val="00BB3F1C"/>
    <w:rsid w:val="00BB3F80"/>
    <w:rsid w:val="00BB3FB9"/>
    <w:rsid w:val="00BB4009"/>
    <w:rsid w:val="00BB4097"/>
    <w:rsid w:val="00BB4166"/>
    <w:rsid w:val="00BB423B"/>
    <w:rsid w:val="00BB42E8"/>
    <w:rsid w:val="00BB4458"/>
    <w:rsid w:val="00BB4537"/>
    <w:rsid w:val="00BB4687"/>
    <w:rsid w:val="00BB46ED"/>
    <w:rsid w:val="00BB477C"/>
    <w:rsid w:val="00BB47B4"/>
    <w:rsid w:val="00BB47F6"/>
    <w:rsid w:val="00BB481A"/>
    <w:rsid w:val="00BB4899"/>
    <w:rsid w:val="00BB48D5"/>
    <w:rsid w:val="00BB491D"/>
    <w:rsid w:val="00BB4924"/>
    <w:rsid w:val="00BB4953"/>
    <w:rsid w:val="00BB497B"/>
    <w:rsid w:val="00BB49DB"/>
    <w:rsid w:val="00BB49DE"/>
    <w:rsid w:val="00BB4A34"/>
    <w:rsid w:val="00BB4A67"/>
    <w:rsid w:val="00BB4A6C"/>
    <w:rsid w:val="00BB4AEE"/>
    <w:rsid w:val="00BB4B06"/>
    <w:rsid w:val="00BB4BAD"/>
    <w:rsid w:val="00BB4C91"/>
    <w:rsid w:val="00BB4CD2"/>
    <w:rsid w:val="00BB4CDE"/>
    <w:rsid w:val="00BB4D52"/>
    <w:rsid w:val="00BB5042"/>
    <w:rsid w:val="00BB529D"/>
    <w:rsid w:val="00BB53B0"/>
    <w:rsid w:val="00BB53B2"/>
    <w:rsid w:val="00BB53C9"/>
    <w:rsid w:val="00BB54B7"/>
    <w:rsid w:val="00BB5514"/>
    <w:rsid w:val="00BB56ED"/>
    <w:rsid w:val="00BB5755"/>
    <w:rsid w:val="00BB5902"/>
    <w:rsid w:val="00BB5BB8"/>
    <w:rsid w:val="00BB5C08"/>
    <w:rsid w:val="00BB5C47"/>
    <w:rsid w:val="00BB5D8D"/>
    <w:rsid w:val="00BB5E44"/>
    <w:rsid w:val="00BB5FFF"/>
    <w:rsid w:val="00BB602E"/>
    <w:rsid w:val="00BB605C"/>
    <w:rsid w:val="00BB6122"/>
    <w:rsid w:val="00BB6135"/>
    <w:rsid w:val="00BB614B"/>
    <w:rsid w:val="00BB6188"/>
    <w:rsid w:val="00BB619F"/>
    <w:rsid w:val="00BB62E6"/>
    <w:rsid w:val="00BB6343"/>
    <w:rsid w:val="00BB63B5"/>
    <w:rsid w:val="00BB63DD"/>
    <w:rsid w:val="00BB647C"/>
    <w:rsid w:val="00BB64D0"/>
    <w:rsid w:val="00BB662E"/>
    <w:rsid w:val="00BB66FE"/>
    <w:rsid w:val="00BB676B"/>
    <w:rsid w:val="00BB67A1"/>
    <w:rsid w:val="00BB683F"/>
    <w:rsid w:val="00BB68F4"/>
    <w:rsid w:val="00BB6A32"/>
    <w:rsid w:val="00BB6A40"/>
    <w:rsid w:val="00BB6ABE"/>
    <w:rsid w:val="00BB6B0C"/>
    <w:rsid w:val="00BB6BA6"/>
    <w:rsid w:val="00BB6C9B"/>
    <w:rsid w:val="00BB6CB1"/>
    <w:rsid w:val="00BB6CD6"/>
    <w:rsid w:val="00BB6D3B"/>
    <w:rsid w:val="00BB6D66"/>
    <w:rsid w:val="00BB6DF2"/>
    <w:rsid w:val="00BB6F06"/>
    <w:rsid w:val="00BB6F28"/>
    <w:rsid w:val="00BB6FB5"/>
    <w:rsid w:val="00BB7373"/>
    <w:rsid w:val="00BB74CB"/>
    <w:rsid w:val="00BB7523"/>
    <w:rsid w:val="00BB76B7"/>
    <w:rsid w:val="00BB76CD"/>
    <w:rsid w:val="00BB76FB"/>
    <w:rsid w:val="00BB770B"/>
    <w:rsid w:val="00BB7754"/>
    <w:rsid w:val="00BB775E"/>
    <w:rsid w:val="00BB7904"/>
    <w:rsid w:val="00BB79B4"/>
    <w:rsid w:val="00BB7BB7"/>
    <w:rsid w:val="00BB7C15"/>
    <w:rsid w:val="00BB7CF1"/>
    <w:rsid w:val="00BB7D6B"/>
    <w:rsid w:val="00BB7E7E"/>
    <w:rsid w:val="00BB7F9E"/>
    <w:rsid w:val="00BB7FBD"/>
    <w:rsid w:val="00BC0037"/>
    <w:rsid w:val="00BC01C5"/>
    <w:rsid w:val="00BC0353"/>
    <w:rsid w:val="00BC0369"/>
    <w:rsid w:val="00BC0372"/>
    <w:rsid w:val="00BC0395"/>
    <w:rsid w:val="00BC0404"/>
    <w:rsid w:val="00BC0495"/>
    <w:rsid w:val="00BC0695"/>
    <w:rsid w:val="00BC0783"/>
    <w:rsid w:val="00BC090B"/>
    <w:rsid w:val="00BC091E"/>
    <w:rsid w:val="00BC0927"/>
    <w:rsid w:val="00BC0998"/>
    <w:rsid w:val="00BC0A06"/>
    <w:rsid w:val="00BC0A53"/>
    <w:rsid w:val="00BC0A89"/>
    <w:rsid w:val="00BC0C20"/>
    <w:rsid w:val="00BC0C61"/>
    <w:rsid w:val="00BC0DF3"/>
    <w:rsid w:val="00BC0E8F"/>
    <w:rsid w:val="00BC0EB1"/>
    <w:rsid w:val="00BC0F1C"/>
    <w:rsid w:val="00BC0F90"/>
    <w:rsid w:val="00BC0FD7"/>
    <w:rsid w:val="00BC10F1"/>
    <w:rsid w:val="00BC117C"/>
    <w:rsid w:val="00BC11BA"/>
    <w:rsid w:val="00BC123C"/>
    <w:rsid w:val="00BC1351"/>
    <w:rsid w:val="00BC13CE"/>
    <w:rsid w:val="00BC1501"/>
    <w:rsid w:val="00BC154A"/>
    <w:rsid w:val="00BC1697"/>
    <w:rsid w:val="00BC175F"/>
    <w:rsid w:val="00BC17DF"/>
    <w:rsid w:val="00BC17F5"/>
    <w:rsid w:val="00BC181F"/>
    <w:rsid w:val="00BC19CA"/>
    <w:rsid w:val="00BC19E7"/>
    <w:rsid w:val="00BC1A43"/>
    <w:rsid w:val="00BC1AAC"/>
    <w:rsid w:val="00BC1B51"/>
    <w:rsid w:val="00BC1BB5"/>
    <w:rsid w:val="00BC1CE1"/>
    <w:rsid w:val="00BC1D48"/>
    <w:rsid w:val="00BC1D52"/>
    <w:rsid w:val="00BC1D72"/>
    <w:rsid w:val="00BC1DB5"/>
    <w:rsid w:val="00BC1F6A"/>
    <w:rsid w:val="00BC1F8A"/>
    <w:rsid w:val="00BC20D1"/>
    <w:rsid w:val="00BC20E0"/>
    <w:rsid w:val="00BC2198"/>
    <w:rsid w:val="00BC220B"/>
    <w:rsid w:val="00BC22F2"/>
    <w:rsid w:val="00BC2311"/>
    <w:rsid w:val="00BC247F"/>
    <w:rsid w:val="00BC2576"/>
    <w:rsid w:val="00BC25E5"/>
    <w:rsid w:val="00BC2796"/>
    <w:rsid w:val="00BC2804"/>
    <w:rsid w:val="00BC2886"/>
    <w:rsid w:val="00BC299B"/>
    <w:rsid w:val="00BC29DC"/>
    <w:rsid w:val="00BC2ABC"/>
    <w:rsid w:val="00BC2BAD"/>
    <w:rsid w:val="00BC2BBB"/>
    <w:rsid w:val="00BC2C1C"/>
    <w:rsid w:val="00BC2D16"/>
    <w:rsid w:val="00BC2D4A"/>
    <w:rsid w:val="00BC2EFF"/>
    <w:rsid w:val="00BC3058"/>
    <w:rsid w:val="00BC306E"/>
    <w:rsid w:val="00BC3077"/>
    <w:rsid w:val="00BC30C4"/>
    <w:rsid w:val="00BC30F3"/>
    <w:rsid w:val="00BC3105"/>
    <w:rsid w:val="00BC3116"/>
    <w:rsid w:val="00BC3145"/>
    <w:rsid w:val="00BC321E"/>
    <w:rsid w:val="00BC32DC"/>
    <w:rsid w:val="00BC330E"/>
    <w:rsid w:val="00BC3352"/>
    <w:rsid w:val="00BC3460"/>
    <w:rsid w:val="00BC347A"/>
    <w:rsid w:val="00BC34BA"/>
    <w:rsid w:val="00BC3529"/>
    <w:rsid w:val="00BC3578"/>
    <w:rsid w:val="00BC3681"/>
    <w:rsid w:val="00BC37AF"/>
    <w:rsid w:val="00BC3876"/>
    <w:rsid w:val="00BC3957"/>
    <w:rsid w:val="00BC39CB"/>
    <w:rsid w:val="00BC3BC0"/>
    <w:rsid w:val="00BC3C17"/>
    <w:rsid w:val="00BC3CA0"/>
    <w:rsid w:val="00BC3CC4"/>
    <w:rsid w:val="00BC3DBF"/>
    <w:rsid w:val="00BC3E9B"/>
    <w:rsid w:val="00BC3EDE"/>
    <w:rsid w:val="00BC3FF8"/>
    <w:rsid w:val="00BC4088"/>
    <w:rsid w:val="00BC4126"/>
    <w:rsid w:val="00BC4219"/>
    <w:rsid w:val="00BC4425"/>
    <w:rsid w:val="00BC4455"/>
    <w:rsid w:val="00BC454D"/>
    <w:rsid w:val="00BC4611"/>
    <w:rsid w:val="00BC49B5"/>
    <w:rsid w:val="00BC4A26"/>
    <w:rsid w:val="00BC4AFD"/>
    <w:rsid w:val="00BC4C9F"/>
    <w:rsid w:val="00BC4D34"/>
    <w:rsid w:val="00BC4EA3"/>
    <w:rsid w:val="00BC4F6B"/>
    <w:rsid w:val="00BC4FB2"/>
    <w:rsid w:val="00BC4FDE"/>
    <w:rsid w:val="00BC50CA"/>
    <w:rsid w:val="00BC5155"/>
    <w:rsid w:val="00BC53C0"/>
    <w:rsid w:val="00BC53D1"/>
    <w:rsid w:val="00BC53EA"/>
    <w:rsid w:val="00BC54E0"/>
    <w:rsid w:val="00BC556F"/>
    <w:rsid w:val="00BC5594"/>
    <w:rsid w:val="00BC559C"/>
    <w:rsid w:val="00BC55E6"/>
    <w:rsid w:val="00BC566B"/>
    <w:rsid w:val="00BC5793"/>
    <w:rsid w:val="00BC57F3"/>
    <w:rsid w:val="00BC588C"/>
    <w:rsid w:val="00BC5997"/>
    <w:rsid w:val="00BC5AED"/>
    <w:rsid w:val="00BC5C20"/>
    <w:rsid w:val="00BC5C2B"/>
    <w:rsid w:val="00BC5D20"/>
    <w:rsid w:val="00BC6289"/>
    <w:rsid w:val="00BC62A5"/>
    <w:rsid w:val="00BC6327"/>
    <w:rsid w:val="00BC63B5"/>
    <w:rsid w:val="00BC63FD"/>
    <w:rsid w:val="00BC6457"/>
    <w:rsid w:val="00BC64A8"/>
    <w:rsid w:val="00BC65C2"/>
    <w:rsid w:val="00BC666B"/>
    <w:rsid w:val="00BC66F5"/>
    <w:rsid w:val="00BC671D"/>
    <w:rsid w:val="00BC6796"/>
    <w:rsid w:val="00BC6839"/>
    <w:rsid w:val="00BC696C"/>
    <w:rsid w:val="00BC6A13"/>
    <w:rsid w:val="00BC6A6E"/>
    <w:rsid w:val="00BC6A82"/>
    <w:rsid w:val="00BC6AEA"/>
    <w:rsid w:val="00BC6CEC"/>
    <w:rsid w:val="00BC6DB0"/>
    <w:rsid w:val="00BC6DD4"/>
    <w:rsid w:val="00BC6E76"/>
    <w:rsid w:val="00BC6F85"/>
    <w:rsid w:val="00BC70AF"/>
    <w:rsid w:val="00BC70FB"/>
    <w:rsid w:val="00BC7132"/>
    <w:rsid w:val="00BC719F"/>
    <w:rsid w:val="00BC71AE"/>
    <w:rsid w:val="00BC71B2"/>
    <w:rsid w:val="00BC71ED"/>
    <w:rsid w:val="00BC7289"/>
    <w:rsid w:val="00BC72C0"/>
    <w:rsid w:val="00BC7439"/>
    <w:rsid w:val="00BC7480"/>
    <w:rsid w:val="00BC749B"/>
    <w:rsid w:val="00BC754D"/>
    <w:rsid w:val="00BC7648"/>
    <w:rsid w:val="00BC7660"/>
    <w:rsid w:val="00BC76C0"/>
    <w:rsid w:val="00BC77E2"/>
    <w:rsid w:val="00BC77F4"/>
    <w:rsid w:val="00BC7914"/>
    <w:rsid w:val="00BC7A3D"/>
    <w:rsid w:val="00BC7A3F"/>
    <w:rsid w:val="00BC7AB4"/>
    <w:rsid w:val="00BC7ADD"/>
    <w:rsid w:val="00BC7B8D"/>
    <w:rsid w:val="00BC7C4B"/>
    <w:rsid w:val="00BC7C5B"/>
    <w:rsid w:val="00BC7D5D"/>
    <w:rsid w:val="00BC7DE5"/>
    <w:rsid w:val="00BC7E25"/>
    <w:rsid w:val="00BC7EC0"/>
    <w:rsid w:val="00BC7F24"/>
    <w:rsid w:val="00BC7F6B"/>
    <w:rsid w:val="00BD008D"/>
    <w:rsid w:val="00BD00E3"/>
    <w:rsid w:val="00BD0330"/>
    <w:rsid w:val="00BD0468"/>
    <w:rsid w:val="00BD049F"/>
    <w:rsid w:val="00BD0674"/>
    <w:rsid w:val="00BD08C5"/>
    <w:rsid w:val="00BD09DE"/>
    <w:rsid w:val="00BD0A49"/>
    <w:rsid w:val="00BD0AC8"/>
    <w:rsid w:val="00BD0AE0"/>
    <w:rsid w:val="00BD0B88"/>
    <w:rsid w:val="00BD0BFC"/>
    <w:rsid w:val="00BD0C38"/>
    <w:rsid w:val="00BD0D51"/>
    <w:rsid w:val="00BD0D90"/>
    <w:rsid w:val="00BD0DB0"/>
    <w:rsid w:val="00BD0E22"/>
    <w:rsid w:val="00BD0E77"/>
    <w:rsid w:val="00BD0EE4"/>
    <w:rsid w:val="00BD0FF9"/>
    <w:rsid w:val="00BD108D"/>
    <w:rsid w:val="00BD116F"/>
    <w:rsid w:val="00BD1177"/>
    <w:rsid w:val="00BD1182"/>
    <w:rsid w:val="00BD123E"/>
    <w:rsid w:val="00BD1260"/>
    <w:rsid w:val="00BD1284"/>
    <w:rsid w:val="00BD137B"/>
    <w:rsid w:val="00BD13B2"/>
    <w:rsid w:val="00BD1636"/>
    <w:rsid w:val="00BD16A3"/>
    <w:rsid w:val="00BD177E"/>
    <w:rsid w:val="00BD1C02"/>
    <w:rsid w:val="00BD1C05"/>
    <w:rsid w:val="00BD1C5A"/>
    <w:rsid w:val="00BD1D33"/>
    <w:rsid w:val="00BD1D56"/>
    <w:rsid w:val="00BD1EB6"/>
    <w:rsid w:val="00BD1F0E"/>
    <w:rsid w:val="00BD201F"/>
    <w:rsid w:val="00BD20A8"/>
    <w:rsid w:val="00BD20D4"/>
    <w:rsid w:val="00BD2228"/>
    <w:rsid w:val="00BD22BE"/>
    <w:rsid w:val="00BD22CF"/>
    <w:rsid w:val="00BD234F"/>
    <w:rsid w:val="00BD246F"/>
    <w:rsid w:val="00BD2494"/>
    <w:rsid w:val="00BD254E"/>
    <w:rsid w:val="00BD262C"/>
    <w:rsid w:val="00BD2722"/>
    <w:rsid w:val="00BD2AA1"/>
    <w:rsid w:val="00BD2B84"/>
    <w:rsid w:val="00BD2BC2"/>
    <w:rsid w:val="00BD2CC0"/>
    <w:rsid w:val="00BD2D82"/>
    <w:rsid w:val="00BD2DB8"/>
    <w:rsid w:val="00BD2E34"/>
    <w:rsid w:val="00BD3137"/>
    <w:rsid w:val="00BD31B6"/>
    <w:rsid w:val="00BD31F9"/>
    <w:rsid w:val="00BD32D2"/>
    <w:rsid w:val="00BD3341"/>
    <w:rsid w:val="00BD33B8"/>
    <w:rsid w:val="00BD33D9"/>
    <w:rsid w:val="00BD3524"/>
    <w:rsid w:val="00BD3560"/>
    <w:rsid w:val="00BD35BF"/>
    <w:rsid w:val="00BD35CF"/>
    <w:rsid w:val="00BD3680"/>
    <w:rsid w:val="00BD37CC"/>
    <w:rsid w:val="00BD38E4"/>
    <w:rsid w:val="00BD3911"/>
    <w:rsid w:val="00BD3C69"/>
    <w:rsid w:val="00BD3DA6"/>
    <w:rsid w:val="00BD3E30"/>
    <w:rsid w:val="00BD3F38"/>
    <w:rsid w:val="00BD40F2"/>
    <w:rsid w:val="00BD4118"/>
    <w:rsid w:val="00BD41AA"/>
    <w:rsid w:val="00BD42C2"/>
    <w:rsid w:val="00BD4494"/>
    <w:rsid w:val="00BD4578"/>
    <w:rsid w:val="00BD4863"/>
    <w:rsid w:val="00BD48C8"/>
    <w:rsid w:val="00BD491F"/>
    <w:rsid w:val="00BD4B0E"/>
    <w:rsid w:val="00BD4D58"/>
    <w:rsid w:val="00BD4DA4"/>
    <w:rsid w:val="00BD4DC0"/>
    <w:rsid w:val="00BD4DE9"/>
    <w:rsid w:val="00BD4F83"/>
    <w:rsid w:val="00BD5298"/>
    <w:rsid w:val="00BD552C"/>
    <w:rsid w:val="00BD5552"/>
    <w:rsid w:val="00BD5662"/>
    <w:rsid w:val="00BD56E2"/>
    <w:rsid w:val="00BD5750"/>
    <w:rsid w:val="00BD59D8"/>
    <w:rsid w:val="00BD5A06"/>
    <w:rsid w:val="00BD5B2C"/>
    <w:rsid w:val="00BD5CC6"/>
    <w:rsid w:val="00BD5D44"/>
    <w:rsid w:val="00BD5E3B"/>
    <w:rsid w:val="00BD5EF5"/>
    <w:rsid w:val="00BD5F9B"/>
    <w:rsid w:val="00BD6045"/>
    <w:rsid w:val="00BD606D"/>
    <w:rsid w:val="00BD619B"/>
    <w:rsid w:val="00BD61FF"/>
    <w:rsid w:val="00BD62E3"/>
    <w:rsid w:val="00BD6381"/>
    <w:rsid w:val="00BD6393"/>
    <w:rsid w:val="00BD64AB"/>
    <w:rsid w:val="00BD65CC"/>
    <w:rsid w:val="00BD65E5"/>
    <w:rsid w:val="00BD6686"/>
    <w:rsid w:val="00BD674A"/>
    <w:rsid w:val="00BD682D"/>
    <w:rsid w:val="00BD6946"/>
    <w:rsid w:val="00BD6992"/>
    <w:rsid w:val="00BD6A7C"/>
    <w:rsid w:val="00BD6B0D"/>
    <w:rsid w:val="00BD6CCB"/>
    <w:rsid w:val="00BD6CD6"/>
    <w:rsid w:val="00BD6CE2"/>
    <w:rsid w:val="00BD6D4B"/>
    <w:rsid w:val="00BD6EC2"/>
    <w:rsid w:val="00BD6FE4"/>
    <w:rsid w:val="00BD7002"/>
    <w:rsid w:val="00BD702D"/>
    <w:rsid w:val="00BD7075"/>
    <w:rsid w:val="00BD712A"/>
    <w:rsid w:val="00BD7268"/>
    <w:rsid w:val="00BD7739"/>
    <w:rsid w:val="00BD7742"/>
    <w:rsid w:val="00BD774E"/>
    <w:rsid w:val="00BD7893"/>
    <w:rsid w:val="00BD7971"/>
    <w:rsid w:val="00BD7A19"/>
    <w:rsid w:val="00BD7A4C"/>
    <w:rsid w:val="00BD7B67"/>
    <w:rsid w:val="00BD7BF9"/>
    <w:rsid w:val="00BD7C85"/>
    <w:rsid w:val="00BD7C9D"/>
    <w:rsid w:val="00BD7D03"/>
    <w:rsid w:val="00BD7D0F"/>
    <w:rsid w:val="00BD7E5B"/>
    <w:rsid w:val="00BD7E98"/>
    <w:rsid w:val="00BD7EBE"/>
    <w:rsid w:val="00BD7EF1"/>
    <w:rsid w:val="00BD7FC6"/>
    <w:rsid w:val="00BE0028"/>
    <w:rsid w:val="00BE00AA"/>
    <w:rsid w:val="00BE0106"/>
    <w:rsid w:val="00BE0173"/>
    <w:rsid w:val="00BE017E"/>
    <w:rsid w:val="00BE017F"/>
    <w:rsid w:val="00BE01B5"/>
    <w:rsid w:val="00BE0233"/>
    <w:rsid w:val="00BE039E"/>
    <w:rsid w:val="00BE03F4"/>
    <w:rsid w:val="00BE052E"/>
    <w:rsid w:val="00BE057C"/>
    <w:rsid w:val="00BE068A"/>
    <w:rsid w:val="00BE06C2"/>
    <w:rsid w:val="00BE0738"/>
    <w:rsid w:val="00BE07BA"/>
    <w:rsid w:val="00BE0840"/>
    <w:rsid w:val="00BE08B6"/>
    <w:rsid w:val="00BE08B9"/>
    <w:rsid w:val="00BE08DE"/>
    <w:rsid w:val="00BE0987"/>
    <w:rsid w:val="00BE0A39"/>
    <w:rsid w:val="00BE0AA8"/>
    <w:rsid w:val="00BE0C32"/>
    <w:rsid w:val="00BE0C87"/>
    <w:rsid w:val="00BE0D17"/>
    <w:rsid w:val="00BE0DAA"/>
    <w:rsid w:val="00BE0E9F"/>
    <w:rsid w:val="00BE119C"/>
    <w:rsid w:val="00BE11DD"/>
    <w:rsid w:val="00BE11E8"/>
    <w:rsid w:val="00BE1211"/>
    <w:rsid w:val="00BE121B"/>
    <w:rsid w:val="00BE1277"/>
    <w:rsid w:val="00BE12C2"/>
    <w:rsid w:val="00BE1494"/>
    <w:rsid w:val="00BE1634"/>
    <w:rsid w:val="00BE172B"/>
    <w:rsid w:val="00BE17BB"/>
    <w:rsid w:val="00BE17FA"/>
    <w:rsid w:val="00BE1805"/>
    <w:rsid w:val="00BE1817"/>
    <w:rsid w:val="00BE1A15"/>
    <w:rsid w:val="00BE1B42"/>
    <w:rsid w:val="00BE1BD0"/>
    <w:rsid w:val="00BE1D36"/>
    <w:rsid w:val="00BE1DE1"/>
    <w:rsid w:val="00BE1F37"/>
    <w:rsid w:val="00BE1F39"/>
    <w:rsid w:val="00BE1FDD"/>
    <w:rsid w:val="00BE20DE"/>
    <w:rsid w:val="00BE2142"/>
    <w:rsid w:val="00BE2187"/>
    <w:rsid w:val="00BE21DE"/>
    <w:rsid w:val="00BE224D"/>
    <w:rsid w:val="00BE230B"/>
    <w:rsid w:val="00BE2403"/>
    <w:rsid w:val="00BE2438"/>
    <w:rsid w:val="00BE2573"/>
    <w:rsid w:val="00BE25D9"/>
    <w:rsid w:val="00BE2603"/>
    <w:rsid w:val="00BE2683"/>
    <w:rsid w:val="00BE2684"/>
    <w:rsid w:val="00BE26C2"/>
    <w:rsid w:val="00BE276D"/>
    <w:rsid w:val="00BE277C"/>
    <w:rsid w:val="00BE27AB"/>
    <w:rsid w:val="00BE2817"/>
    <w:rsid w:val="00BE282D"/>
    <w:rsid w:val="00BE2A79"/>
    <w:rsid w:val="00BE2AF7"/>
    <w:rsid w:val="00BE2B1A"/>
    <w:rsid w:val="00BE2BF4"/>
    <w:rsid w:val="00BE2C38"/>
    <w:rsid w:val="00BE2C93"/>
    <w:rsid w:val="00BE2E03"/>
    <w:rsid w:val="00BE2E26"/>
    <w:rsid w:val="00BE2E8A"/>
    <w:rsid w:val="00BE2EC9"/>
    <w:rsid w:val="00BE2FE1"/>
    <w:rsid w:val="00BE30AB"/>
    <w:rsid w:val="00BE33AC"/>
    <w:rsid w:val="00BE341E"/>
    <w:rsid w:val="00BE34CE"/>
    <w:rsid w:val="00BE35C9"/>
    <w:rsid w:val="00BE35DC"/>
    <w:rsid w:val="00BE3644"/>
    <w:rsid w:val="00BE370D"/>
    <w:rsid w:val="00BE37AB"/>
    <w:rsid w:val="00BE38B0"/>
    <w:rsid w:val="00BE3902"/>
    <w:rsid w:val="00BE3945"/>
    <w:rsid w:val="00BE39A3"/>
    <w:rsid w:val="00BE3AAC"/>
    <w:rsid w:val="00BE3AFF"/>
    <w:rsid w:val="00BE3BC5"/>
    <w:rsid w:val="00BE3C2D"/>
    <w:rsid w:val="00BE3C60"/>
    <w:rsid w:val="00BE3CFF"/>
    <w:rsid w:val="00BE3D2C"/>
    <w:rsid w:val="00BE3E3C"/>
    <w:rsid w:val="00BE3EB2"/>
    <w:rsid w:val="00BE3FF3"/>
    <w:rsid w:val="00BE41F4"/>
    <w:rsid w:val="00BE4266"/>
    <w:rsid w:val="00BE42B1"/>
    <w:rsid w:val="00BE4354"/>
    <w:rsid w:val="00BE450A"/>
    <w:rsid w:val="00BE4548"/>
    <w:rsid w:val="00BE461E"/>
    <w:rsid w:val="00BE468B"/>
    <w:rsid w:val="00BE4709"/>
    <w:rsid w:val="00BE47A7"/>
    <w:rsid w:val="00BE4809"/>
    <w:rsid w:val="00BE4819"/>
    <w:rsid w:val="00BE4854"/>
    <w:rsid w:val="00BE48C7"/>
    <w:rsid w:val="00BE4976"/>
    <w:rsid w:val="00BE4A5A"/>
    <w:rsid w:val="00BE4A87"/>
    <w:rsid w:val="00BE4AFA"/>
    <w:rsid w:val="00BE4B83"/>
    <w:rsid w:val="00BE4CB0"/>
    <w:rsid w:val="00BE4E3A"/>
    <w:rsid w:val="00BE4E7B"/>
    <w:rsid w:val="00BE4EA1"/>
    <w:rsid w:val="00BE4EA6"/>
    <w:rsid w:val="00BE4ECE"/>
    <w:rsid w:val="00BE4F2B"/>
    <w:rsid w:val="00BE4FAB"/>
    <w:rsid w:val="00BE4FF8"/>
    <w:rsid w:val="00BE50D3"/>
    <w:rsid w:val="00BE51C4"/>
    <w:rsid w:val="00BE5239"/>
    <w:rsid w:val="00BE5306"/>
    <w:rsid w:val="00BE53F3"/>
    <w:rsid w:val="00BE558C"/>
    <w:rsid w:val="00BE5678"/>
    <w:rsid w:val="00BE56DA"/>
    <w:rsid w:val="00BE581A"/>
    <w:rsid w:val="00BE5A02"/>
    <w:rsid w:val="00BE5A5F"/>
    <w:rsid w:val="00BE5ACE"/>
    <w:rsid w:val="00BE5B7F"/>
    <w:rsid w:val="00BE5B8B"/>
    <w:rsid w:val="00BE5B94"/>
    <w:rsid w:val="00BE5D70"/>
    <w:rsid w:val="00BE5E2B"/>
    <w:rsid w:val="00BE5EB9"/>
    <w:rsid w:val="00BE5ED0"/>
    <w:rsid w:val="00BE5F95"/>
    <w:rsid w:val="00BE6116"/>
    <w:rsid w:val="00BE611C"/>
    <w:rsid w:val="00BE613E"/>
    <w:rsid w:val="00BE613F"/>
    <w:rsid w:val="00BE61B9"/>
    <w:rsid w:val="00BE6278"/>
    <w:rsid w:val="00BE62E9"/>
    <w:rsid w:val="00BE6332"/>
    <w:rsid w:val="00BE63C5"/>
    <w:rsid w:val="00BE64A4"/>
    <w:rsid w:val="00BE64FF"/>
    <w:rsid w:val="00BE65F6"/>
    <w:rsid w:val="00BE67C1"/>
    <w:rsid w:val="00BE684C"/>
    <w:rsid w:val="00BE68C3"/>
    <w:rsid w:val="00BE68D0"/>
    <w:rsid w:val="00BE69B5"/>
    <w:rsid w:val="00BE6A71"/>
    <w:rsid w:val="00BE6BEC"/>
    <w:rsid w:val="00BE6C54"/>
    <w:rsid w:val="00BE6CEA"/>
    <w:rsid w:val="00BE6E2B"/>
    <w:rsid w:val="00BE6FCB"/>
    <w:rsid w:val="00BE710F"/>
    <w:rsid w:val="00BE7125"/>
    <w:rsid w:val="00BE734B"/>
    <w:rsid w:val="00BE7508"/>
    <w:rsid w:val="00BE7576"/>
    <w:rsid w:val="00BE7591"/>
    <w:rsid w:val="00BE77C3"/>
    <w:rsid w:val="00BE78E9"/>
    <w:rsid w:val="00BE7949"/>
    <w:rsid w:val="00BE7964"/>
    <w:rsid w:val="00BE79DF"/>
    <w:rsid w:val="00BE7A28"/>
    <w:rsid w:val="00BE7ADF"/>
    <w:rsid w:val="00BE7C36"/>
    <w:rsid w:val="00BE7C3C"/>
    <w:rsid w:val="00BE7C9A"/>
    <w:rsid w:val="00BE7D75"/>
    <w:rsid w:val="00BE7DF5"/>
    <w:rsid w:val="00BE7EB1"/>
    <w:rsid w:val="00BE7F03"/>
    <w:rsid w:val="00BE7F36"/>
    <w:rsid w:val="00BE7F57"/>
    <w:rsid w:val="00BF0029"/>
    <w:rsid w:val="00BF0073"/>
    <w:rsid w:val="00BF045C"/>
    <w:rsid w:val="00BF050B"/>
    <w:rsid w:val="00BF051C"/>
    <w:rsid w:val="00BF0553"/>
    <w:rsid w:val="00BF0570"/>
    <w:rsid w:val="00BF059F"/>
    <w:rsid w:val="00BF05A8"/>
    <w:rsid w:val="00BF0717"/>
    <w:rsid w:val="00BF07F4"/>
    <w:rsid w:val="00BF0810"/>
    <w:rsid w:val="00BF0851"/>
    <w:rsid w:val="00BF0880"/>
    <w:rsid w:val="00BF08C7"/>
    <w:rsid w:val="00BF090A"/>
    <w:rsid w:val="00BF098D"/>
    <w:rsid w:val="00BF09B7"/>
    <w:rsid w:val="00BF0A7A"/>
    <w:rsid w:val="00BF0B34"/>
    <w:rsid w:val="00BF0B39"/>
    <w:rsid w:val="00BF0BC9"/>
    <w:rsid w:val="00BF0BE7"/>
    <w:rsid w:val="00BF0C8F"/>
    <w:rsid w:val="00BF0D28"/>
    <w:rsid w:val="00BF0DBB"/>
    <w:rsid w:val="00BF0F33"/>
    <w:rsid w:val="00BF0F49"/>
    <w:rsid w:val="00BF1021"/>
    <w:rsid w:val="00BF114F"/>
    <w:rsid w:val="00BF124F"/>
    <w:rsid w:val="00BF1631"/>
    <w:rsid w:val="00BF1726"/>
    <w:rsid w:val="00BF1829"/>
    <w:rsid w:val="00BF1859"/>
    <w:rsid w:val="00BF1879"/>
    <w:rsid w:val="00BF18D3"/>
    <w:rsid w:val="00BF1976"/>
    <w:rsid w:val="00BF19AF"/>
    <w:rsid w:val="00BF1A96"/>
    <w:rsid w:val="00BF1AFA"/>
    <w:rsid w:val="00BF1D53"/>
    <w:rsid w:val="00BF1DF0"/>
    <w:rsid w:val="00BF1EA9"/>
    <w:rsid w:val="00BF1EC2"/>
    <w:rsid w:val="00BF1EF5"/>
    <w:rsid w:val="00BF207D"/>
    <w:rsid w:val="00BF214E"/>
    <w:rsid w:val="00BF2280"/>
    <w:rsid w:val="00BF2353"/>
    <w:rsid w:val="00BF2471"/>
    <w:rsid w:val="00BF254D"/>
    <w:rsid w:val="00BF2594"/>
    <w:rsid w:val="00BF28EB"/>
    <w:rsid w:val="00BF2995"/>
    <w:rsid w:val="00BF2AC6"/>
    <w:rsid w:val="00BF2AEC"/>
    <w:rsid w:val="00BF2B66"/>
    <w:rsid w:val="00BF2C24"/>
    <w:rsid w:val="00BF2C61"/>
    <w:rsid w:val="00BF2CEF"/>
    <w:rsid w:val="00BF2E3A"/>
    <w:rsid w:val="00BF2E7C"/>
    <w:rsid w:val="00BF2EE1"/>
    <w:rsid w:val="00BF2F61"/>
    <w:rsid w:val="00BF320E"/>
    <w:rsid w:val="00BF3243"/>
    <w:rsid w:val="00BF3333"/>
    <w:rsid w:val="00BF33AD"/>
    <w:rsid w:val="00BF3424"/>
    <w:rsid w:val="00BF34DF"/>
    <w:rsid w:val="00BF351B"/>
    <w:rsid w:val="00BF36C1"/>
    <w:rsid w:val="00BF371A"/>
    <w:rsid w:val="00BF37B3"/>
    <w:rsid w:val="00BF391B"/>
    <w:rsid w:val="00BF39B2"/>
    <w:rsid w:val="00BF3A44"/>
    <w:rsid w:val="00BF3AD1"/>
    <w:rsid w:val="00BF3B5B"/>
    <w:rsid w:val="00BF3B66"/>
    <w:rsid w:val="00BF3BFA"/>
    <w:rsid w:val="00BF3C4F"/>
    <w:rsid w:val="00BF3C8D"/>
    <w:rsid w:val="00BF3C8E"/>
    <w:rsid w:val="00BF3DEC"/>
    <w:rsid w:val="00BF3E72"/>
    <w:rsid w:val="00BF3F18"/>
    <w:rsid w:val="00BF3F40"/>
    <w:rsid w:val="00BF3FB8"/>
    <w:rsid w:val="00BF4097"/>
    <w:rsid w:val="00BF41D5"/>
    <w:rsid w:val="00BF4384"/>
    <w:rsid w:val="00BF43BA"/>
    <w:rsid w:val="00BF4547"/>
    <w:rsid w:val="00BF4601"/>
    <w:rsid w:val="00BF4677"/>
    <w:rsid w:val="00BF471F"/>
    <w:rsid w:val="00BF4775"/>
    <w:rsid w:val="00BF4785"/>
    <w:rsid w:val="00BF488A"/>
    <w:rsid w:val="00BF4892"/>
    <w:rsid w:val="00BF494B"/>
    <w:rsid w:val="00BF4A89"/>
    <w:rsid w:val="00BF4BEE"/>
    <w:rsid w:val="00BF4C82"/>
    <w:rsid w:val="00BF4CB6"/>
    <w:rsid w:val="00BF4CC5"/>
    <w:rsid w:val="00BF4D5A"/>
    <w:rsid w:val="00BF4DB1"/>
    <w:rsid w:val="00BF4E11"/>
    <w:rsid w:val="00BF4E65"/>
    <w:rsid w:val="00BF4E94"/>
    <w:rsid w:val="00BF5126"/>
    <w:rsid w:val="00BF5258"/>
    <w:rsid w:val="00BF5275"/>
    <w:rsid w:val="00BF53CB"/>
    <w:rsid w:val="00BF53E2"/>
    <w:rsid w:val="00BF543B"/>
    <w:rsid w:val="00BF5457"/>
    <w:rsid w:val="00BF5598"/>
    <w:rsid w:val="00BF5625"/>
    <w:rsid w:val="00BF5715"/>
    <w:rsid w:val="00BF5896"/>
    <w:rsid w:val="00BF59D0"/>
    <w:rsid w:val="00BF5A53"/>
    <w:rsid w:val="00BF5A87"/>
    <w:rsid w:val="00BF5A96"/>
    <w:rsid w:val="00BF5AF5"/>
    <w:rsid w:val="00BF5B0E"/>
    <w:rsid w:val="00BF5B35"/>
    <w:rsid w:val="00BF5C0A"/>
    <w:rsid w:val="00BF5C25"/>
    <w:rsid w:val="00BF5C7B"/>
    <w:rsid w:val="00BF5C9C"/>
    <w:rsid w:val="00BF5D29"/>
    <w:rsid w:val="00BF5F26"/>
    <w:rsid w:val="00BF5F64"/>
    <w:rsid w:val="00BF5F8F"/>
    <w:rsid w:val="00BF5FA2"/>
    <w:rsid w:val="00BF6028"/>
    <w:rsid w:val="00BF6201"/>
    <w:rsid w:val="00BF6273"/>
    <w:rsid w:val="00BF63D4"/>
    <w:rsid w:val="00BF64F7"/>
    <w:rsid w:val="00BF65E2"/>
    <w:rsid w:val="00BF65FB"/>
    <w:rsid w:val="00BF6746"/>
    <w:rsid w:val="00BF688D"/>
    <w:rsid w:val="00BF6A37"/>
    <w:rsid w:val="00BF6B06"/>
    <w:rsid w:val="00BF6CDF"/>
    <w:rsid w:val="00BF6D59"/>
    <w:rsid w:val="00BF6D88"/>
    <w:rsid w:val="00BF6D9C"/>
    <w:rsid w:val="00BF6E20"/>
    <w:rsid w:val="00BF6E6A"/>
    <w:rsid w:val="00BF6E98"/>
    <w:rsid w:val="00BF7137"/>
    <w:rsid w:val="00BF7259"/>
    <w:rsid w:val="00BF72AA"/>
    <w:rsid w:val="00BF7339"/>
    <w:rsid w:val="00BF7348"/>
    <w:rsid w:val="00BF74BB"/>
    <w:rsid w:val="00BF7538"/>
    <w:rsid w:val="00BF753F"/>
    <w:rsid w:val="00BF7617"/>
    <w:rsid w:val="00BF761E"/>
    <w:rsid w:val="00BF7622"/>
    <w:rsid w:val="00BF7675"/>
    <w:rsid w:val="00BF76BC"/>
    <w:rsid w:val="00BF76C4"/>
    <w:rsid w:val="00BF76C7"/>
    <w:rsid w:val="00BF76E8"/>
    <w:rsid w:val="00BF7716"/>
    <w:rsid w:val="00BF788F"/>
    <w:rsid w:val="00BF7982"/>
    <w:rsid w:val="00BF7B64"/>
    <w:rsid w:val="00BF7BE8"/>
    <w:rsid w:val="00BF7CE4"/>
    <w:rsid w:val="00BF7D32"/>
    <w:rsid w:val="00BF7D5C"/>
    <w:rsid w:val="00BF7E38"/>
    <w:rsid w:val="00BF7E89"/>
    <w:rsid w:val="00BF7F6E"/>
    <w:rsid w:val="00BF7FFA"/>
    <w:rsid w:val="00C0004A"/>
    <w:rsid w:val="00C0016C"/>
    <w:rsid w:val="00C00179"/>
    <w:rsid w:val="00C001A2"/>
    <w:rsid w:val="00C001D3"/>
    <w:rsid w:val="00C0027B"/>
    <w:rsid w:val="00C003BC"/>
    <w:rsid w:val="00C00466"/>
    <w:rsid w:val="00C0056F"/>
    <w:rsid w:val="00C00572"/>
    <w:rsid w:val="00C0066C"/>
    <w:rsid w:val="00C00691"/>
    <w:rsid w:val="00C0088D"/>
    <w:rsid w:val="00C008C7"/>
    <w:rsid w:val="00C009EF"/>
    <w:rsid w:val="00C00B0B"/>
    <w:rsid w:val="00C00B49"/>
    <w:rsid w:val="00C00B7F"/>
    <w:rsid w:val="00C00BA3"/>
    <w:rsid w:val="00C00BB5"/>
    <w:rsid w:val="00C00C45"/>
    <w:rsid w:val="00C00E64"/>
    <w:rsid w:val="00C01052"/>
    <w:rsid w:val="00C0108C"/>
    <w:rsid w:val="00C0119D"/>
    <w:rsid w:val="00C011A8"/>
    <w:rsid w:val="00C011BD"/>
    <w:rsid w:val="00C0120C"/>
    <w:rsid w:val="00C013ED"/>
    <w:rsid w:val="00C013F8"/>
    <w:rsid w:val="00C01710"/>
    <w:rsid w:val="00C018CE"/>
    <w:rsid w:val="00C018F8"/>
    <w:rsid w:val="00C018FF"/>
    <w:rsid w:val="00C01929"/>
    <w:rsid w:val="00C01A25"/>
    <w:rsid w:val="00C01A3A"/>
    <w:rsid w:val="00C01B4C"/>
    <w:rsid w:val="00C01B66"/>
    <w:rsid w:val="00C01B6E"/>
    <w:rsid w:val="00C01FAE"/>
    <w:rsid w:val="00C02013"/>
    <w:rsid w:val="00C02036"/>
    <w:rsid w:val="00C020BC"/>
    <w:rsid w:val="00C021F2"/>
    <w:rsid w:val="00C02273"/>
    <w:rsid w:val="00C022B5"/>
    <w:rsid w:val="00C02370"/>
    <w:rsid w:val="00C023FC"/>
    <w:rsid w:val="00C02477"/>
    <w:rsid w:val="00C024E5"/>
    <w:rsid w:val="00C025AE"/>
    <w:rsid w:val="00C0265B"/>
    <w:rsid w:val="00C028D0"/>
    <w:rsid w:val="00C02D08"/>
    <w:rsid w:val="00C02E59"/>
    <w:rsid w:val="00C0303F"/>
    <w:rsid w:val="00C030A6"/>
    <w:rsid w:val="00C03128"/>
    <w:rsid w:val="00C03173"/>
    <w:rsid w:val="00C031BA"/>
    <w:rsid w:val="00C03246"/>
    <w:rsid w:val="00C032AF"/>
    <w:rsid w:val="00C03343"/>
    <w:rsid w:val="00C0337A"/>
    <w:rsid w:val="00C03469"/>
    <w:rsid w:val="00C03546"/>
    <w:rsid w:val="00C0354F"/>
    <w:rsid w:val="00C03554"/>
    <w:rsid w:val="00C0360F"/>
    <w:rsid w:val="00C0377D"/>
    <w:rsid w:val="00C03996"/>
    <w:rsid w:val="00C039EC"/>
    <w:rsid w:val="00C03A19"/>
    <w:rsid w:val="00C03A4E"/>
    <w:rsid w:val="00C03B35"/>
    <w:rsid w:val="00C03B41"/>
    <w:rsid w:val="00C03BDA"/>
    <w:rsid w:val="00C03C17"/>
    <w:rsid w:val="00C03C6E"/>
    <w:rsid w:val="00C03CB8"/>
    <w:rsid w:val="00C03DBF"/>
    <w:rsid w:val="00C03E1E"/>
    <w:rsid w:val="00C03EA0"/>
    <w:rsid w:val="00C03EB4"/>
    <w:rsid w:val="00C03F83"/>
    <w:rsid w:val="00C040F2"/>
    <w:rsid w:val="00C041EA"/>
    <w:rsid w:val="00C04212"/>
    <w:rsid w:val="00C042E5"/>
    <w:rsid w:val="00C042FD"/>
    <w:rsid w:val="00C04594"/>
    <w:rsid w:val="00C045D1"/>
    <w:rsid w:val="00C045F9"/>
    <w:rsid w:val="00C04618"/>
    <w:rsid w:val="00C04650"/>
    <w:rsid w:val="00C04818"/>
    <w:rsid w:val="00C048D3"/>
    <w:rsid w:val="00C048F9"/>
    <w:rsid w:val="00C04985"/>
    <w:rsid w:val="00C04A54"/>
    <w:rsid w:val="00C04A75"/>
    <w:rsid w:val="00C04B0C"/>
    <w:rsid w:val="00C04BC4"/>
    <w:rsid w:val="00C04D6C"/>
    <w:rsid w:val="00C04DF6"/>
    <w:rsid w:val="00C04EA6"/>
    <w:rsid w:val="00C04ED6"/>
    <w:rsid w:val="00C04F42"/>
    <w:rsid w:val="00C04F58"/>
    <w:rsid w:val="00C05158"/>
    <w:rsid w:val="00C05164"/>
    <w:rsid w:val="00C051E5"/>
    <w:rsid w:val="00C05210"/>
    <w:rsid w:val="00C05315"/>
    <w:rsid w:val="00C0531F"/>
    <w:rsid w:val="00C0535F"/>
    <w:rsid w:val="00C05377"/>
    <w:rsid w:val="00C05475"/>
    <w:rsid w:val="00C054EB"/>
    <w:rsid w:val="00C055DB"/>
    <w:rsid w:val="00C0561E"/>
    <w:rsid w:val="00C056AC"/>
    <w:rsid w:val="00C056FC"/>
    <w:rsid w:val="00C057E8"/>
    <w:rsid w:val="00C05819"/>
    <w:rsid w:val="00C05971"/>
    <w:rsid w:val="00C05B77"/>
    <w:rsid w:val="00C05BC0"/>
    <w:rsid w:val="00C05BF5"/>
    <w:rsid w:val="00C05C34"/>
    <w:rsid w:val="00C05CEF"/>
    <w:rsid w:val="00C05DE1"/>
    <w:rsid w:val="00C05E2D"/>
    <w:rsid w:val="00C05E52"/>
    <w:rsid w:val="00C05E6E"/>
    <w:rsid w:val="00C060D6"/>
    <w:rsid w:val="00C061AC"/>
    <w:rsid w:val="00C0628D"/>
    <w:rsid w:val="00C06300"/>
    <w:rsid w:val="00C06466"/>
    <w:rsid w:val="00C06473"/>
    <w:rsid w:val="00C064FF"/>
    <w:rsid w:val="00C06507"/>
    <w:rsid w:val="00C06519"/>
    <w:rsid w:val="00C0656E"/>
    <w:rsid w:val="00C065CE"/>
    <w:rsid w:val="00C067D3"/>
    <w:rsid w:val="00C06852"/>
    <w:rsid w:val="00C068FD"/>
    <w:rsid w:val="00C0693A"/>
    <w:rsid w:val="00C0693E"/>
    <w:rsid w:val="00C06A7D"/>
    <w:rsid w:val="00C06BE5"/>
    <w:rsid w:val="00C06C32"/>
    <w:rsid w:val="00C06C39"/>
    <w:rsid w:val="00C06C56"/>
    <w:rsid w:val="00C06D1F"/>
    <w:rsid w:val="00C06D6D"/>
    <w:rsid w:val="00C06DED"/>
    <w:rsid w:val="00C06F35"/>
    <w:rsid w:val="00C07024"/>
    <w:rsid w:val="00C07029"/>
    <w:rsid w:val="00C0702C"/>
    <w:rsid w:val="00C0719B"/>
    <w:rsid w:val="00C07243"/>
    <w:rsid w:val="00C0724D"/>
    <w:rsid w:val="00C0731E"/>
    <w:rsid w:val="00C07508"/>
    <w:rsid w:val="00C075D7"/>
    <w:rsid w:val="00C07618"/>
    <w:rsid w:val="00C07714"/>
    <w:rsid w:val="00C07739"/>
    <w:rsid w:val="00C07768"/>
    <w:rsid w:val="00C07770"/>
    <w:rsid w:val="00C077BD"/>
    <w:rsid w:val="00C07A79"/>
    <w:rsid w:val="00C07B13"/>
    <w:rsid w:val="00C07B71"/>
    <w:rsid w:val="00C07BB8"/>
    <w:rsid w:val="00C07C23"/>
    <w:rsid w:val="00C07C3B"/>
    <w:rsid w:val="00C07C3D"/>
    <w:rsid w:val="00C07EBB"/>
    <w:rsid w:val="00C07EC2"/>
    <w:rsid w:val="00C10233"/>
    <w:rsid w:val="00C10409"/>
    <w:rsid w:val="00C10449"/>
    <w:rsid w:val="00C10463"/>
    <w:rsid w:val="00C1057B"/>
    <w:rsid w:val="00C105C0"/>
    <w:rsid w:val="00C1062C"/>
    <w:rsid w:val="00C106E1"/>
    <w:rsid w:val="00C10705"/>
    <w:rsid w:val="00C10816"/>
    <w:rsid w:val="00C10878"/>
    <w:rsid w:val="00C10919"/>
    <w:rsid w:val="00C1094A"/>
    <w:rsid w:val="00C10961"/>
    <w:rsid w:val="00C10B6E"/>
    <w:rsid w:val="00C10C01"/>
    <w:rsid w:val="00C10C46"/>
    <w:rsid w:val="00C10D91"/>
    <w:rsid w:val="00C10F9F"/>
    <w:rsid w:val="00C11056"/>
    <w:rsid w:val="00C1106B"/>
    <w:rsid w:val="00C110A5"/>
    <w:rsid w:val="00C110FE"/>
    <w:rsid w:val="00C111DA"/>
    <w:rsid w:val="00C1120F"/>
    <w:rsid w:val="00C11377"/>
    <w:rsid w:val="00C113FE"/>
    <w:rsid w:val="00C1148F"/>
    <w:rsid w:val="00C1150F"/>
    <w:rsid w:val="00C1161B"/>
    <w:rsid w:val="00C11713"/>
    <w:rsid w:val="00C11771"/>
    <w:rsid w:val="00C11817"/>
    <w:rsid w:val="00C1186B"/>
    <w:rsid w:val="00C118BB"/>
    <w:rsid w:val="00C118E1"/>
    <w:rsid w:val="00C118EE"/>
    <w:rsid w:val="00C119C5"/>
    <w:rsid w:val="00C11A39"/>
    <w:rsid w:val="00C11AB2"/>
    <w:rsid w:val="00C11B17"/>
    <w:rsid w:val="00C11D2B"/>
    <w:rsid w:val="00C11DB3"/>
    <w:rsid w:val="00C11EA6"/>
    <w:rsid w:val="00C11F74"/>
    <w:rsid w:val="00C12055"/>
    <w:rsid w:val="00C120AB"/>
    <w:rsid w:val="00C120CA"/>
    <w:rsid w:val="00C12101"/>
    <w:rsid w:val="00C12277"/>
    <w:rsid w:val="00C123EB"/>
    <w:rsid w:val="00C12446"/>
    <w:rsid w:val="00C1248C"/>
    <w:rsid w:val="00C124FA"/>
    <w:rsid w:val="00C12598"/>
    <w:rsid w:val="00C12682"/>
    <w:rsid w:val="00C126CB"/>
    <w:rsid w:val="00C126E2"/>
    <w:rsid w:val="00C12A11"/>
    <w:rsid w:val="00C12A91"/>
    <w:rsid w:val="00C12AE6"/>
    <w:rsid w:val="00C12AFB"/>
    <w:rsid w:val="00C12B34"/>
    <w:rsid w:val="00C12B36"/>
    <w:rsid w:val="00C12B46"/>
    <w:rsid w:val="00C12BF2"/>
    <w:rsid w:val="00C12D4B"/>
    <w:rsid w:val="00C12E8E"/>
    <w:rsid w:val="00C12F38"/>
    <w:rsid w:val="00C12F49"/>
    <w:rsid w:val="00C13104"/>
    <w:rsid w:val="00C13193"/>
    <w:rsid w:val="00C1338C"/>
    <w:rsid w:val="00C134CC"/>
    <w:rsid w:val="00C1350B"/>
    <w:rsid w:val="00C13527"/>
    <w:rsid w:val="00C135C9"/>
    <w:rsid w:val="00C13645"/>
    <w:rsid w:val="00C13683"/>
    <w:rsid w:val="00C137A3"/>
    <w:rsid w:val="00C1384B"/>
    <w:rsid w:val="00C139C3"/>
    <w:rsid w:val="00C13AC5"/>
    <w:rsid w:val="00C13B84"/>
    <w:rsid w:val="00C13BBD"/>
    <w:rsid w:val="00C13CF4"/>
    <w:rsid w:val="00C13ECE"/>
    <w:rsid w:val="00C13ED4"/>
    <w:rsid w:val="00C13F09"/>
    <w:rsid w:val="00C13F50"/>
    <w:rsid w:val="00C1400A"/>
    <w:rsid w:val="00C14087"/>
    <w:rsid w:val="00C140B1"/>
    <w:rsid w:val="00C14180"/>
    <w:rsid w:val="00C14207"/>
    <w:rsid w:val="00C1435C"/>
    <w:rsid w:val="00C14389"/>
    <w:rsid w:val="00C143F8"/>
    <w:rsid w:val="00C1443C"/>
    <w:rsid w:val="00C1447A"/>
    <w:rsid w:val="00C1450F"/>
    <w:rsid w:val="00C14532"/>
    <w:rsid w:val="00C14621"/>
    <w:rsid w:val="00C14739"/>
    <w:rsid w:val="00C14838"/>
    <w:rsid w:val="00C148FE"/>
    <w:rsid w:val="00C14977"/>
    <w:rsid w:val="00C14B1A"/>
    <w:rsid w:val="00C14CCD"/>
    <w:rsid w:val="00C14DB1"/>
    <w:rsid w:val="00C14DE8"/>
    <w:rsid w:val="00C15026"/>
    <w:rsid w:val="00C15133"/>
    <w:rsid w:val="00C1515A"/>
    <w:rsid w:val="00C151F6"/>
    <w:rsid w:val="00C152F7"/>
    <w:rsid w:val="00C153B5"/>
    <w:rsid w:val="00C1545B"/>
    <w:rsid w:val="00C154A2"/>
    <w:rsid w:val="00C154DE"/>
    <w:rsid w:val="00C1550D"/>
    <w:rsid w:val="00C155AB"/>
    <w:rsid w:val="00C156D6"/>
    <w:rsid w:val="00C157B7"/>
    <w:rsid w:val="00C15808"/>
    <w:rsid w:val="00C15AEB"/>
    <w:rsid w:val="00C15B3F"/>
    <w:rsid w:val="00C15BC7"/>
    <w:rsid w:val="00C15C2C"/>
    <w:rsid w:val="00C15C89"/>
    <w:rsid w:val="00C15D68"/>
    <w:rsid w:val="00C15D80"/>
    <w:rsid w:val="00C15EE4"/>
    <w:rsid w:val="00C15EF8"/>
    <w:rsid w:val="00C15F19"/>
    <w:rsid w:val="00C15F62"/>
    <w:rsid w:val="00C15FB4"/>
    <w:rsid w:val="00C160E0"/>
    <w:rsid w:val="00C16134"/>
    <w:rsid w:val="00C16165"/>
    <w:rsid w:val="00C16219"/>
    <w:rsid w:val="00C16226"/>
    <w:rsid w:val="00C163EB"/>
    <w:rsid w:val="00C163F7"/>
    <w:rsid w:val="00C16515"/>
    <w:rsid w:val="00C16538"/>
    <w:rsid w:val="00C165F1"/>
    <w:rsid w:val="00C16794"/>
    <w:rsid w:val="00C167E3"/>
    <w:rsid w:val="00C16824"/>
    <w:rsid w:val="00C1684C"/>
    <w:rsid w:val="00C169DB"/>
    <w:rsid w:val="00C16A51"/>
    <w:rsid w:val="00C16A83"/>
    <w:rsid w:val="00C16B57"/>
    <w:rsid w:val="00C16B63"/>
    <w:rsid w:val="00C16C33"/>
    <w:rsid w:val="00C16CEF"/>
    <w:rsid w:val="00C16D44"/>
    <w:rsid w:val="00C16EED"/>
    <w:rsid w:val="00C16FEE"/>
    <w:rsid w:val="00C17004"/>
    <w:rsid w:val="00C1705F"/>
    <w:rsid w:val="00C170BC"/>
    <w:rsid w:val="00C17123"/>
    <w:rsid w:val="00C17185"/>
    <w:rsid w:val="00C171DB"/>
    <w:rsid w:val="00C17222"/>
    <w:rsid w:val="00C17257"/>
    <w:rsid w:val="00C17440"/>
    <w:rsid w:val="00C17445"/>
    <w:rsid w:val="00C17447"/>
    <w:rsid w:val="00C1752F"/>
    <w:rsid w:val="00C176CE"/>
    <w:rsid w:val="00C17716"/>
    <w:rsid w:val="00C1774B"/>
    <w:rsid w:val="00C17798"/>
    <w:rsid w:val="00C177C2"/>
    <w:rsid w:val="00C177D8"/>
    <w:rsid w:val="00C177F7"/>
    <w:rsid w:val="00C178E5"/>
    <w:rsid w:val="00C1792B"/>
    <w:rsid w:val="00C1795C"/>
    <w:rsid w:val="00C179B3"/>
    <w:rsid w:val="00C17ACD"/>
    <w:rsid w:val="00C17BE7"/>
    <w:rsid w:val="00C17C8A"/>
    <w:rsid w:val="00C17D77"/>
    <w:rsid w:val="00C17E7A"/>
    <w:rsid w:val="00C17EE7"/>
    <w:rsid w:val="00C17F24"/>
    <w:rsid w:val="00C17FD7"/>
    <w:rsid w:val="00C20274"/>
    <w:rsid w:val="00C203B7"/>
    <w:rsid w:val="00C2043C"/>
    <w:rsid w:val="00C2048E"/>
    <w:rsid w:val="00C204A1"/>
    <w:rsid w:val="00C205C0"/>
    <w:rsid w:val="00C206CC"/>
    <w:rsid w:val="00C206F0"/>
    <w:rsid w:val="00C20887"/>
    <w:rsid w:val="00C2095A"/>
    <w:rsid w:val="00C20996"/>
    <w:rsid w:val="00C209B4"/>
    <w:rsid w:val="00C209BA"/>
    <w:rsid w:val="00C20A64"/>
    <w:rsid w:val="00C20ACE"/>
    <w:rsid w:val="00C20C40"/>
    <w:rsid w:val="00C20CC0"/>
    <w:rsid w:val="00C20FB5"/>
    <w:rsid w:val="00C21061"/>
    <w:rsid w:val="00C21062"/>
    <w:rsid w:val="00C21125"/>
    <w:rsid w:val="00C2113B"/>
    <w:rsid w:val="00C2113D"/>
    <w:rsid w:val="00C21272"/>
    <w:rsid w:val="00C21353"/>
    <w:rsid w:val="00C2145E"/>
    <w:rsid w:val="00C214BF"/>
    <w:rsid w:val="00C214C9"/>
    <w:rsid w:val="00C214D7"/>
    <w:rsid w:val="00C21512"/>
    <w:rsid w:val="00C2175B"/>
    <w:rsid w:val="00C2175F"/>
    <w:rsid w:val="00C21930"/>
    <w:rsid w:val="00C21937"/>
    <w:rsid w:val="00C21AB8"/>
    <w:rsid w:val="00C21AB9"/>
    <w:rsid w:val="00C21AE9"/>
    <w:rsid w:val="00C21B57"/>
    <w:rsid w:val="00C21B6F"/>
    <w:rsid w:val="00C21BAF"/>
    <w:rsid w:val="00C21CB7"/>
    <w:rsid w:val="00C21D67"/>
    <w:rsid w:val="00C21DC2"/>
    <w:rsid w:val="00C21E54"/>
    <w:rsid w:val="00C21F4C"/>
    <w:rsid w:val="00C22020"/>
    <w:rsid w:val="00C22023"/>
    <w:rsid w:val="00C221DA"/>
    <w:rsid w:val="00C22245"/>
    <w:rsid w:val="00C222F8"/>
    <w:rsid w:val="00C2233A"/>
    <w:rsid w:val="00C223B4"/>
    <w:rsid w:val="00C223B5"/>
    <w:rsid w:val="00C2242C"/>
    <w:rsid w:val="00C22536"/>
    <w:rsid w:val="00C225E3"/>
    <w:rsid w:val="00C22615"/>
    <w:rsid w:val="00C22659"/>
    <w:rsid w:val="00C22692"/>
    <w:rsid w:val="00C226B1"/>
    <w:rsid w:val="00C2278E"/>
    <w:rsid w:val="00C22911"/>
    <w:rsid w:val="00C22945"/>
    <w:rsid w:val="00C229D7"/>
    <w:rsid w:val="00C22A48"/>
    <w:rsid w:val="00C22A8A"/>
    <w:rsid w:val="00C22B18"/>
    <w:rsid w:val="00C22B89"/>
    <w:rsid w:val="00C22DEE"/>
    <w:rsid w:val="00C23099"/>
    <w:rsid w:val="00C23118"/>
    <w:rsid w:val="00C23196"/>
    <w:rsid w:val="00C2321D"/>
    <w:rsid w:val="00C233A8"/>
    <w:rsid w:val="00C2343D"/>
    <w:rsid w:val="00C2356A"/>
    <w:rsid w:val="00C237DD"/>
    <w:rsid w:val="00C23881"/>
    <w:rsid w:val="00C23884"/>
    <w:rsid w:val="00C238EC"/>
    <w:rsid w:val="00C23A05"/>
    <w:rsid w:val="00C23AF8"/>
    <w:rsid w:val="00C23AFC"/>
    <w:rsid w:val="00C23B5C"/>
    <w:rsid w:val="00C23DC9"/>
    <w:rsid w:val="00C23E62"/>
    <w:rsid w:val="00C23F19"/>
    <w:rsid w:val="00C23F56"/>
    <w:rsid w:val="00C23FD4"/>
    <w:rsid w:val="00C24423"/>
    <w:rsid w:val="00C24550"/>
    <w:rsid w:val="00C24720"/>
    <w:rsid w:val="00C2475C"/>
    <w:rsid w:val="00C24781"/>
    <w:rsid w:val="00C24848"/>
    <w:rsid w:val="00C248C9"/>
    <w:rsid w:val="00C248FA"/>
    <w:rsid w:val="00C249DC"/>
    <w:rsid w:val="00C24A54"/>
    <w:rsid w:val="00C24AC4"/>
    <w:rsid w:val="00C24AF0"/>
    <w:rsid w:val="00C24B36"/>
    <w:rsid w:val="00C24CD3"/>
    <w:rsid w:val="00C24D2E"/>
    <w:rsid w:val="00C24DD5"/>
    <w:rsid w:val="00C24DE4"/>
    <w:rsid w:val="00C24ECA"/>
    <w:rsid w:val="00C24F93"/>
    <w:rsid w:val="00C24F9C"/>
    <w:rsid w:val="00C24FB7"/>
    <w:rsid w:val="00C24FF7"/>
    <w:rsid w:val="00C250B9"/>
    <w:rsid w:val="00C25123"/>
    <w:rsid w:val="00C2517E"/>
    <w:rsid w:val="00C2523F"/>
    <w:rsid w:val="00C252AC"/>
    <w:rsid w:val="00C2544C"/>
    <w:rsid w:val="00C2546A"/>
    <w:rsid w:val="00C25517"/>
    <w:rsid w:val="00C255E4"/>
    <w:rsid w:val="00C2564A"/>
    <w:rsid w:val="00C2579C"/>
    <w:rsid w:val="00C2589F"/>
    <w:rsid w:val="00C2591B"/>
    <w:rsid w:val="00C2597B"/>
    <w:rsid w:val="00C25A59"/>
    <w:rsid w:val="00C25C85"/>
    <w:rsid w:val="00C25E35"/>
    <w:rsid w:val="00C25F47"/>
    <w:rsid w:val="00C25F97"/>
    <w:rsid w:val="00C25FBD"/>
    <w:rsid w:val="00C26000"/>
    <w:rsid w:val="00C2607D"/>
    <w:rsid w:val="00C261C4"/>
    <w:rsid w:val="00C2629B"/>
    <w:rsid w:val="00C262E8"/>
    <w:rsid w:val="00C26307"/>
    <w:rsid w:val="00C263C7"/>
    <w:rsid w:val="00C26426"/>
    <w:rsid w:val="00C26440"/>
    <w:rsid w:val="00C2657A"/>
    <w:rsid w:val="00C265C9"/>
    <w:rsid w:val="00C26683"/>
    <w:rsid w:val="00C267FD"/>
    <w:rsid w:val="00C2690E"/>
    <w:rsid w:val="00C26916"/>
    <w:rsid w:val="00C26923"/>
    <w:rsid w:val="00C26A92"/>
    <w:rsid w:val="00C26B33"/>
    <w:rsid w:val="00C26B56"/>
    <w:rsid w:val="00C26C01"/>
    <w:rsid w:val="00C26C19"/>
    <w:rsid w:val="00C26CEB"/>
    <w:rsid w:val="00C26D5B"/>
    <w:rsid w:val="00C26DBA"/>
    <w:rsid w:val="00C26FBF"/>
    <w:rsid w:val="00C2712F"/>
    <w:rsid w:val="00C271E8"/>
    <w:rsid w:val="00C2721B"/>
    <w:rsid w:val="00C27252"/>
    <w:rsid w:val="00C272A0"/>
    <w:rsid w:val="00C27347"/>
    <w:rsid w:val="00C2734A"/>
    <w:rsid w:val="00C2735C"/>
    <w:rsid w:val="00C27420"/>
    <w:rsid w:val="00C27641"/>
    <w:rsid w:val="00C27682"/>
    <w:rsid w:val="00C276F5"/>
    <w:rsid w:val="00C27713"/>
    <w:rsid w:val="00C277B1"/>
    <w:rsid w:val="00C27813"/>
    <w:rsid w:val="00C27864"/>
    <w:rsid w:val="00C279CA"/>
    <w:rsid w:val="00C27A87"/>
    <w:rsid w:val="00C27AA2"/>
    <w:rsid w:val="00C27B1F"/>
    <w:rsid w:val="00C27B59"/>
    <w:rsid w:val="00C27C07"/>
    <w:rsid w:val="00C27C95"/>
    <w:rsid w:val="00C27F16"/>
    <w:rsid w:val="00C30151"/>
    <w:rsid w:val="00C3038E"/>
    <w:rsid w:val="00C304A9"/>
    <w:rsid w:val="00C30569"/>
    <w:rsid w:val="00C30625"/>
    <w:rsid w:val="00C3071F"/>
    <w:rsid w:val="00C30824"/>
    <w:rsid w:val="00C30A23"/>
    <w:rsid w:val="00C30B6A"/>
    <w:rsid w:val="00C30DDE"/>
    <w:rsid w:val="00C30ECE"/>
    <w:rsid w:val="00C30F3F"/>
    <w:rsid w:val="00C30FC8"/>
    <w:rsid w:val="00C30FE1"/>
    <w:rsid w:val="00C30FF2"/>
    <w:rsid w:val="00C310A4"/>
    <w:rsid w:val="00C311F7"/>
    <w:rsid w:val="00C31216"/>
    <w:rsid w:val="00C31225"/>
    <w:rsid w:val="00C313AA"/>
    <w:rsid w:val="00C3152B"/>
    <w:rsid w:val="00C3178A"/>
    <w:rsid w:val="00C3182B"/>
    <w:rsid w:val="00C3188A"/>
    <w:rsid w:val="00C3196D"/>
    <w:rsid w:val="00C319CC"/>
    <w:rsid w:val="00C31B25"/>
    <w:rsid w:val="00C31BA3"/>
    <w:rsid w:val="00C31D82"/>
    <w:rsid w:val="00C31E71"/>
    <w:rsid w:val="00C31F2B"/>
    <w:rsid w:val="00C31F77"/>
    <w:rsid w:val="00C32004"/>
    <w:rsid w:val="00C32128"/>
    <w:rsid w:val="00C32240"/>
    <w:rsid w:val="00C32268"/>
    <w:rsid w:val="00C323A4"/>
    <w:rsid w:val="00C324C4"/>
    <w:rsid w:val="00C32536"/>
    <w:rsid w:val="00C32564"/>
    <w:rsid w:val="00C325C2"/>
    <w:rsid w:val="00C32648"/>
    <w:rsid w:val="00C32659"/>
    <w:rsid w:val="00C326AC"/>
    <w:rsid w:val="00C32751"/>
    <w:rsid w:val="00C327AE"/>
    <w:rsid w:val="00C32801"/>
    <w:rsid w:val="00C328A6"/>
    <w:rsid w:val="00C328A9"/>
    <w:rsid w:val="00C328F2"/>
    <w:rsid w:val="00C32A35"/>
    <w:rsid w:val="00C32A3E"/>
    <w:rsid w:val="00C32A92"/>
    <w:rsid w:val="00C32AC2"/>
    <w:rsid w:val="00C32B14"/>
    <w:rsid w:val="00C32C2B"/>
    <w:rsid w:val="00C32CB7"/>
    <w:rsid w:val="00C32CB8"/>
    <w:rsid w:val="00C32D15"/>
    <w:rsid w:val="00C32F6C"/>
    <w:rsid w:val="00C3312A"/>
    <w:rsid w:val="00C33170"/>
    <w:rsid w:val="00C33263"/>
    <w:rsid w:val="00C332CD"/>
    <w:rsid w:val="00C33485"/>
    <w:rsid w:val="00C335C5"/>
    <w:rsid w:val="00C336D0"/>
    <w:rsid w:val="00C33792"/>
    <w:rsid w:val="00C337E8"/>
    <w:rsid w:val="00C33A79"/>
    <w:rsid w:val="00C33AA0"/>
    <w:rsid w:val="00C33B51"/>
    <w:rsid w:val="00C33CCF"/>
    <w:rsid w:val="00C33DD0"/>
    <w:rsid w:val="00C33E59"/>
    <w:rsid w:val="00C33EB3"/>
    <w:rsid w:val="00C33F20"/>
    <w:rsid w:val="00C33F51"/>
    <w:rsid w:val="00C33F94"/>
    <w:rsid w:val="00C33FA7"/>
    <w:rsid w:val="00C342A4"/>
    <w:rsid w:val="00C342B4"/>
    <w:rsid w:val="00C342D3"/>
    <w:rsid w:val="00C34322"/>
    <w:rsid w:val="00C343BE"/>
    <w:rsid w:val="00C343C9"/>
    <w:rsid w:val="00C34422"/>
    <w:rsid w:val="00C345AD"/>
    <w:rsid w:val="00C34638"/>
    <w:rsid w:val="00C3465A"/>
    <w:rsid w:val="00C346B5"/>
    <w:rsid w:val="00C347E7"/>
    <w:rsid w:val="00C348A2"/>
    <w:rsid w:val="00C34932"/>
    <w:rsid w:val="00C34B80"/>
    <w:rsid w:val="00C34B9F"/>
    <w:rsid w:val="00C34C7B"/>
    <w:rsid w:val="00C34C7D"/>
    <w:rsid w:val="00C34C9F"/>
    <w:rsid w:val="00C34CC2"/>
    <w:rsid w:val="00C34EE9"/>
    <w:rsid w:val="00C34F51"/>
    <w:rsid w:val="00C34FC6"/>
    <w:rsid w:val="00C35107"/>
    <w:rsid w:val="00C351E0"/>
    <w:rsid w:val="00C3526B"/>
    <w:rsid w:val="00C35461"/>
    <w:rsid w:val="00C3548C"/>
    <w:rsid w:val="00C355A2"/>
    <w:rsid w:val="00C355D3"/>
    <w:rsid w:val="00C3569A"/>
    <w:rsid w:val="00C3569D"/>
    <w:rsid w:val="00C35703"/>
    <w:rsid w:val="00C357BE"/>
    <w:rsid w:val="00C3593C"/>
    <w:rsid w:val="00C35943"/>
    <w:rsid w:val="00C359F1"/>
    <w:rsid w:val="00C359F9"/>
    <w:rsid w:val="00C35B5B"/>
    <w:rsid w:val="00C35B7E"/>
    <w:rsid w:val="00C35B88"/>
    <w:rsid w:val="00C35C8B"/>
    <w:rsid w:val="00C35D25"/>
    <w:rsid w:val="00C35D3F"/>
    <w:rsid w:val="00C35DA3"/>
    <w:rsid w:val="00C35DB5"/>
    <w:rsid w:val="00C35E85"/>
    <w:rsid w:val="00C35ED5"/>
    <w:rsid w:val="00C35EFB"/>
    <w:rsid w:val="00C3604E"/>
    <w:rsid w:val="00C3619A"/>
    <w:rsid w:val="00C36218"/>
    <w:rsid w:val="00C362AB"/>
    <w:rsid w:val="00C36406"/>
    <w:rsid w:val="00C36527"/>
    <w:rsid w:val="00C36656"/>
    <w:rsid w:val="00C3667B"/>
    <w:rsid w:val="00C366A4"/>
    <w:rsid w:val="00C36721"/>
    <w:rsid w:val="00C36ACC"/>
    <w:rsid w:val="00C36CCF"/>
    <w:rsid w:val="00C36E2F"/>
    <w:rsid w:val="00C36EC8"/>
    <w:rsid w:val="00C36F9B"/>
    <w:rsid w:val="00C36FCB"/>
    <w:rsid w:val="00C370CF"/>
    <w:rsid w:val="00C37141"/>
    <w:rsid w:val="00C371A0"/>
    <w:rsid w:val="00C3729F"/>
    <w:rsid w:val="00C3737D"/>
    <w:rsid w:val="00C37498"/>
    <w:rsid w:val="00C3758D"/>
    <w:rsid w:val="00C3770C"/>
    <w:rsid w:val="00C377A8"/>
    <w:rsid w:val="00C377AC"/>
    <w:rsid w:val="00C3782A"/>
    <w:rsid w:val="00C379BD"/>
    <w:rsid w:val="00C37A2C"/>
    <w:rsid w:val="00C37B87"/>
    <w:rsid w:val="00C37BEE"/>
    <w:rsid w:val="00C37D56"/>
    <w:rsid w:val="00C37D94"/>
    <w:rsid w:val="00C37DCC"/>
    <w:rsid w:val="00C37EAB"/>
    <w:rsid w:val="00C37FDC"/>
    <w:rsid w:val="00C400A6"/>
    <w:rsid w:val="00C40482"/>
    <w:rsid w:val="00C40545"/>
    <w:rsid w:val="00C40787"/>
    <w:rsid w:val="00C40855"/>
    <w:rsid w:val="00C4090D"/>
    <w:rsid w:val="00C40915"/>
    <w:rsid w:val="00C40964"/>
    <w:rsid w:val="00C409A6"/>
    <w:rsid w:val="00C40A4A"/>
    <w:rsid w:val="00C40A67"/>
    <w:rsid w:val="00C40A6F"/>
    <w:rsid w:val="00C40A82"/>
    <w:rsid w:val="00C40AC8"/>
    <w:rsid w:val="00C40AEE"/>
    <w:rsid w:val="00C40B7B"/>
    <w:rsid w:val="00C40C1F"/>
    <w:rsid w:val="00C40CAE"/>
    <w:rsid w:val="00C40DAC"/>
    <w:rsid w:val="00C40E2F"/>
    <w:rsid w:val="00C40FBC"/>
    <w:rsid w:val="00C40FEF"/>
    <w:rsid w:val="00C41090"/>
    <w:rsid w:val="00C41353"/>
    <w:rsid w:val="00C41462"/>
    <w:rsid w:val="00C414A6"/>
    <w:rsid w:val="00C415C2"/>
    <w:rsid w:val="00C416D1"/>
    <w:rsid w:val="00C4199C"/>
    <w:rsid w:val="00C41A14"/>
    <w:rsid w:val="00C41A55"/>
    <w:rsid w:val="00C41A60"/>
    <w:rsid w:val="00C41B46"/>
    <w:rsid w:val="00C41B7E"/>
    <w:rsid w:val="00C41BCE"/>
    <w:rsid w:val="00C41C4A"/>
    <w:rsid w:val="00C41CF5"/>
    <w:rsid w:val="00C41D49"/>
    <w:rsid w:val="00C41DD4"/>
    <w:rsid w:val="00C41DDE"/>
    <w:rsid w:val="00C42058"/>
    <w:rsid w:val="00C4209F"/>
    <w:rsid w:val="00C42146"/>
    <w:rsid w:val="00C42229"/>
    <w:rsid w:val="00C4224F"/>
    <w:rsid w:val="00C422A2"/>
    <w:rsid w:val="00C422BA"/>
    <w:rsid w:val="00C422BC"/>
    <w:rsid w:val="00C422D5"/>
    <w:rsid w:val="00C4235C"/>
    <w:rsid w:val="00C42466"/>
    <w:rsid w:val="00C424E7"/>
    <w:rsid w:val="00C4269B"/>
    <w:rsid w:val="00C426CC"/>
    <w:rsid w:val="00C42724"/>
    <w:rsid w:val="00C4272D"/>
    <w:rsid w:val="00C42758"/>
    <w:rsid w:val="00C428C0"/>
    <w:rsid w:val="00C42909"/>
    <w:rsid w:val="00C42947"/>
    <w:rsid w:val="00C4294B"/>
    <w:rsid w:val="00C429F4"/>
    <w:rsid w:val="00C42B50"/>
    <w:rsid w:val="00C42B93"/>
    <w:rsid w:val="00C42C13"/>
    <w:rsid w:val="00C42C47"/>
    <w:rsid w:val="00C42D74"/>
    <w:rsid w:val="00C42D76"/>
    <w:rsid w:val="00C42E06"/>
    <w:rsid w:val="00C42E97"/>
    <w:rsid w:val="00C42E98"/>
    <w:rsid w:val="00C42EDF"/>
    <w:rsid w:val="00C4326D"/>
    <w:rsid w:val="00C432D1"/>
    <w:rsid w:val="00C4342A"/>
    <w:rsid w:val="00C43580"/>
    <w:rsid w:val="00C4361C"/>
    <w:rsid w:val="00C43780"/>
    <w:rsid w:val="00C4379A"/>
    <w:rsid w:val="00C439F6"/>
    <w:rsid w:val="00C43A69"/>
    <w:rsid w:val="00C43A98"/>
    <w:rsid w:val="00C43B18"/>
    <w:rsid w:val="00C43B43"/>
    <w:rsid w:val="00C43C88"/>
    <w:rsid w:val="00C43DFB"/>
    <w:rsid w:val="00C43E00"/>
    <w:rsid w:val="00C43EA6"/>
    <w:rsid w:val="00C43EE4"/>
    <w:rsid w:val="00C43F00"/>
    <w:rsid w:val="00C440BE"/>
    <w:rsid w:val="00C440D4"/>
    <w:rsid w:val="00C4413C"/>
    <w:rsid w:val="00C441DE"/>
    <w:rsid w:val="00C44216"/>
    <w:rsid w:val="00C44294"/>
    <w:rsid w:val="00C442D6"/>
    <w:rsid w:val="00C44471"/>
    <w:rsid w:val="00C444CD"/>
    <w:rsid w:val="00C4454F"/>
    <w:rsid w:val="00C44763"/>
    <w:rsid w:val="00C447B5"/>
    <w:rsid w:val="00C447EA"/>
    <w:rsid w:val="00C44854"/>
    <w:rsid w:val="00C449CC"/>
    <w:rsid w:val="00C449EC"/>
    <w:rsid w:val="00C44BEA"/>
    <w:rsid w:val="00C44CB5"/>
    <w:rsid w:val="00C44E5A"/>
    <w:rsid w:val="00C44EBD"/>
    <w:rsid w:val="00C44F73"/>
    <w:rsid w:val="00C44F93"/>
    <w:rsid w:val="00C45011"/>
    <w:rsid w:val="00C45060"/>
    <w:rsid w:val="00C45086"/>
    <w:rsid w:val="00C45118"/>
    <w:rsid w:val="00C451A4"/>
    <w:rsid w:val="00C451B8"/>
    <w:rsid w:val="00C4522D"/>
    <w:rsid w:val="00C453C9"/>
    <w:rsid w:val="00C45439"/>
    <w:rsid w:val="00C45479"/>
    <w:rsid w:val="00C454C8"/>
    <w:rsid w:val="00C454D5"/>
    <w:rsid w:val="00C4579D"/>
    <w:rsid w:val="00C45976"/>
    <w:rsid w:val="00C459A5"/>
    <w:rsid w:val="00C45BE7"/>
    <w:rsid w:val="00C45CA9"/>
    <w:rsid w:val="00C45E73"/>
    <w:rsid w:val="00C45E7D"/>
    <w:rsid w:val="00C45EAD"/>
    <w:rsid w:val="00C45EDB"/>
    <w:rsid w:val="00C45F1B"/>
    <w:rsid w:val="00C45F5F"/>
    <w:rsid w:val="00C45FFA"/>
    <w:rsid w:val="00C461C9"/>
    <w:rsid w:val="00C461DA"/>
    <w:rsid w:val="00C46362"/>
    <w:rsid w:val="00C4639F"/>
    <w:rsid w:val="00C46427"/>
    <w:rsid w:val="00C46488"/>
    <w:rsid w:val="00C464A7"/>
    <w:rsid w:val="00C464D4"/>
    <w:rsid w:val="00C46548"/>
    <w:rsid w:val="00C46591"/>
    <w:rsid w:val="00C4661E"/>
    <w:rsid w:val="00C46659"/>
    <w:rsid w:val="00C4684A"/>
    <w:rsid w:val="00C469D3"/>
    <w:rsid w:val="00C469E2"/>
    <w:rsid w:val="00C46A41"/>
    <w:rsid w:val="00C46A79"/>
    <w:rsid w:val="00C46AFD"/>
    <w:rsid w:val="00C46B30"/>
    <w:rsid w:val="00C46BAB"/>
    <w:rsid w:val="00C46D43"/>
    <w:rsid w:val="00C46EA3"/>
    <w:rsid w:val="00C46F63"/>
    <w:rsid w:val="00C46FE8"/>
    <w:rsid w:val="00C47094"/>
    <w:rsid w:val="00C4717E"/>
    <w:rsid w:val="00C471DB"/>
    <w:rsid w:val="00C47250"/>
    <w:rsid w:val="00C473DD"/>
    <w:rsid w:val="00C47437"/>
    <w:rsid w:val="00C4743D"/>
    <w:rsid w:val="00C4761F"/>
    <w:rsid w:val="00C477A3"/>
    <w:rsid w:val="00C477EA"/>
    <w:rsid w:val="00C4780A"/>
    <w:rsid w:val="00C4784F"/>
    <w:rsid w:val="00C47917"/>
    <w:rsid w:val="00C47933"/>
    <w:rsid w:val="00C47A11"/>
    <w:rsid w:val="00C47A92"/>
    <w:rsid w:val="00C47B08"/>
    <w:rsid w:val="00C47BE7"/>
    <w:rsid w:val="00C47CC3"/>
    <w:rsid w:val="00C47CEB"/>
    <w:rsid w:val="00C47D4C"/>
    <w:rsid w:val="00C47D54"/>
    <w:rsid w:val="00C47D9F"/>
    <w:rsid w:val="00C47FAA"/>
    <w:rsid w:val="00C5029A"/>
    <w:rsid w:val="00C502BE"/>
    <w:rsid w:val="00C50398"/>
    <w:rsid w:val="00C5044E"/>
    <w:rsid w:val="00C5046B"/>
    <w:rsid w:val="00C5053C"/>
    <w:rsid w:val="00C50610"/>
    <w:rsid w:val="00C506AA"/>
    <w:rsid w:val="00C507F8"/>
    <w:rsid w:val="00C50932"/>
    <w:rsid w:val="00C50939"/>
    <w:rsid w:val="00C50964"/>
    <w:rsid w:val="00C509C4"/>
    <w:rsid w:val="00C50A81"/>
    <w:rsid w:val="00C50AC7"/>
    <w:rsid w:val="00C50AEA"/>
    <w:rsid w:val="00C50B7A"/>
    <w:rsid w:val="00C50D20"/>
    <w:rsid w:val="00C50D3B"/>
    <w:rsid w:val="00C50D50"/>
    <w:rsid w:val="00C50D62"/>
    <w:rsid w:val="00C50FAE"/>
    <w:rsid w:val="00C510A3"/>
    <w:rsid w:val="00C51187"/>
    <w:rsid w:val="00C51268"/>
    <w:rsid w:val="00C512D9"/>
    <w:rsid w:val="00C5135F"/>
    <w:rsid w:val="00C5136C"/>
    <w:rsid w:val="00C5137A"/>
    <w:rsid w:val="00C5137F"/>
    <w:rsid w:val="00C513B5"/>
    <w:rsid w:val="00C51601"/>
    <w:rsid w:val="00C517B4"/>
    <w:rsid w:val="00C517FC"/>
    <w:rsid w:val="00C5191D"/>
    <w:rsid w:val="00C51922"/>
    <w:rsid w:val="00C519B9"/>
    <w:rsid w:val="00C51A4A"/>
    <w:rsid w:val="00C51AF4"/>
    <w:rsid w:val="00C51C0D"/>
    <w:rsid w:val="00C51C26"/>
    <w:rsid w:val="00C51D9A"/>
    <w:rsid w:val="00C51DD2"/>
    <w:rsid w:val="00C51E06"/>
    <w:rsid w:val="00C51E7D"/>
    <w:rsid w:val="00C51FD6"/>
    <w:rsid w:val="00C5202D"/>
    <w:rsid w:val="00C523C6"/>
    <w:rsid w:val="00C5243B"/>
    <w:rsid w:val="00C52465"/>
    <w:rsid w:val="00C524C8"/>
    <w:rsid w:val="00C525BE"/>
    <w:rsid w:val="00C528DA"/>
    <w:rsid w:val="00C52968"/>
    <w:rsid w:val="00C52A20"/>
    <w:rsid w:val="00C52B38"/>
    <w:rsid w:val="00C52C1F"/>
    <w:rsid w:val="00C52DF5"/>
    <w:rsid w:val="00C52E0A"/>
    <w:rsid w:val="00C52E63"/>
    <w:rsid w:val="00C52ECE"/>
    <w:rsid w:val="00C52EE6"/>
    <w:rsid w:val="00C52FE3"/>
    <w:rsid w:val="00C52FF4"/>
    <w:rsid w:val="00C5303A"/>
    <w:rsid w:val="00C530C3"/>
    <w:rsid w:val="00C530E8"/>
    <w:rsid w:val="00C531BC"/>
    <w:rsid w:val="00C531FB"/>
    <w:rsid w:val="00C5358D"/>
    <w:rsid w:val="00C535DD"/>
    <w:rsid w:val="00C536E2"/>
    <w:rsid w:val="00C537A7"/>
    <w:rsid w:val="00C53915"/>
    <w:rsid w:val="00C53A19"/>
    <w:rsid w:val="00C53AFB"/>
    <w:rsid w:val="00C53DA5"/>
    <w:rsid w:val="00C5408B"/>
    <w:rsid w:val="00C540E6"/>
    <w:rsid w:val="00C54134"/>
    <w:rsid w:val="00C54177"/>
    <w:rsid w:val="00C5422E"/>
    <w:rsid w:val="00C542ED"/>
    <w:rsid w:val="00C54372"/>
    <w:rsid w:val="00C54396"/>
    <w:rsid w:val="00C543DA"/>
    <w:rsid w:val="00C54511"/>
    <w:rsid w:val="00C54674"/>
    <w:rsid w:val="00C54675"/>
    <w:rsid w:val="00C54680"/>
    <w:rsid w:val="00C546C1"/>
    <w:rsid w:val="00C547EE"/>
    <w:rsid w:val="00C548E7"/>
    <w:rsid w:val="00C54911"/>
    <w:rsid w:val="00C54927"/>
    <w:rsid w:val="00C54994"/>
    <w:rsid w:val="00C549D3"/>
    <w:rsid w:val="00C54A4E"/>
    <w:rsid w:val="00C54A62"/>
    <w:rsid w:val="00C54A74"/>
    <w:rsid w:val="00C54A81"/>
    <w:rsid w:val="00C54A90"/>
    <w:rsid w:val="00C54A95"/>
    <w:rsid w:val="00C54B59"/>
    <w:rsid w:val="00C54BB4"/>
    <w:rsid w:val="00C54C7D"/>
    <w:rsid w:val="00C54C7F"/>
    <w:rsid w:val="00C54CF0"/>
    <w:rsid w:val="00C54D19"/>
    <w:rsid w:val="00C54D44"/>
    <w:rsid w:val="00C54D57"/>
    <w:rsid w:val="00C54DFC"/>
    <w:rsid w:val="00C54E56"/>
    <w:rsid w:val="00C54E72"/>
    <w:rsid w:val="00C54ED7"/>
    <w:rsid w:val="00C55076"/>
    <w:rsid w:val="00C55182"/>
    <w:rsid w:val="00C551A7"/>
    <w:rsid w:val="00C551F1"/>
    <w:rsid w:val="00C5527F"/>
    <w:rsid w:val="00C552EA"/>
    <w:rsid w:val="00C55386"/>
    <w:rsid w:val="00C553AA"/>
    <w:rsid w:val="00C553C8"/>
    <w:rsid w:val="00C553D0"/>
    <w:rsid w:val="00C5540F"/>
    <w:rsid w:val="00C5542D"/>
    <w:rsid w:val="00C5554A"/>
    <w:rsid w:val="00C55557"/>
    <w:rsid w:val="00C55741"/>
    <w:rsid w:val="00C557A1"/>
    <w:rsid w:val="00C557FC"/>
    <w:rsid w:val="00C55883"/>
    <w:rsid w:val="00C55A69"/>
    <w:rsid w:val="00C55B6B"/>
    <w:rsid w:val="00C55BA1"/>
    <w:rsid w:val="00C55DCD"/>
    <w:rsid w:val="00C55DF1"/>
    <w:rsid w:val="00C55E4F"/>
    <w:rsid w:val="00C55EB8"/>
    <w:rsid w:val="00C55F52"/>
    <w:rsid w:val="00C56178"/>
    <w:rsid w:val="00C56444"/>
    <w:rsid w:val="00C5644F"/>
    <w:rsid w:val="00C564C9"/>
    <w:rsid w:val="00C564F9"/>
    <w:rsid w:val="00C56561"/>
    <w:rsid w:val="00C5659E"/>
    <w:rsid w:val="00C565A0"/>
    <w:rsid w:val="00C565AC"/>
    <w:rsid w:val="00C5667B"/>
    <w:rsid w:val="00C56693"/>
    <w:rsid w:val="00C566F7"/>
    <w:rsid w:val="00C56705"/>
    <w:rsid w:val="00C567A0"/>
    <w:rsid w:val="00C56877"/>
    <w:rsid w:val="00C56988"/>
    <w:rsid w:val="00C56CA0"/>
    <w:rsid w:val="00C56E00"/>
    <w:rsid w:val="00C56E19"/>
    <w:rsid w:val="00C56EDE"/>
    <w:rsid w:val="00C56F67"/>
    <w:rsid w:val="00C57089"/>
    <w:rsid w:val="00C5708C"/>
    <w:rsid w:val="00C571DB"/>
    <w:rsid w:val="00C57237"/>
    <w:rsid w:val="00C57485"/>
    <w:rsid w:val="00C57494"/>
    <w:rsid w:val="00C5749F"/>
    <w:rsid w:val="00C575E2"/>
    <w:rsid w:val="00C57621"/>
    <w:rsid w:val="00C57658"/>
    <w:rsid w:val="00C57661"/>
    <w:rsid w:val="00C57691"/>
    <w:rsid w:val="00C57699"/>
    <w:rsid w:val="00C57769"/>
    <w:rsid w:val="00C57776"/>
    <w:rsid w:val="00C579ED"/>
    <w:rsid w:val="00C57AF6"/>
    <w:rsid w:val="00C57B39"/>
    <w:rsid w:val="00C57B6E"/>
    <w:rsid w:val="00C57BB6"/>
    <w:rsid w:val="00C57CA7"/>
    <w:rsid w:val="00C57CCC"/>
    <w:rsid w:val="00C57DB5"/>
    <w:rsid w:val="00C57EA3"/>
    <w:rsid w:val="00C57F10"/>
    <w:rsid w:val="00C57F95"/>
    <w:rsid w:val="00C6008A"/>
    <w:rsid w:val="00C60096"/>
    <w:rsid w:val="00C6045C"/>
    <w:rsid w:val="00C604E1"/>
    <w:rsid w:val="00C60545"/>
    <w:rsid w:val="00C60703"/>
    <w:rsid w:val="00C60777"/>
    <w:rsid w:val="00C60816"/>
    <w:rsid w:val="00C608BC"/>
    <w:rsid w:val="00C60A0A"/>
    <w:rsid w:val="00C60BAD"/>
    <w:rsid w:val="00C60BC8"/>
    <w:rsid w:val="00C60D1E"/>
    <w:rsid w:val="00C60D38"/>
    <w:rsid w:val="00C60EB3"/>
    <w:rsid w:val="00C61041"/>
    <w:rsid w:val="00C613DF"/>
    <w:rsid w:val="00C6149F"/>
    <w:rsid w:val="00C6162F"/>
    <w:rsid w:val="00C61686"/>
    <w:rsid w:val="00C6171A"/>
    <w:rsid w:val="00C617C5"/>
    <w:rsid w:val="00C61806"/>
    <w:rsid w:val="00C61848"/>
    <w:rsid w:val="00C6193B"/>
    <w:rsid w:val="00C61A26"/>
    <w:rsid w:val="00C61B69"/>
    <w:rsid w:val="00C61D92"/>
    <w:rsid w:val="00C61DFF"/>
    <w:rsid w:val="00C61E3D"/>
    <w:rsid w:val="00C61EA0"/>
    <w:rsid w:val="00C61ED3"/>
    <w:rsid w:val="00C61F56"/>
    <w:rsid w:val="00C61FF4"/>
    <w:rsid w:val="00C62079"/>
    <w:rsid w:val="00C62089"/>
    <w:rsid w:val="00C620C5"/>
    <w:rsid w:val="00C621B8"/>
    <w:rsid w:val="00C621D0"/>
    <w:rsid w:val="00C6223B"/>
    <w:rsid w:val="00C622AA"/>
    <w:rsid w:val="00C622BB"/>
    <w:rsid w:val="00C622D7"/>
    <w:rsid w:val="00C62492"/>
    <w:rsid w:val="00C62518"/>
    <w:rsid w:val="00C628F2"/>
    <w:rsid w:val="00C62A00"/>
    <w:rsid w:val="00C62A5E"/>
    <w:rsid w:val="00C62C0C"/>
    <w:rsid w:val="00C62C50"/>
    <w:rsid w:val="00C62D49"/>
    <w:rsid w:val="00C62E95"/>
    <w:rsid w:val="00C62EB5"/>
    <w:rsid w:val="00C62F5E"/>
    <w:rsid w:val="00C63114"/>
    <w:rsid w:val="00C63222"/>
    <w:rsid w:val="00C63352"/>
    <w:rsid w:val="00C63378"/>
    <w:rsid w:val="00C6341D"/>
    <w:rsid w:val="00C63592"/>
    <w:rsid w:val="00C63640"/>
    <w:rsid w:val="00C637D1"/>
    <w:rsid w:val="00C637F4"/>
    <w:rsid w:val="00C638C7"/>
    <w:rsid w:val="00C63943"/>
    <w:rsid w:val="00C6397B"/>
    <w:rsid w:val="00C6399C"/>
    <w:rsid w:val="00C639AA"/>
    <w:rsid w:val="00C63A36"/>
    <w:rsid w:val="00C63A8B"/>
    <w:rsid w:val="00C63CE7"/>
    <w:rsid w:val="00C63D0C"/>
    <w:rsid w:val="00C63D4B"/>
    <w:rsid w:val="00C63D60"/>
    <w:rsid w:val="00C63D76"/>
    <w:rsid w:val="00C63D97"/>
    <w:rsid w:val="00C63D9E"/>
    <w:rsid w:val="00C63E15"/>
    <w:rsid w:val="00C63E64"/>
    <w:rsid w:val="00C63EA7"/>
    <w:rsid w:val="00C63ED5"/>
    <w:rsid w:val="00C63EDF"/>
    <w:rsid w:val="00C63EFF"/>
    <w:rsid w:val="00C63F46"/>
    <w:rsid w:val="00C64015"/>
    <w:rsid w:val="00C64146"/>
    <w:rsid w:val="00C64194"/>
    <w:rsid w:val="00C641C0"/>
    <w:rsid w:val="00C641D0"/>
    <w:rsid w:val="00C64288"/>
    <w:rsid w:val="00C642BE"/>
    <w:rsid w:val="00C64354"/>
    <w:rsid w:val="00C643DB"/>
    <w:rsid w:val="00C6440B"/>
    <w:rsid w:val="00C6442D"/>
    <w:rsid w:val="00C644BE"/>
    <w:rsid w:val="00C6457F"/>
    <w:rsid w:val="00C645DC"/>
    <w:rsid w:val="00C64667"/>
    <w:rsid w:val="00C646B2"/>
    <w:rsid w:val="00C646B6"/>
    <w:rsid w:val="00C6490A"/>
    <w:rsid w:val="00C64946"/>
    <w:rsid w:val="00C6498E"/>
    <w:rsid w:val="00C649C7"/>
    <w:rsid w:val="00C64A37"/>
    <w:rsid w:val="00C64C44"/>
    <w:rsid w:val="00C64E24"/>
    <w:rsid w:val="00C64F0D"/>
    <w:rsid w:val="00C65091"/>
    <w:rsid w:val="00C6514B"/>
    <w:rsid w:val="00C651A3"/>
    <w:rsid w:val="00C6525D"/>
    <w:rsid w:val="00C65278"/>
    <w:rsid w:val="00C652A7"/>
    <w:rsid w:val="00C653A6"/>
    <w:rsid w:val="00C65413"/>
    <w:rsid w:val="00C6541D"/>
    <w:rsid w:val="00C6547C"/>
    <w:rsid w:val="00C654CA"/>
    <w:rsid w:val="00C655B3"/>
    <w:rsid w:val="00C6562A"/>
    <w:rsid w:val="00C656D4"/>
    <w:rsid w:val="00C65787"/>
    <w:rsid w:val="00C657BB"/>
    <w:rsid w:val="00C657C3"/>
    <w:rsid w:val="00C657FC"/>
    <w:rsid w:val="00C65821"/>
    <w:rsid w:val="00C659D1"/>
    <w:rsid w:val="00C659F9"/>
    <w:rsid w:val="00C65A54"/>
    <w:rsid w:val="00C65A8B"/>
    <w:rsid w:val="00C65CDD"/>
    <w:rsid w:val="00C65DEC"/>
    <w:rsid w:val="00C660BA"/>
    <w:rsid w:val="00C660BC"/>
    <w:rsid w:val="00C660D6"/>
    <w:rsid w:val="00C6612A"/>
    <w:rsid w:val="00C661FB"/>
    <w:rsid w:val="00C66253"/>
    <w:rsid w:val="00C66479"/>
    <w:rsid w:val="00C664B9"/>
    <w:rsid w:val="00C665BB"/>
    <w:rsid w:val="00C66685"/>
    <w:rsid w:val="00C66774"/>
    <w:rsid w:val="00C66786"/>
    <w:rsid w:val="00C668C7"/>
    <w:rsid w:val="00C669D0"/>
    <w:rsid w:val="00C66B89"/>
    <w:rsid w:val="00C66BD6"/>
    <w:rsid w:val="00C66C0C"/>
    <w:rsid w:val="00C66CF9"/>
    <w:rsid w:val="00C66ECF"/>
    <w:rsid w:val="00C66F68"/>
    <w:rsid w:val="00C66F80"/>
    <w:rsid w:val="00C6700B"/>
    <w:rsid w:val="00C6702A"/>
    <w:rsid w:val="00C67037"/>
    <w:rsid w:val="00C67097"/>
    <w:rsid w:val="00C670F4"/>
    <w:rsid w:val="00C67239"/>
    <w:rsid w:val="00C673CB"/>
    <w:rsid w:val="00C6743D"/>
    <w:rsid w:val="00C67635"/>
    <w:rsid w:val="00C6786E"/>
    <w:rsid w:val="00C678CF"/>
    <w:rsid w:val="00C678D0"/>
    <w:rsid w:val="00C67902"/>
    <w:rsid w:val="00C679A3"/>
    <w:rsid w:val="00C679B9"/>
    <w:rsid w:val="00C67A97"/>
    <w:rsid w:val="00C67AB6"/>
    <w:rsid w:val="00C67B19"/>
    <w:rsid w:val="00C67D92"/>
    <w:rsid w:val="00C67D95"/>
    <w:rsid w:val="00C67DE0"/>
    <w:rsid w:val="00C67E3A"/>
    <w:rsid w:val="00C67E86"/>
    <w:rsid w:val="00C67E87"/>
    <w:rsid w:val="00C67E9D"/>
    <w:rsid w:val="00C67ED1"/>
    <w:rsid w:val="00C67FE0"/>
    <w:rsid w:val="00C70028"/>
    <w:rsid w:val="00C7013A"/>
    <w:rsid w:val="00C701D3"/>
    <w:rsid w:val="00C70310"/>
    <w:rsid w:val="00C7043B"/>
    <w:rsid w:val="00C7046F"/>
    <w:rsid w:val="00C70478"/>
    <w:rsid w:val="00C704E5"/>
    <w:rsid w:val="00C70673"/>
    <w:rsid w:val="00C7073F"/>
    <w:rsid w:val="00C70740"/>
    <w:rsid w:val="00C7079B"/>
    <w:rsid w:val="00C707FA"/>
    <w:rsid w:val="00C70816"/>
    <w:rsid w:val="00C7084E"/>
    <w:rsid w:val="00C7093A"/>
    <w:rsid w:val="00C709C7"/>
    <w:rsid w:val="00C70A04"/>
    <w:rsid w:val="00C70A5A"/>
    <w:rsid w:val="00C70B4C"/>
    <w:rsid w:val="00C70B7D"/>
    <w:rsid w:val="00C70BEB"/>
    <w:rsid w:val="00C70EE7"/>
    <w:rsid w:val="00C70F60"/>
    <w:rsid w:val="00C70FDF"/>
    <w:rsid w:val="00C7102B"/>
    <w:rsid w:val="00C711E9"/>
    <w:rsid w:val="00C712AE"/>
    <w:rsid w:val="00C7151F"/>
    <w:rsid w:val="00C71532"/>
    <w:rsid w:val="00C715CD"/>
    <w:rsid w:val="00C71645"/>
    <w:rsid w:val="00C71745"/>
    <w:rsid w:val="00C71748"/>
    <w:rsid w:val="00C71814"/>
    <w:rsid w:val="00C71841"/>
    <w:rsid w:val="00C71999"/>
    <w:rsid w:val="00C71A2D"/>
    <w:rsid w:val="00C71C31"/>
    <w:rsid w:val="00C71D77"/>
    <w:rsid w:val="00C71E97"/>
    <w:rsid w:val="00C7207C"/>
    <w:rsid w:val="00C72093"/>
    <w:rsid w:val="00C720DF"/>
    <w:rsid w:val="00C72217"/>
    <w:rsid w:val="00C7227B"/>
    <w:rsid w:val="00C722C4"/>
    <w:rsid w:val="00C72373"/>
    <w:rsid w:val="00C72405"/>
    <w:rsid w:val="00C724CF"/>
    <w:rsid w:val="00C725D4"/>
    <w:rsid w:val="00C725E8"/>
    <w:rsid w:val="00C72697"/>
    <w:rsid w:val="00C727DD"/>
    <w:rsid w:val="00C727FF"/>
    <w:rsid w:val="00C72844"/>
    <w:rsid w:val="00C72A19"/>
    <w:rsid w:val="00C72CB2"/>
    <w:rsid w:val="00C72ECF"/>
    <w:rsid w:val="00C72EF6"/>
    <w:rsid w:val="00C72FCE"/>
    <w:rsid w:val="00C73022"/>
    <w:rsid w:val="00C73085"/>
    <w:rsid w:val="00C73178"/>
    <w:rsid w:val="00C731C7"/>
    <w:rsid w:val="00C7326C"/>
    <w:rsid w:val="00C73369"/>
    <w:rsid w:val="00C733D7"/>
    <w:rsid w:val="00C7351F"/>
    <w:rsid w:val="00C736C4"/>
    <w:rsid w:val="00C737AF"/>
    <w:rsid w:val="00C73C2D"/>
    <w:rsid w:val="00C73D00"/>
    <w:rsid w:val="00C73E67"/>
    <w:rsid w:val="00C73EF6"/>
    <w:rsid w:val="00C73F32"/>
    <w:rsid w:val="00C73FB2"/>
    <w:rsid w:val="00C74024"/>
    <w:rsid w:val="00C74183"/>
    <w:rsid w:val="00C741B6"/>
    <w:rsid w:val="00C74229"/>
    <w:rsid w:val="00C7422E"/>
    <w:rsid w:val="00C74256"/>
    <w:rsid w:val="00C742BF"/>
    <w:rsid w:val="00C742FA"/>
    <w:rsid w:val="00C7433C"/>
    <w:rsid w:val="00C743B6"/>
    <w:rsid w:val="00C7441E"/>
    <w:rsid w:val="00C746C5"/>
    <w:rsid w:val="00C746D5"/>
    <w:rsid w:val="00C748DD"/>
    <w:rsid w:val="00C7493C"/>
    <w:rsid w:val="00C749B1"/>
    <w:rsid w:val="00C74A0F"/>
    <w:rsid w:val="00C74A9F"/>
    <w:rsid w:val="00C74B7A"/>
    <w:rsid w:val="00C74B81"/>
    <w:rsid w:val="00C74BFC"/>
    <w:rsid w:val="00C74CE4"/>
    <w:rsid w:val="00C74D49"/>
    <w:rsid w:val="00C74D89"/>
    <w:rsid w:val="00C74FED"/>
    <w:rsid w:val="00C750CD"/>
    <w:rsid w:val="00C75107"/>
    <w:rsid w:val="00C75211"/>
    <w:rsid w:val="00C753A9"/>
    <w:rsid w:val="00C7550D"/>
    <w:rsid w:val="00C755C4"/>
    <w:rsid w:val="00C7564C"/>
    <w:rsid w:val="00C7571E"/>
    <w:rsid w:val="00C758D0"/>
    <w:rsid w:val="00C75960"/>
    <w:rsid w:val="00C75ACA"/>
    <w:rsid w:val="00C75B26"/>
    <w:rsid w:val="00C75B5D"/>
    <w:rsid w:val="00C75D3D"/>
    <w:rsid w:val="00C75E90"/>
    <w:rsid w:val="00C75F5A"/>
    <w:rsid w:val="00C75F90"/>
    <w:rsid w:val="00C75F92"/>
    <w:rsid w:val="00C76031"/>
    <w:rsid w:val="00C76081"/>
    <w:rsid w:val="00C760A9"/>
    <w:rsid w:val="00C760CB"/>
    <w:rsid w:val="00C76139"/>
    <w:rsid w:val="00C7613C"/>
    <w:rsid w:val="00C76162"/>
    <w:rsid w:val="00C76187"/>
    <w:rsid w:val="00C762A2"/>
    <w:rsid w:val="00C762CF"/>
    <w:rsid w:val="00C76352"/>
    <w:rsid w:val="00C764A6"/>
    <w:rsid w:val="00C76532"/>
    <w:rsid w:val="00C76580"/>
    <w:rsid w:val="00C765EE"/>
    <w:rsid w:val="00C76646"/>
    <w:rsid w:val="00C7678A"/>
    <w:rsid w:val="00C768C3"/>
    <w:rsid w:val="00C76B03"/>
    <w:rsid w:val="00C76B43"/>
    <w:rsid w:val="00C76CD8"/>
    <w:rsid w:val="00C76D0B"/>
    <w:rsid w:val="00C76DB9"/>
    <w:rsid w:val="00C76F06"/>
    <w:rsid w:val="00C77150"/>
    <w:rsid w:val="00C77188"/>
    <w:rsid w:val="00C771B3"/>
    <w:rsid w:val="00C7738C"/>
    <w:rsid w:val="00C77396"/>
    <w:rsid w:val="00C773A7"/>
    <w:rsid w:val="00C7742C"/>
    <w:rsid w:val="00C7759E"/>
    <w:rsid w:val="00C77721"/>
    <w:rsid w:val="00C777AB"/>
    <w:rsid w:val="00C778B0"/>
    <w:rsid w:val="00C779E9"/>
    <w:rsid w:val="00C77C9F"/>
    <w:rsid w:val="00C77CEC"/>
    <w:rsid w:val="00C77D46"/>
    <w:rsid w:val="00C77E1F"/>
    <w:rsid w:val="00C77F33"/>
    <w:rsid w:val="00C800A9"/>
    <w:rsid w:val="00C800C8"/>
    <w:rsid w:val="00C8023F"/>
    <w:rsid w:val="00C8028A"/>
    <w:rsid w:val="00C80362"/>
    <w:rsid w:val="00C80430"/>
    <w:rsid w:val="00C80565"/>
    <w:rsid w:val="00C8057E"/>
    <w:rsid w:val="00C8063A"/>
    <w:rsid w:val="00C806AA"/>
    <w:rsid w:val="00C807ED"/>
    <w:rsid w:val="00C807F3"/>
    <w:rsid w:val="00C80844"/>
    <w:rsid w:val="00C80897"/>
    <w:rsid w:val="00C808ED"/>
    <w:rsid w:val="00C809B3"/>
    <w:rsid w:val="00C809DA"/>
    <w:rsid w:val="00C80A7D"/>
    <w:rsid w:val="00C80AFF"/>
    <w:rsid w:val="00C80BB2"/>
    <w:rsid w:val="00C80BC9"/>
    <w:rsid w:val="00C80C05"/>
    <w:rsid w:val="00C80C22"/>
    <w:rsid w:val="00C80C62"/>
    <w:rsid w:val="00C80D1B"/>
    <w:rsid w:val="00C80D3B"/>
    <w:rsid w:val="00C80DF7"/>
    <w:rsid w:val="00C80EF6"/>
    <w:rsid w:val="00C80F74"/>
    <w:rsid w:val="00C80F8F"/>
    <w:rsid w:val="00C80FA8"/>
    <w:rsid w:val="00C81007"/>
    <w:rsid w:val="00C8109E"/>
    <w:rsid w:val="00C810CC"/>
    <w:rsid w:val="00C8112A"/>
    <w:rsid w:val="00C81143"/>
    <w:rsid w:val="00C811A3"/>
    <w:rsid w:val="00C811AB"/>
    <w:rsid w:val="00C811B5"/>
    <w:rsid w:val="00C811EE"/>
    <w:rsid w:val="00C813A6"/>
    <w:rsid w:val="00C81422"/>
    <w:rsid w:val="00C8145A"/>
    <w:rsid w:val="00C81472"/>
    <w:rsid w:val="00C816B1"/>
    <w:rsid w:val="00C816EB"/>
    <w:rsid w:val="00C8174D"/>
    <w:rsid w:val="00C81870"/>
    <w:rsid w:val="00C8191A"/>
    <w:rsid w:val="00C81923"/>
    <w:rsid w:val="00C819C7"/>
    <w:rsid w:val="00C81B81"/>
    <w:rsid w:val="00C81BF9"/>
    <w:rsid w:val="00C81C08"/>
    <w:rsid w:val="00C81D12"/>
    <w:rsid w:val="00C81D87"/>
    <w:rsid w:val="00C81E82"/>
    <w:rsid w:val="00C81ED5"/>
    <w:rsid w:val="00C81EEE"/>
    <w:rsid w:val="00C81F27"/>
    <w:rsid w:val="00C81F33"/>
    <w:rsid w:val="00C81FF5"/>
    <w:rsid w:val="00C82007"/>
    <w:rsid w:val="00C8217F"/>
    <w:rsid w:val="00C822AE"/>
    <w:rsid w:val="00C8240C"/>
    <w:rsid w:val="00C82542"/>
    <w:rsid w:val="00C82551"/>
    <w:rsid w:val="00C825E4"/>
    <w:rsid w:val="00C8290C"/>
    <w:rsid w:val="00C82930"/>
    <w:rsid w:val="00C82B69"/>
    <w:rsid w:val="00C82BAD"/>
    <w:rsid w:val="00C82C1B"/>
    <w:rsid w:val="00C82C24"/>
    <w:rsid w:val="00C82C36"/>
    <w:rsid w:val="00C82C4D"/>
    <w:rsid w:val="00C82D0D"/>
    <w:rsid w:val="00C82D2C"/>
    <w:rsid w:val="00C82D59"/>
    <w:rsid w:val="00C82DA5"/>
    <w:rsid w:val="00C82DE2"/>
    <w:rsid w:val="00C82EC2"/>
    <w:rsid w:val="00C82FFA"/>
    <w:rsid w:val="00C831BB"/>
    <w:rsid w:val="00C831C4"/>
    <w:rsid w:val="00C83466"/>
    <w:rsid w:val="00C836F5"/>
    <w:rsid w:val="00C8390E"/>
    <w:rsid w:val="00C8393E"/>
    <w:rsid w:val="00C83B6F"/>
    <w:rsid w:val="00C83C2D"/>
    <w:rsid w:val="00C83CE7"/>
    <w:rsid w:val="00C83D8D"/>
    <w:rsid w:val="00C83E29"/>
    <w:rsid w:val="00C83E9E"/>
    <w:rsid w:val="00C83EB9"/>
    <w:rsid w:val="00C83EC8"/>
    <w:rsid w:val="00C83EDD"/>
    <w:rsid w:val="00C83EF1"/>
    <w:rsid w:val="00C83F82"/>
    <w:rsid w:val="00C83FA6"/>
    <w:rsid w:val="00C840D8"/>
    <w:rsid w:val="00C8410E"/>
    <w:rsid w:val="00C8416F"/>
    <w:rsid w:val="00C842BB"/>
    <w:rsid w:val="00C84355"/>
    <w:rsid w:val="00C843F3"/>
    <w:rsid w:val="00C843FE"/>
    <w:rsid w:val="00C84586"/>
    <w:rsid w:val="00C8464F"/>
    <w:rsid w:val="00C84677"/>
    <w:rsid w:val="00C84709"/>
    <w:rsid w:val="00C84746"/>
    <w:rsid w:val="00C8485F"/>
    <w:rsid w:val="00C848AF"/>
    <w:rsid w:val="00C84930"/>
    <w:rsid w:val="00C849CD"/>
    <w:rsid w:val="00C84A86"/>
    <w:rsid w:val="00C84B08"/>
    <w:rsid w:val="00C84B65"/>
    <w:rsid w:val="00C84BAB"/>
    <w:rsid w:val="00C84BDA"/>
    <w:rsid w:val="00C84BDE"/>
    <w:rsid w:val="00C84E7F"/>
    <w:rsid w:val="00C8503E"/>
    <w:rsid w:val="00C85195"/>
    <w:rsid w:val="00C85318"/>
    <w:rsid w:val="00C8535B"/>
    <w:rsid w:val="00C853DB"/>
    <w:rsid w:val="00C85499"/>
    <w:rsid w:val="00C854FC"/>
    <w:rsid w:val="00C855D4"/>
    <w:rsid w:val="00C8572F"/>
    <w:rsid w:val="00C8576D"/>
    <w:rsid w:val="00C8579B"/>
    <w:rsid w:val="00C85803"/>
    <w:rsid w:val="00C85819"/>
    <w:rsid w:val="00C85825"/>
    <w:rsid w:val="00C8586D"/>
    <w:rsid w:val="00C858A9"/>
    <w:rsid w:val="00C858AE"/>
    <w:rsid w:val="00C859F6"/>
    <w:rsid w:val="00C85A17"/>
    <w:rsid w:val="00C85A2F"/>
    <w:rsid w:val="00C85AE4"/>
    <w:rsid w:val="00C85B9B"/>
    <w:rsid w:val="00C85BF0"/>
    <w:rsid w:val="00C85C23"/>
    <w:rsid w:val="00C85C7A"/>
    <w:rsid w:val="00C85C7E"/>
    <w:rsid w:val="00C85DB9"/>
    <w:rsid w:val="00C85E9D"/>
    <w:rsid w:val="00C85F6F"/>
    <w:rsid w:val="00C85F85"/>
    <w:rsid w:val="00C860BA"/>
    <w:rsid w:val="00C86168"/>
    <w:rsid w:val="00C861AC"/>
    <w:rsid w:val="00C86489"/>
    <w:rsid w:val="00C865A8"/>
    <w:rsid w:val="00C868EE"/>
    <w:rsid w:val="00C86927"/>
    <w:rsid w:val="00C86A93"/>
    <w:rsid w:val="00C86A9A"/>
    <w:rsid w:val="00C86B02"/>
    <w:rsid w:val="00C86B86"/>
    <w:rsid w:val="00C86C80"/>
    <w:rsid w:val="00C86C8B"/>
    <w:rsid w:val="00C86D19"/>
    <w:rsid w:val="00C86F13"/>
    <w:rsid w:val="00C86F41"/>
    <w:rsid w:val="00C8706B"/>
    <w:rsid w:val="00C8706D"/>
    <w:rsid w:val="00C871EA"/>
    <w:rsid w:val="00C8724A"/>
    <w:rsid w:val="00C872E7"/>
    <w:rsid w:val="00C8732D"/>
    <w:rsid w:val="00C874CD"/>
    <w:rsid w:val="00C8763F"/>
    <w:rsid w:val="00C87653"/>
    <w:rsid w:val="00C87728"/>
    <w:rsid w:val="00C877BD"/>
    <w:rsid w:val="00C877CC"/>
    <w:rsid w:val="00C878FE"/>
    <w:rsid w:val="00C879B9"/>
    <w:rsid w:val="00C87B05"/>
    <w:rsid w:val="00C87BA3"/>
    <w:rsid w:val="00C87BC9"/>
    <w:rsid w:val="00C87F85"/>
    <w:rsid w:val="00C90004"/>
    <w:rsid w:val="00C90041"/>
    <w:rsid w:val="00C90196"/>
    <w:rsid w:val="00C90197"/>
    <w:rsid w:val="00C902BF"/>
    <w:rsid w:val="00C902E6"/>
    <w:rsid w:val="00C902E7"/>
    <w:rsid w:val="00C903C0"/>
    <w:rsid w:val="00C90420"/>
    <w:rsid w:val="00C90495"/>
    <w:rsid w:val="00C90912"/>
    <w:rsid w:val="00C90924"/>
    <w:rsid w:val="00C909F1"/>
    <w:rsid w:val="00C90A80"/>
    <w:rsid w:val="00C90AE8"/>
    <w:rsid w:val="00C90B66"/>
    <w:rsid w:val="00C90D93"/>
    <w:rsid w:val="00C90E7B"/>
    <w:rsid w:val="00C90EA7"/>
    <w:rsid w:val="00C90FB3"/>
    <w:rsid w:val="00C910EA"/>
    <w:rsid w:val="00C91242"/>
    <w:rsid w:val="00C9128F"/>
    <w:rsid w:val="00C912F3"/>
    <w:rsid w:val="00C913E8"/>
    <w:rsid w:val="00C91452"/>
    <w:rsid w:val="00C91732"/>
    <w:rsid w:val="00C91756"/>
    <w:rsid w:val="00C918E8"/>
    <w:rsid w:val="00C91981"/>
    <w:rsid w:val="00C91A31"/>
    <w:rsid w:val="00C91A59"/>
    <w:rsid w:val="00C91ADD"/>
    <w:rsid w:val="00C91E88"/>
    <w:rsid w:val="00C91EE0"/>
    <w:rsid w:val="00C9210C"/>
    <w:rsid w:val="00C92159"/>
    <w:rsid w:val="00C924E7"/>
    <w:rsid w:val="00C92578"/>
    <w:rsid w:val="00C926E1"/>
    <w:rsid w:val="00C9270D"/>
    <w:rsid w:val="00C9271F"/>
    <w:rsid w:val="00C92732"/>
    <w:rsid w:val="00C92738"/>
    <w:rsid w:val="00C92787"/>
    <w:rsid w:val="00C928C7"/>
    <w:rsid w:val="00C928D8"/>
    <w:rsid w:val="00C92908"/>
    <w:rsid w:val="00C9292B"/>
    <w:rsid w:val="00C9299C"/>
    <w:rsid w:val="00C929CC"/>
    <w:rsid w:val="00C92A69"/>
    <w:rsid w:val="00C92A7B"/>
    <w:rsid w:val="00C92A97"/>
    <w:rsid w:val="00C92AAC"/>
    <w:rsid w:val="00C92AE1"/>
    <w:rsid w:val="00C92B0B"/>
    <w:rsid w:val="00C92CC0"/>
    <w:rsid w:val="00C92CE3"/>
    <w:rsid w:val="00C92CF6"/>
    <w:rsid w:val="00C92E21"/>
    <w:rsid w:val="00C92EE8"/>
    <w:rsid w:val="00C93304"/>
    <w:rsid w:val="00C93340"/>
    <w:rsid w:val="00C93342"/>
    <w:rsid w:val="00C933A8"/>
    <w:rsid w:val="00C933C0"/>
    <w:rsid w:val="00C93438"/>
    <w:rsid w:val="00C934A2"/>
    <w:rsid w:val="00C9350A"/>
    <w:rsid w:val="00C9375B"/>
    <w:rsid w:val="00C937CC"/>
    <w:rsid w:val="00C93828"/>
    <w:rsid w:val="00C9382F"/>
    <w:rsid w:val="00C938FA"/>
    <w:rsid w:val="00C939A4"/>
    <w:rsid w:val="00C93BE2"/>
    <w:rsid w:val="00C93CAB"/>
    <w:rsid w:val="00C93D05"/>
    <w:rsid w:val="00C93D7F"/>
    <w:rsid w:val="00C93DCA"/>
    <w:rsid w:val="00C93F15"/>
    <w:rsid w:val="00C9401C"/>
    <w:rsid w:val="00C94200"/>
    <w:rsid w:val="00C94212"/>
    <w:rsid w:val="00C942B3"/>
    <w:rsid w:val="00C9433D"/>
    <w:rsid w:val="00C94340"/>
    <w:rsid w:val="00C94378"/>
    <w:rsid w:val="00C943B4"/>
    <w:rsid w:val="00C943DE"/>
    <w:rsid w:val="00C943E6"/>
    <w:rsid w:val="00C94410"/>
    <w:rsid w:val="00C94438"/>
    <w:rsid w:val="00C9443D"/>
    <w:rsid w:val="00C94440"/>
    <w:rsid w:val="00C945BB"/>
    <w:rsid w:val="00C94771"/>
    <w:rsid w:val="00C94A47"/>
    <w:rsid w:val="00C94B2A"/>
    <w:rsid w:val="00C94B2B"/>
    <w:rsid w:val="00C94B79"/>
    <w:rsid w:val="00C94C0D"/>
    <w:rsid w:val="00C94C0E"/>
    <w:rsid w:val="00C94C7E"/>
    <w:rsid w:val="00C94C7F"/>
    <w:rsid w:val="00C94D25"/>
    <w:rsid w:val="00C94D5A"/>
    <w:rsid w:val="00C94DFB"/>
    <w:rsid w:val="00C94F2E"/>
    <w:rsid w:val="00C94F6C"/>
    <w:rsid w:val="00C95083"/>
    <w:rsid w:val="00C9510F"/>
    <w:rsid w:val="00C95177"/>
    <w:rsid w:val="00C951FD"/>
    <w:rsid w:val="00C95214"/>
    <w:rsid w:val="00C95229"/>
    <w:rsid w:val="00C952FA"/>
    <w:rsid w:val="00C95367"/>
    <w:rsid w:val="00C95585"/>
    <w:rsid w:val="00C955D6"/>
    <w:rsid w:val="00C95634"/>
    <w:rsid w:val="00C956FA"/>
    <w:rsid w:val="00C9577F"/>
    <w:rsid w:val="00C958B4"/>
    <w:rsid w:val="00C95A11"/>
    <w:rsid w:val="00C95A8D"/>
    <w:rsid w:val="00C95A9E"/>
    <w:rsid w:val="00C95B9B"/>
    <w:rsid w:val="00C95CF6"/>
    <w:rsid w:val="00C95CFF"/>
    <w:rsid w:val="00C95D84"/>
    <w:rsid w:val="00C95DF9"/>
    <w:rsid w:val="00C95F46"/>
    <w:rsid w:val="00C9606E"/>
    <w:rsid w:val="00C960B8"/>
    <w:rsid w:val="00C9617E"/>
    <w:rsid w:val="00C96211"/>
    <w:rsid w:val="00C962B3"/>
    <w:rsid w:val="00C964A8"/>
    <w:rsid w:val="00C964CE"/>
    <w:rsid w:val="00C965F1"/>
    <w:rsid w:val="00C9661A"/>
    <w:rsid w:val="00C96625"/>
    <w:rsid w:val="00C966C2"/>
    <w:rsid w:val="00C96715"/>
    <w:rsid w:val="00C968FC"/>
    <w:rsid w:val="00C96975"/>
    <w:rsid w:val="00C969F4"/>
    <w:rsid w:val="00C96C14"/>
    <w:rsid w:val="00C96EF7"/>
    <w:rsid w:val="00C96F66"/>
    <w:rsid w:val="00C96FAB"/>
    <w:rsid w:val="00C97069"/>
    <w:rsid w:val="00C97074"/>
    <w:rsid w:val="00C971D5"/>
    <w:rsid w:val="00C973FC"/>
    <w:rsid w:val="00C97429"/>
    <w:rsid w:val="00C974B6"/>
    <w:rsid w:val="00C974F7"/>
    <w:rsid w:val="00C97528"/>
    <w:rsid w:val="00C9761C"/>
    <w:rsid w:val="00C976B3"/>
    <w:rsid w:val="00C97718"/>
    <w:rsid w:val="00C977EF"/>
    <w:rsid w:val="00C978E4"/>
    <w:rsid w:val="00C979C0"/>
    <w:rsid w:val="00C97B12"/>
    <w:rsid w:val="00C97B48"/>
    <w:rsid w:val="00C97BD3"/>
    <w:rsid w:val="00C97CF3"/>
    <w:rsid w:val="00C97D1E"/>
    <w:rsid w:val="00C97E2B"/>
    <w:rsid w:val="00C97E61"/>
    <w:rsid w:val="00C97E6C"/>
    <w:rsid w:val="00C97FB2"/>
    <w:rsid w:val="00CA0082"/>
    <w:rsid w:val="00CA020D"/>
    <w:rsid w:val="00CA0340"/>
    <w:rsid w:val="00CA037C"/>
    <w:rsid w:val="00CA03A2"/>
    <w:rsid w:val="00CA047E"/>
    <w:rsid w:val="00CA049B"/>
    <w:rsid w:val="00CA0593"/>
    <w:rsid w:val="00CA066F"/>
    <w:rsid w:val="00CA0708"/>
    <w:rsid w:val="00CA0851"/>
    <w:rsid w:val="00CA08AE"/>
    <w:rsid w:val="00CA098D"/>
    <w:rsid w:val="00CA09C4"/>
    <w:rsid w:val="00CA0AA0"/>
    <w:rsid w:val="00CA0AB6"/>
    <w:rsid w:val="00CA0B33"/>
    <w:rsid w:val="00CA0B5E"/>
    <w:rsid w:val="00CA0B94"/>
    <w:rsid w:val="00CA0DEE"/>
    <w:rsid w:val="00CA0E55"/>
    <w:rsid w:val="00CA0E68"/>
    <w:rsid w:val="00CA0EB8"/>
    <w:rsid w:val="00CA0F5C"/>
    <w:rsid w:val="00CA0FE0"/>
    <w:rsid w:val="00CA0FFC"/>
    <w:rsid w:val="00CA111C"/>
    <w:rsid w:val="00CA11B0"/>
    <w:rsid w:val="00CA11E4"/>
    <w:rsid w:val="00CA1300"/>
    <w:rsid w:val="00CA13F9"/>
    <w:rsid w:val="00CA1479"/>
    <w:rsid w:val="00CA14A8"/>
    <w:rsid w:val="00CA162B"/>
    <w:rsid w:val="00CA165C"/>
    <w:rsid w:val="00CA171A"/>
    <w:rsid w:val="00CA176A"/>
    <w:rsid w:val="00CA176B"/>
    <w:rsid w:val="00CA179B"/>
    <w:rsid w:val="00CA1891"/>
    <w:rsid w:val="00CA18A7"/>
    <w:rsid w:val="00CA1927"/>
    <w:rsid w:val="00CA19A2"/>
    <w:rsid w:val="00CA1A74"/>
    <w:rsid w:val="00CA1A83"/>
    <w:rsid w:val="00CA1B08"/>
    <w:rsid w:val="00CA1D5A"/>
    <w:rsid w:val="00CA1F19"/>
    <w:rsid w:val="00CA1FF7"/>
    <w:rsid w:val="00CA2068"/>
    <w:rsid w:val="00CA2095"/>
    <w:rsid w:val="00CA2185"/>
    <w:rsid w:val="00CA21ED"/>
    <w:rsid w:val="00CA226B"/>
    <w:rsid w:val="00CA22D6"/>
    <w:rsid w:val="00CA22F5"/>
    <w:rsid w:val="00CA2316"/>
    <w:rsid w:val="00CA24DB"/>
    <w:rsid w:val="00CA2513"/>
    <w:rsid w:val="00CA27C4"/>
    <w:rsid w:val="00CA28DA"/>
    <w:rsid w:val="00CA28F7"/>
    <w:rsid w:val="00CA2986"/>
    <w:rsid w:val="00CA2ABD"/>
    <w:rsid w:val="00CA2B0F"/>
    <w:rsid w:val="00CA2C17"/>
    <w:rsid w:val="00CA2C59"/>
    <w:rsid w:val="00CA2CAD"/>
    <w:rsid w:val="00CA2D1C"/>
    <w:rsid w:val="00CA2D2D"/>
    <w:rsid w:val="00CA2D4C"/>
    <w:rsid w:val="00CA2EC2"/>
    <w:rsid w:val="00CA2EF3"/>
    <w:rsid w:val="00CA30A2"/>
    <w:rsid w:val="00CA30C4"/>
    <w:rsid w:val="00CA30CB"/>
    <w:rsid w:val="00CA30FC"/>
    <w:rsid w:val="00CA3242"/>
    <w:rsid w:val="00CA356F"/>
    <w:rsid w:val="00CA35C3"/>
    <w:rsid w:val="00CA3680"/>
    <w:rsid w:val="00CA36A9"/>
    <w:rsid w:val="00CA36CE"/>
    <w:rsid w:val="00CA3820"/>
    <w:rsid w:val="00CA3C22"/>
    <w:rsid w:val="00CA3C52"/>
    <w:rsid w:val="00CA3DB2"/>
    <w:rsid w:val="00CA3DB8"/>
    <w:rsid w:val="00CA3E86"/>
    <w:rsid w:val="00CA3FB7"/>
    <w:rsid w:val="00CA3FC1"/>
    <w:rsid w:val="00CA40B2"/>
    <w:rsid w:val="00CA4173"/>
    <w:rsid w:val="00CA41E2"/>
    <w:rsid w:val="00CA41EC"/>
    <w:rsid w:val="00CA4201"/>
    <w:rsid w:val="00CA42E6"/>
    <w:rsid w:val="00CA451E"/>
    <w:rsid w:val="00CA45E5"/>
    <w:rsid w:val="00CA45F4"/>
    <w:rsid w:val="00CA4892"/>
    <w:rsid w:val="00CA4901"/>
    <w:rsid w:val="00CA49B0"/>
    <w:rsid w:val="00CA49BC"/>
    <w:rsid w:val="00CA4A74"/>
    <w:rsid w:val="00CA4AD3"/>
    <w:rsid w:val="00CA4B3F"/>
    <w:rsid w:val="00CA4BB6"/>
    <w:rsid w:val="00CA4C77"/>
    <w:rsid w:val="00CA4C8B"/>
    <w:rsid w:val="00CA4E88"/>
    <w:rsid w:val="00CA4FC7"/>
    <w:rsid w:val="00CA518A"/>
    <w:rsid w:val="00CA51DF"/>
    <w:rsid w:val="00CA520F"/>
    <w:rsid w:val="00CA521A"/>
    <w:rsid w:val="00CA527D"/>
    <w:rsid w:val="00CA53B7"/>
    <w:rsid w:val="00CA5444"/>
    <w:rsid w:val="00CA5595"/>
    <w:rsid w:val="00CA5610"/>
    <w:rsid w:val="00CA573B"/>
    <w:rsid w:val="00CA57D5"/>
    <w:rsid w:val="00CA5883"/>
    <w:rsid w:val="00CA588F"/>
    <w:rsid w:val="00CA58CA"/>
    <w:rsid w:val="00CA591F"/>
    <w:rsid w:val="00CA5968"/>
    <w:rsid w:val="00CA5A45"/>
    <w:rsid w:val="00CA5ACB"/>
    <w:rsid w:val="00CA5B4E"/>
    <w:rsid w:val="00CA5BB5"/>
    <w:rsid w:val="00CA5CAF"/>
    <w:rsid w:val="00CA5CD6"/>
    <w:rsid w:val="00CA5CED"/>
    <w:rsid w:val="00CA5D0A"/>
    <w:rsid w:val="00CA5DD7"/>
    <w:rsid w:val="00CA5E91"/>
    <w:rsid w:val="00CA601E"/>
    <w:rsid w:val="00CA61DF"/>
    <w:rsid w:val="00CA61F1"/>
    <w:rsid w:val="00CA6250"/>
    <w:rsid w:val="00CA62CE"/>
    <w:rsid w:val="00CA63E7"/>
    <w:rsid w:val="00CA6619"/>
    <w:rsid w:val="00CA669B"/>
    <w:rsid w:val="00CA67A3"/>
    <w:rsid w:val="00CA6A3B"/>
    <w:rsid w:val="00CA6A8E"/>
    <w:rsid w:val="00CA6A96"/>
    <w:rsid w:val="00CA6D76"/>
    <w:rsid w:val="00CA6E45"/>
    <w:rsid w:val="00CA6E4B"/>
    <w:rsid w:val="00CA6E57"/>
    <w:rsid w:val="00CA705D"/>
    <w:rsid w:val="00CA71D5"/>
    <w:rsid w:val="00CA73D4"/>
    <w:rsid w:val="00CA73FA"/>
    <w:rsid w:val="00CA74D7"/>
    <w:rsid w:val="00CA752A"/>
    <w:rsid w:val="00CA757E"/>
    <w:rsid w:val="00CA75F5"/>
    <w:rsid w:val="00CA7661"/>
    <w:rsid w:val="00CA7664"/>
    <w:rsid w:val="00CA76A9"/>
    <w:rsid w:val="00CA771D"/>
    <w:rsid w:val="00CA7811"/>
    <w:rsid w:val="00CA794E"/>
    <w:rsid w:val="00CA796C"/>
    <w:rsid w:val="00CA79DA"/>
    <w:rsid w:val="00CA7A09"/>
    <w:rsid w:val="00CA7AD5"/>
    <w:rsid w:val="00CA7B06"/>
    <w:rsid w:val="00CA7B4F"/>
    <w:rsid w:val="00CA7CCC"/>
    <w:rsid w:val="00CA7CE9"/>
    <w:rsid w:val="00CA7D31"/>
    <w:rsid w:val="00CA7D3D"/>
    <w:rsid w:val="00CA7F13"/>
    <w:rsid w:val="00CA7FD2"/>
    <w:rsid w:val="00CB004E"/>
    <w:rsid w:val="00CB00DA"/>
    <w:rsid w:val="00CB0175"/>
    <w:rsid w:val="00CB0272"/>
    <w:rsid w:val="00CB027A"/>
    <w:rsid w:val="00CB0344"/>
    <w:rsid w:val="00CB0806"/>
    <w:rsid w:val="00CB0876"/>
    <w:rsid w:val="00CB0961"/>
    <w:rsid w:val="00CB0A4F"/>
    <w:rsid w:val="00CB0AD6"/>
    <w:rsid w:val="00CB0B27"/>
    <w:rsid w:val="00CB0B96"/>
    <w:rsid w:val="00CB0C4F"/>
    <w:rsid w:val="00CB0CD3"/>
    <w:rsid w:val="00CB0D17"/>
    <w:rsid w:val="00CB0D5D"/>
    <w:rsid w:val="00CB0EF2"/>
    <w:rsid w:val="00CB0FFC"/>
    <w:rsid w:val="00CB1152"/>
    <w:rsid w:val="00CB11E2"/>
    <w:rsid w:val="00CB11F0"/>
    <w:rsid w:val="00CB1240"/>
    <w:rsid w:val="00CB1241"/>
    <w:rsid w:val="00CB132A"/>
    <w:rsid w:val="00CB1361"/>
    <w:rsid w:val="00CB136E"/>
    <w:rsid w:val="00CB1373"/>
    <w:rsid w:val="00CB1374"/>
    <w:rsid w:val="00CB139E"/>
    <w:rsid w:val="00CB141D"/>
    <w:rsid w:val="00CB1440"/>
    <w:rsid w:val="00CB148E"/>
    <w:rsid w:val="00CB14C9"/>
    <w:rsid w:val="00CB1595"/>
    <w:rsid w:val="00CB15B3"/>
    <w:rsid w:val="00CB15FF"/>
    <w:rsid w:val="00CB1684"/>
    <w:rsid w:val="00CB16E5"/>
    <w:rsid w:val="00CB1791"/>
    <w:rsid w:val="00CB1798"/>
    <w:rsid w:val="00CB17D1"/>
    <w:rsid w:val="00CB18F3"/>
    <w:rsid w:val="00CB1948"/>
    <w:rsid w:val="00CB19EA"/>
    <w:rsid w:val="00CB1A31"/>
    <w:rsid w:val="00CB1C57"/>
    <w:rsid w:val="00CB1CEA"/>
    <w:rsid w:val="00CB1D4D"/>
    <w:rsid w:val="00CB1D5B"/>
    <w:rsid w:val="00CB1DBE"/>
    <w:rsid w:val="00CB1DE4"/>
    <w:rsid w:val="00CB1E51"/>
    <w:rsid w:val="00CB1F01"/>
    <w:rsid w:val="00CB1F95"/>
    <w:rsid w:val="00CB220C"/>
    <w:rsid w:val="00CB2238"/>
    <w:rsid w:val="00CB2355"/>
    <w:rsid w:val="00CB2369"/>
    <w:rsid w:val="00CB23F6"/>
    <w:rsid w:val="00CB2488"/>
    <w:rsid w:val="00CB2535"/>
    <w:rsid w:val="00CB26D3"/>
    <w:rsid w:val="00CB26EF"/>
    <w:rsid w:val="00CB2718"/>
    <w:rsid w:val="00CB274C"/>
    <w:rsid w:val="00CB2762"/>
    <w:rsid w:val="00CB28AD"/>
    <w:rsid w:val="00CB2941"/>
    <w:rsid w:val="00CB2974"/>
    <w:rsid w:val="00CB297E"/>
    <w:rsid w:val="00CB2A24"/>
    <w:rsid w:val="00CB2A76"/>
    <w:rsid w:val="00CB2BBD"/>
    <w:rsid w:val="00CB2EB1"/>
    <w:rsid w:val="00CB2EC6"/>
    <w:rsid w:val="00CB2EE6"/>
    <w:rsid w:val="00CB2F59"/>
    <w:rsid w:val="00CB2F77"/>
    <w:rsid w:val="00CB2F94"/>
    <w:rsid w:val="00CB330C"/>
    <w:rsid w:val="00CB33A2"/>
    <w:rsid w:val="00CB33AC"/>
    <w:rsid w:val="00CB33CA"/>
    <w:rsid w:val="00CB348B"/>
    <w:rsid w:val="00CB3590"/>
    <w:rsid w:val="00CB3610"/>
    <w:rsid w:val="00CB363E"/>
    <w:rsid w:val="00CB3714"/>
    <w:rsid w:val="00CB375D"/>
    <w:rsid w:val="00CB3810"/>
    <w:rsid w:val="00CB386A"/>
    <w:rsid w:val="00CB3884"/>
    <w:rsid w:val="00CB38B7"/>
    <w:rsid w:val="00CB38BC"/>
    <w:rsid w:val="00CB39B5"/>
    <w:rsid w:val="00CB3B7A"/>
    <w:rsid w:val="00CB3C45"/>
    <w:rsid w:val="00CB3CCF"/>
    <w:rsid w:val="00CB3DE2"/>
    <w:rsid w:val="00CB3E48"/>
    <w:rsid w:val="00CB3EB1"/>
    <w:rsid w:val="00CB4052"/>
    <w:rsid w:val="00CB416E"/>
    <w:rsid w:val="00CB4645"/>
    <w:rsid w:val="00CB48E3"/>
    <w:rsid w:val="00CB498C"/>
    <w:rsid w:val="00CB4ACB"/>
    <w:rsid w:val="00CB4BD5"/>
    <w:rsid w:val="00CB4CE0"/>
    <w:rsid w:val="00CB4E8C"/>
    <w:rsid w:val="00CB4E9B"/>
    <w:rsid w:val="00CB4F77"/>
    <w:rsid w:val="00CB50F3"/>
    <w:rsid w:val="00CB5109"/>
    <w:rsid w:val="00CB512B"/>
    <w:rsid w:val="00CB5459"/>
    <w:rsid w:val="00CB556C"/>
    <w:rsid w:val="00CB560D"/>
    <w:rsid w:val="00CB5781"/>
    <w:rsid w:val="00CB57BD"/>
    <w:rsid w:val="00CB5944"/>
    <w:rsid w:val="00CB5A70"/>
    <w:rsid w:val="00CB5AD0"/>
    <w:rsid w:val="00CB5AEE"/>
    <w:rsid w:val="00CB5C3E"/>
    <w:rsid w:val="00CB5F15"/>
    <w:rsid w:val="00CB5F8B"/>
    <w:rsid w:val="00CB6065"/>
    <w:rsid w:val="00CB63B0"/>
    <w:rsid w:val="00CB668A"/>
    <w:rsid w:val="00CB69E8"/>
    <w:rsid w:val="00CB6A05"/>
    <w:rsid w:val="00CB6A35"/>
    <w:rsid w:val="00CB6AF4"/>
    <w:rsid w:val="00CB6C96"/>
    <w:rsid w:val="00CB6DE1"/>
    <w:rsid w:val="00CB6DEF"/>
    <w:rsid w:val="00CB6DFD"/>
    <w:rsid w:val="00CB6E16"/>
    <w:rsid w:val="00CB6F58"/>
    <w:rsid w:val="00CB7038"/>
    <w:rsid w:val="00CB71B4"/>
    <w:rsid w:val="00CB7216"/>
    <w:rsid w:val="00CB7235"/>
    <w:rsid w:val="00CB72A3"/>
    <w:rsid w:val="00CB744C"/>
    <w:rsid w:val="00CB752F"/>
    <w:rsid w:val="00CB7599"/>
    <w:rsid w:val="00CB769E"/>
    <w:rsid w:val="00CB770A"/>
    <w:rsid w:val="00CB7798"/>
    <w:rsid w:val="00CB7803"/>
    <w:rsid w:val="00CB7824"/>
    <w:rsid w:val="00CB7878"/>
    <w:rsid w:val="00CB78CA"/>
    <w:rsid w:val="00CB7946"/>
    <w:rsid w:val="00CB7968"/>
    <w:rsid w:val="00CB7AEA"/>
    <w:rsid w:val="00CB7B36"/>
    <w:rsid w:val="00CB7B5A"/>
    <w:rsid w:val="00CB7BBB"/>
    <w:rsid w:val="00CB7C48"/>
    <w:rsid w:val="00CB7C8A"/>
    <w:rsid w:val="00CB7CF4"/>
    <w:rsid w:val="00CB7E16"/>
    <w:rsid w:val="00CB7E1E"/>
    <w:rsid w:val="00CB7F01"/>
    <w:rsid w:val="00CC0027"/>
    <w:rsid w:val="00CC0095"/>
    <w:rsid w:val="00CC00BC"/>
    <w:rsid w:val="00CC012F"/>
    <w:rsid w:val="00CC020A"/>
    <w:rsid w:val="00CC023B"/>
    <w:rsid w:val="00CC0392"/>
    <w:rsid w:val="00CC0501"/>
    <w:rsid w:val="00CC060A"/>
    <w:rsid w:val="00CC06FE"/>
    <w:rsid w:val="00CC0796"/>
    <w:rsid w:val="00CC0840"/>
    <w:rsid w:val="00CC09AC"/>
    <w:rsid w:val="00CC0A56"/>
    <w:rsid w:val="00CC0CE1"/>
    <w:rsid w:val="00CC0F3F"/>
    <w:rsid w:val="00CC10B1"/>
    <w:rsid w:val="00CC10ED"/>
    <w:rsid w:val="00CC1200"/>
    <w:rsid w:val="00CC12EC"/>
    <w:rsid w:val="00CC131A"/>
    <w:rsid w:val="00CC138E"/>
    <w:rsid w:val="00CC1444"/>
    <w:rsid w:val="00CC15BB"/>
    <w:rsid w:val="00CC1675"/>
    <w:rsid w:val="00CC1713"/>
    <w:rsid w:val="00CC171A"/>
    <w:rsid w:val="00CC1781"/>
    <w:rsid w:val="00CC1861"/>
    <w:rsid w:val="00CC18A9"/>
    <w:rsid w:val="00CC19B6"/>
    <w:rsid w:val="00CC1ACD"/>
    <w:rsid w:val="00CC1B1C"/>
    <w:rsid w:val="00CC1BB0"/>
    <w:rsid w:val="00CC1C80"/>
    <w:rsid w:val="00CC1C86"/>
    <w:rsid w:val="00CC1D2B"/>
    <w:rsid w:val="00CC1D69"/>
    <w:rsid w:val="00CC1D74"/>
    <w:rsid w:val="00CC1DC4"/>
    <w:rsid w:val="00CC1DF2"/>
    <w:rsid w:val="00CC1E0A"/>
    <w:rsid w:val="00CC1E7A"/>
    <w:rsid w:val="00CC1F95"/>
    <w:rsid w:val="00CC20E1"/>
    <w:rsid w:val="00CC212B"/>
    <w:rsid w:val="00CC21DA"/>
    <w:rsid w:val="00CC21E3"/>
    <w:rsid w:val="00CC2279"/>
    <w:rsid w:val="00CC2298"/>
    <w:rsid w:val="00CC2354"/>
    <w:rsid w:val="00CC2375"/>
    <w:rsid w:val="00CC2392"/>
    <w:rsid w:val="00CC2410"/>
    <w:rsid w:val="00CC242B"/>
    <w:rsid w:val="00CC2539"/>
    <w:rsid w:val="00CC2661"/>
    <w:rsid w:val="00CC2675"/>
    <w:rsid w:val="00CC2774"/>
    <w:rsid w:val="00CC2829"/>
    <w:rsid w:val="00CC2962"/>
    <w:rsid w:val="00CC29C6"/>
    <w:rsid w:val="00CC2A3E"/>
    <w:rsid w:val="00CC2B5D"/>
    <w:rsid w:val="00CC2C34"/>
    <w:rsid w:val="00CC2DDE"/>
    <w:rsid w:val="00CC2DF4"/>
    <w:rsid w:val="00CC2EE3"/>
    <w:rsid w:val="00CC2FCE"/>
    <w:rsid w:val="00CC2FDD"/>
    <w:rsid w:val="00CC3038"/>
    <w:rsid w:val="00CC307C"/>
    <w:rsid w:val="00CC310A"/>
    <w:rsid w:val="00CC314D"/>
    <w:rsid w:val="00CC331B"/>
    <w:rsid w:val="00CC340A"/>
    <w:rsid w:val="00CC34B5"/>
    <w:rsid w:val="00CC34BA"/>
    <w:rsid w:val="00CC3589"/>
    <w:rsid w:val="00CC36E3"/>
    <w:rsid w:val="00CC3732"/>
    <w:rsid w:val="00CC37F3"/>
    <w:rsid w:val="00CC3838"/>
    <w:rsid w:val="00CC3926"/>
    <w:rsid w:val="00CC392D"/>
    <w:rsid w:val="00CC3982"/>
    <w:rsid w:val="00CC39F0"/>
    <w:rsid w:val="00CC3B7E"/>
    <w:rsid w:val="00CC3C83"/>
    <w:rsid w:val="00CC3CF8"/>
    <w:rsid w:val="00CC3F98"/>
    <w:rsid w:val="00CC3FF8"/>
    <w:rsid w:val="00CC4019"/>
    <w:rsid w:val="00CC4031"/>
    <w:rsid w:val="00CC4093"/>
    <w:rsid w:val="00CC40D6"/>
    <w:rsid w:val="00CC4127"/>
    <w:rsid w:val="00CC4180"/>
    <w:rsid w:val="00CC41C9"/>
    <w:rsid w:val="00CC4257"/>
    <w:rsid w:val="00CC4269"/>
    <w:rsid w:val="00CC434C"/>
    <w:rsid w:val="00CC4366"/>
    <w:rsid w:val="00CC43F6"/>
    <w:rsid w:val="00CC4458"/>
    <w:rsid w:val="00CC44B7"/>
    <w:rsid w:val="00CC4567"/>
    <w:rsid w:val="00CC47A0"/>
    <w:rsid w:val="00CC47C3"/>
    <w:rsid w:val="00CC4814"/>
    <w:rsid w:val="00CC48E8"/>
    <w:rsid w:val="00CC4A41"/>
    <w:rsid w:val="00CC4C71"/>
    <w:rsid w:val="00CC4EB5"/>
    <w:rsid w:val="00CC4F20"/>
    <w:rsid w:val="00CC51A5"/>
    <w:rsid w:val="00CC5278"/>
    <w:rsid w:val="00CC53F6"/>
    <w:rsid w:val="00CC561B"/>
    <w:rsid w:val="00CC5717"/>
    <w:rsid w:val="00CC5723"/>
    <w:rsid w:val="00CC581B"/>
    <w:rsid w:val="00CC5A2F"/>
    <w:rsid w:val="00CC5A82"/>
    <w:rsid w:val="00CC5ABE"/>
    <w:rsid w:val="00CC5B30"/>
    <w:rsid w:val="00CC5B80"/>
    <w:rsid w:val="00CC5C02"/>
    <w:rsid w:val="00CC5CE5"/>
    <w:rsid w:val="00CC5CE6"/>
    <w:rsid w:val="00CC5CE7"/>
    <w:rsid w:val="00CC5D21"/>
    <w:rsid w:val="00CC5E17"/>
    <w:rsid w:val="00CC5F07"/>
    <w:rsid w:val="00CC6012"/>
    <w:rsid w:val="00CC608B"/>
    <w:rsid w:val="00CC61FA"/>
    <w:rsid w:val="00CC62A8"/>
    <w:rsid w:val="00CC62B2"/>
    <w:rsid w:val="00CC62E0"/>
    <w:rsid w:val="00CC6343"/>
    <w:rsid w:val="00CC634C"/>
    <w:rsid w:val="00CC635F"/>
    <w:rsid w:val="00CC666A"/>
    <w:rsid w:val="00CC666B"/>
    <w:rsid w:val="00CC6702"/>
    <w:rsid w:val="00CC672B"/>
    <w:rsid w:val="00CC6900"/>
    <w:rsid w:val="00CC6A65"/>
    <w:rsid w:val="00CC6C4C"/>
    <w:rsid w:val="00CC6D52"/>
    <w:rsid w:val="00CC6DBC"/>
    <w:rsid w:val="00CC6DC6"/>
    <w:rsid w:val="00CC6EDF"/>
    <w:rsid w:val="00CC7019"/>
    <w:rsid w:val="00CC705F"/>
    <w:rsid w:val="00CC717E"/>
    <w:rsid w:val="00CC71B3"/>
    <w:rsid w:val="00CC7206"/>
    <w:rsid w:val="00CC747C"/>
    <w:rsid w:val="00CC74C8"/>
    <w:rsid w:val="00CC765F"/>
    <w:rsid w:val="00CC7686"/>
    <w:rsid w:val="00CC76F3"/>
    <w:rsid w:val="00CC7711"/>
    <w:rsid w:val="00CC774C"/>
    <w:rsid w:val="00CC77F1"/>
    <w:rsid w:val="00CC787A"/>
    <w:rsid w:val="00CC7D0A"/>
    <w:rsid w:val="00CC7DD0"/>
    <w:rsid w:val="00CC7F4A"/>
    <w:rsid w:val="00CC7FB7"/>
    <w:rsid w:val="00CD0056"/>
    <w:rsid w:val="00CD005D"/>
    <w:rsid w:val="00CD0130"/>
    <w:rsid w:val="00CD0143"/>
    <w:rsid w:val="00CD0168"/>
    <w:rsid w:val="00CD01A3"/>
    <w:rsid w:val="00CD0238"/>
    <w:rsid w:val="00CD0268"/>
    <w:rsid w:val="00CD029B"/>
    <w:rsid w:val="00CD036B"/>
    <w:rsid w:val="00CD0522"/>
    <w:rsid w:val="00CD065A"/>
    <w:rsid w:val="00CD080D"/>
    <w:rsid w:val="00CD095E"/>
    <w:rsid w:val="00CD09AE"/>
    <w:rsid w:val="00CD09D4"/>
    <w:rsid w:val="00CD0A2B"/>
    <w:rsid w:val="00CD0A58"/>
    <w:rsid w:val="00CD0C96"/>
    <w:rsid w:val="00CD0D28"/>
    <w:rsid w:val="00CD0E08"/>
    <w:rsid w:val="00CD0E7D"/>
    <w:rsid w:val="00CD0E9E"/>
    <w:rsid w:val="00CD0EFF"/>
    <w:rsid w:val="00CD105D"/>
    <w:rsid w:val="00CD10E1"/>
    <w:rsid w:val="00CD11EC"/>
    <w:rsid w:val="00CD1349"/>
    <w:rsid w:val="00CD13D2"/>
    <w:rsid w:val="00CD14D8"/>
    <w:rsid w:val="00CD16D4"/>
    <w:rsid w:val="00CD177F"/>
    <w:rsid w:val="00CD1843"/>
    <w:rsid w:val="00CD18AB"/>
    <w:rsid w:val="00CD18FC"/>
    <w:rsid w:val="00CD19FC"/>
    <w:rsid w:val="00CD1AD8"/>
    <w:rsid w:val="00CD1BB5"/>
    <w:rsid w:val="00CD1C3E"/>
    <w:rsid w:val="00CD1CE7"/>
    <w:rsid w:val="00CD1D5C"/>
    <w:rsid w:val="00CD1DAE"/>
    <w:rsid w:val="00CD1E49"/>
    <w:rsid w:val="00CD1ECD"/>
    <w:rsid w:val="00CD1FC2"/>
    <w:rsid w:val="00CD1FC9"/>
    <w:rsid w:val="00CD20EA"/>
    <w:rsid w:val="00CD2142"/>
    <w:rsid w:val="00CD21AA"/>
    <w:rsid w:val="00CD2249"/>
    <w:rsid w:val="00CD2372"/>
    <w:rsid w:val="00CD23CB"/>
    <w:rsid w:val="00CD248B"/>
    <w:rsid w:val="00CD259F"/>
    <w:rsid w:val="00CD25BF"/>
    <w:rsid w:val="00CD25F9"/>
    <w:rsid w:val="00CD264D"/>
    <w:rsid w:val="00CD28E0"/>
    <w:rsid w:val="00CD296C"/>
    <w:rsid w:val="00CD29A6"/>
    <w:rsid w:val="00CD2A67"/>
    <w:rsid w:val="00CD2A8E"/>
    <w:rsid w:val="00CD2BE6"/>
    <w:rsid w:val="00CD2C58"/>
    <w:rsid w:val="00CD2CF7"/>
    <w:rsid w:val="00CD2D52"/>
    <w:rsid w:val="00CD30CB"/>
    <w:rsid w:val="00CD310A"/>
    <w:rsid w:val="00CD32AD"/>
    <w:rsid w:val="00CD334A"/>
    <w:rsid w:val="00CD34A2"/>
    <w:rsid w:val="00CD3508"/>
    <w:rsid w:val="00CD353D"/>
    <w:rsid w:val="00CD3648"/>
    <w:rsid w:val="00CD370D"/>
    <w:rsid w:val="00CD37A8"/>
    <w:rsid w:val="00CD3897"/>
    <w:rsid w:val="00CD39A0"/>
    <w:rsid w:val="00CD39B7"/>
    <w:rsid w:val="00CD3CE2"/>
    <w:rsid w:val="00CD3CF7"/>
    <w:rsid w:val="00CD3D07"/>
    <w:rsid w:val="00CD3E52"/>
    <w:rsid w:val="00CD3EFD"/>
    <w:rsid w:val="00CD3FB8"/>
    <w:rsid w:val="00CD4055"/>
    <w:rsid w:val="00CD40FF"/>
    <w:rsid w:val="00CD4444"/>
    <w:rsid w:val="00CD44D1"/>
    <w:rsid w:val="00CD45C7"/>
    <w:rsid w:val="00CD47C8"/>
    <w:rsid w:val="00CD481A"/>
    <w:rsid w:val="00CD4ABD"/>
    <w:rsid w:val="00CD4AC9"/>
    <w:rsid w:val="00CD4B53"/>
    <w:rsid w:val="00CD4C47"/>
    <w:rsid w:val="00CD4CA1"/>
    <w:rsid w:val="00CD4D37"/>
    <w:rsid w:val="00CD4D61"/>
    <w:rsid w:val="00CD4E7D"/>
    <w:rsid w:val="00CD4FC3"/>
    <w:rsid w:val="00CD509F"/>
    <w:rsid w:val="00CD5430"/>
    <w:rsid w:val="00CD54A3"/>
    <w:rsid w:val="00CD554E"/>
    <w:rsid w:val="00CD55AD"/>
    <w:rsid w:val="00CD56D3"/>
    <w:rsid w:val="00CD5760"/>
    <w:rsid w:val="00CD57D2"/>
    <w:rsid w:val="00CD5896"/>
    <w:rsid w:val="00CD590B"/>
    <w:rsid w:val="00CD5987"/>
    <w:rsid w:val="00CD5A1B"/>
    <w:rsid w:val="00CD5B2C"/>
    <w:rsid w:val="00CD5B31"/>
    <w:rsid w:val="00CD5BA2"/>
    <w:rsid w:val="00CD5C12"/>
    <w:rsid w:val="00CD5CAA"/>
    <w:rsid w:val="00CD5DEF"/>
    <w:rsid w:val="00CD5DFE"/>
    <w:rsid w:val="00CD5F35"/>
    <w:rsid w:val="00CD5FE8"/>
    <w:rsid w:val="00CD61B9"/>
    <w:rsid w:val="00CD6330"/>
    <w:rsid w:val="00CD63DC"/>
    <w:rsid w:val="00CD6418"/>
    <w:rsid w:val="00CD6424"/>
    <w:rsid w:val="00CD64A2"/>
    <w:rsid w:val="00CD64C9"/>
    <w:rsid w:val="00CD6626"/>
    <w:rsid w:val="00CD67CE"/>
    <w:rsid w:val="00CD67D7"/>
    <w:rsid w:val="00CD6A20"/>
    <w:rsid w:val="00CD6A50"/>
    <w:rsid w:val="00CD6AD6"/>
    <w:rsid w:val="00CD6C3B"/>
    <w:rsid w:val="00CD6CA4"/>
    <w:rsid w:val="00CD6CA6"/>
    <w:rsid w:val="00CD6DF7"/>
    <w:rsid w:val="00CD6E05"/>
    <w:rsid w:val="00CD6EC2"/>
    <w:rsid w:val="00CD700B"/>
    <w:rsid w:val="00CD7113"/>
    <w:rsid w:val="00CD714C"/>
    <w:rsid w:val="00CD7292"/>
    <w:rsid w:val="00CD7369"/>
    <w:rsid w:val="00CD74FA"/>
    <w:rsid w:val="00CD756D"/>
    <w:rsid w:val="00CD760D"/>
    <w:rsid w:val="00CD7A0D"/>
    <w:rsid w:val="00CD7A5D"/>
    <w:rsid w:val="00CD7B03"/>
    <w:rsid w:val="00CD7B49"/>
    <w:rsid w:val="00CD7B6C"/>
    <w:rsid w:val="00CD7C02"/>
    <w:rsid w:val="00CD7CF4"/>
    <w:rsid w:val="00CD7E45"/>
    <w:rsid w:val="00CD7E89"/>
    <w:rsid w:val="00CD7EF4"/>
    <w:rsid w:val="00CE0061"/>
    <w:rsid w:val="00CE00C3"/>
    <w:rsid w:val="00CE01EB"/>
    <w:rsid w:val="00CE021D"/>
    <w:rsid w:val="00CE034F"/>
    <w:rsid w:val="00CE047D"/>
    <w:rsid w:val="00CE04F2"/>
    <w:rsid w:val="00CE0569"/>
    <w:rsid w:val="00CE06B7"/>
    <w:rsid w:val="00CE073C"/>
    <w:rsid w:val="00CE08C7"/>
    <w:rsid w:val="00CE0A9A"/>
    <w:rsid w:val="00CE0B21"/>
    <w:rsid w:val="00CE0BC0"/>
    <w:rsid w:val="00CE0DC7"/>
    <w:rsid w:val="00CE0DD8"/>
    <w:rsid w:val="00CE0EFF"/>
    <w:rsid w:val="00CE0F37"/>
    <w:rsid w:val="00CE0F77"/>
    <w:rsid w:val="00CE0FF2"/>
    <w:rsid w:val="00CE1148"/>
    <w:rsid w:val="00CE116A"/>
    <w:rsid w:val="00CE11C1"/>
    <w:rsid w:val="00CE1259"/>
    <w:rsid w:val="00CE149C"/>
    <w:rsid w:val="00CE14E8"/>
    <w:rsid w:val="00CE1548"/>
    <w:rsid w:val="00CE18B7"/>
    <w:rsid w:val="00CE18BC"/>
    <w:rsid w:val="00CE199A"/>
    <w:rsid w:val="00CE19DB"/>
    <w:rsid w:val="00CE1BD1"/>
    <w:rsid w:val="00CE1CCC"/>
    <w:rsid w:val="00CE1CFF"/>
    <w:rsid w:val="00CE1D48"/>
    <w:rsid w:val="00CE1D62"/>
    <w:rsid w:val="00CE1F64"/>
    <w:rsid w:val="00CE2120"/>
    <w:rsid w:val="00CE2136"/>
    <w:rsid w:val="00CE21A8"/>
    <w:rsid w:val="00CE233B"/>
    <w:rsid w:val="00CE23C3"/>
    <w:rsid w:val="00CE2536"/>
    <w:rsid w:val="00CE253B"/>
    <w:rsid w:val="00CE25B7"/>
    <w:rsid w:val="00CE2AE4"/>
    <w:rsid w:val="00CE2B4E"/>
    <w:rsid w:val="00CE2C1B"/>
    <w:rsid w:val="00CE2D18"/>
    <w:rsid w:val="00CE2F43"/>
    <w:rsid w:val="00CE2F9B"/>
    <w:rsid w:val="00CE2FBD"/>
    <w:rsid w:val="00CE30D8"/>
    <w:rsid w:val="00CE30D9"/>
    <w:rsid w:val="00CE30E0"/>
    <w:rsid w:val="00CE31CC"/>
    <w:rsid w:val="00CE33CB"/>
    <w:rsid w:val="00CE35DE"/>
    <w:rsid w:val="00CE3624"/>
    <w:rsid w:val="00CE3822"/>
    <w:rsid w:val="00CE38CE"/>
    <w:rsid w:val="00CE3926"/>
    <w:rsid w:val="00CE392B"/>
    <w:rsid w:val="00CE3952"/>
    <w:rsid w:val="00CE39C4"/>
    <w:rsid w:val="00CE3A81"/>
    <w:rsid w:val="00CE3AA7"/>
    <w:rsid w:val="00CE3BB9"/>
    <w:rsid w:val="00CE3BC9"/>
    <w:rsid w:val="00CE3C2A"/>
    <w:rsid w:val="00CE3DA3"/>
    <w:rsid w:val="00CE3F54"/>
    <w:rsid w:val="00CE3FC4"/>
    <w:rsid w:val="00CE4058"/>
    <w:rsid w:val="00CE4068"/>
    <w:rsid w:val="00CE42AE"/>
    <w:rsid w:val="00CE442B"/>
    <w:rsid w:val="00CE45E8"/>
    <w:rsid w:val="00CE46D3"/>
    <w:rsid w:val="00CE4758"/>
    <w:rsid w:val="00CE479E"/>
    <w:rsid w:val="00CE4827"/>
    <w:rsid w:val="00CE486A"/>
    <w:rsid w:val="00CE48C3"/>
    <w:rsid w:val="00CE4922"/>
    <w:rsid w:val="00CE4961"/>
    <w:rsid w:val="00CE497D"/>
    <w:rsid w:val="00CE49BD"/>
    <w:rsid w:val="00CE4ADE"/>
    <w:rsid w:val="00CE4B12"/>
    <w:rsid w:val="00CE4BAE"/>
    <w:rsid w:val="00CE4D33"/>
    <w:rsid w:val="00CE4E07"/>
    <w:rsid w:val="00CE4E75"/>
    <w:rsid w:val="00CE4EF4"/>
    <w:rsid w:val="00CE4F23"/>
    <w:rsid w:val="00CE4F3C"/>
    <w:rsid w:val="00CE4F3D"/>
    <w:rsid w:val="00CE5007"/>
    <w:rsid w:val="00CE521F"/>
    <w:rsid w:val="00CE5244"/>
    <w:rsid w:val="00CE5290"/>
    <w:rsid w:val="00CE5337"/>
    <w:rsid w:val="00CE5369"/>
    <w:rsid w:val="00CE544E"/>
    <w:rsid w:val="00CE546F"/>
    <w:rsid w:val="00CE5566"/>
    <w:rsid w:val="00CE5722"/>
    <w:rsid w:val="00CE5808"/>
    <w:rsid w:val="00CE59B8"/>
    <w:rsid w:val="00CE59BC"/>
    <w:rsid w:val="00CE59E3"/>
    <w:rsid w:val="00CE5A7C"/>
    <w:rsid w:val="00CE5ABD"/>
    <w:rsid w:val="00CE5C28"/>
    <w:rsid w:val="00CE5D78"/>
    <w:rsid w:val="00CE5EAD"/>
    <w:rsid w:val="00CE600A"/>
    <w:rsid w:val="00CE6014"/>
    <w:rsid w:val="00CE604F"/>
    <w:rsid w:val="00CE6100"/>
    <w:rsid w:val="00CE6249"/>
    <w:rsid w:val="00CE6343"/>
    <w:rsid w:val="00CE6349"/>
    <w:rsid w:val="00CE651D"/>
    <w:rsid w:val="00CE6535"/>
    <w:rsid w:val="00CE65B6"/>
    <w:rsid w:val="00CE669F"/>
    <w:rsid w:val="00CE66C0"/>
    <w:rsid w:val="00CE66D6"/>
    <w:rsid w:val="00CE6797"/>
    <w:rsid w:val="00CE6808"/>
    <w:rsid w:val="00CE687E"/>
    <w:rsid w:val="00CE6936"/>
    <w:rsid w:val="00CE697E"/>
    <w:rsid w:val="00CE6A4A"/>
    <w:rsid w:val="00CE6ABC"/>
    <w:rsid w:val="00CE6B36"/>
    <w:rsid w:val="00CE6B52"/>
    <w:rsid w:val="00CE6CA6"/>
    <w:rsid w:val="00CE6CE3"/>
    <w:rsid w:val="00CE708B"/>
    <w:rsid w:val="00CE7211"/>
    <w:rsid w:val="00CE722E"/>
    <w:rsid w:val="00CE72D2"/>
    <w:rsid w:val="00CE730F"/>
    <w:rsid w:val="00CE736D"/>
    <w:rsid w:val="00CE741A"/>
    <w:rsid w:val="00CE74EC"/>
    <w:rsid w:val="00CE75F9"/>
    <w:rsid w:val="00CE7608"/>
    <w:rsid w:val="00CE764E"/>
    <w:rsid w:val="00CE765F"/>
    <w:rsid w:val="00CE770F"/>
    <w:rsid w:val="00CE77C9"/>
    <w:rsid w:val="00CE7844"/>
    <w:rsid w:val="00CE7850"/>
    <w:rsid w:val="00CE78AC"/>
    <w:rsid w:val="00CE78EC"/>
    <w:rsid w:val="00CE791C"/>
    <w:rsid w:val="00CE7A40"/>
    <w:rsid w:val="00CE7AD2"/>
    <w:rsid w:val="00CE7BDD"/>
    <w:rsid w:val="00CE7C69"/>
    <w:rsid w:val="00CE7CA1"/>
    <w:rsid w:val="00CE7CC4"/>
    <w:rsid w:val="00CE7CCC"/>
    <w:rsid w:val="00CE7D3D"/>
    <w:rsid w:val="00CE7DFF"/>
    <w:rsid w:val="00CE7E3D"/>
    <w:rsid w:val="00CE7F01"/>
    <w:rsid w:val="00CE7FDE"/>
    <w:rsid w:val="00CF0009"/>
    <w:rsid w:val="00CF0027"/>
    <w:rsid w:val="00CF0130"/>
    <w:rsid w:val="00CF0188"/>
    <w:rsid w:val="00CF02D9"/>
    <w:rsid w:val="00CF044A"/>
    <w:rsid w:val="00CF066D"/>
    <w:rsid w:val="00CF066E"/>
    <w:rsid w:val="00CF076B"/>
    <w:rsid w:val="00CF0794"/>
    <w:rsid w:val="00CF084B"/>
    <w:rsid w:val="00CF091A"/>
    <w:rsid w:val="00CF095E"/>
    <w:rsid w:val="00CF09D3"/>
    <w:rsid w:val="00CF0AD8"/>
    <w:rsid w:val="00CF0C10"/>
    <w:rsid w:val="00CF0C5B"/>
    <w:rsid w:val="00CF0CF9"/>
    <w:rsid w:val="00CF0DF2"/>
    <w:rsid w:val="00CF0E7F"/>
    <w:rsid w:val="00CF0E85"/>
    <w:rsid w:val="00CF0EC5"/>
    <w:rsid w:val="00CF0EFD"/>
    <w:rsid w:val="00CF101B"/>
    <w:rsid w:val="00CF1021"/>
    <w:rsid w:val="00CF1055"/>
    <w:rsid w:val="00CF1124"/>
    <w:rsid w:val="00CF124B"/>
    <w:rsid w:val="00CF125E"/>
    <w:rsid w:val="00CF134F"/>
    <w:rsid w:val="00CF1521"/>
    <w:rsid w:val="00CF1596"/>
    <w:rsid w:val="00CF162B"/>
    <w:rsid w:val="00CF1650"/>
    <w:rsid w:val="00CF1729"/>
    <w:rsid w:val="00CF17C7"/>
    <w:rsid w:val="00CF17CE"/>
    <w:rsid w:val="00CF1856"/>
    <w:rsid w:val="00CF18CD"/>
    <w:rsid w:val="00CF1985"/>
    <w:rsid w:val="00CF1B34"/>
    <w:rsid w:val="00CF1D41"/>
    <w:rsid w:val="00CF2105"/>
    <w:rsid w:val="00CF22B0"/>
    <w:rsid w:val="00CF22F0"/>
    <w:rsid w:val="00CF22FD"/>
    <w:rsid w:val="00CF22FE"/>
    <w:rsid w:val="00CF23A8"/>
    <w:rsid w:val="00CF2420"/>
    <w:rsid w:val="00CF2499"/>
    <w:rsid w:val="00CF24E9"/>
    <w:rsid w:val="00CF26EB"/>
    <w:rsid w:val="00CF27CD"/>
    <w:rsid w:val="00CF2864"/>
    <w:rsid w:val="00CF2919"/>
    <w:rsid w:val="00CF292A"/>
    <w:rsid w:val="00CF2953"/>
    <w:rsid w:val="00CF296E"/>
    <w:rsid w:val="00CF2B11"/>
    <w:rsid w:val="00CF2B8B"/>
    <w:rsid w:val="00CF2BB4"/>
    <w:rsid w:val="00CF2BFC"/>
    <w:rsid w:val="00CF2CED"/>
    <w:rsid w:val="00CF2D06"/>
    <w:rsid w:val="00CF2DA5"/>
    <w:rsid w:val="00CF2DEA"/>
    <w:rsid w:val="00CF2EB0"/>
    <w:rsid w:val="00CF2EB4"/>
    <w:rsid w:val="00CF2EC9"/>
    <w:rsid w:val="00CF2F6E"/>
    <w:rsid w:val="00CF2F83"/>
    <w:rsid w:val="00CF3009"/>
    <w:rsid w:val="00CF317D"/>
    <w:rsid w:val="00CF33F9"/>
    <w:rsid w:val="00CF346E"/>
    <w:rsid w:val="00CF353B"/>
    <w:rsid w:val="00CF3572"/>
    <w:rsid w:val="00CF3589"/>
    <w:rsid w:val="00CF3595"/>
    <w:rsid w:val="00CF35BC"/>
    <w:rsid w:val="00CF36BB"/>
    <w:rsid w:val="00CF372F"/>
    <w:rsid w:val="00CF373C"/>
    <w:rsid w:val="00CF376B"/>
    <w:rsid w:val="00CF386D"/>
    <w:rsid w:val="00CF38AB"/>
    <w:rsid w:val="00CF38BF"/>
    <w:rsid w:val="00CF38CA"/>
    <w:rsid w:val="00CF392E"/>
    <w:rsid w:val="00CF39FD"/>
    <w:rsid w:val="00CF3A2A"/>
    <w:rsid w:val="00CF3B8F"/>
    <w:rsid w:val="00CF3D58"/>
    <w:rsid w:val="00CF3E26"/>
    <w:rsid w:val="00CF3E6E"/>
    <w:rsid w:val="00CF3F55"/>
    <w:rsid w:val="00CF3F70"/>
    <w:rsid w:val="00CF401E"/>
    <w:rsid w:val="00CF40A2"/>
    <w:rsid w:val="00CF4267"/>
    <w:rsid w:val="00CF42AA"/>
    <w:rsid w:val="00CF42DA"/>
    <w:rsid w:val="00CF42DE"/>
    <w:rsid w:val="00CF4394"/>
    <w:rsid w:val="00CF43D1"/>
    <w:rsid w:val="00CF4479"/>
    <w:rsid w:val="00CF447A"/>
    <w:rsid w:val="00CF4595"/>
    <w:rsid w:val="00CF4713"/>
    <w:rsid w:val="00CF47F6"/>
    <w:rsid w:val="00CF485D"/>
    <w:rsid w:val="00CF4883"/>
    <w:rsid w:val="00CF48D1"/>
    <w:rsid w:val="00CF48E8"/>
    <w:rsid w:val="00CF493D"/>
    <w:rsid w:val="00CF49E5"/>
    <w:rsid w:val="00CF4A4F"/>
    <w:rsid w:val="00CF4B25"/>
    <w:rsid w:val="00CF4B27"/>
    <w:rsid w:val="00CF4B70"/>
    <w:rsid w:val="00CF4BDA"/>
    <w:rsid w:val="00CF4C34"/>
    <w:rsid w:val="00CF4C7F"/>
    <w:rsid w:val="00CF4F1A"/>
    <w:rsid w:val="00CF4FDF"/>
    <w:rsid w:val="00CF4FE7"/>
    <w:rsid w:val="00CF501E"/>
    <w:rsid w:val="00CF528E"/>
    <w:rsid w:val="00CF531B"/>
    <w:rsid w:val="00CF533D"/>
    <w:rsid w:val="00CF54E1"/>
    <w:rsid w:val="00CF54E6"/>
    <w:rsid w:val="00CF5532"/>
    <w:rsid w:val="00CF5721"/>
    <w:rsid w:val="00CF589E"/>
    <w:rsid w:val="00CF58E4"/>
    <w:rsid w:val="00CF591E"/>
    <w:rsid w:val="00CF59AD"/>
    <w:rsid w:val="00CF5A32"/>
    <w:rsid w:val="00CF5A7B"/>
    <w:rsid w:val="00CF5CDC"/>
    <w:rsid w:val="00CF5DAF"/>
    <w:rsid w:val="00CF5F01"/>
    <w:rsid w:val="00CF5F55"/>
    <w:rsid w:val="00CF604E"/>
    <w:rsid w:val="00CF60FD"/>
    <w:rsid w:val="00CF6101"/>
    <w:rsid w:val="00CF618C"/>
    <w:rsid w:val="00CF619E"/>
    <w:rsid w:val="00CF61E7"/>
    <w:rsid w:val="00CF6314"/>
    <w:rsid w:val="00CF63B5"/>
    <w:rsid w:val="00CF63F3"/>
    <w:rsid w:val="00CF646C"/>
    <w:rsid w:val="00CF64B7"/>
    <w:rsid w:val="00CF6599"/>
    <w:rsid w:val="00CF6695"/>
    <w:rsid w:val="00CF66E2"/>
    <w:rsid w:val="00CF68DB"/>
    <w:rsid w:val="00CF697D"/>
    <w:rsid w:val="00CF69BF"/>
    <w:rsid w:val="00CF69EF"/>
    <w:rsid w:val="00CF6F18"/>
    <w:rsid w:val="00CF6F23"/>
    <w:rsid w:val="00CF706F"/>
    <w:rsid w:val="00CF707B"/>
    <w:rsid w:val="00CF70C5"/>
    <w:rsid w:val="00CF70DF"/>
    <w:rsid w:val="00CF7124"/>
    <w:rsid w:val="00CF71E2"/>
    <w:rsid w:val="00CF72A2"/>
    <w:rsid w:val="00CF7375"/>
    <w:rsid w:val="00CF73D8"/>
    <w:rsid w:val="00CF73EE"/>
    <w:rsid w:val="00CF73FD"/>
    <w:rsid w:val="00CF74B0"/>
    <w:rsid w:val="00CF751B"/>
    <w:rsid w:val="00CF769D"/>
    <w:rsid w:val="00CF770E"/>
    <w:rsid w:val="00CF774A"/>
    <w:rsid w:val="00CF776C"/>
    <w:rsid w:val="00CF79E4"/>
    <w:rsid w:val="00CF7A4A"/>
    <w:rsid w:val="00CF7A4C"/>
    <w:rsid w:val="00CF7A62"/>
    <w:rsid w:val="00CF7B41"/>
    <w:rsid w:val="00CF7C07"/>
    <w:rsid w:val="00CF7CD8"/>
    <w:rsid w:val="00CF7E0C"/>
    <w:rsid w:val="00CF7E71"/>
    <w:rsid w:val="00CF7E80"/>
    <w:rsid w:val="00D00016"/>
    <w:rsid w:val="00D00052"/>
    <w:rsid w:val="00D000F1"/>
    <w:rsid w:val="00D00158"/>
    <w:rsid w:val="00D00189"/>
    <w:rsid w:val="00D00223"/>
    <w:rsid w:val="00D0022F"/>
    <w:rsid w:val="00D00364"/>
    <w:rsid w:val="00D00373"/>
    <w:rsid w:val="00D003C1"/>
    <w:rsid w:val="00D0048E"/>
    <w:rsid w:val="00D004D6"/>
    <w:rsid w:val="00D0071F"/>
    <w:rsid w:val="00D0080B"/>
    <w:rsid w:val="00D00814"/>
    <w:rsid w:val="00D00997"/>
    <w:rsid w:val="00D00B5F"/>
    <w:rsid w:val="00D00B8E"/>
    <w:rsid w:val="00D00D88"/>
    <w:rsid w:val="00D00DEC"/>
    <w:rsid w:val="00D00E59"/>
    <w:rsid w:val="00D00EA5"/>
    <w:rsid w:val="00D00F44"/>
    <w:rsid w:val="00D010F2"/>
    <w:rsid w:val="00D01155"/>
    <w:rsid w:val="00D01233"/>
    <w:rsid w:val="00D012D2"/>
    <w:rsid w:val="00D0135A"/>
    <w:rsid w:val="00D01362"/>
    <w:rsid w:val="00D01403"/>
    <w:rsid w:val="00D0147B"/>
    <w:rsid w:val="00D0154E"/>
    <w:rsid w:val="00D01557"/>
    <w:rsid w:val="00D015DD"/>
    <w:rsid w:val="00D01650"/>
    <w:rsid w:val="00D016F0"/>
    <w:rsid w:val="00D01757"/>
    <w:rsid w:val="00D01847"/>
    <w:rsid w:val="00D0188E"/>
    <w:rsid w:val="00D01906"/>
    <w:rsid w:val="00D0191C"/>
    <w:rsid w:val="00D019D8"/>
    <w:rsid w:val="00D01A1E"/>
    <w:rsid w:val="00D01A2F"/>
    <w:rsid w:val="00D01A4F"/>
    <w:rsid w:val="00D01AD4"/>
    <w:rsid w:val="00D01AE8"/>
    <w:rsid w:val="00D01C6A"/>
    <w:rsid w:val="00D02021"/>
    <w:rsid w:val="00D0205D"/>
    <w:rsid w:val="00D020F7"/>
    <w:rsid w:val="00D02127"/>
    <w:rsid w:val="00D02132"/>
    <w:rsid w:val="00D021C8"/>
    <w:rsid w:val="00D0231A"/>
    <w:rsid w:val="00D02385"/>
    <w:rsid w:val="00D02391"/>
    <w:rsid w:val="00D024CC"/>
    <w:rsid w:val="00D0257D"/>
    <w:rsid w:val="00D025AC"/>
    <w:rsid w:val="00D026CE"/>
    <w:rsid w:val="00D02735"/>
    <w:rsid w:val="00D027E9"/>
    <w:rsid w:val="00D02AF0"/>
    <w:rsid w:val="00D02B18"/>
    <w:rsid w:val="00D02B32"/>
    <w:rsid w:val="00D02B41"/>
    <w:rsid w:val="00D02B71"/>
    <w:rsid w:val="00D02B84"/>
    <w:rsid w:val="00D02C8F"/>
    <w:rsid w:val="00D02CEE"/>
    <w:rsid w:val="00D02D35"/>
    <w:rsid w:val="00D02DA5"/>
    <w:rsid w:val="00D02DD1"/>
    <w:rsid w:val="00D02EF6"/>
    <w:rsid w:val="00D0308A"/>
    <w:rsid w:val="00D03154"/>
    <w:rsid w:val="00D0315C"/>
    <w:rsid w:val="00D03181"/>
    <w:rsid w:val="00D031CC"/>
    <w:rsid w:val="00D032D0"/>
    <w:rsid w:val="00D03363"/>
    <w:rsid w:val="00D033A9"/>
    <w:rsid w:val="00D03498"/>
    <w:rsid w:val="00D034F4"/>
    <w:rsid w:val="00D0358A"/>
    <w:rsid w:val="00D0379C"/>
    <w:rsid w:val="00D03881"/>
    <w:rsid w:val="00D0391B"/>
    <w:rsid w:val="00D03941"/>
    <w:rsid w:val="00D039B3"/>
    <w:rsid w:val="00D03AC9"/>
    <w:rsid w:val="00D03B74"/>
    <w:rsid w:val="00D03CB6"/>
    <w:rsid w:val="00D03E6C"/>
    <w:rsid w:val="00D03EF8"/>
    <w:rsid w:val="00D03F6D"/>
    <w:rsid w:val="00D03FB2"/>
    <w:rsid w:val="00D03FF7"/>
    <w:rsid w:val="00D04022"/>
    <w:rsid w:val="00D04084"/>
    <w:rsid w:val="00D040DF"/>
    <w:rsid w:val="00D041F0"/>
    <w:rsid w:val="00D0447B"/>
    <w:rsid w:val="00D04560"/>
    <w:rsid w:val="00D04577"/>
    <w:rsid w:val="00D045CE"/>
    <w:rsid w:val="00D04694"/>
    <w:rsid w:val="00D046CA"/>
    <w:rsid w:val="00D04738"/>
    <w:rsid w:val="00D0478B"/>
    <w:rsid w:val="00D0478F"/>
    <w:rsid w:val="00D0480D"/>
    <w:rsid w:val="00D04844"/>
    <w:rsid w:val="00D0489D"/>
    <w:rsid w:val="00D0499D"/>
    <w:rsid w:val="00D049CD"/>
    <w:rsid w:val="00D04A7C"/>
    <w:rsid w:val="00D04D30"/>
    <w:rsid w:val="00D04E38"/>
    <w:rsid w:val="00D04E4C"/>
    <w:rsid w:val="00D04E7B"/>
    <w:rsid w:val="00D04F5B"/>
    <w:rsid w:val="00D05005"/>
    <w:rsid w:val="00D0531A"/>
    <w:rsid w:val="00D054A2"/>
    <w:rsid w:val="00D054FE"/>
    <w:rsid w:val="00D05530"/>
    <w:rsid w:val="00D055A5"/>
    <w:rsid w:val="00D0562C"/>
    <w:rsid w:val="00D05740"/>
    <w:rsid w:val="00D05787"/>
    <w:rsid w:val="00D0585C"/>
    <w:rsid w:val="00D058AE"/>
    <w:rsid w:val="00D05946"/>
    <w:rsid w:val="00D05B9E"/>
    <w:rsid w:val="00D05C35"/>
    <w:rsid w:val="00D05CA9"/>
    <w:rsid w:val="00D05EC1"/>
    <w:rsid w:val="00D05F58"/>
    <w:rsid w:val="00D0623F"/>
    <w:rsid w:val="00D062F0"/>
    <w:rsid w:val="00D06376"/>
    <w:rsid w:val="00D063CF"/>
    <w:rsid w:val="00D06507"/>
    <w:rsid w:val="00D06950"/>
    <w:rsid w:val="00D06AE6"/>
    <w:rsid w:val="00D06C2B"/>
    <w:rsid w:val="00D06C65"/>
    <w:rsid w:val="00D06C67"/>
    <w:rsid w:val="00D06C70"/>
    <w:rsid w:val="00D06D70"/>
    <w:rsid w:val="00D06E13"/>
    <w:rsid w:val="00D06E43"/>
    <w:rsid w:val="00D06E9C"/>
    <w:rsid w:val="00D06EB2"/>
    <w:rsid w:val="00D06ED5"/>
    <w:rsid w:val="00D06FC8"/>
    <w:rsid w:val="00D06FF0"/>
    <w:rsid w:val="00D07128"/>
    <w:rsid w:val="00D0712A"/>
    <w:rsid w:val="00D071CF"/>
    <w:rsid w:val="00D07412"/>
    <w:rsid w:val="00D075F9"/>
    <w:rsid w:val="00D07696"/>
    <w:rsid w:val="00D07793"/>
    <w:rsid w:val="00D078CD"/>
    <w:rsid w:val="00D079E1"/>
    <w:rsid w:val="00D079FD"/>
    <w:rsid w:val="00D07A05"/>
    <w:rsid w:val="00D07A97"/>
    <w:rsid w:val="00D07BF2"/>
    <w:rsid w:val="00D07C19"/>
    <w:rsid w:val="00D07E80"/>
    <w:rsid w:val="00D07EFC"/>
    <w:rsid w:val="00D07F40"/>
    <w:rsid w:val="00D10127"/>
    <w:rsid w:val="00D101AA"/>
    <w:rsid w:val="00D101B0"/>
    <w:rsid w:val="00D101FB"/>
    <w:rsid w:val="00D1025D"/>
    <w:rsid w:val="00D1035B"/>
    <w:rsid w:val="00D104A4"/>
    <w:rsid w:val="00D104D6"/>
    <w:rsid w:val="00D10507"/>
    <w:rsid w:val="00D1066B"/>
    <w:rsid w:val="00D107D9"/>
    <w:rsid w:val="00D107DA"/>
    <w:rsid w:val="00D107F1"/>
    <w:rsid w:val="00D1094C"/>
    <w:rsid w:val="00D10A15"/>
    <w:rsid w:val="00D10C3F"/>
    <w:rsid w:val="00D10CAD"/>
    <w:rsid w:val="00D10CBA"/>
    <w:rsid w:val="00D10CBC"/>
    <w:rsid w:val="00D10E4E"/>
    <w:rsid w:val="00D10EEC"/>
    <w:rsid w:val="00D10F15"/>
    <w:rsid w:val="00D10FB9"/>
    <w:rsid w:val="00D1101B"/>
    <w:rsid w:val="00D11099"/>
    <w:rsid w:val="00D111AD"/>
    <w:rsid w:val="00D1158E"/>
    <w:rsid w:val="00D116D4"/>
    <w:rsid w:val="00D11702"/>
    <w:rsid w:val="00D11727"/>
    <w:rsid w:val="00D117A4"/>
    <w:rsid w:val="00D1182C"/>
    <w:rsid w:val="00D11842"/>
    <w:rsid w:val="00D119AB"/>
    <w:rsid w:val="00D11AB3"/>
    <w:rsid w:val="00D11BED"/>
    <w:rsid w:val="00D11C30"/>
    <w:rsid w:val="00D11D0F"/>
    <w:rsid w:val="00D11D8C"/>
    <w:rsid w:val="00D11DDF"/>
    <w:rsid w:val="00D11E04"/>
    <w:rsid w:val="00D11E0D"/>
    <w:rsid w:val="00D11F18"/>
    <w:rsid w:val="00D11F84"/>
    <w:rsid w:val="00D120A1"/>
    <w:rsid w:val="00D1211F"/>
    <w:rsid w:val="00D12237"/>
    <w:rsid w:val="00D12375"/>
    <w:rsid w:val="00D1241B"/>
    <w:rsid w:val="00D12550"/>
    <w:rsid w:val="00D125E7"/>
    <w:rsid w:val="00D1263B"/>
    <w:rsid w:val="00D12918"/>
    <w:rsid w:val="00D1292C"/>
    <w:rsid w:val="00D12A54"/>
    <w:rsid w:val="00D12AD0"/>
    <w:rsid w:val="00D12BCD"/>
    <w:rsid w:val="00D12BDC"/>
    <w:rsid w:val="00D12BF9"/>
    <w:rsid w:val="00D12D4E"/>
    <w:rsid w:val="00D12EAC"/>
    <w:rsid w:val="00D12EE0"/>
    <w:rsid w:val="00D12EE6"/>
    <w:rsid w:val="00D12FB1"/>
    <w:rsid w:val="00D13005"/>
    <w:rsid w:val="00D13026"/>
    <w:rsid w:val="00D13028"/>
    <w:rsid w:val="00D13071"/>
    <w:rsid w:val="00D13119"/>
    <w:rsid w:val="00D13194"/>
    <w:rsid w:val="00D13199"/>
    <w:rsid w:val="00D1326D"/>
    <w:rsid w:val="00D133A8"/>
    <w:rsid w:val="00D134EA"/>
    <w:rsid w:val="00D1361B"/>
    <w:rsid w:val="00D1362A"/>
    <w:rsid w:val="00D1368A"/>
    <w:rsid w:val="00D137D1"/>
    <w:rsid w:val="00D1387F"/>
    <w:rsid w:val="00D1390D"/>
    <w:rsid w:val="00D13A6E"/>
    <w:rsid w:val="00D13B2C"/>
    <w:rsid w:val="00D13B3A"/>
    <w:rsid w:val="00D13C68"/>
    <w:rsid w:val="00D13C8D"/>
    <w:rsid w:val="00D13C94"/>
    <w:rsid w:val="00D13C99"/>
    <w:rsid w:val="00D13CC6"/>
    <w:rsid w:val="00D13D4D"/>
    <w:rsid w:val="00D13E99"/>
    <w:rsid w:val="00D13E9C"/>
    <w:rsid w:val="00D13F60"/>
    <w:rsid w:val="00D14082"/>
    <w:rsid w:val="00D1411D"/>
    <w:rsid w:val="00D14123"/>
    <w:rsid w:val="00D14151"/>
    <w:rsid w:val="00D1418A"/>
    <w:rsid w:val="00D141E3"/>
    <w:rsid w:val="00D14230"/>
    <w:rsid w:val="00D14231"/>
    <w:rsid w:val="00D14315"/>
    <w:rsid w:val="00D14320"/>
    <w:rsid w:val="00D1432E"/>
    <w:rsid w:val="00D14360"/>
    <w:rsid w:val="00D14417"/>
    <w:rsid w:val="00D144EF"/>
    <w:rsid w:val="00D145D7"/>
    <w:rsid w:val="00D14745"/>
    <w:rsid w:val="00D14784"/>
    <w:rsid w:val="00D14943"/>
    <w:rsid w:val="00D14A4D"/>
    <w:rsid w:val="00D14A9D"/>
    <w:rsid w:val="00D14BDD"/>
    <w:rsid w:val="00D14C6D"/>
    <w:rsid w:val="00D14D2F"/>
    <w:rsid w:val="00D14D9F"/>
    <w:rsid w:val="00D14F3F"/>
    <w:rsid w:val="00D14F59"/>
    <w:rsid w:val="00D14FFF"/>
    <w:rsid w:val="00D15075"/>
    <w:rsid w:val="00D15101"/>
    <w:rsid w:val="00D15298"/>
    <w:rsid w:val="00D15597"/>
    <w:rsid w:val="00D1559F"/>
    <w:rsid w:val="00D15654"/>
    <w:rsid w:val="00D156F6"/>
    <w:rsid w:val="00D15725"/>
    <w:rsid w:val="00D15B0D"/>
    <w:rsid w:val="00D15B12"/>
    <w:rsid w:val="00D15CB1"/>
    <w:rsid w:val="00D15D12"/>
    <w:rsid w:val="00D15DC7"/>
    <w:rsid w:val="00D15DCE"/>
    <w:rsid w:val="00D15E26"/>
    <w:rsid w:val="00D15E4A"/>
    <w:rsid w:val="00D15E51"/>
    <w:rsid w:val="00D15E82"/>
    <w:rsid w:val="00D15EF9"/>
    <w:rsid w:val="00D15F0B"/>
    <w:rsid w:val="00D15F3D"/>
    <w:rsid w:val="00D15F44"/>
    <w:rsid w:val="00D16015"/>
    <w:rsid w:val="00D160A3"/>
    <w:rsid w:val="00D160EE"/>
    <w:rsid w:val="00D1614B"/>
    <w:rsid w:val="00D1615A"/>
    <w:rsid w:val="00D161C9"/>
    <w:rsid w:val="00D16299"/>
    <w:rsid w:val="00D16344"/>
    <w:rsid w:val="00D1639D"/>
    <w:rsid w:val="00D1644D"/>
    <w:rsid w:val="00D164DC"/>
    <w:rsid w:val="00D165AD"/>
    <w:rsid w:val="00D166D6"/>
    <w:rsid w:val="00D16757"/>
    <w:rsid w:val="00D1677F"/>
    <w:rsid w:val="00D167E4"/>
    <w:rsid w:val="00D16806"/>
    <w:rsid w:val="00D169C6"/>
    <w:rsid w:val="00D16A3C"/>
    <w:rsid w:val="00D16A6D"/>
    <w:rsid w:val="00D16AA3"/>
    <w:rsid w:val="00D16B1E"/>
    <w:rsid w:val="00D16C7B"/>
    <w:rsid w:val="00D16CBC"/>
    <w:rsid w:val="00D16D2A"/>
    <w:rsid w:val="00D16D39"/>
    <w:rsid w:val="00D16D4D"/>
    <w:rsid w:val="00D16D94"/>
    <w:rsid w:val="00D16DFF"/>
    <w:rsid w:val="00D16E93"/>
    <w:rsid w:val="00D16EA2"/>
    <w:rsid w:val="00D16EFB"/>
    <w:rsid w:val="00D16F11"/>
    <w:rsid w:val="00D16F98"/>
    <w:rsid w:val="00D17004"/>
    <w:rsid w:val="00D17205"/>
    <w:rsid w:val="00D17327"/>
    <w:rsid w:val="00D17346"/>
    <w:rsid w:val="00D17611"/>
    <w:rsid w:val="00D177A2"/>
    <w:rsid w:val="00D17803"/>
    <w:rsid w:val="00D17832"/>
    <w:rsid w:val="00D1783D"/>
    <w:rsid w:val="00D178A1"/>
    <w:rsid w:val="00D178A8"/>
    <w:rsid w:val="00D178CD"/>
    <w:rsid w:val="00D179AF"/>
    <w:rsid w:val="00D179C8"/>
    <w:rsid w:val="00D17A9A"/>
    <w:rsid w:val="00D17AB3"/>
    <w:rsid w:val="00D17B0A"/>
    <w:rsid w:val="00D17B2B"/>
    <w:rsid w:val="00D17C5B"/>
    <w:rsid w:val="00D17E1D"/>
    <w:rsid w:val="00D17E20"/>
    <w:rsid w:val="00D17F3E"/>
    <w:rsid w:val="00D2011A"/>
    <w:rsid w:val="00D201B2"/>
    <w:rsid w:val="00D20268"/>
    <w:rsid w:val="00D202A9"/>
    <w:rsid w:val="00D202CD"/>
    <w:rsid w:val="00D202D6"/>
    <w:rsid w:val="00D202FF"/>
    <w:rsid w:val="00D20407"/>
    <w:rsid w:val="00D2053D"/>
    <w:rsid w:val="00D205C1"/>
    <w:rsid w:val="00D205EA"/>
    <w:rsid w:val="00D20844"/>
    <w:rsid w:val="00D208C1"/>
    <w:rsid w:val="00D208DD"/>
    <w:rsid w:val="00D20A63"/>
    <w:rsid w:val="00D20A94"/>
    <w:rsid w:val="00D20B60"/>
    <w:rsid w:val="00D20B7A"/>
    <w:rsid w:val="00D20C5A"/>
    <w:rsid w:val="00D20D39"/>
    <w:rsid w:val="00D20D6A"/>
    <w:rsid w:val="00D20D7D"/>
    <w:rsid w:val="00D20D8C"/>
    <w:rsid w:val="00D20D90"/>
    <w:rsid w:val="00D20F2F"/>
    <w:rsid w:val="00D20F50"/>
    <w:rsid w:val="00D210B9"/>
    <w:rsid w:val="00D210C0"/>
    <w:rsid w:val="00D21331"/>
    <w:rsid w:val="00D2138E"/>
    <w:rsid w:val="00D213D3"/>
    <w:rsid w:val="00D21474"/>
    <w:rsid w:val="00D21563"/>
    <w:rsid w:val="00D21754"/>
    <w:rsid w:val="00D21793"/>
    <w:rsid w:val="00D21811"/>
    <w:rsid w:val="00D2197F"/>
    <w:rsid w:val="00D21994"/>
    <w:rsid w:val="00D219FE"/>
    <w:rsid w:val="00D21AD0"/>
    <w:rsid w:val="00D21BFC"/>
    <w:rsid w:val="00D21C23"/>
    <w:rsid w:val="00D21D29"/>
    <w:rsid w:val="00D21F2B"/>
    <w:rsid w:val="00D2210D"/>
    <w:rsid w:val="00D22136"/>
    <w:rsid w:val="00D22235"/>
    <w:rsid w:val="00D22239"/>
    <w:rsid w:val="00D222F7"/>
    <w:rsid w:val="00D223E7"/>
    <w:rsid w:val="00D22401"/>
    <w:rsid w:val="00D22444"/>
    <w:rsid w:val="00D224C8"/>
    <w:rsid w:val="00D225AC"/>
    <w:rsid w:val="00D228A9"/>
    <w:rsid w:val="00D22BE8"/>
    <w:rsid w:val="00D22C89"/>
    <w:rsid w:val="00D22DDE"/>
    <w:rsid w:val="00D22DE3"/>
    <w:rsid w:val="00D22DF9"/>
    <w:rsid w:val="00D22E3D"/>
    <w:rsid w:val="00D232B0"/>
    <w:rsid w:val="00D23329"/>
    <w:rsid w:val="00D2336A"/>
    <w:rsid w:val="00D234DD"/>
    <w:rsid w:val="00D235D1"/>
    <w:rsid w:val="00D23626"/>
    <w:rsid w:val="00D23728"/>
    <w:rsid w:val="00D23736"/>
    <w:rsid w:val="00D237D2"/>
    <w:rsid w:val="00D238B0"/>
    <w:rsid w:val="00D239A6"/>
    <w:rsid w:val="00D23A8C"/>
    <w:rsid w:val="00D23BD8"/>
    <w:rsid w:val="00D23DC4"/>
    <w:rsid w:val="00D23E2E"/>
    <w:rsid w:val="00D23E4F"/>
    <w:rsid w:val="00D23ECB"/>
    <w:rsid w:val="00D23F8C"/>
    <w:rsid w:val="00D23FEE"/>
    <w:rsid w:val="00D240EA"/>
    <w:rsid w:val="00D2426D"/>
    <w:rsid w:val="00D2428F"/>
    <w:rsid w:val="00D24335"/>
    <w:rsid w:val="00D24339"/>
    <w:rsid w:val="00D24510"/>
    <w:rsid w:val="00D24534"/>
    <w:rsid w:val="00D24559"/>
    <w:rsid w:val="00D24566"/>
    <w:rsid w:val="00D245EC"/>
    <w:rsid w:val="00D24744"/>
    <w:rsid w:val="00D24779"/>
    <w:rsid w:val="00D24841"/>
    <w:rsid w:val="00D24846"/>
    <w:rsid w:val="00D249B1"/>
    <w:rsid w:val="00D24A01"/>
    <w:rsid w:val="00D24A0A"/>
    <w:rsid w:val="00D24A58"/>
    <w:rsid w:val="00D24B30"/>
    <w:rsid w:val="00D24CEF"/>
    <w:rsid w:val="00D24DCE"/>
    <w:rsid w:val="00D24DF9"/>
    <w:rsid w:val="00D24E1D"/>
    <w:rsid w:val="00D24FA2"/>
    <w:rsid w:val="00D250F1"/>
    <w:rsid w:val="00D251ED"/>
    <w:rsid w:val="00D25422"/>
    <w:rsid w:val="00D25555"/>
    <w:rsid w:val="00D25567"/>
    <w:rsid w:val="00D255A0"/>
    <w:rsid w:val="00D255DC"/>
    <w:rsid w:val="00D25885"/>
    <w:rsid w:val="00D25939"/>
    <w:rsid w:val="00D259BE"/>
    <w:rsid w:val="00D25A90"/>
    <w:rsid w:val="00D25B77"/>
    <w:rsid w:val="00D25C2B"/>
    <w:rsid w:val="00D25F3D"/>
    <w:rsid w:val="00D2608C"/>
    <w:rsid w:val="00D260E7"/>
    <w:rsid w:val="00D261B4"/>
    <w:rsid w:val="00D261F3"/>
    <w:rsid w:val="00D26323"/>
    <w:rsid w:val="00D26419"/>
    <w:rsid w:val="00D26497"/>
    <w:rsid w:val="00D264CA"/>
    <w:rsid w:val="00D265A8"/>
    <w:rsid w:val="00D265B2"/>
    <w:rsid w:val="00D26633"/>
    <w:rsid w:val="00D26700"/>
    <w:rsid w:val="00D2685D"/>
    <w:rsid w:val="00D2692A"/>
    <w:rsid w:val="00D269E4"/>
    <w:rsid w:val="00D269EE"/>
    <w:rsid w:val="00D26AEA"/>
    <w:rsid w:val="00D26BFE"/>
    <w:rsid w:val="00D26C4E"/>
    <w:rsid w:val="00D26C88"/>
    <w:rsid w:val="00D26CBD"/>
    <w:rsid w:val="00D26D11"/>
    <w:rsid w:val="00D26D3C"/>
    <w:rsid w:val="00D26DCD"/>
    <w:rsid w:val="00D26F31"/>
    <w:rsid w:val="00D2703C"/>
    <w:rsid w:val="00D270AD"/>
    <w:rsid w:val="00D27220"/>
    <w:rsid w:val="00D27284"/>
    <w:rsid w:val="00D273B2"/>
    <w:rsid w:val="00D273B4"/>
    <w:rsid w:val="00D273DE"/>
    <w:rsid w:val="00D27523"/>
    <w:rsid w:val="00D2756C"/>
    <w:rsid w:val="00D275E5"/>
    <w:rsid w:val="00D276F5"/>
    <w:rsid w:val="00D2773C"/>
    <w:rsid w:val="00D277A3"/>
    <w:rsid w:val="00D27844"/>
    <w:rsid w:val="00D278CF"/>
    <w:rsid w:val="00D2790C"/>
    <w:rsid w:val="00D27A8C"/>
    <w:rsid w:val="00D27F1B"/>
    <w:rsid w:val="00D27F2B"/>
    <w:rsid w:val="00D27F85"/>
    <w:rsid w:val="00D27F93"/>
    <w:rsid w:val="00D2FD85"/>
    <w:rsid w:val="00D30073"/>
    <w:rsid w:val="00D300AA"/>
    <w:rsid w:val="00D302EF"/>
    <w:rsid w:val="00D30493"/>
    <w:rsid w:val="00D3065F"/>
    <w:rsid w:val="00D3077A"/>
    <w:rsid w:val="00D307E5"/>
    <w:rsid w:val="00D30817"/>
    <w:rsid w:val="00D30990"/>
    <w:rsid w:val="00D30A66"/>
    <w:rsid w:val="00D30E7C"/>
    <w:rsid w:val="00D30EC4"/>
    <w:rsid w:val="00D3106F"/>
    <w:rsid w:val="00D310E5"/>
    <w:rsid w:val="00D3116F"/>
    <w:rsid w:val="00D31173"/>
    <w:rsid w:val="00D3121C"/>
    <w:rsid w:val="00D3125C"/>
    <w:rsid w:val="00D31555"/>
    <w:rsid w:val="00D31615"/>
    <w:rsid w:val="00D31720"/>
    <w:rsid w:val="00D31725"/>
    <w:rsid w:val="00D319BF"/>
    <w:rsid w:val="00D31A06"/>
    <w:rsid w:val="00D31A0C"/>
    <w:rsid w:val="00D31A3B"/>
    <w:rsid w:val="00D31A50"/>
    <w:rsid w:val="00D31A7C"/>
    <w:rsid w:val="00D31BCD"/>
    <w:rsid w:val="00D31BD1"/>
    <w:rsid w:val="00D31C23"/>
    <w:rsid w:val="00D31DCC"/>
    <w:rsid w:val="00D31E44"/>
    <w:rsid w:val="00D31E8E"/>
    <w:rsid w:val="00D31EC6"/>
    <w:rsid w:val="00D31F57"/>
    <w:rsid w:val="00D31FBB"/>
    <w:rsid w:val="00D31FDF"/>
    <w:rsid w:val="00D3200D"/>
    <w:rsid w:val="00D32061"/>
    <w:rsid w:val="00D32188"/>
    <w:rsid w:val="00D321B2"/>
    <w:rsid w:val="00D3221B"/>
    <w:rsid w:val="00D32326"/>
    <w:rsid w:val="00D3244E"/>
    <w:rsid w:val="00D32507"/>
    <w:rsid w:val="00D3258E"/>
    <w:rsid w:val="00D325A4"/>
    <w:rsid w:val="00D325C2"/>
    <w:rsid w:val="00D325C8"/>
    <w:rsid w:val="00D326CD"/>
    <w:rsid w:val="00D32740"/>
    <w:rsid w:val="00D3277E"/>
    <w:rsid w:val="00D32825"/>
    <w:rsid w:val="00D32860"/>
    <w:rsid w:val="00D32B1A"/>
    <w:rsid w:val="00D32BC5"/>
    <w:rsid w:val="00D32C35"/>
    <w:rsid w:val="00D32C3E"/>
    <w:rsid w:val="00D32F09"/>
    <w:rsid w:val="00D32F11"/>
    <w:rsid w:val="00D32F63"/>
    <w:rsid w:val="00D33090"/>
    <w:rsid w:val="00D331C2"/>
    <w:rsid w:val="00D3337E"/>
    <w:rsid w:val="00D33445"/>
    <w:rsid w:val="00D33446"/>
    <w:rsid w:val="00D335F8"/>
    <w:rsid w:val="00D3367F"/>
    <w:rsid w:val="00D3368E"/>
    <w:rsid w:val="00D337DD"/>
    <w:rsid w:val="00D33893"/>
    <w:rsid w:val="00D338C6"/>
    <w:rsid w:val="00D339E0"/>
    <w:rsid w:val="00D33ABD"/>
    <w:rsid w:val="00D33B48"/>
    <w:rsid w:val="00D33B5E"/>
    <w:rsid w:val="00D33C42"/>
    <w:rsid w:val="00D33C6D"/>
    <w:rsid w:val="00D33CC4"/>
    <w:rsid w:val="00D33D08"/>
    <w:rsid w:val="00D33E83"/>
    <w:rsid w:val="00D33F40"/>
    <w:rsid w:val="00D33FFF"/>
    <w:rsid w:val="00D34075"/>
    <w:rsid w:val="00D34162"/>
    <w:rsid w:val="00D344E0"/>
    <w:rsid w:val="00D34516"/>
    <w:rsid w:val="00D34534"/>
    <w:rsid w:val="00D34579"/>
    <w:rsid w:val="00D3459D"/>
    <w:rsid w:val="00D346EC"/>
    <w:rsid w:val="00D34839"/>
    <w:rsid w:val="00D3488C"/>
    <w:rsid w:val="00D34898"/>
    <w:rsid w:val="00D348AE"/>
    <w:rsid w:val="00D34984"/>
    <w:rsid w:val="00D34A76"/>
    <w:rsid w:val="00D34A7A"/>
    <w:rsid w:val="00D34AE3"/>
    <w:rsid w:val="00D34B0A"/>
    <w:rsid w:val="00D34B4A"/>
    <w:rsid w:val="00D34C16"/>
    <w:rsid w:val="00D34C50"/>
    <w:rsid w:val="00D34C6F"/>
    <w:rsid w:val="00D34CDC"/>
    <w:rsid w:val="00D34DA5"/>
    <w:rsid w:val="00D34DFD"/>
    <w:rsid w:val="00D34E14"/>
    <w:rsid w:val="00D34E2A"/>
    <w:rsid w:val="00D34F32"/>
    <w:rsid w:val="00D34F39"/>
    <w:rsid w:val="00D35223"/>
    <w:rsid w:val="00D3522E"/>
    <w:rsid w:val="00D353CD"/>
    <w:rsid w:val="00D353F0"/>
    <w:rsid w:val="00D3542D"/>
    <w:rsid w:val="00D3553D"/>
    <w:rsid w:val="00D355A1"/>
    <w:rsid w:val="00D355C0"/>
    <w:rsid w:val="00D35633"/>
    <w:rsid w:val="00D3575C"/>
    <w:rsid w:val="00D35770"/>
    <w:rsid w:val="00D35778"/>
    <w:rsid w:val="00D358B2"/>
    <w:rsid w:val="00D359B2"/>
    <w:rsid w:val="00D35ADE"/>
    <w:rsid w:val="00D35B11"/>
    <w:rsid w:val="00D35DAF"/>
    <w:rsid w:val="00D35DD3"/>
    <w:rsid w:val="00D35DF9"/>
    <w:rsid w:val="00D35E98"/>
    <w:rsid w:val="00D35EE0"/>
    <w:rsid w:val="00D35EEB"/>
    <w:rsid w:val="00D36010"/>
    <w:rsid w:val="00D36542"/>
    <w:rsid w:val="00D365F2"/>
    <w:rsid w:val="00D36609"/>
    <w:rsid w:val="00D3660E"/>
    <w:rsid w:val="00D36905"/>
    <w:rsid w:val="00D3692C"/>
    <w:rsid w:val="00D369DB"/>
    <w:rsid w:val="00D36BBA"/>
    <w:rsid w:val="00D36C7C"/>
    <w:rsid w:val="00D36CC5"/>
    <w:rsid w:val="00D36DAF"/>
    <w:rsid w:val="00D36E02"/>
    <w:rsid w:val="00D36E1F"/>
    <w:rsid w:val="00D36E70"/>
    <w:rsid w:val="00D36EC4"/>
    <w:rsid w:val="00D36F43"/>
    <w:rsid w:val="00D3700F"/>
    <w:rsid w:val="00D370A5"/>
    <w:rsid w:val="00D37168"/>
    <w:rsid w:val="00D372C9"/>
    <w:rsid w:val="00D372CA"/>
    <w:rsid w:val="00D37327"/>
    <w:rsid w:val="00D37370"/>
    <w:rsid w:val="00D37459"/>
    <w:rsid w:val="00D374D0"/>
    <w:rsid w:val="00D3756A"/>
    <w:rsid w:val="00D375A2"/>
    <w:rsid w:val="00D3763F"/>
    <w:rsid w:val="00D376DB"/>
    <w:rsid w:val="00D377D2"/>
    <w:rsid w:val="00D37B54"/>
    <w:rsid w:val="00D37C8D"/>
    <w:rsid w:val="00D37CC5"/>
    <w:rsid w:val="00D37CE3"/>
    <w:rsid w:val="00D37D4E"/>
    <w:rsid w:val="00D37EFC"/>
    <w:rsid w:val="00D37FB1"/>
    <w:rsid w:val="00D4009B"/>
    <w:rsid w:val="00D4024B"/>
    <w:rsid w:val="00D40315"/>
    <w:rsid w:val="00D4042E"/>
    <w:rsid w:val="00D404FA"/>
    <w:rsid w:val="00D405B8"/>
    <w:rsid w:val="00D40773"/>
    <w:rsid w:val="00D40886"/>
    <w:rsid w:val="00D40913"/>
    <w:rsid w:val="00D4097F"/>
    <w:rsid w:val="00D40A3F"/>
    <w:rsid w:val="00D40BE4"/>
    <w:rsid w:val="00D40E4A"/>
    <w:rsid w:val="00D40EC1"/>
    <w:rsid w:val="00D40F2B"/>
    <w:rsid w:val="00D41042"/>
    <w:rsid w:val="00D41065"/>
    <w:rsid w:val="00D412BE"/>
    <w:rsid w:val="00D412C1"/>
    <w:rsid w:val="00D41312"/>
    <w:rsid w:val="00D4133F"/>
    <w:rsid w:val="00D41493"/>
    <w:rsid w:val="00D414B7"/>
    <w:rsid w:val="00D41526"/>
    <w:rsid w:val="00D41528"/>
    <w:rsid w:val="00D416A0"/>
    <w:rsid w:val="00D41830"/>
    <w:rsid w:val="00D41852"/>
    <w:rsid w:val="00D4187B"/>
    <w:rsid w:val="00D418A5"/>
    <w:rsid w:val="00D418DA"/>
    <w:rsid w:val="00D41997"/>
    <w:rsid w:val="00D419A5"/>
    <w:rsid w:val="00D419BC"/>
    <w:rsid w:val="00D41A3C"/>
    <w:rsid w:val="00D41A45"/>
    <w:rsid w:val="00D41A5D"/>
    <w:rsid w:val="00D41B5E"/>
    <w:rsid w:val="00D41D33"/>
    <w:rsid w:val="00D41E90"/>
    <w:rsid w:val="00D41F5C"/>
    <w:rsid w:val="00D42139"/>
    <w:rsid w:val="00D42167"/>
    <w:rsid w:val="00D421C0"/>
    <w:rsid w:val="00D42254"/>
    <w:rsid w:val="00D42262"/>
    <w:rsid w:val="00D42265"/>
    <w:rsid w:val="00D422A3"/>
    <w:rsid w:val="00D422C6"/>
    <w:rsid w:val="00D422E5"/>
    <w:rsid w:val="00D422F1"/>
    <w:rsid w:val="00D4234D"/>
    <w:rsid w:val="00D423CD"/>
    <w:rsid w:val="00D423DB"/>
    <w:rsid w:val="00D42423"/>
    <w:rsid w:val="00D4253C"/>
    <w:rsid w:val="00D425D2"/>
    <w:rsid w:val="00D425DD"/>
    <w:rsid w:val="00D4264A"/>
    <w:rsid w:val="00D4273F"/>
    <w:rsid w:val="00D427B6"/>
    <w:rsid w:val="00D42818"/>
    <w:rsid w:val="00D4281A"/>
    <w:rsid w:val="00D4281D"/>
    <w:rsid w:val="00D429F5"/>
    <w:rsid w:val="00D42B52"/>
    <w:rsid w:val="00D42BD7"/>
    <w:rsid w:val="00D42D42"/>
    <w:rsid w:val="00D42E4F"/>
    <w:rsid w:val="00D42EB6"/>
    <w:rsid w:val="00D42F2C"/>
    <w:rsid w:val="00D42F62"/>
    <w:rsid w:val="00D4301B"/>
    <w:rsid w:val="00D4311A"/>
    <w:rsid w:val="00D43218"/>
    <w:rsid w:val="00D4324E"/>
    <w:rsid w:val="00D432B5"/>
    <w:rsid w:val="00D432F6"/>
    <w:rsid w:val="00D4337D"/>
    <w:rsid w:val="00D4369D"/>
    <w:rsid w:val="00D43702"/>
    <w:rsid w:val="00D4370A"/>
    <w:rsid w:val="00D4373D"/>
    <w:rsid w:val="00D438DB"/>
    <w:rsid w:val="00D439B3"/>
    <w:rsid w:val="00D43A25"/>
    <w:rsid w:val="00D43BA7"/>
    <w:rsid w:val="00D43C43"/>
    <w:rsid w:val="00D43C81"/>
    <w:rsid w:val="00D43E07"/>
    <w:rsid w:val="00D43F63"/>
    <w:rsid w:val="00D43FB5"/>
    <w:rsid w:val="00D440FB"/>
    <w:rsid w:val="00D441A0"/>
    <w:rsid w:val="00D4426A"/>
    <w:rsid w:val="00D4428E"/>
    <w:rsid w:val="00D443F4"/>
    <w:rsid w:val="00D4457E"/>
    <w:rsid w:val="00D44596"/>
    <w:rsid w:val="00D44597"/>
    <w:rsid w:val="00D447F4"/>
    <w:rsid w:val="00D4490B"/>
    <w:rsid w:val="00D44936"/>
    <w:rsid w:val="00D449BD"/>
    <w:rsid w:val="00D44A0E"/>
    <w:rsid w:val="00D44AB1"/>
    <w:rsid w:val="00D44C3D"/>
    <w:rsid w:val="00D44CB4"/>
    <w:rsid w:val="00D44E94"/>
    <w:rsid w:val="00D44EB6"/>
    <w:rsid w:val="00D44EBF"/>
    <w:rsid w:val="00D44F5F"/>
    <w:rsid w:val="00D44FAD"/>
    <w:rsid w:val="00D45046"/>
    <w:rsid w:val="00D450A1"/>
    <w:rsid w:val="00D45124"/>
    <w:rsid w:val="00D45145"/>
    <w:rsid w:val="00D4531F"/>
    <w:rsid w:val="00D4538F"/>
    <w:rsid w:val="00D4549A"/>
    <w:rsid w:val="00D4569A"/>
    <w:rsid w:val="00D456CF"/>
    <w:rsid w:val="00D4574A"/>
    <w:rsid w:val="00D4584F"/>
    <w:rsid w:val="00D4590A"/>
    <w:rsid w:val="00D4595C"/>
    <w:rsid w:val="00D459CD"/>
    <w:rsid w:val="00D45A61"/>
    <w:rsid w:val="00D45A87"/>
    <w:rsid w:val="00D45AC7"/>
    <w:rsid w:val="00D45B5B"/>
    <w:rsid w:val="00D45BAA"/>
    <w:rsid w:val="00D45C3C"/>
    <w:rsid w:val="00D46018"/>
    <w:rsid w:val="00D46214"/>
    <w:rsid w:val="00D4625B"/>
    <w:rsid w:val="00D463F5"/>
    <w:rsid w:val="00D46420"/>
    <w:rsid w:val="00D4649D"/>
    <w:rsid w:val="00D46543"/>
    <w:rsid w:val="00D465E6"/>
    <w:rsid w:val="00D46630"/>
    <w:rsid w:val="00D4667B"/>
    <w:rsid w:val="00D467E8"/>
    <w:rsid w:val="00D46838"/>
    <w:rsid w:val="00D4697F"/>
    <w:rsid w:val="00D46994"/>
    <w:rsid w:val="00D46A7F"/>
    <w:rsid w:val="00D46AAE"/>
    <w:rsid w:val="00D46BC6"/>
    <w:rsid w:val="00D46D0A"/>
    <w:rsid w:val="00D46D3F"/>
    <w:rsid w:val="00D46D75"/>
    <w:rsid w:val="00D46DBC"/>
    <w:rsid w:val="00D46DE5"/>
    <w:rsid w:val="00D470E9"/>
    <w:rsid w:val="00D471C2"/>
    <w:rsid w:val="00D4727A"/>
    <w:rsid w:val="00D47306"/>
    <w:rsid w:val="00D4731C"/>
    <w:rsid w:val="00D473CC"/>
    <w:rsid w:val="00D474B9"/>
    <w:rsid w:val="00D47523"/>
    <w:rsid w:val="00D47589"/>
    <w:rsid w:val="00D477C8"/>
    <w:rsid w:val="00D4781D"/>
    <w:rsid w:val="00D47921"/>
    <w:rsid w:val="00D47A06"/>
    <w:rsid w:val="00D47A33"/>
    <w:rsid w:val="00D47AA4"/>
    <w:rsid w:val="00D47BBD"/>
    <w:rsid w:val="00D47BFF"/>
    <w:rsid w:val="00D47E38"/>
    <w:rsid w:val="00D47EBB"/>
    <w:rsid w:val="00D47F02"/>
    <w:rsid w:val="00D47F84"/>
    <w:rsid w:val="00D5004F"/>
    <w:rsid w:val="00D50080"/>
    <w:rsid w:val="00D500F9"/>
    <w:rsid w:val="00D50127"/>
    <w:rsid w:val="00D5017A"/>
    <w:rsid w:val="00D501D3"/>
    <w:rsid w:val="00D50222"/>
    <w:rsid w:val="00D5028D"/>
    <w:rsid w:val="00D505AD"/>
    <w:rsid w:val="00D505F1"/>
    <w:rsid w:val="00D50744"/>
    <w:rsid w:val="00D5083D"/>
    <w:rsid w:val="00D50867"/>
    <w:rsid w:val="00D50919"/>
    <w:rsid w:val="00D509BC"/>
    <w:rsid w:val="00D509C4"/>
    <w:rsid w:val="00D50A7E"/>
    <w:rsid w:val="00D50B96"/>
    <w:rsid w:val="00D50C30"/>
    <w:rsid w:val="00D50D2F"/>
    <w:rsid w:val="00D50D37"/>
    <w:rsid w:val="00D50D3E"/>
    <w:rsid w:val="00D50E13"/>
    <w:rsid w:val="00D50E2E"/>
    <w:rsid w:val="00D50E47"/>
    <w:rsid w:val="00D50EF6"/>
    <w:rsid w:val="00D51017"/>
    <w:rsid w:val="00D51044"/>
    <w:rsid w:val="00D51054"/>
    <w:rsid w:val="00D510E4"/>
    <w:rsid w:val="00D511A2"/>
    <w:rsid w:val="00D51296"/>
    <w:rsid w:val="00D51307"/>
    <w:rsid w:val="00D51322"/>
    <w:rsid w:val="00D5133C"/>
    <w:rsid w:val="00D514B5"/>
    <w:rsid w:val="00D514BC"/>
    <w:rsid w:val="00D51512"/>
    <w:rsid w:val="00D515C9"/>
    <w:rsid w:val="00D515D9"/>
    <w:rsid w:val="00D51673"/>
    <w:rsid w:val="00D516B0"/>
    <w:rsid w:val="00D516FE"/>
    <w:rsid w:val="00D5178A"/>
    <w:rsid w:val="00D5182A"/>
    <w:rsid w:val="00D51866"/>
    <w:rsid w:val="00D51898"/>
    <w:rsid w:val="00D518E0"/>
    <w:rsid w:val="00D51953"/>
    <w:rsid w:val="00D51A3B"/>
    <w:rsid w:val="00D51A8D"/>
    <w:rsid w:val="00D51ADD"/>
    <w:rsid w:val="00D51C04"/>
    <w:rsid w:val="00D51C99"/>
    <w:rsid w:val="00D51D8D"/>
    <w:rsid w:val="00D51DD2"/>
    <w:rsid w:val="00D51F13"/>
    <w:rsid w:val="00D52146"/>
    <w:rsid w:val="00D5219B"/>
    <w:rsid w:val="00D52210"/>
    <w:rsid w:val="00D52214"/>
    <w:rsid w:val="00D5233A"/>
    <w:rsid w:val="00D52388"/>
    <w:rsid w:val="00D52425"/>
    <w:rsid w:val="00D5242E"/>
    <w:rsid w:val="00D524CD"/>
    <w:rsid w:val="00D52597"/>
    <w:rsid w:val="00D526A2"/>
    <w:rsid w:val="00D5286B"/>
    <w:rsid w:val="00D528FB"/>
    <w:rsid w:val="00D52B4B"/>
    <w:rsid w:val="00D52B5A"/>
    <w:rsid w:val="00D52BD3"/>
    <w:rsid w:val="00D52C4D"/>
    <w:rsid w:val="00D52CAD"/>
    <w:rsid w:val="00D52E56"/>
    <w:rsid w:val="00D52E95"/>
    <w:rsid w:val="00D53008"/>
    <w:rsid w:val="00D53250"/>
    <w:rsid w:val="00D53441"/>
    <w:rsid w:val="00D53549"/>
    <w:rsid w:val="00D535B5"/>
    <w:rsid w:val="00D538DF"/>
    <w:rsid w:val="00D53994"/>
    <w:rsid w:val="00D53AA5"/>
    <w:rsid w:val="00D53B1D"/>
    <w:rsid w:val="00D53C3E"/>
    <w:rsid w:val="00D53E91"/>
    <w:rsid w:val="00D53EC6"/>
    <w:rsid w:val="00D53F5E"/>
    <w:rsid w:val="00D54139"/>
    <w:rsid w:val="00D542D9"/>
    <w:rsid w:val="00D54384"/>
    <w:rsid w:val="00D54480"/>
    <w:rsid w:val="00D544D9"/>
    <w:rsid w:val="00D54686"/>
    <w:rsid w:val="00D54712"/>
    <w:rsid w:val="00D54868"/>
    <w:rsid w:val="00D54B6B"/>
    <w:rsid w:val="00D54D16"/>
    <w:rsid w:val="00D54D55"/>
    <w:rsid w:val="00D54E14"/>
    <w:rsid w:val="00D54F05"/>
    <w:rsid w:val="00D54F91"/>
    <w:rsid w:val="00D5500B"/>
    <w:rsid w:val="00D550BA"/>
    <w:rsid w:val="00D5511E"/>
    <w:rsid w:val="00D55154"/>
    <w:rsid w:val="00D55196"/>
    <w:rsid w:val="00D5538B"/>
    <w:rsid w:val="00D553EF"/>
    <w:rsid w:val="00D55470"/>
    <w:rsid w:val="00D554D6"/>
    <w:rsid w:val="00D55505"/>
    <w:rsid w:val="00D55526"/>
    <w:rsid w:val="00D55556"/>
    <w:rsid w:val="00D55665"/>
    <w:rsid w:val="00D55695"/>
    <w:rsid w:val="00D5575E"/>
    <w:rsid w:val="00D5576E"/>
    <w:rsid w:val="00D557C6"/>
    <w:rsid w:val="00D55918"/>
    <w:rsid w:val="00D55BBA"/>
    <w:rsid w:val="00D55BDB"/>
    <w:rsid w:val="00D55BF8"/>
    <w:rsid w:val="00D55C48"/>
    <w:rsid w:val="00D55C84"/>
    <w:rsid w:val="00D55DFC"/>
    <w:rsid w:val="00D55E3B"/>
    <w:rsid w:val="00D55EA6"/>
    <w:rsid w:val="00D560CF"/>
    <w:rsid w:val="00D5626C"/>
    <w:rsid w:val="00D562F9"/>
    <w:rsid w:val="00D56504"/>
    <w:rsid w:val="00D566BC"/>
    <w:rsid w:val="00D5671C"/>
    <w:rsid w:val="00D567AD"/>
    <w:rsid w:val="00D56B04"/>
    <w:rsid w:val="00D56B59"/>
    <w:rsid w:val="00D56B62"/>
    <w:rsid w:val="00D56C7F"/>
    <w:rsid w:val="00D56CC0"/>
    <w:rsid w:val="00D56E20"/>
    <w:rsid w:val="00D56E4F"/>
    <w:rsid w:val="00D56EAC"/>
    <w:rsid w:val="00D56F49"/>
    <w:rsid w:val="00D56FCB"/>
    <w:rsid w:val="00D56FE9"/>
    <w:rsid w:val="00D5703D"/>
    <w:rsid w:val="00D570ED"/>
    <w:rsid w:val="00D572E0"/>
    <w:rsid w:val="00D573E1"/>
    <w:rsid w:val="00D5756D"/>
    <w:rsid w:val="00D5783B"/>
    <w:rsid w:val="00D5785F"/>
    <w:rsid w:val="00D57861"/>
    <w:rsid w:val="00D5794A"/>
    <w:rsid w:val="00D57A14"/>
    <w:rsid w:val="00D57B40"/>
    <w:rsid w:val="00D57BA2"/>
    <w:rsid w:val="00D57BCE"/>
    <w:rsid w:val="00D57BF0"/>
    <w:rsid w:val="00D57C22"/>
    <w:rsid w:val="00D57E90"/>
    <w:rsid w:val="00D57EF9"/>
    <w:rsid w:val="00D60014"/>
    <w:rsid w:val="00D600DC"/>
    <w:rsid w:val="00D601FB"/>
    <w:rsid w:val="00D6023C"/>
    <w:rsid w:val="00D602A6"/>
    <w:rsid w:val="00D603DC"/>
    <w:rsid w:val="00D603FB"/>
    <w:rsid w:val="00D6057D"/>
    <w:rsid w:val="00D6058B"/>
    <w:rsid w:val="00D6064B"/>
    <w:rsid w:val="00D60667"/>
    <w:rsid w:val="00D606EF"/>
    <w:rsid w:val="00D60788"/>
    <w:rsid w:val="00D607B1"/>
    <w:rsid w:val="00D60809"/>
    <w:rsid w:val="00D6080C"/>
    <w:rsid w:val="00D608A4"/>
    <w:rsid w:val="00D608E9"/>
    <w:rsid w:val="00D60A0B"/>
    <w:rsid w:val="00D60A1B"/>
    <w:rsid w:val="00D60A88"/>
    <w:rsid w:val="00D60AC7"/>
    <w:rsid w:val="00D60B3A"/>
    <w:rsid w:val="00D60C24"/>
    <w:rsid w:val="00D60C4A"/>
    <w:rsid w:val="00D60C76"/>
    <w:rsid w:val="00D60CBF"/>
    <w:rsid w:val="00D60D72"/>
    <w:rsid w:val="00D60E17"/>
    <w:rsid w:val="00D60E77"/>
    <w:rsid w:val="00D60F22"/>
    <w:rsid w:val="00D60F38"/>
    <w:rsid w:val="00D61084"/>
    <w:rsid w:val="00D610D8"/>
    <w:rsid w:val="00D61244"/>
    <w:rsid w:val="00D612CC"/>
    <w:rsid w:val="00D61351"/>
    <w:rsid w:val="00D613D5"/>
    <w:rsid w:val="00D6142E"/>
    <w:rsid w:val="00D6144D"/>
    <w:rsid w:val="00D6154B"/>
    <w:rsid w:val="00D61586"/>
    <w:rsid w:val="00D61812"/>
    <w:rsid w:val="00D618C3"/>
    <w:rsid w:val="00D618FE"/>
    <w:rsid w:val="00D61A62"/>
    <w:rsid w:val="00D61AAA"/>
    <w:rsid w:val="00D61AB4"/>
    <w:rsid w:val="00D61B1A"/>
    <w:rsid w:val="00D61B6F"/>
    <w:rsid w:val="00D61B97"/>
    <w:rsid w:val="00D61C48"/>
    <w:rsid w:val="00D61D17"/>
    <w:rsid w:val="00D61E03"/>
    <w:rsid w:val="00D61E10"/>
    <w:rsid w:val="00D61E89"/>
    <w:rsid w:val="00D61E91"/>
    <w:rsid w:val="00D61EA5"/>
    <w:rsid w:val="00D621FC"/>
    <w:rsid w:val="00D6223F"/>
    <w:rsid w:val="00D62255"/>
    <w:rsid w:val="00D6229B"/>
    <w:rsid w:val="00D62408"/>
    <w:rsid w:val="00D62472"/>
    <w:rsid w:val="00D625F0"/>
    <w:rsid w:val="00D62603"/>
    <w:rsid w:val="00D62638"/>
    <w:rsid w:val="00D6265B"/>
    <w:rsid w:val="00D626FD"/>
    <w:rsid w:val="00D62707"/>
    <w:rsid w:val="00D62726"/>
    <w:rsid w:val="00D628A0"/>
    <w:rsid w:val="00D62983"/>
    <w:rsid w:val="00D62991"/>
    <w:rsid w:val="00D629AF"/>
    <w:rsid w:val="00D629B0"/>
    <w:rsid w:val="00D62B80"/>
    <w:rsid w:val="00D62BC1"/>
    <w:rsid w:val="00D62C06"/>
    <w:rsid w:val="00D62C0E"/>
    <w:rsid w:val="00D62D90"/>
    <w:rsid w:val="00D62DA8"/>
    <w:rsid w:val="00D62EC9"/>
    <w:rsid w:val="00D63198"/>
    <w:rsid w:val="00D631FF"/>
    <w:rsid w:val="00D6321D"/>
    <w:rsid w:val="00D63252"/>
    <w:rsid w:val="00D6325C"/>
    <w:rsid w:val="00D632B0"/>
    <w:rsid w:val="00D63379"/>
    <w:rsid w:val="00D633B1"/>
    <w:rsid w:val="00D63499"/>
    <w:rsid w:val="00D6368E"/>
    <w:rsid w:val="00D63950"/>
    <w:rsid w:val="00D63998"/>
    <w:rsid w:val="00D63AC6"/>
    <w:rsid w:val="00D63C7A"/>
    <w:rsid w:val="00D63D0E"/>
    <w:rsid w:val="00D63D44"/>
    <w:rsid w:val="00D640E4"/>
    <w:rsid w:val="00D64139"/>
    <w:rsid w:val="00D6419C"/>
    <w:rsid w:val="00D64219"/>
    <w:rsid w:val="00D6429A"/>
    <w:rsid w:val="00D64350"/>
    <w:rsid w:val="00D64448"/>
    <w:rsid w:val="00D64554"/>
    <w:rsid w:val="00D64595"/>
    <w:rsid w:val="00D645B8"/>
    <w:rsid w:val="00D64651"/>
    <w:rsid w:val="00D6467B"/>
    <w:rsid w:val="00D6495E"/>
    <w:rsid w:val="00D64972"/>
    <w:rsid w:val="00D649D7"/>
    <w:rsid w:val="00D649F5"/>
    <w:rsid w:val="00D64A23"/>
    <w:rsid w:val="00D64A8D"/>
    <w:rsid w:val="00D64ABE"/>
    <w:rsid w:val="00D64B4F"/>
    <w:rsid w:val="00D64C8D"/>
    <w:rsid w:val="00D64C91"/>
    <w:rsid w:val="00D64CC0"/>
    <w:rsid w:val="00D64CD1"/>
    <w:rsid w:val="00D64D0D"/>
    <w:rsid w:val="00D64D16"/>
    <w:rsid w:val="00D64D3D"/>
    <w:rsid w:val="00D64DC6"/>
    <w:rsid w:val="00D64E17"/>
    <w:rsid w:val="00D64E6F"/>
    <w:rsid w:val="00D64E77"/>
    <w:rsid w:val="00D64E7C"/>
    <w:rsid w:val="00D64EEE"/>
    <w:rsid w:val="00D64FF4"/>
    <w:rsid w:val="00D6502B"/>
    <w:rsid w:val="00D6502E"/>
    <w:rsid w:val="00D65197"/>
    <w:rsid w:val="00D651CF"/>
    <w:rsid w:val="00D65415"/>
    <w:rsid w:val="00D65499"/>
    <w:rsid w:val="00D655AB"/>
    <w:rsid w:val="00D6567D"/>
    <w:rsid w:val="00D65872"/>
    <w:rsid w:val="00D658F9"/>
    <w:rsid w:val="00D6590C"/>
    <w:rsid w:val="00D65B2F"/>
    <w:rsid w:val="00D65C46"/>
    <w:rsid w:val="00D65C8A"/>
    <w:rsid w:val="00D65DAF"/>
    <w:rsid w:val="00D65EDC"/>
    <w:rsid w:val="00D6601E"/>
    <w:rsid w:val="00D6619B"/>
    <w:rsid w:val="00D661E3"/>
    <w:rsid w:val="00D66213"/>
    <w:rsid w:val="00D6630E"/>
    <w:rsid w:val="00D66335"/>
    <w:rsid w:val="00D663D3"/>
    <w:rsid w:val="00D664EC"/>
    <w:rsid w:val="00D665F8"/>
    <w:rsid w:val="00D667EF"/>
    <w:rsid w:val="00D66871"/>
    <w:rsid w:val="00D66A83"/>
    <w:rsid w:val="00D66AE3"/>
    <w:rsid w:val="00D66B55"/>
    <w:rsid w:val="00D66D6B"/>
    <w:rsid w:val="00D66D72"/>
    <w:rsid w:val="00D66E5D"/>
    <w:rsid w:val="00D66F08"/>
    <w:rsid w:val="00D66F82"/>
    <w:rsid w:val="00D67226"/>
    <w:rsid w:val="00D6722D"/>
    <w:rsid w:val="00D6733C"/>
    <w:rsid w:val="00D673A4"/>
    <w:rsid w:val="00D6742A"/>
    <w:rsid w:val="00D67485"/>
    <w:rsid w:val="00D674C3"/>
    <w:rsid w:val="00D677D1"/>
    <w:rsid w:val="00D67888"/>
    <w:rsid w:val="00D67914"/>
    <w:rsid w:val="00D67935"/>
    <w:rsid w:val="00D67A09"/>
    <w:rsid w:val="00D67B04"/>
    <w:rsid w:val="00D67E1B"/>
    <w:rsid w:val="00D67E37"/>
    <w:rsid w:val="00D67EA7"/>
    <w:rsid w:val="00D67ECA"/>
    <w:rsid w:val="00D67F33"/>
    <w:rsid w:val="00D67FF8"/>
    <w:rsid w:val="00D701A1"/>
    <w:rsid w:val="00D70231"/>
    <w:rsid w:val="00D7024C"/>
    <w:rsid w:val="00D70357"/>
    <w:rsid w:val="00D703B1"/>
    <w:rsid w:val="00D7050D"/>
    <w:rsid w:val="00D7070A"/>
    <w:rsid w:val="00D7076F"/>
    <w:rsid w:val="00D707CF"/>
    <w:rsid w:val="00D70835"/>
    <w:rsid w:val="00D7092B"/>
    <w:rsid w:val="00D70980"/>
    <w:rsid w:val="00D70A44"/>
    <w:rsid w:val="00D70A5C"/>
    <w:rsid w:val="00D70B01"/>
    <w:rsid w:val="00D70B6B"/>
    <w:rsid w:val="00D70BBE"/>
    <w:rsid w:val="00D70C6D"/>
    <w:rsid w:val="00D70CA4"/>
    <w:rsid w:val="00D70CB9"/>
    <w:rsid w:val="00D70D99"/>
    <w:rsid w:val="00D70E11"/>
    <w:rsid w:val="00D70E1C"/>
    <w:rsid w:val="00D70EA5"/>
    <w:rsid w:val="00D70EBC"/>
    <w:rsid w:val="00D70FDE"/>
    <w:rsid w:val="00D7107A"/>
    <w:rsid w:val="00D710E8"/>
    <w:rsid w:val="00D71113"/>
    <w:rsid w:val="00D711D7"/>
    <w:rsid w:val="00D711F1"/>
    <w:rsid w:val="00D71283"/>
    <w:rsid w:val="00D713F8"/>
    <w:rsid w:val="00D7145D"/>
    <w:rsid w:val="00D714F4"/>
    <w:rsid w:val="00D71515"/>
    <w:rsid w:val="00D715B2"/>
    <w:rsid w:val="00D715F6"/>
    <w:rsid w:val="00D716C4"/>
    <w:rsid w:val="00D717CB"/>
    <w:rsid w:val="00D718B5"/>
    <w:rsid w:val="00D7197B"/>
    <w:rsid w:val="00D7197F"/>
    <w:rsid w:val="00D719B9"/>
    <w:rsid w:val="00D71A92"/>
    <w:rsid w:val="00D71B2F"/>
    <w:rsid w:val="00D71B35"/>
    <w:rsid w:val="00D71B5A"/>
    <w:rsid w:val="00D71D74"/>
    <w:rsid w:val="00D71DEE"/>
    <w:rsid w:val="00D71E1F"/>
    <w:rsid w:val="00D71E53"/>
    <w:rsid w:val="00D7207E"/>
    <w:rsid w:val="00D72185"/>
    <w:rsid w:val="00D72191"/>
    <w:rsid w:val="00D721D5"/>
    <w:rsid w:val="00D721E0"/>
    <w:rsid w:val="00D722B9"/>
    <w:rsid w:val="00D7236E"/>
    <w:rsid w:val="00D7250D"/>
    <w:rsid w:val="00D72520"/>
    <w:rsid w:val="00D72570"/>
    <w:rsid w:val="00D725FA"/>
    <w:rsid w:val="00D7260E"/>
    <w:rsid w:val="00D72617"/>
    <w:rsid w:val="00D7263A"/>
    <w:rsid w:val="00D7264E"/>
    <w:rsid w:val="00D72701"/>
    <w:rsid w:val="00D72714"/>
    <w:rsid w:val="00D727FE"/>
    <w:rsid w:val="00D72879"/>
    <w:rsid w:val="00D728C2"/>
    <w:rsid w:val="00D728C6"/>
    <w:rsid w:val="00D72924"/>
    <w:rsid w:val="00D72B21"/>
    <w:rsid w:val="00D72B30"/>
    <w:rsid w:val="00D72BDD"/>
    <w:rsid w:val="00D72C46"/>
    <w:rsid w:val="00D72C57"/>
    <w:rsid w:val="00D72D84"/>
    <w:rsid w:val="00D72E97"/>
    <w:rsid w:val="00D72EC1"/>
    <w:rsid w:val="00D73008"/>
    <w:rsid w:val="00D730D6"/>
    <w:rsid w:val="00D73159"/>
    <w:rsid w:val="00D731F7"/>
    <w:rsid w:val="00D73203"/>
    <w:rsid w:val="00D7327B"/>
    <w:rsid w:val="00D732E1"/>
    <w:rsid w:val="00D73311"/>
    <w:rsid w:val="00D735B5"/>
    <w:rsid w:val="00D735B6"/>
    <w:rsid w:val="00D735F0"/>
    <w:rsid w:val="00D73618"/>
    <w:rsid w:val="00D73757"/>
    <w:rsid w:val="00D7384C"/>
    <w:rsid w:val="00D7394A"/>
    <w:rsid w:val="00D7398E"/>
    <w:rsid w:val="00D739B5"/>
    <w:rsid w:val="00D73B01"/>
    <w:rsid w:val="00D73B68"/>
    <w:rsid w:val="00D73C07"/>
    <w:rsid w:val="00D73E1B"/>
    <w:rsid w:val="00D73E8E"/>
    <w:rsid w:val="00D73F3C"/>
    <w:rsid w:val="00D7415A"/>
    <w:rsid w:val="00D74169"/>
    <w:rsid w:val="00D74454"/>
    <w:rsid w:val="00D745C7"/>
    <w:rsid w:val="00D745D6"/>
    <w:rsid w:val="00D7464B"/>
    <w:rsid w:val="00D74875"/>
    <w:rsid w:val="00D74A62"/>
    <w:rsid w:val="00D74B9C"/>
    <w:rsid w:val="00D74C07"/>
    <w:rsid w:val="00D74CA7"/>
    <w:rsid w:val="00D74CDC"/>
    <w:rsid w:val="00D74DD5"/>
    <w:rsid w:val="00D75123"/>
    <w:rsid w:val="00D7524D"/>
    <w:rsid w:val="00D752AC"/>
    <w:rsid w:val="00D7531B"/>
    <w:rsid w:val="00D75352"/>
    <w:rsid w:val="00D75362"/>
    <w:rsid w:val="00D753F4"/>
    <w:rsid w:val="00D754C7"/>
    <w:rsid w:val="00D755CC"/>
    <w:rsid w:val="00D756A1"/>
    <w:rsid w:val="00D75716"/>
    <w:rsid w:val="00D75803"/>
    <w:rsid w:val="00D7599B"/>
    <w:rsid w:val="00D75AAC"/>
    <w:rsid w:val="00D75B15"/>
    <w:rsid w:val="00D75BA0"/>
    <w:rsid w:val="00D75D61"/>
    <w:rsid w:val="00D75D6B"/>
    <w:rsid w:val="00D75DBD"/>
    <w:rsid w:val="00D760DF"/>
    <w:rsid w:val="00D7618E"/>
    <w:rsid w:val="00D76207"/>
    <w:rsid w:val="00D762A0"/>
    <w:rsid w:val="00D762CD"/>
    <w:rsid w:val="00D76372"/>
    <w:rsid w:val="00D76388"/>
    <w:rsid w:val="00D763C7"/>
    <w:rsid w:val="00D7643F"/>
    <w:rsid w:val="00D7650A"/>
    <w:rsid w:val="00D76510"/>
    <w:rsid w:val="00D765FA"/>
    <w:rsid w:val="00D7676D"/>
    <w:rsid w:val="00D767A2"/>
    <w:rsid w:val="00D767E5"/>
    <w:rsid w:val="00D76831"/>
    <w:rsid w:val="00D768BB"/>
    <w:rsid w:val="00D769B3"/>
    <w:rsid w:val="00D76A66"/>
    <w:rsid w:val="00D76BAA"/>
    <w:rsid w:val="00D76C8B"/>
    <w:rsid w:val="00D76CBB"/>
    <w:rsid w:val="00D76D33"/>
    <w:rsid w:val="00D76DAC"/>
    <w:rsid w:val="00D76FC2"/>
    <w:rsid w:val="00D770D8"/>
    <w:rsid w:val="00D771F8"/>
    <w:rsid w:val="00D772AE"/>
    <w:rsid w:val="00D77330"/>
    <w:rsid w:val="00D773D9"/>
    <w:rsid w:val="00D7749D"/>
    <w:rsid w:val="00D774FD"/>
    <w:rsid w:val="00D77560"/>
    <w:rsid w:val="00D775E1"/>
    <w:rsid w:val="00D775EF"/>
    <w:rsid w:val="00D7769A"/>
    <w:rsid w:val="00D77705"/>
    <w:rsid w:val="00D77760"/>
    <w:rsid w:val="00D77790"/>
    <w:rsid w:val="00D77806"/>
    <w:rsid w:val="00D77830"/>
    <w:rsid w:val="00D77846"/>
    <w:rsid w:val="00D77DC9"/>
    <w:rsid w:val="00D77E2B"/>
    <w:rsid w:val="00D8005A"/>
    <w:rsid w:val="00D80229"/>
    <w:rsid w:val="00D80388"/>
    <w:rsid w:val="00D803BF"/>
    <w:rsid w:val="00D80473"/>
    <w:rsid w:val="00D80490"/>
    <w:rsid w:val="00D804A6"/>
    <w:rsid w:val="00D804E3"/>
    <w:rsid w:val="00D805D9"/>
    <w:rsid w:val="00D806C2"/>
    <w:rsid w:val="00D80865"/>
    <w:rsid w:val="00D8086F"/>
    <w:rsid w:val="00D80965"/>
    <w:rsid w:val="00D80AF7"/>
    <w:rsid w:val="00D80B25"/>
    <w:rsid w:val="00D80D01"/>
    <w:rsid w:val="00D80D82"/>
    <w:rsid w:val="00D80DD6"/>
    <w:rsid w:val="00D80F01"/>
    <w:rsid w:val="00D80F70"/>
    <w:rsid w:val="00D810CC"/>
    <w:rsid w:val="00D810DC"/>
    <w:rsid w:val="00D81208"/>
    <w:rsid w:val="00D812F9"/>
    <w:rsid w:val="00D8130A"/>
    <w:rsid w:val="00D8138A"/>
    <w:rsid w:val="00D8145D"/>
    <w:rsid w:val="00D81503"/>
    <w:rsid w:val="00D816C2"/>
    <w:rsid w:val="00D819B1"/>
    <w:rsid w:val="00D81BEB"/>
    <w:rsid w:val="00D81C4E"/>
    <w:rsid w:val="00D81C9B"/>
    <w:rsid w:val="00D81F3E"/>
    <w:rsid w:val="00D81F88"/>
    <w:rsid w:val="00D81FD8"/>
    <w:rsid w:val="00D8201D"/>
    <w:rsid w:val="00D8204B"/>
    <w:rsid w:val="00D8208C"/>
    <w:rsid w:val="00D820B6"/>
    <w:rsid w:val="00D82298"/>
    <w:rsid w:val="00D82363"/>
    <w:rsid w:val="00D823A5"/>
    <w:rsid w:val="00D8245F"/>
    <w:rsid w:val="00D824CC"/>
    <w:rsid w:val="00D824EF"/>
    <w:rsid w:val="00D82645"/>
    <w:rsid w:val="00D82747"/>
    <w:rsid w:val="00D827DD"/>
    <w:rsid w:val="00D8285F"/>
    <w:rsid w:val="00D82A44"/>
    <w:rsid w:val="00D82C7E"/>
    <w:rsid w:val="00D82CC9"/>
    <w:rsid w:val="00D82D03"/>
    <w:rsid w:val="00D82D55"/>
    <w:rsid w:val="00D82E29"/>
    <w:rsid w:val="00D82E42"/>
    <w:rsid w:val="00D82F7C"/>
    <w:rsid w:val="00D82FB0"/>
    <w:rsid w:val="00D83147"/>
    <w:rsid w:val="00D83176"/>
    <w:rsid w:val="00D83214"/>
    <w:rsid w:val="00D83234"/>
    <w:rsid w:val="00D832EF"/>
    <w:rsid w:val="00D8340E"/>
    <w:rsid w:val="00D8363B"/>
    <w:rsid w:val="00D83663"/>
    <w:rsid w:val="00D8391D"/>
    <w:rsid w:val="00D83950"/>
    <w:rsid w:val="00D83A0E"/>
    <w:rsid w:val="00D83D3D"/>
    <w:rsid w:val="00D84068"/>
    <w:rsid w:val="00D84165"/>
    <w:rsid w:val="00D841C1"/>
    <w:rsid w:val="00D84211"/>
    <w:rsid w:val="00D843AE"/>
    <w:rsid w:val="00D84429"/>
    <w:rsid w:val="00D84558"/>
    <w:rsid w:val="00D845DE"/>
    <w:rsid w:val="00D8467F"/>
    <w:rsid w:val="00D84703"/>
    <w:rsid w:val="00D84897"/>
    <w:rsid w:val="00D84993"/>
    <w:rsid w:val="00D849C4"/>
    <w:rsid w:val="00D84A7F"/>
    <w:rsid w:val="00D84BC2"/>
    <w:rsid w:val="00D84C00"/>
    <w:rsid w:val="00D84C13"/>
    <w:rsid w:val="00D84C40"/>
    <w:rsid w:val="00D84D37"/>
    <w:rsid w:val="00D84E2F"/>
    <w:rsid w:val="00D84ED0"/>
    <w:rsid w:val="00D85030"/>
    <w:rsid w:val="00D85038"/>
    <w:rsid w:val="00D85072"/>
    <w:rsid w:val="00D850E2"/>
    <w:rsid w:val="00D8511A"/>
    <w:rsid w:val="00D8518C"/>
    <w:rsid w:val="00D85230"/>
    <w:rsid w:val="00D8526B"/>
    <w:rsid w:val="00D85288"/>
    <w:rsid w:val="00D85343"/>
    <w:rsid w:val="00D855DB"/>
    <w:rsid w:val="00D8560B"/>
    <w:rsid w:val="00D8566B"/>
    <w:rsid w:val="00D85845"/>
    <w:rsid w:val="00D859E9"/>
    <w:rsid w:val="00D85BB7"/>
    <w:rsid w:val="00D85CAF"/>
    <w:rsid w:val="00D85CD5"/>
    <w:rsid w:val="00D85CED"/>
    <w:rsid w:val="00D85D02"/>
    <w:rsid w:val="00D85D66"/>
    <w:rsid w:val="00D85E01"/>
    <w:rsid w:val="00D85E67"/>
    <w:rsid w:val="00D85FFF"/>
    <w:rsid w:val="00D8602F"/>
    <w:rsid w:val="00D8605C"/>
    <w:rsid w:val="00D860D6"/>
    <w:rsid w:val="00D861F6"/>
    <w:rsid w:val="00D86235"/>
    <w:rsid w:val="00D8624F"/>
    <w:rsid w:val="00D86336"/>
    <w:rsid w:val="00D8644A"/>
    <w:rsid w:val="00D8653F"/>
    <w:rsid w:val="00D865AA"/>
    <w:rsid w:val="00D86764"/>
    <w:rsid w:val="00D8676C"/>
    <w:rsid w:val="00D8683B"/>
    <w:rsid w:val="00D868CC"/>
    <w:rsid w:val="00D868E0"/>
    <w:rsid w:val="00D86996"/>
    <w:rsid w:val="00D86A47"/>
    <w:rsid w:val="00D86BB0"/>
    <w:rsid w:val="00D86BCE"/>
    <w:rsid w:val="00D86CEC"/>
    <w:rsid w:val="00D86D00"/>
    <w:rsid w:val="00D86D98"/>
    <w:rsid w:val="00D86F2E"/>
    <w:rsid w:val="00D87046"/>
    <w:rsid w:val="00D872F5"/>
    <w:rsid w:val="00D8733C"/>
    <w:rsid w:val="00D87371"/>
    <w:rsid w:val="00D873E5"/>
    <w:rsid w:val="00D8744E"/>
    <w:rsid w:val="00D87494"/>
    <w:rsid w:val="00D874D3"/>
    <w:rsid w:val="00D87577"/>
    <w:rsid w:val="00D8769F"/>
    <w:rsid w:val="00D87915"/>
    <w:rsid w:val="00D87959"/>
    <w:rsid w:val="00D87A49"/>
    <w:rsid w:val="00D87AF8"/>
    <w:rsid w:val="00D87AFA"/>
    <w:rsid w:val="00D87B5A"/>
    <w:rsid w:val="00D87C56"/>
    <w:rsid w:val="00D87C79"/>
    <w:rsid w:val="00D87CDD"/>
    <w:rsid w:val="00D87D68"/>
    <w:rsid w:val="00D87E46"/>
    <w:rsid w:val="00D87F21"/>
    <w:rsid w:val="00D87F5B"/>
    <w:rsid w:val="00D87F6B"/>
    <w:rsid w:val="00D87F8B"/>
    <w:rsid w:val="00D902AC"/>
    <w:rsid w:val="00D902EE"/>
    <w:rsid w:val="00D9033C"/>
    <w:rsid w:val="00D90421"/>
    <w:rsid w:val="00D9043E"/>
    <w:rsid w:val="00D904B0"/>
    <w:rsid w:val="00D90610"/>
    <w:rsid w:val="00D90614"/>
    <w:rsid w:val="00D90686"/>
    <w:rsid w:val="00D907E1"/>
    <w:rsid w:val="00D90859"/>
    <w:rsid w:val="00D9087C"/>
    <w:rsid w:val="00D90888"/>
    <w:rsid w:val="00D908F0"/>
    <w:rsid w:val="00D908F3"/>
    <w:rsid w:val="00D90AB3"/>
    <w:rsid w:val="00D90AEE"/>
    <w:rsid w:val="00D90AF6"/>
    <w:rsid w:val="00D90B67"/>
    <w:rsid w:val="00D90CD4"/>
    <w:rsid w:val="00D90F06"/>
    <w:rsid w:val="00D90FF7"/>
    <w:rsid w:val="00D91024"/>
    <w:rsid w:val="00D9102A"/>
    <w:rsid w:val="00D91032"/>
    <w:rsid w:val="00D9106C"/>
    <w:rsid w:val="00D91204"/>
    <w:rsid w:val="00D91242"/>
    <w:rsid w:val="00D912A0"/>
    <w:rsid w:val="00D913F8"/>
    <w:rsid w:val="00D91408"/>
    <w:rsid w:val="00D91481"/>
    <w:rsid w:val="00D91580"/>
    <w:rsid w:val="00D915AE"/>
    <w:rsid w:val="00D91606"/>
    <w:rsid w:val="00D91625"/>
    <w:rsid w:val="00D9163D"/>
    <w:rsid w:val="00D91715"/>
    <w:rsid w:val="00D9176E"/>
    <w:rsid w:val="00D9178D"/>
    <w:rsid w:val="00D9185E"/>
    <w:rsid w:val="00D91862"/>
    <w:rsid w:val="00D91911"/>
    <w:rsid w:val="00D9191C"/>
    <w:rsid w:val="00D91A64"/>
    <w:rsid w:val="00D91A7A"/>
    <w:rsid w:val="00D91BA7"/>
    <w:rsid w:val="00D91CFC"/>
    <w:rsid w:val="00D91D1E"/>
    <w:rsid w:val="00D91F6D"/>
    <w:rsid w:val="00D91FA6"/>
    <w:rsid w:val="00D91FB8"/>
    <w:rsid w:val="00D92060"/>
    <w:rsid w:val="00D9218F"/>
    <w:rsid w:val="00D921F5"/>
    <w:rsid w:val="00D92212"/>
    <w:rsid w:val="00D922F3"/>
    <w:rsid w:val="00D92343"/>
    <w:rsid w:val="00D92353"/>
    <w:rsid w:val="00D92427"/>
    <w:rsid w:val="00D92472"/>
    <w:rsid w:val="00D924A2"/>
    <w:rsid w:val="00D92501"/>
    <w:rsid w:val="00D9264F"/>
    <w:rsid w:val="00D92996"/>
    <w:rsid w:val="00D92A18"/>
    <w:rsid w:val="00D92A83"/>
    <w:rsid w:val="00D92C24"/>
    <w:rsid w:val="00D92C37"/>
    <w:rsid w:val="00D92CB4"/>
    <w:rsid w:val="00D92CE2"/>
    <w:rsid w:val="00D92E88"/>
    <w:rsid w:val="00D92F42"/>
    <w:rsid w:val="00D93058"/>
    <w:rsid w:val="00D93060"/>
    <w:rsid w:val="00D93068"/>
    <w:rsid w:val="00D930E5"/>
    <w:rsid w:val="00D931F4"/>
    <w:rsid w:val="00D93236"/>
    <w:rsid w:val="00D93316"/>
    <w:rsid w:val="00D9336B"/>
    <w:rsid w:val="00D9336C"/>
    <w:rsid w:val="00D93384"/>
    <w:rsid w:val="00D933E0"/>
    <w:rsid w:val="00D934B0"/>
    <w:rsid w:val="00D934F4"/>
    <w:rsid w:val="00D936AB"/>
    <w:rsid w:val="00D9379D"/>
    <w:rsid w:val="00D93890"/>
    <w:rsid w:val="00D938AC"/>
    <w:rsid w:val="00D93A4E"/>
    <w:rsid w:val="00D93ABF"/>
    <w:rsid w:val="00D93B17"/>
    <w:rsid w:val="00D93B3D"/>
    <w:rsid w:val="00D93B56"/>
    <w:rsid w:val="00D93C01"/>
    <w:rsid w:val="00D93C1B"/>
    <w:rsid w:val="00D93C78"/>
    <w:rsid w:val="00D93E10"/>
    <w:rsid w:val="00D93F08"/>
    <w:rsid w:val="00D93F5E"/>
    <w:rsid w:val="00D93F7C"/>
    <w:rsid w:val="00D9408A"/>
    <w:rsid w:val="00D9412E"/>
    <w:rsid w:val="00D94177"/>
    <w:rsid w:val="00D94231"/>
    <w:rsid w:val="00D9443B"/>
    <w:rsid w:val="00D9450C"/>
    <w:rsid w:val="00D947C1"/>
    <w:rsid w:val="00D947D1"/>
    <w:rsid w:val="00D94891"/>
    <w:rsid w:val="00D948A6"/>
    <w:rsid w:val="00D948D9"/>
    <w:rsid w:val="00D94922"/>
    <w:rsid w:val="00D94A23"/>
    <w:rsid w:val="00D94A6C"/>
    <w:rsid w:val="00D94AC9"/>
    <w:rsid w:val="00D94C18"/>
    <w:rsid w:val="00D94C69"/>
    <w:rsid w:val="00D94CA1"/>
    <w:rsid w:val="00D94D70"/>
    <w:rsid w:val="00D94E4B"/>
    <w:rsid w:val="00D94EF1"/>
    <w:rsid w:val="00D94F61"/>
    <w:rsid w:val="00D94F7B"/>
    <w:rsid w:val="00D94FB7"/>
    <w:rsid w:val="00D9503B"/>
    <w:rsid w:val="00D9506C"/>
    <w:rsid w:val="00D951B4"/>
    <w:rsid w:val="00D95330"/>
    <w:rsid w:val="00D9546D"/>
    <w:rsid w:val="00D9547E"/>
    <w:rsid w:val="00D95528"/>
    <w:rsid w:val="00D95582"/>
    <w:rsid w:val="00D955FC"/>
    <w:rsid w:val="00D9560A"/>
    <w:rsid w:val="00D95634"/>
    <w:rsid w:val="00D95769"/>
    <w:rsid w:val="00D9581B"/>
    <w:rsid w:val="00D9581F"/>
    <w:rsid w:val="00D958C4"/>
    <w:rsid w:val="00D958CB"/>
    <w:rsid w:val="00D959A6"/>
    <w:rsid w:val="00D95B0C"/>
    <w:rsid w:val="00D95B8C"/>
    <w:rsid w:val="00D95BFB"/>
    <w:rsid w:val="00D95CBA"/>
    <w:rsid w:val="00D95CC5"/>
    <w:rsid w:val="00D95DA3"/>
    <w:rsid w:val="00D95ED7"/>
    <w:rsid w:val="00D95FB0"/>
    <w:rsid w:val="00D96042"/>
    <w:rsid w:val="00D9604E"/>
    <w:rsid w:val="00D96055"/>
    <w:rsid w:val="00D960F5"/>
    <w:rsid w:val="00D9622B"/>
    <w:rsid w:val="00D96251"/>
    <w:rsid w:val="00D9628C"/>
    <w:rsid w:val="00D9645C"/>
    <w:rsid w:val="00D966AA"/>
    <w:rsid w:val="00D96806"/>
    <w:rsid w:val="00D96818"/>
    <w:rsid w:val="00D969FB"/>
    <w:rsid w:val="00D96A0B"/>
    <w:rsid w:val="00D96A4A"/>
    <w:rsid w:val="00D96A89"/>
    <w:rsid w:val="00D96A90"/>
    <w:rsid w:val="00D96AAB"/>
    <w:rsid w:val="00D96B6C"/>
    <w:rsid w:val="00D96CAB"/>
    <w:rsid w:val="00D96D49"/>
    <w:rsid w:val="00D96D87"/>
    <w:rsid w:val="00D96E0B"/>
    <w:rsid w:val="00D96FF8"/>
    <w:rsid w:val="00D970B3"/>
    <w:rsid w:val="00D97103"/>
    <w:rsid w:val="00D971E1"/>
    <w:rsid w:val="00D97258"/>
    <w:rsid w:val="00D97277"/>
    <w:rsid w:val="00D9729F"/>
    <w:rsid w:val="00D972C0"/>
    <w:rsid w:val="00D972C4"/>
    <w:rsid w:val="00D9731B"/>
    <w:rsid w:val="00D97395"/>
    <w:rsid w:val="00D974A4"/>
    <w:rsid w:val="00D974B5"/>
    <w:rsid w:val="00D974C7"/>
    <w:rsid w:val="00D97556"/>
    <w:rsid w:val="00D975B7"/>
    <w:rsid w:val="00D976F4"/>
    <w:rsid w:val="00D977F5"/>
    <w:rsid w:val="00D978B9"/>
    <w:rsid w:val="00D9790C"/>
    <w:rsid w:val="00D9792A"/>
    <w:rsid w:val="00D979E8"/>
    <w:rsid w:val="00D97A51"/>
    <w:rsid w:val="00D97A79"/>
    <w:rsid w:val="00D97AA2"/>
    <w:rsid w:val="00D97AA6"/>
    <w:rsid w:val="00D97AFB"/>
    <w:rsid w:val="00D97B4E"/>
    <w:rsid w:val="00D97B96"/>
    <w:rsid w:val="00D97C7E"/>
    <w:rsid w:val="00D97D0A"/>
    <w:rsid w:val="00D97DE0"/>
    <w:rsid w:val="00D97DF4"/>
    <w:rsid w:val="00D97F32"/>
    <w:rsid w:val="00DA0072"/>
    <w:rsid w:val="00DA011E"/>
    <w:rsid w:val="00DA0141"/>
    <w:rsid w:val="00DA01B6"/>
    <w:rsid w:val="00DA01E6"/>
    <w:rsid w:val="00DA0265"/>
    <w:rsid w:val="00DA02C3"/>
    <w:rsid w:val="00DA037E"/>
    <w:rsid w:val="00DA0487"/>
    <w:rsid w:val="00DA06A0"/>
    <w:rsid w:val="00DA06B7"/>
    <w:rsid w:val="00DA087D"/>
    <w:rsid w:val="00DA0928"/>
    <w:rsid w:val="00DA097D"/>
    <w:rsid w:val="00DA09E5"/>
    <w:rsid w:val="00DA0A2E"/>
    <w:rsid w:val="00DA0A4A"/>
    <w:rsid w:val="00DA0AAC"/>
    <w:rsid w:val="00DA0C95"/>
    <w:rsid w:val="00DA0D6F"/>
    <w:rsid w:val="00DA0D79"/>
    <w:rsid w:val="00DA0FED"/>
    <w:rsid w:val="00DA100F"/>
    <w:rsid w:val="00DA1011"/>
    <w:rsid w:val="00DA11CD"/>
    <w:rsid w:val="00DA1202"/>
    <w:rsid w:val="00DA120C"/>
    <w:rsid w:val="00DA1215"/>
    <w:rsid w:val="00DA1222"/>
    <w:rsid w:val="00DA1233"/>
    <w:rsid w:val="00DA131A"/>
    <w:rsid w:val="00DA13AF"/>
    <w:rsid w:val="00DA1402"/>
    <w:rsid w:val="00DA154C"/>
    <w:rsid w:val="00DA154F"/>
    <w:rsid w:val="00DA1551"/>
    <w:rsid w:val="00DA1556"/>
    <w:rsid w:val="00DA16BE"/>
    <w:rsid w:val="00DA16EA"/>
    <w:rsid w:val="00DA1902"/>
    <w:rsid w:val="00DA196F"/>
    <w:rsid w:val="00DA1CE4"/>
    <w:rsid w:val="00DA1FB4"/>
    <w:rsid w:val="00DA204A"/>
    <w:rsid w:val="00DA218B"/>
    <w:rsid w:val="00DA21A6"/>
    <w:rsid w:val="00DA22C8"/>
    <w:rsid w:val="00DA22F6"/>
    <w:rsid w:val="00DA2401"/>
    <w:rsid w:val="00DA2483"/>
    <w:rsid w:val="00DA24BB"/>
    <w:rsid w:val="00DA24D0"/>
    <w:rsid w:val="00DA27DE"/>
    <w:rsid w:val="00DA289F"/>
    <w:rsid w:val="00DA292E"/>
    <w:rsid w:val="00DA298E"/>
    <w:rsid w:val="00DA29E7"/>
    <w:rsid w:val="00DA2A33"/>
    <w:rsid w:val="00DA2ADA"/>
    <w:rsid w:val="00DA2B24"/>
    <w:rsid w:val="00DA2C64"/>
    <w:rsid w:val="00DA2D52"/>
    <w:rsid w:val="00DA2DFF"/>
    <w:rsid w:val="00DA2E42"/>
    <w:rsid w:val="00DA2E5C"/>
    <w:rsid w:val="00DA2EDB"/>
    <w:rsid w:val="00DA30C4"/>
    <w:rsid w:val="00DA310B"/>
    <w:rsid w:val="00DA32DB"/>
    <w:rsid w:val="00DA3304"/>
    <w:rsid w:val="00DA33BD"/>
    <w:rsid w:val="00DA3469"/>
    <w:rsid w:val="00DA34E7"/>
    <w:rsid w:val="00DA3521"/>
    <w:rsid w:val="00DA3559"/>
    <w:rsid w:val="00DA359B"/>
    <w:rsid w:val="00DA3616"/>
    <w:rsid w:val="00DA36E2"/>
    <w:rsid w:val="00DA380D"/>
    <w:rsid w:val="00DA38B8"/>
    <w:rsid w:val="00DA3A47"/>
    <w:rsid w:val="00DA3A54"/>
    <w:rsid w:val="00DA3B4C"/>
    <w:rsid w:val="00DA3BA9"/>
    <w:rsid w:val="00DA3BB1"/>
    <w:rsid w:val="00DA3C1E"/>
    <w:rsid w:val="00DA3E43"/>
    <w:rsid w:val="00DA3EAE"/>
    <w:rsid w:val="00DA3F41"/>
    <w:rsid w:val="00DA4022"/>
    <w:rsid w:val="00DA431F"/>
    <w:rsid w:val="00DA43D1"/>
    <w:rsid w:val="00DA4577"/>
    <w:rsid w:val="00DA475C"/>
    <w:rsid w:val="00DA47B5"/>
    <w:rsid w:val="00DA4845"/>
    <w:rsid w:val="00DA4950"/>
    <w:rsid w:val="00DA49AD"/>
    <w:rsid w:val="00DA49EC"/>
    <w:rsid w:val="00DA49FB"/>
    <w:rsid w:val="00DA4A50"/>
    <w:rsid w:val="00DA4A57"/>
    <w:rsid w:val="00DA4B85"/>
    <w:rsid w:val="00DA4BD6"/>
    <w:rsid w:val="00DA4D7C"/>
    <w:rsid w:val="00DA4E81"/>
    <w:rsid w:val="00DA4E87"/>
    <w:rsid w:val="00DA4EDD"/>
    <w:rsid w:val="00DA50D9"/>
    <w:rsid w:val="00DA51F8"/>
    <w:rsid w:val="00DA5267"/>
    <w:rsid w:val="00DA5275"/>
    <w:rsid w:val="00DA5375"/>
    <w:rsid w:val="00DA53F3"/>
    <w:rsid w:val="00DA545A"/>
    <w:rsid w:val="00DA5478"/>
    <w:rsid w:val="00DA548F"/>
    <w:rsid w:val="00DA54D5"/>
    <w:rsid w:val="00DA5606"/>
    <w:rsid w:val="00DA562B"/>
    <w:rsid w:val="00DA59FF"/>
    <w:rsid w:val="00DA5A93"/>
    <w:rsid w:val="00DA5A9C"/>
    <w:rsid w:val="00DA5B01"/>
    <w:rsid w:val="00DA5CB3"/>
    <w:rsid w:val="00DA5D17"/>
    <w:rsid w:val="00DA5D80"/>
    <w:rsid w:val="00DA5E66"/>
    <w:rsid w:val="00DA600C"/>
    <w:rsid w:val="00DA60B1"/>
    <w:rsid w:val="00DA60EF"/>
    <w:rsid w:val="00DA616B"/>
    <w:rsid w:val="00DA6380"/>
    <w:rsid w:val="00DA63F1"/>
    <w:rsid w:val="00DA6567"/>
    <w:rsid w:val="00DA6649"/>
    <w:rsid w:val="00DA66D2"/>
    <w:rsid w:val="00DA6782"/>
    <w:rsid w:val="00DA67A2"/>
    <w:rsid w:val="00DA67EE"/>
    <w:rsid w:val="00DA680F"/>
    <w:rsid w:val="00DA6851"/>
    <w:rsid w:val="00DA685E"/>
    <w:rsid w:val="00DA6860"/>
    <w:rsid w:val="00DA6934"/>
    <w:rsid w:val="00DA697B"/>
    <w:rsid w:val="00DA6A29"/>
    <w:rsid w:val="00DA6A64"/>
    <w:rsid w:val="00DA6A6A"/>
    <w:rsid w:val="00DA6AFA"/>
    <w:rsid w:val="00DA6B09"/>
    <w:rsid w:val="00DA6C9E"/>
    <w:rsid w:val="00DA6D43"/>
    <w:rsid w:val="00DA6D76"/>
    <w:rsid w:val="00DA6DA9"/>
    <w:rsid w:val="00DA6FB8"/>
    <w:rsid w:val="00DA6FBC"/>
    <w:rsid w:val="00DA70E2"/>
    <w:rsid w:val="00DA70E5"/>
    <w:rsid w:val="00DA70EE"/>
    <w:rsid w:val="00DA717F"/>
    <w:rsid w:val="00DA7195"/>
    <w:rsid w:val="00DA7223"/>
    <w:rsid w:val="00DA724F"/>
    <w:rsid w:val="00DA72C0"/>
    <w:rsid w:val="00DA747E"/>
    <w:rsid w:val="00DA754F"/>
    <w:rsid w:val="00DA7562"/>
    <w:rsid w:val="00DA75D7"/>
    <w:rsid w:val="00DA773B"/>
    <w:rsid w:val="00DA77FA"/>
    <w:rsid w:val="00DA7809"/>
    <w:rsid w:val="00DA78C8"/>
    <w:rsid w:val="00DA7A46"/>
    <w:rsid w:val="00DA7AEC"/>
    <w:rsid w:val="00DA7B36"/>
    <w:rsid w:val="00DA7B7A"/>
    <w:rsid w:val="00DA7D81"/>
    <w:rsid w:val="00DA7DA7"/>
    <w:rsid w:val="00DA7DC3"/>
    <w:rsid w:val="00DA7EBB"/>
    <w:rsid w:val="00DA7F6E"/>
    <w:rsid w:val="00DB03BB"/>
    <w:rsid w:val="00DB03C3"/>
    <w:rsid w:val="00DB04C7"/>
    <w:rsid w:val="00DB0518"/>
    <w:rsid w:val="00DB056B"/>
    <w:rsid w:val="00DB05A1"/>
    <w:rsid w:val="00DB05DD"/>
    <w:rsid w:val="00DB05DF"/>
    <w:rsid w:val="00DB07EC"/>
    <w:rsid w:val="00DB0928"/>
    <w:rsid w:val="00DB09B4"/>
    <w:rsid w:val="00DB0A21"/>
    <w:rsid w:val="00DB0B3C"/>
    <w:rsid w:val="00DB0D26"/>
    <w:rsid w:val="00DB0E6E"/>
    <w:rsid w:val="00DB0E9C"/>
    <w:rsid w:val="00DB0F63"/>
    <w:rsid w:val="00DB0FEB"/>
    <w:rsid w:val="00DB111F"/>
    <w:rsid w:val="00DB113E"/>
    <w:rsid w:val="00DB115B"/>
    <w:rsid w:val="00DB11AF"/>
    <w:rsid w:val="00DB1223"/>
    <w:rsid w:val="00DB1289"/>
    <w:rsid w:val="00DB1641"/>
    <w:rsid w:val="00DB16D1"/>
    <w:rsid w:val="00DB16D9"/>
    <w:rsid w:val="00DB170D"/>
    <w:rsid w:val="00DB174D"/>
    <w:rsid w:val="00DB1775"/>
    <w:rsid w:val="00DB1878"/>
    <w:rsid w:val="00DB18ED"/>
    <w:rsid w:val="00DB1904"/>
    <w:rsid w:val="00DB1906"/>
    <w:rsid w:val="00DB1A6D"/>
    <w:rsid w:val="00DB1AA7"/>
    <w:rsid w:val="00DB1ADE"/>
    <w:rsid w:val="00DB1AF8"/>
    <w:rsid w:val="00DB1CCE"/>
    <w:rsid w:val="00DB1D93"/>
    <w:rsid w:val="00DB1F52"/>
    <w:rsid w:val="00DB1F68"/>
    <w:rsid w:val="00DB217B"/>
    <w:rsid w:val="00DB21CA"/>
    <w:rsid w:val="00DB21E7"/>
    <w:rsid w:val="00DB2327"/>
    <w:rsid w:val="00DB2330"/>
    <w:rsid w:val="00DB23B2"/>
    <w:rsid w:val="00DB276F"/>
    <w:rsid w:val="00DB29D4"/>
    <w:rsid w:val="00DB2ADE"/>
    <w:rsid w:val="00DB2CF5"/>
    <w:rsid w:val="00DB2D02"/>
    <w:rsid w:val="00DB2D60"/>
    <w:rsid w:val="00DB301C"/>
    <w:rsid w:val="00DB3074"/>
    <w:rsid w:val="00DB311B"/>
    <w:rsid w:val="00DB32D6"/>
    <w:rsid w:val="00DB32F1"/>
    <w:rsid w:val="00DB341A"/>
    <w:rsid w:val="00DB3602"/>
    <w:rsid w:val="00DB3729"/>
    <w:rsid w:val="00DB3A37"/>
    <w:rsid w:val="00DB3AD9"/>
    <w:rsid w:val="00DB3C22"/>
    <w:rsid w:val="00DB3DEC"/>
    <w:rsid w:val="00DB3E1E"/>
    <w:rsid w:val="00DB3E9D"/>
    <w:rsid w:val="00DB3EBC"/>
    <w:rsid w:val="00DB408B"/>
    <w:rsid w:val="00DB4128"/>
    <w:rsid w:val="00DB413B"/>
    <w:rsid w:val="00DB42E6"/>
    <w:rsid w:val="00DB4354"/>
    <w:rsid w:val="00DB435C"/>
    <w:rsid w:val="00DB43DE"/>
    <w:rsid w:val="00DB44B7"/>
    <w:rsid w:val="00DB44EC"/>
    <w:rsid w:val="00DB46D3"/>
    <w:rsid w:val="00DB46F5"/>
    <w:rsid w:val="00DB4723"/>
    <w:rsid w:val="00DB473C"/>
    <w:rsid w:val="00DB48A9"/>
    <w:rsid w:val="00DB48E8"/>
    <w:rsid w:val="00DB4BBE"/>
    <w:rsid w:val="00DB4BC2"/>
    <w:rsid w:val="00DB4C8A"/>
    <w:rsid w:val="00DB4CEE"/>
    <w:rsid w:val="00DB4DB2"/>
    <w:rsid w:val="00DB4E4F"/>
    <w:rsid w:val="00DB4F6C"/>
    <w:rsid w:val="00DB4FB3"/>
    <w:rsid w:val="00DB505B"/>
    <w:rsid w:val="00DB50E4"/>
    <w:rsid w:val="00DB5160"/>
    <w:rsid w:val="00DB529E"/>
    <w:rsid w:val="00DB543E"/>
    <w:rsid w:val="00DB5462"/>
    <w:rsid w:val="00DB54A7"/>
    <w:rsid w:val="00DB57EB"/>
    <w:rsid w:val="00DB5884"/>
    <w:rsid w:val="00DB592D"/>
    <w:rsid w:val="00DB595D"/>
    <w:rsid w:val="00DB59AC"/>
    <w:rsid w:val="00DB59C3"/>
    <w:rsid w:val="00DB5A67"/>
    <w:rsid w:val="00DB5BD7"/>
    <w:rsid w:val="00DB5BFB"/>
    <w:rsid w:val="00DB5C7E"/>
    <w:rsid w:val="00DB5C9C"/>
    <w:rsid w:val="00DB5E95"/>
    <w:rsid w:val="00DB5ED3"/>
    <w:rsid w:val="00DB5F33"/>
    <w:rsid w:val="00DB5F59"/>
    <w:rsid w:val="00DB5F6A"/>
    <w:rsid w:val="00DB5FB3"/>
    <w:rsid w:val="00DB5FC7"/>
    <w:rsid w:val="00DB5FD4"/>
    <w:rsid w:val="00DB6010"/>
    <w:rsid w:val="00DB60AF"/>
    <w:rsid w:val="00DB619E"/>
    <w:rsid w:val="00DB6454"/>
    <w:rsid w:val="00DB6470"/>
    <w:rsid w:val="00DB6491"/>
    <w:rsid w:val="00DB64A8"/>
    <w:rsid w:val="00DB65D5"/>
    <w:rsid w:val="00DB6744"/>
    <w:rsid w:val="00DB67A0"/>
    <w:rsid w:val="00DB67EF"/>
    <w:rsid w:val="00DB6805"/>
    <w:rsid w:val="00DB6897"/>
    <w:rsid w:val="00DB6A53"/>
    <w:rsid w:val="00DB6B53"/>
    <w:rsid w:val="00DB6BAE"/>
    <w:rsid w:val="00DB6C36"/>
    <w:rsid w:val="00DB6CCB"/>
    <w:rsid w:val="00DB6D91"/>
    <w:rsid w:val="00DB6D93"/>
    <w:rsid w:val="00DB6DA0"/>
    <w:rsid w:val="00DB6E59"/>
    <w:rsid w:val="00DB6ED7"/>
    <w:rsid w:val="00DB6F47"/>
    <w:rsid w:val="00DB6F6C"/>
    <w:rsid w:val="00DB6F91"/>
    <w:rsid w:val="00DB6F9D"/>
    <w:rsid w:val="00DB7101"/>
    <w:rsid w:val="00DB7120"/>
    <w:rsid w:val="00DB71B4"/>
    <w:rsid w:val="00DB724A"/>
    <w:rsid w:val="00DB72A9"/>
    <w:rsid w:val="00DB73D6"/>
    <w:rsid w:val="00DB73D8"/>
    <w:rsid w:val="00DB758B"/>
    <w:rsid w:val="00DB760A"/>
    <w:rsid w:val="00DB7628"/>
    <w:rsid w:val="00DB768D"/>
    <w:rsid w:val="00DB7691"/>
    <w:rsid w:val="00DB76FD"/>
    <w:rsid w:val="00DB7702"/>
    <w:rsid w:val="00DB7754"/>
    <w:rsid w:val="00DB7A52"/>
    <w:rsid w:val="00DB7BC8"/>
    <w:rsid w:val="00DB7C67"/>
    <w:rsid w:val="00DB7D70"/>
    <w:rsid w:val="00DB7E45"/>
    <w:rsid w:val="00DB7F69"/>
    <w:rsid w:val="00DC0048"/>
    <w:rsid w:val="00DC0226"/>
    <w:rsid w:val="00DC036A"/>
    <w:rsid w:val="00DC0397"/>
    <w:rsid w:val="00DC03A3"/>
    <w:rsid w:val="00DC03E6"/>
    <w:rsid w:val="00DC05EC"/>
    <w:rsid w:val="00DC082F"/>
    <w:rsid w:val="00DC084C"/>
    <w:rsid w:val="00DC0A73"/>
    <w:rsid w:val="00DC0B92"/>
    <w:rsid w:val="00DC0C98"/>
    <w:rsid w:val="00DC0D11"/>
    <w:rsid w:val="00DC0D48"/>
    <w:rsid w:val="00DC0DD5"/>
    <w:rsid w:val="00DC0DEF"/>
    <w:rsid w:val="00DC0F7E"/>
    <w:rsid w:val="00DC1019"/>
    <w:rsid w:val="00DC1060"/>
    <w:rsid w:val="00DC1085"/>
    <w:rsid w:val="00DC10C0"/>
    <w:rsid w:val="00DC14CF"/>
    <w:rsid w:val="00DC1507"/>
    <w:rsid w:val="00DC1527"/>
    <w:rsid w:val="00DC164A"/>
    <w:rsid w:val="00DC1801"/>
    <w:rsid w:val="00DC1877"/>
    <w:rsid w:val="00DC1943"/>
    <w:rsid w:val="00DC19BE"/>
    <w:rsid w:val="00DC1A24"/>
    <w:rsid w:val="00DC1A5E"/>
    <w:rsid w:val="00DC1AC9"/>
    <w:rsid w:val="00DC1B8B"/>
    <w:rsid w:val="00DC1D1F"/>
    <w:rsid w:val="00DC1EC6"/>
    <w:rsid w:val="00DC1F00"/>
    <w:rsid w:val="00DC1FFE"/>
    <w:rsid w:val="00DC2027"/>
    <w:rsid w:val="00DC20A1"/>
    <w:rsid w:val="00DC2119"/>
    <w:rsid w:val="00DC2144"/>
    <w:rsid w:val="00DC22E9"/>
    <w:rsid w:val="00DC2369"/>
    <w:rsid w:val="00DC24B5"/>
    <w:rsid w:val="00DC24D9"/>
    <w:rsid w:val="00DC257B"/>
    <w:rsid w:val="00DC259A"/>
    <w:rsid w:val="00DC2644"/>
    <w:rsid w:val="00DC266C"/>
    <w:rsid w:val="00DC2752"/>
    <w:rsid w:val="00DC2880"/>
    <w:rsid w:val="00DC2922"/>
    <w:rsid w:val="00DC2937"/>
    <w:rsid w:val="00DC29B7"/>
    <w:rsid w:val="00DC29C6"/>
    <w:rsid w:val="00DC2A10"/>
    <w:rsid w:val="00DC2A4F"/>
    <w:rsid w:val="00DC2BB5"/>
    <w:rsid w:val="00DC2E2D"/>
    <w:rsid w:val="00DC2E93"/>
    <w:rsid w:val="00DC2EF2"/>
    <w:rsid w:val="00DC2F26"/>
    <w:rsid w:val="00DC2F47"/>
    <w:rsid w:val="00DC2F9B"/>
    <w:rsid w:val="00DC307A"/>
    <w:rsid w:val="00DC30DF"/>
    <w:rsid w:val="00DC3133"/>
    <w:rsid w:val="00DC31B3"/>
    <w:rsid w:val="00DC32B2"/>
    <w:rsid w:val="00DC33B3"/>
    <w:rsid w:val="00DC3542"/>
    <w:rsid w:val="00DC373A"/>
    <w:rsid w:val="00DC3747"/>
    <w:rsid w:val="00DC3866"/>
    <w:rsid w:val="00DC3877"/>
    <w:rsid w:val="00DC3981"/>
    <w:rsid w:val="00DC3BC5"/>
    <w:rsid w:val="00DC3BE8"/>
    <w:rsid w:val="00DC3C36"/>
    <w:rsid w:val="00DC3E8D"/>
    <w:rsid w:val="00DC3EBE"/>
    <w:rsid w:val="00DC3F2D"/>
    <w:rsid w:val="00DC3FA4"/>
    <w:rsid w:val="00DC42A9"/>
    <w:rsid w:val="00DC4551"/>
    <w:rsid w:val="00DC46AC"/>
    <w:rsid w:val="00DC4712"/>
    <w:rsid w:val="00DC4742"/>
    <w:rsid w:val="00DC48E0"/>
    <w:rsid w:val="00DC4914"/>
    <w:rsid w:val="00DC4C50"/>
    <w:rsid w:val="00DC4CA9"/>
    <w:rsid w:val="00DC4D65"/>
    <w:rsid w:val="00DC4E79"/>
    <w:rsid w:val="00DC4E84"/>
    <w:rsid w:val="00DC4E99"/>
    <w:rsid w:val="00DC4F75"/>
    <w:rsid w:val="00DC502E"/>
    <w:rsid w:val="00DC5044"/>
    <w:rsid w:val="00DC50B2"/>
    <w:rsid w:val="00DC5261"/>
    <w:rsid w:val="00DC52AF"/>
    <w:rsid w:val="00DC557B"/>
    <w:rsid w:val="00DC55B2"/>
    <w:rsid w:val="00DC5759"/>
    <w:rsid w:val="00DC5769"/>
    <w:rsid w:val="00DC5772"/>
    <w:rsid w:val="00DC57EB"/>
    <w:rsid w:val="00DC5898"/>
    <w:rsid w:val="00DC58EE"/>
    <w:rsid w:val="00DC594B"/>
    <w:rsid w:val="00DC5974"/>
    <w:rsid w:val="00DC59DB"/>
    <w:rsid w:val="00DC5A5C"/>
    <w:rsid w:val="00DC5C33"/>
    <w:rsid w:val="00DC5D15"/>
    <w:rsid w:val="00DC5D78"/>
    <w:rsid w:val="00DC5EDF"/>
    <w:rsid w:val="00DC6203"/>
    <w:rsid w:val="00DC62CC"/>
    <w:rsid w:val="00DC644E"/>
    <w:rsid w:val="00DC6473"/>
    <w:rsid w:val="00DC65C0"/>
    <w:rsid w:val="00DC65FE"/>
    <w:rsid w:val="00DC66AF"/>
    <w:rsid w:val="00DC671F"/>
    <w:rsid w:val="00DC676A"/>
    <w:rsid w:val="00DC67C3"/>
    <w:rsid w:val="00DC67E6"/>
    <w:rsid w:val="00DC694A"/>
    <w:rsid w:val="00DC6A07"/>
    <w:rsid w:val="00DC6A8B"/>
    <w:rsid w:val="00DC6AAD"/>
    <w:rsid w:val="00DC6AE9"/>
    <w:rsid w:val="00DC6C05"/>
    <w:rsid w:val="00DC6C0F"/>
    <w:rsid w:val="00DC6D3C"/>
    <w:rsid w:val="00DC709D"/>
    <w:rsid w:val="00DC7100"/>
    <w:rsid w:val="00DC710F"/>
    <w:rsid w:val="00DC7143"/>
    <w:rsid w:val="00DC714F"/>
    <w:rsid w:val="00DC7209"/>
    <w:rsid w:val="00DC7220"/>
    <w:rsid w:val="00DC7240"/>
    <w:rsid w:val="00DC73C1"/>
    <w:rsid w:val="00DC756F"/>
    <w:rsid w:val="00DC77A3"/>
    <w:rsid w:val="00DC77EC"/>
    <w:rsid w:val="00DC78EB"/>
    <w:rsid w:val="00DC795E"/>
    <w:rsid w:val="00DC798F"/>
    <w:rsid w:val="00DC7B43"/>
    <w:rsid w:val="00DC7B4A"/>
    <w:rsid w:val="00DC7B50"/>
    <w:rsid w:val="00DC7CA1"/>
    <w:rsid w:val="00DC7CAD"/>
    <w:rsid w:val="00DC7E05"/>
    <w:rsid w:val="00DC7E19"/>
    <w:rsid w:val="00DC7EB0"/>
    <w:rsid w:val="00DC7F5D"/>
    <w:rsid w:val="00DC7FA0"/>
    <w:rsid w:val="00DD0077"/>
    <w:rsid w:val="00DD00C7"/>
    <w:rsid w:val="00DD00F3"/>
    <w:rsid w:val="00DD0140"/>
    <w:rsid w:val="00DD0203"/>
    <w:rsid w:val="00DD03CB"/>
    <w:rsid w:val="00DD05AB"/>
    <w:rsid w:val="00DD05C7"/>
    <w:rsid w:val="00DD05DD"/>
    <w:rsid w:val="00DD06A7"/>
    <w:rsid w:val="00DD0709"/>
    <w:rsid w:val="00DD08A8"/>
    <w:rsid w:val="00DD08D8"/>
    <w:rsid w:val="00DD0979"/>
    <w:rsid w:val="00DD0A31"/>
    <w:rsid w:val="00DD0AF3"/>
    <w:rsid w:val="00DD0B08"/>
    <w:rsid w:val="00DD0BC4"/>
    <w:rsid w:val="00DD0C10"/>
    <w:rsid w:val="00DD0C3C"/>
    <w:rsid w:val="00DD0D2D"/>
    <w:rsid w:val="00DD0DD7"/>
    <w:rsid w:val="00DD0EC7"/>
    <w:rsid w:val="00DD0F5B"/>
    <w:rsid w:val="00DD0FFA"/>
    <w:rsid w:val="00DD10D5"/>
    <w:rsid w:val="00DD1159"/>
    <w:rsid w:val="00DD130B"/>
    <w:rsid w:val="00DD13BD"/>
    <w:rsid w:val="00DD1429"/>
    <w:rsid w:val="00DD14E8"/>
    <w:rsid w:val="00DD15B1"/>
    <w:rsid w:val="00DD15C8"/>
    <w:rsid w:val="00DD15F9"/>
    <w:rsid w:val="00DD1694"/>
    <w:rsid w:val="00DD16C0"/>
    <w:rsid w:val="00DD173B"/>
    <w:rsid w:val="00DD180C"/>
    <w:rsid w:val="00DD19D2"/>
    <w:rsid w:val="00DD1AEA"/>
    <w:rsid w:val="00DD1B19"/>
    <w:rsid w:val="00DD1CCE"/>
    <w:rsid w:val="00DD1D3C"/>
    <w:rsid w:val="00DD1D8F"/>
    <w:rsid w:val="00DD1E91"/>
    <w:rsid w:val="00DD1FDC"/>
    <w:rsid w:val="00DD1FE3"/>
    <w:rsid w:val="00DD2005"/>
    <w:rsid w:val="00DD2027"/>
    <w:rsid w:val="00DD20F1"/>
    <w:rsid w:val="00DD21A1"/>
    <w:rsid w:val="00DD21FB"/>
    <w:rsid w:val="00DD2239"/>
    <w:rsid w:val="00DD2289"/>
    <w:rsid w:val="00DD2318"/>
    <w:rsid w:val="00DD24BC"/>
    <w:rsid w:val="00DD25B2"/>
    <w:rsid w:val="00DD260D"/>
    <w:rsid w:val="00DD26F0"/>
    <w:rsid w:val="00DD2866"/>
    <w:rsid w:val="00DD2928"/>
    <w:rsid w:val="00DD297D"/>
    <w:rsid w:val="00DD29D3"/>
    <w:rsid w:val="00DD2AE4"/>
    <w:rsid w:val="00DD2B12"/>
    <w:rsid w:val="00DD2B47"/>
    <w:rsid w:val="00DD2B58"/>
    <w:rsid w:val="00DD2C61"/>
    <w:rsid w:val="00DD2D4C"/>
    <w:rsid w:val="00DD2DE2"/>
    <w:rsid w:val="00DD2F72"/>
    <w:rsid w:val="00DD324D"/>
    <w:rsid w:val="00DD328D"/>
    <w:rsid w:val="00DD32F4"/>
    <w:rsid w:val="00DD3320"/>
    <w:rsid w:val="00DD33E1"/>
    <w:rsid w:val="00DD35FC"/>
    <w:rsid w:val="00DD36C2"/>
    <w:rsid w:val="00DD37D7"/>
    <w:rsid w:val="00DD37DF"/>
    <w:rsid w:val="00DD3899"/>
    <w:rsid w:val="00DD39DC"/>
    <w:rsid w:val="00DD3A6C"/>
    <w:rsid w:val="00DD3A91"/>
    <w:rsid w:val="00DD3C1A"/>
    <w:rsid w:val="00DD3C24"/>
    <w:rsid w:val="00DD3EE9"/>
    <w:rsid w:val="00DD3F4C"/>
    <w:rsid w:val="00DD3F5E"/>
    <w:rsid w:val="00DD40AE"/>
    <w:rsid w:val="00DD418C"/>
    <w:rsid w:val="00DD4284"/>
    <w:rsid w:val="00DD42A0"/>
    <w:rsid w:val="00DD42B3"/>
    <w:rsid w:val="00DD4326"/>
    <w:rsid w:val="00DD43D3"/>
    <w:rsid w:val="00DD44A1"/>
    <w:rsid w:val="00DD44A4"/>
    <w:rsid w:val="00DD454F"/>
    <w:rsid w:val="00DD46DF"/>
    <w:rsid w:val="00DD470E"/>
    <w:rsid w:val="00DD4789"/>
    <w:rsid w:val="00DD47AA"/>
    <w:rsid w:val="00DD48E2"/>
    <w:rsid w:val="00DD491B"/>
    <w:rsid w:val="00DD4AD5"/>
    <w:rsid w:val="00DD4B19"/>
    <w:rsid w:val="00DD4C2D"/>
    <w:rsid w:val="00DD4C8B"/>
    <w:rsid w:val="00DD4D23"/>
    <w:rsid w:val="00DD4D39"/>
    <w:rsid w:val="00DD4E24"/>
    <w:rsid w:val="00DD4EA4"/>
    <w:rsid w:val="00DD4EFB"/>
    <w:rsid w:val="00DD4F46"/>
    <w:rsid w:val="00DD4F65"/>
    <w:rsid w:val="00DD523B"/>
    <w:rsid w:val="00DD5282"/>
    <w:rsid w:val="00DD52C2"/>
    <w:rsid w:val="00DD53A2"/>
    <w:rsid w:val="00DD542D"/>
    <w:rsid w:val="00DD54E1"/>
    <w:rsid w:val="00DD5599"/>
    <w:rsid w:val="00DD5684"/>
    <w:rsid w:val="00DD57B3"/>
    <w:rsid w:val="00DD5912"/>
    <w:rsid w:val="00DD59FD"/>
    <w:rsid w:val="00DD5BBE"/>
    <w:rsid w:val="00DD5C83"/>
    <w:rsid w:val="00DD5CBF"/>
    <w:rsid w:val="00DD5CD1"/>
    <w:rsid w:val="00DD5DCE"/>
    <w:rsid w:val="00DD5F44"/>
    <w:rsid w:val="00DD604B"/>
    <w:rsid w:val="00DD60BF"/>
    <w:rsid w:val="00DD61E9"/>
    <w:rsid w:val="00DD6244"/>
    <w:rsid w:val="00DD6274"/>
    <w:rsid w:val="00DD62D7"/>
    <w:rsid w:val="00DD6473"/>
    <w:rsid w:val="00DD653A"/>
    <w:rsid w:val="00DD6697"/>
    <w:rsid w:val="00DD67F7"/>
    <w:rsid w:val="00DD6889"/>
    <w:rsid w:val="00DD694A"/>
    <w:rsid w:val="00DD6992"/>
    <w:rsid w:val="00DD69A2"/>
    <w:rsid w:val="00DD6A71"/>
    <w:rsid w:val="00DD6A9A"/>
    <w:rsid w:val="00DD6ADF"/>
    <w:rsid w:val="00DD6AE5"/>
    <w:rsid w:val="00DD6E80"/>
    <w:rsid w:val="00DD6F30"/>
    <w:rsid w:val="00DD6FC7"/>
    <w:rsid w:val="00DD738D"/>
    <w:rsid w:val="00DD7435"/>
    <w:rsid w:val="00DD745E"/>
    <w:rsid w:val="00DD7491"/>
    <w:rsid w:val="00DD7528"/>
    <w:rsid w:val="00DD7674"/>
    <w:rsid w:val="00DD7781"/>
    <w:rsid w:val="00DD7873"/>
    <w:rsid w:val="00DD788A"/>
    <w:rsid w:val="00DD78E7"/>
    <w:rsid w:val="00DD79C2"/>
    <w:rsid w:val="00DD79E2"/>
    <w:rsid w:val="00DD7A86"/>
    <w:rsid w:val="00DD7AE7"/>
    <w:rsid w:val="00DD7B22"/>
    <w:rsid w:val="00DD7BAA"/>
    <w:rsid w:val="00DD7D06"/>
    <w:rsid w:val="00DD7DA9"/>
    <w:rsid w:val="00DD7DBD"/>
    <w:rsid w:val="00DD7ECE"/>
    <w:rsid w:val="00DD7F21"/>
    <w:rsid w:val="00DD7FA1"/>
    <w:rsid w:val="00DD7FFB"/>
    <w:rsid w:val="00DE007C"/>
    <w:rsid w:val="00DE0262"/>
    <w:rsid w:val="00DE0291"/>
    <w:rsid w:val="00DE02F1"/>
    <w:rsid w:val="00DE0322"/>
    <w:rsid w:val="00DE0475"/>
    <w:rsid w:val="00DE04AB"/>
    <w:rsid w:val="00DE051E"/>
    <w:rsid w:val="00DE0542"/>
    <w:rsid w:val="00DE0843"/>
    <w:rsid w:val="00DE08CB"/>
    <w:rsid w:val="00DE0CE2"/>
    <w:rsid w:val="00DE0D50"/>
    <w:rsid w:val="00DE0D6C"/>
    <w:rsid w:val="00DE0E79"/>
    <w:rsid w:val="00DE0F13"/>
    <w:rsid w:val="00DE0F4F"/>
    <w:rsid w:val="00DE1126"/>
    <w:rsid w:val="00DE11A4"/>
    <w:rsid w:val="00DE11B5"/>
    <w:rsid w:val="00DE1266"/>
    <w:rsid w:val="00DE146A"/>
    <w:rsid w:val="00DE161D"/>
    <w:rsid w:val="00DE1639"/>
    <w:rsid w:val="00DE16A6"/>
    <w:rsid w:val="00DE1842"/>
    <w:rsid w:val="00DE189B"/>
    <w:rsid w:val="00DE1A58"/>
    <w:rsid w:val="00DE1B47"/>
    <w:rsid w:val="00DE1BE5"/>
    <w:rsid w:val="00DE1C6C"/>
    <w:rsid w:val="00DE1CC8"/>
    <w:rsid w:val="00DE1D29"/>
    <w:rsid w:val="00DE1DE9"/>
    <w:rsid w:val="00DE1E57"/>
    <w:rsid w:val="00DE1F33"/>
    <w:rsid w:val="00DE2014"/>
    <w:rsid w:val="00DE225A"/>
    <w:rsid w:val="00DE22AF"/>
    <w:rsid w:val="00DE249A"/>
    <w:rsid w:val="00DE24DD"/>
    <w:rsid w:val="00DE2670"/>
    <w:rsid w:val="00DE273B"/>
    <w:rsid w:val="00DE2796"/>
    <w:rsid w:val="00DE2981"/>
    <w:rsid w:val="00DE29B9"/>
    <w:rsid w:val="00DE2A1D"/>
    <w:rsid w:val="00DE2CE6"/>
    <w:rsid w:val="00DE2D72"/>
    <w:rsid w:val="00DE2E03"/>
    <w:rsid w:val="00DE2E2E"/>
    <w:rsid w:val="00DE2E3E"/>
    <w:rsid w:val="00DE2ED6"/>
    <w:rsid w:val="00DE2F0E"/>
    <w:rsid w:val="00DE30C9"/>
    <w:rsid w:val="00DE3165"/>
    <w:rsid w:val="00DE320D"/>
    <w:rsid w:val="00DE321F"/>
    <w:rsid w:val="00DE33F7"/>
    <w:rsid w:val="00DE3568"/>
    <w:rsid w:val="00DE36BF"/>
    <w:rsid w:val="00DE36F7"/>
    <w:rsid w:val="00DE37D2"/>
    <w:rsid w:val="00DE3807"/>
    <w:rsid w:val="00DE39CF"/>
    <w:rsid w:val="00DE39E6"/>
    <w:rsid w:val="00DE39F6"/>
    <w:rsid w:val="00DE3A6D"/>
    <w:rsid w:val="00DE3AD9"/>
    <w:rsid w:val="00DE3B69"/>
    <w:rsid w:val="00DE3BEB"/>
    <w:rsid w:val="00DE3D98"/>
    <w:rsid w:val="00DE3E72"/>
    <w:rsid w:val="00DE3F2D"/>
    <w:rsid w:val="00DE3F54"/>
    <w:rsid w:val="00DE3F86"/>
    <w:rsid w:val="00DE3F9D"/>
    <w:rsid w:val="00DE40DF"/>
    <w:rsid w:val="00DE4113"/>
    <w:rsid w:val="00DE42CC"/>
    <w:rsid w:val="00DE4305"/>
    <w:rsid w:val="00DE43A5"/>
    <w:rsid w:val="00DE4463"/>
    <w:rsid w:val="00DE455D"/>
    <w:rsid w:val="00DE45BA"/>
    <w:rsid w:val="00DE476B"/>
    <w:rsid w:val="00DE48C0"/>
    <w:rsid w:val="00DE4971"/>
    <w:rsid w:val="00DE4999"/>
    <w:rsid w:val="00DE4A21"/>
    <w:rsid w:val="00DE4C09"/>
    <w:rsid w:val="00DE4C25"/>
    <w:rsid w:val="00DE4CC9"/>
    <w:rsid w:val="00DE4D03"/>
    <w:rsid w:val="00DE4D44"/>
    <w:rsid w:val="00DE4D88"/>
    <w:rsid w:val="00DE4EF2"/>
    <w:rsid w:val="00DE4EFC"/>
    <w:rsid w:val="00DE4F12"/>
    <w:rsid w:val="00DE50D4"/>
    <w:rsid w:val="00DE51C4"/>
    <w:rsid w:val="00DE5205"/>
    <w:rsid w:val="00DE5247"/>
    <w:rsid w:val="00DE527C"/>
    <w:rsid w:val="00DE52C9"/>
    <w:rsid w:val="00DE52E3"/>
    <w:rsid w:val="00DE53AD"/>
    <w:rsid w:val="00DE54BE"/>
    <w:rsid w:val="00DE54E3"/>
    <w:rsid w:val="00DE55FE"/>
    <w:rsid w:val="00DE5619"/>
    <w:rsid w:val="00DE5626"/>
    <w:rsid w:val="00DE5669"/>
    <w:rsid w:val="00DE5735"/>
    <w:rsid w:val="00DE5754"/>
    <w:rsid w:val="00DE57ED"/>
    <w:rsid w:val="00DE587B"/>
    <w:rsid w:val="00DE5920"/>
    <w:rsid w:val="00DE5951"/>
    <w:rsid w:val="00DE5A8C"/>
    <w:rsid w:val="00DE5AEC"/>
    <w:rsid w:val="00DE5CB7"/>
    <w:rsid w:val="00DE5CBC"/>
    <w:rsid w:val="00DE5D7D"/>
    <w:rsid w:val="00DE5E8B"/>
    <w:rsid w:val="00DE625D"/>
    <w:rsid w:val="00DE6266"/>
    <w:rsid w:val="00DE6341"/>
    <w:rsid w:val="00DE6368"/>
    <w:rsid w:val="00DE63A0"/>
    <w:rsid w:val="00DE651F"/>
    <w:rsid w:val="00DE654A"/>
    <w:rsid w:val="00DE6562"/>
    <w:rsid w:val="00DE6679"/>
    <w:rsid w:val="00DE667A"/>
    <w:rsid w:val="00DE66CE"/>
    <w:rsid w:val="00DE68AE"/>
    <w:rsid w:val="00DE68E1"/>
    <w:rsid w:val="00DE6C1E"/>
    <w:rsid w:val="00DE6C40"/>
    <w:rsid w:val="00DE6D87"/>
    <w:rsid w:val="00DE6DD7"/>
    <w:rsid w:val="00DE6E45"/>
    <w:rsid w:val="00DE6EE3"/>
    <w:rsid w:val="00DE705C"/>
    <w:rsid w:val="00DE7090"/>
    <w:rsid w:val="00DE709B"/>
    <w:rsid w:val="00DE7246"/>
    <w:rsid w:val="00DE744F"/>
    <w:rsid w:val="00DE7467"/>
    <w:rsid w:val="00DE7492"/>
    <w:rsid w:val="00DE74BF"/>
    <w:rsid w:val="00DE75CC"/>
    <w:rsid w:val="00DE772A"/>
    <w:rsid w:val="00DE7C74"/>
    <w:rsid w:val="00DE7CAC"/>
    <w:rsid w:val="00DE7D94"/>
    <w:rsid w:val="00DE7DC4"/>
    <w:rsid w:val="00DE7E0A"/>
    <w:rsid w:val="00DE7F57"/>
    <w:rsid w:val="00DF0117"/>
    <w:rsid w:val="00DF0132"/>
    <w:rsid w:val="00DF0215"/>
    <w:rsid w:val="00DF0343"/>
    <w:rsid w:val="00DF0457"/>
    <w:rsid w:val="00DF0542"/>
    <w:rsid w:val="00DF0567"/>
    <w:rsid w:val="00DF06A3"/>
    <w:rsid w:val="00DF06F6"/>
    <w:rsid w:val="00DF0803"/>
    <w:rsid w:val="00DF080D"/>
    <w:rsid w:val="00DF0817"/>
    <w:rsid w:val="00DF0933"/>
    <w:rsid w:val="00DF0C2A"/>
    <w:rsid w:val="00DF0D43"/>
    <w:rsid w:val="00DF0EE3"/>
    <w:rsid w:val="00DF0EF7"/>
    <w:rsid w:val="00DF100E"/>
    <w:rsid w:val="00DF1054"/>
    <w:rsid w:val="00DF1078"/>
    <w:rsid w:val="00DF1200"/>
    <w:rsid w:val="00DF1404"/>
    <w:rsid w:val="00DF146C"/>
    <w:rsid w:val="00DF15FC"/>
    <w:rsid w:val="00DF1673"/>
    <w:rsid w:val="00DF16B0"/>
    <w:rsid w:val="00DF16FE"/>
    <w:rsid w:val="00DF1717"/>
    <w:rsid w:val="00DF1763"/>
    <w:rsid w:val="00DF17FF"/>
    <w:rsid w:val="00DF187D"/>
    <w:rsid w:val="00DF1911"/>
    <w:rsid w:val="00DF1934"/>
    <w:rsid w:val="00DF1953"/>
    <w:rsid w:val="00DF19C9"/>
    <w:rsid w:val="00DF1A1E"/>
    <w:rsid w:val="00DF1A86"/>
    <w:rsid w:val="00DF1B02"/>
    <w:rsid w:val="00DF1B18"/>
    <w:rsid w:val="00DF1BC9"/>
    <w:rsid w:val="00DF1BFB"/>
    <w:rsid w:val="00DF1CEA"/>
    <w:rsid w:val="00DF1F0A"/>
    <w:rsid w:val="00DF20EA"/>
    <w:rsid w:val="00DF21C2"/>
    <w:rsid w:val="00DF2323"/>
    <w:rsid w:val="00DF235F"/>
    <w:rsid w:val="00DF23B6"/>
    <w:rsid w:val="00DF23CE"/>
    <w:rsid w:val="00DF26E7"/>
    <w:rsid w:val="00DF276A"/>
    <w:rsid w:val="00DF27F7"/>
    <w:rsid w:val="00DF2874"/>
    <w:rsid w:val="00DF2A3F"/>
    <w:rsid w:val="00DF2A74"/>
    <w:rsid w:val="00DF2AAE"/>
    <w:rsid w:val="00DF2AB9"/>
    <w:rsid w:val="00DF2B8D"/>
    <w:rsid w:val="00DF2C20"/>
    <w:rsid w:val="00DF2D10"/>
    <w:rsid w:val="00DF2E2B"/>
    <w:rsid w:val="00DF31DB"/>
    <w:rsid w:val="00DF31E9"/>
    <w:rsid w:val="00DF3268"/>
    <w:rsid w:val="00DF3296"/>
    <w:rsid w:val="00DF32DD"/>
    <w:rsid w:val="00DF34BB"/>
    <w:rsid w:val="00DF3551"/>
    <w:rsid w:val="00DF35AC"/>
    <w:rsid w:val="00DF35B3"/>
    <w:rsid w:val="00DF35E2"/>
    <w:rsid w:val="00DF360C"/>
    <w:rsid w:val="00DF36FA"/>
    <w:rsid w:val="00DF3927"/>
    <w:rsid w:val="00DF3A48"/>
    <w:rsid w:val="00DF3A54"/>
    <w:rsid w:val="00DF3A61"/>
    <w:rsid w:val="00DF3C1F"/>
    <w:rsid w:val="00DF3D0E"/>
    <w:rsid w:val="00DF3DDB"/>
    <w:rsid w:val="00DF427B"/>
    <w:rsid w:val="00DF4373"/>
    <w:rsid w:val="00DF4594"/>
    <w:rsid w:val="00DF45DA"/>
    <w:rsid w:val="00DF4632"/>
    <w:rsid w:val="00DF4782"/>
    <w:rsid w:val="00DF489D"/>
    <w:rsid w:val="00DF4BBE"/>
    <w:rsid w:val="00DF4D96"/>
    <w:rsid w:val="00DF4DCE"/>
    <w:rsid w:val="00DF4EDF"/>
    <w:rsid w:val="00DF4EF7"/>
    <w:rsid w:val="00DF4F1B"/>
    <w:rsid w:val="00DF4FA6"/>
    <w:rsid w:val="00DF4FFE"/>
    <w:rsid w:val="00DF50B7"/>
    <w:rsid w:val="00DF50CF"/>
    <w:rsid w:val="00DF525F"/>
    <w:rsid w:val="00DF5325"/>
    <w:rsid w:val="00DF5342"/>
    <w:rsid w:val="00DF53B1"/>
    <w:rsid w:val="00DF540C"/>
    <w:rsid w:val="00DF5570"/>
    <w:rsid w:val="00DF5605"/>
    <w:rsid w:val="00DF56A1"/>
    <w:rsid w:val="00DF56CD"/>
    <w:rsid w:val="00DF56F9"/>
    <w:rsid w:val="00DF573E"/>
    <w:rsid w:val="00DF5745"/>
    <w:rsid w:val="00DF5781"/>
    <w:rsid w:val="00DF57C0"/>
    <w:rsid w:val="00DF57FE"/>
    <w:rsid w:val="00DF5856"/>
    <w:rsid w:val="00DF591F"/>
    <w:rsid w:val="00DF5993"/>
    <w:rsid w:val="00DF5A7B"/>
    <w:rsid w:val="00DF5BA1"/>
    <w:rsid w:val="00DF5C3D"/>
    <w:rsid w:val="00DF5D11"/>
    <w:rsid w:val="00DF5D30"/>
    <w:rsid w:val="00DF5D74"/>
    <w:rsid w:val="00DF6194"/>
    <w:rsid w:val="00DF623A"/>
    <w:rsid w:val="00DF641A"/>
    <w:rsid w:val="00DF64FC"/>
    <w:rsid w:val="00DF65EC"/>
    <w:rsid w:val="00DF666A"/>
    <w:rsid w:val="00DF669F"/>
    <w:rsid w:val="00DF6799"/>
    <w:rsid w:val="00DF6915"/>
    <w:rsid w:val="00DF693F"/>
    <w:rsid w:val="00DF6984"/>
    <w:rsid w:val="00DF6B3C"/>
    <w:rsid w:val="00DF6BB5"/>
    <w:rsid w:val="00DF6BE2"/>
    <w:rsid w:val="00DF6FE1"/>
    <w:rsid w:val="00DF702C"/>
    <w:rsid w:val="00DF7032"/>
    <w:rsid w:val="00DF7116"/>
    <w:rsid w:val="00DF7150"/>
    <w:rsid w:val="00DF7184"/>
    <w:rsid w:val="00DF71D4"/>
    <w:rsid w:val="00DF7210"/>
    <w:rsid w:val="00DF721B"/>
    <w:rsid w:val="00DF737C"/>
    <w:rsid w:val="00DF7424"/>
    <w:rsid w:val="00DF743D"/>
    <w:rsid w:val="00DF74E8"/>
    <w:rsid w:val="00DF7501"/>
    <w:rsid w:val="00DF750F"/>
    <w:rsid w:val="00DF760F"/>
    <w:rsid w:val="00DF7870"/>
    <w:rsid w:val="00DF796D"/>
    <w:rsid w:val="00DF79C4"/>
    <w:rsid w:val="00DF79F9"/>
    <w:rsid w:val="00DF7B08"/>
    <w:rsid w:val="00DF7B90"/>
    <w:rsid w:val="00DF7C04"/>
    <w:rsid w:val="00DF7C6F"/>
    <w:rsid w:val="00DF7CEF"/>
    <w:rsid w:val="00DF7CFE"/>
    <w:rsid w:val="00DF7D29"/>
    <w:rsid w:val="00DF7D99"/>
    <w:rsid w:val="00DF7DC4"/>
    <w:rsid w:val="00DF7E59"/>
    <w:rsid w:val="00DF7E86"/>
    <w:rsid w:val="00DF7E9D"/>
    <w:rsid w:val="00DFF113"/>
    <w:rsid w:val="00E002C8"/>
    <w:rsid w:val="00E00333"/>
    <w:rsid w:val="00E00391"/>
    <w:rsid w:val="00E003A9"/>
    <w:rsid w:val="00E003B1"/>
    <w:rsid w:val="00E00421"/>
    <w:rsid w:val="00E00455"/>
    <w:rsid w:val="00E00547"/>
    <w:rsid w:val="00E00600"/>
    <w:rsid w:val="00E0071E"/>
    <w:rsid w:val="00E007CF"/>
    <w:rsid w:val="00E0093F"/>
    <w:rsid w:val="00E00942"/>
    <w:rsid w:val="00E00B8A"/>
    <w:rsid w:val="00E00D3F"/>
    <w:rsid w:val="00E00F09"/>
    <w:rsid w:val="00E00F2E"/>
    <w:rsid w:val="00E00F91"/>
    <w:rsid w:val="00E00FC1"/>
    <w:rsid w:val="00E01000"/>
    <w:rsid w:val="00E0114B"/>
    <w:rsid w:val="00E011CE"/>
    <w:rsid w:val="00E011FF"/>
    <w:rsid w:val="00E01275"/>
    <w:rsid w:val="00E0132D"/>
    <w:rsid w:val="00E013CE"/>
    <w:rsid w:val="00E014B0"/>
    <w:rsid w:val="00E014BD"/>
    <w:rsid w:val="00E01503"/>
    <w:rsid w:val="00E015D3"/>
    <w:rsid w:val="00E015DC"/>
    <w:rsid w:val="00E015EE"/>
    <w:rsid w:val="00E0179D"/>
    <w:rsid w:val="00E018E3"/>
    <w:rsid w:val="00E01DA5"/>
    <w:rsid w:val="00E01DCC"/>
    <w:rsid w:val="00E01E88"/>
    <w:rsid w:val="00E01F9B"/>
    <w:rsid w:val="00E021C3"/>
    <w:rsid w:val="00E02249"/>
    <w:rsid w:val="00E0224B"/>
    <w:rsid w:val="00E0228E"/>
    <w:rsid w:val="00E023EB"/>
    <w:rsid w:val="00E0244C"/>
    <w:rsid w:val="00E02523"/>
    <w:rsid w:val="00E02580"/>
    <w:rsid w:val="00E02657"/>
    <w:rsid w:val="00E02713"/>
    <w:rsid w:val="00E02752"/>
    <w:rsid w:val="00E02770"/>
    <w:rsid w:val="00E027B0"/>
    <w:rsid w:val="00E027F7"/>
    <w:rsid w:val="00E02822"/>
    <w:rsid w:val="00E02A5E"/>
    <w:rsid w:val="00E02B0D"/>
    <w:rsid w:val="00E02B7B"/>
    <w:rsid w:val="00E02BA2"/>
    <w:rsid w:val="00E02BD5"/>
    <w:rsid w:val="00E02C2D"/>
    <w:rsid w:val="00E02C7C"/>
    <w:rsid w:val="00E02D21"/>
    <w:rsid w:val="00E02DF7"/>
    <w:rsid w:val="00E02E2A"/>
    <w:rsid w:val="00E02E38"/>
    <w:rsid w:val="00E02F9F"/>
    <w:rsid w:val="00E0301C"/>
    <w:rsid w:val="00E03034"/>
    <w:rsid w:val="00E030CD"/>
    <w:rsid w:val="00E03159"/>
    <w:rsid w:val="00E032EB"/>
    <w:rsid w:val="00E034F6"/>
    <w:rsid w:val="00E03725"/>
    <w:rsid w:val="00E038AD"/>
    <w:rsid w:val="00E039AB"/>
    <w:rsid w:val="00E039CA"/>
    <w:rsid w:val="00E039F0"/>
    <w:rsid w:val="00E03A8D"/>
    <w:rsid w:val="00E03B9E"/>
    <w:rsid w:val="00E03E02"/>
    <w:rsid w:val="00E03E38"/>
    <w:rsid w:val="00E03F29"/>
    <w:rsid w:val="00E03F2F"/>
    <w:rsid w:val="00E0404B"/>
    <w:rsid w:val="00E04081"/>
    <w:rsid w:val="00E040AA"/>
    <w:rsid w:val="00E040E8"/>
    <w:rsid w:val="00E040EA"/>
    <w:rsid w:val="00E0416C"/>
    <w:rsid w:val="00E041B2"/>
    <w:rsid w:val="00E041E4"/>
    <w:rsid w:val="00E0427F"/>
    <w:rsid w:val="00E042BB"/>
    <w:rsid w:val="00E044B1"/>
    <w:rsid w:val="00E044DE"/>
    <w:rsid w:val="00E044E7"/>
    <w:rsid w:val="00E04527"/>
    <w:rsid w:val="00E046B7"/>
    <w:rsid w:val="00E04956"/>
    <w:rsid w:val="00E04988"/>
    <w:rsid w:val="00E0498F"/>
    <w:rsid w:val="00E049DF"/>
    <w:rsid w:val="00E04A7E"/>
    <w:rsid w:val="00E04A84"/>
    <w:rsid w:val="00E04C84"/>
    <w:rsid w:val="00E04C8B"/>
    <w:rsid w:val="00E04D4C"/>
    <w:rsid w:val="00E04E70"/>
    <w:rsid w:val="00E04EC7"/>
    <w:rsid w:val="00E04F4F"/>
    <w:rsid w:val="00E051C1"/>
    <w:rsid w:val="00E052EB"/>
    <w:rsid w:val="00E05312"/>
    <w:rsid w:val="00E05380"/>
    <w:rsid w:val="00E053EA"/>
    <w:rsid w:val="00E0546D"/>
    <w:rsid w:val="00E0554B"/>
    <w:rsid w:val="00E05562"/>
    <w:rsid w:val="00E05583"/>
    <w:rsid w:val="00E0559C"/>
    <w:rsid w:val="00E055E3"/>
    <w:rsid w:val="00E05650"/>
    <w:rsid w:val="00E057AF"/>
    <w:rsid w:val="00E057BF"/>
    <w:rsid w:val="00E057D0"/>
    <w:rsid w:val="00E058AD"/>
    <w:rsid w:val="00E058DB"/>
    <w:rsid w:val="00E05A4A"/>
    <w:rsid w:val="00E05ABF"/>
    <w:rsid w:val="00E05AE5"/>
    <w:rsid w:val="00E05BFE"/>
    <w:rsid w:val="00E05C22"/>
    <w:rsid w:val="00E05C35"/>
    <w:rsid w:val="00E05D10"/>
    <w:rsid w:val="00E05D77"/>
    <w:rsid w:val="00E05DBE"/>
    <w:rsid w:val="00E05DCC"/>
    <w:rsid w:val="00E05E32"/>
    <w:rsid w:val="00E05F41"/>
    <w:rsid w:val="00E05FE7"/>
    <w:rsid w:val="00E0607C"/>
    <w:rsid w:val="00E06091"/>
    <w:rsid w:val="00E06119"/>
    <w:rsid w:val="00E06245"/>
    <w:rsid w:val="00E062A9"/>
    <w:rsid w:val="00E0630C"/>
    <w:rsid w:val="00E06428"/>
    <w:rsid w:val="00E06490"/>
    <w:rsid w:val="00E0649B"/>
    <w:rsid w:val="00E0669F"/>
    <w:rsid w:val="00E066C7"/>
    <w:rsid w:val="00E0676D"/>
    <w:rsid w:val="00E0679A"/>
    <w:rsid w:val="00E067C6"/>
    <w:rsid w:val="00E06806"/>
    <w:rsid w:val="00E06848"/>
    <w:rsid w:val="00E06889"/>
    <w:rsid w:val="00E0694E"/>
    <w:rsid w:val="00E06A42"/>
    <w:rsid w:val="00E06AB6"/>
    <w:rsid w:val="00E06CD7"/>
    <w:rsid w:val="00E06D14"/>
    <w:rsid w:val="00E06E0D"/>
    <w:rsid w:val="00E06E14"/>
    <w:rsid w:val="00E06E97"/>
    <w:rsid w:val="00E06F83"/>
    <w:rsid w:val="00E07038"/>
    <w:rsid w:val="00E07199"/>
    <w:rsid w:val="00E071B1"/>
    <w:rsid w:val="00E071F3"/>
    <w:rsid w:val="00E07303"/>
    <w:rsid w:val="00E07335"/>
    <w:rsid w:val="00E0735B"/>
    <w:rsid w:val="00E07361"/>
    <w:rsid w:val="00E07367"/>
    <w:rsid w:val="00E0743D"/>
    <w:rsid w:val="00E075EE"/>
    <w:rsid w:val="00E0766E"/>
    <w:rsid w:val="00E07732"/>
    <w:rsid w:val="00E0778E"/>
    <w:rsid w:val="00E07957"/>
    <w:rsid w:val="00E07A8E"/>
    <w:rsid w:val="00E07AB8"/>
    <w:rsid w:val="00E07ADA"/>
    <w:rsid w:val="00E07C73"/>
    <w:rsid w:val="00E07E10"/>
    <w:rsid w:val="00E07E51"/>
    <w:rsid w:val="00E07E66"/>
    <w:rsid w:val="00E10217"/>
    <w:rsid w:val="00E1024B"/>
    <w:rsid w:val="00E10263"/>
    <w:rsid w:val="00E10298"/>
    <w:rsid w:val="00E102DD"/>
    <w:rsid w:val="00E10317"/>
    <w:rsid w:val="00E104B2"/>
    <w:rsid w:val="00E104C3"/>
    <w:rsid w:val="00E105B5"/>
    <w:rsid w:val="00E105BE"/>
    <w:rsid w:val="00E10825"/>
    <w:rsid w:val="00E10853"/>
    <w:rsid w:val="00E1089F"/>
    <w:rsid w:val="00E108C2"/>
    <w:rsid w:val="00E108F1"/>
    <w:rsid w:val="00E10A0E"/>
    <w:rsid w:val="00E10AAE"/>
    <w:rsid w:val="00E10B54"/>
    <w:rsid w:val="00E10B63"/>
    <w:rsid w:val="00E10B74"/>
    <w:rsid w:val="00E10BBF"/>
    <w:rsid w:val="00E10BF4"/>
    <w:rsid w:val="00E10C12"/>
    <w:rsid w:val="00E10C55"/>
    <w:rsid w:val="00E10C7D"/>
    <w:rsid w:val="00E10E4F"/>
    <w:rsid w:val="00E10F0F"/>
    <w:rsid w:val="00E1101B"/>
    <w:rsid w:val="00E110C2"/>
    <w:rsid w:val="00E11161"/>
    <w:rsid w:val="00E111BA"/>
    <w:rsid w:val="00E111E1"/>
    <w:rsid w:val="00E1131C"/>
    <w:rsid w:val="00E11471"/>
    <w:rsid w:val="00E114C4"/>
    <w:rsid w:val="00E11520"/>
    <w:rsid w:val="00E11590"/>
    <w:rsid w:val="00E115D9"/>
    <w:rsid w:val="00E115E1"/>
    <w:rsid w:val="00E116B2"/>
    <w:rsid w:val="00E11775"/>
    <w:rsid w:val="00E117B5"/>
    <w:rsid w:val="00E11ABE"/>
    <w:rsid w:val="00E11B2F"/>
    <w:rsid w:val="00E11C45"/>
    <w:rsid w:val="00E11C77"/>
    <w:rsid w:val="00E11D28"/>
    <w:rsid w:val="00E11D2B"/>
    <w:rsid w:val="00E11D43"/>
    <w:rsid w:val="00E11DAD"/>
    <w:rsid w:val="00E11F70"/>
    <w:rsid w:val="00E120FC"/>
    <w:rsid w:val="00E121BD"/>
    <w:rsid w:val="00E123E4"/>
    <w:rsid w:val="00E12547"/>
    <w:rsid w:val="00E1262C"/>
    <w:rsid w:val="00E1265A"/>
    <w:rsid w:val="00E1267E"/>
    <w:rsid w:val="00E126E2"/>
    <w:rsid w:val="00E126EA"/>
    <w:rsid w:val="00E12824"/>
    <w:rsid w:val="00E128FE"/>
    <w:rsid w:val="00E12913"/>
    <w:rsid w:val="00E12B35"/>
    <w:rsid w:val="00E12B98"/>
    <w:rsid w:val="00E12BD8"/>
    <w:rsid w:val="00E12C3B"/>
    <w:rsid w:val="00E12CCA"/>
    <w:rsid w:val="00E12D7B"/>
    <w:rsid w:val="00E12DA2"/>
    <w:rsid w:val="00E12E4E"/>
    <w:rsid w:val="00E12F0F"/>
    <w:rsid w:val="00E12FD2"/>
    <w:rsid w:val="00E1308A"/>
    <w:rsid w:val="00E1313D"/>
    <w:rsid w:val="00E132AC"/>
    <w:rsid w:val="00E13432"/>
    <w:rsid w:val="00E13468"/>
    <w:rsid w:val="00E13541"/>
    <w:rsid w:val="00E137B4"/>
    <w:rsid w:val="00E138AC"/>
    <w:rsid w:val="00E13A02"/>
    <w:rsid w:val="00E13A6E"/>
    <w:rsid w:val="00E13BF5"/>
    <w:rsid w:val="00E13C20"/>
    <w:rsid w:val="00E13CAB"/>
    <w:rsid w:val="00E13DF4"/>
    <w:rsid w:val="00E13E8F"/>
    <w:rsid w:val="00E13EE3"/>
    <w:rsid w:val="00E13EF5"/>
    <w:rsid w:val="00E13FD5"/>
    <w:rsid w:val="00E13FD9"/>
    <w:rsid w:val="00E13FDE"/>
    <w:rsid w:val="00E140FF"/>
    <w:rsid w:val="00E14219"/>
    <w:rsid w:val="00E142D9"/>
    <w:rsid w:val="00E14367"/>
    <w:rsid w:val="00E143B7"/>
    <w:rsid w:val="00E143F8"/>
    <w:rsid w:val="00E14430"/>
    <w:rsid w:val="00E14539"/>
    <w:rsid w:val="00E14577"/>
    <w:rsid w:val="00E146C1"/>
    <w:rsid w:val="00E1470B"/>
    <w:rsid w:val="00E14794"/>
    <w:rsid w:val="00E147B6"/>
    <w:rsid w:val="00E148C9"/>
    <w:rsid w:val="00E149B3"/>
    <w:rsid w:val="00E149F8"/>
    <w:rsid w:val="00E14A2F"/>
    <w:rsid w:val="00E14A39"/>
    <w:rsid w:val="00E14A72"/>
    <w:rsid w:val="00E14B9A"/>
    <w:rsid w:val="00E14CAD"/>
    <w:rsid w:val="00E14CCE"/>
    <w:rsid w:val="00E14E73"/>
    <w:rsid w:val="00E15025"/>
    <w:rsid w:val="00E15150"/>
    <w:rsid w:val="00E151BE"/>
    <w:rsid w:val="00E15253"/>
    <w:rsid w:val="00E15262"/>
    <w:rsid w:val="00E15269"/>
    <w:rsid w:val="00E152E8"/>
    <w:rsid w:val="00E15467"/>
    <w:rsid w:val="00E155A7"/>
    <w:rsid w:val="00E155F0"/>
    <w:rsid w:val="00E1587C"/>
    <w:rsid w:val="00E158D2"/>
    <w:rsid w:val="00E158DC"/>
    <w:rsid w:val="00E159F3"/>
    <w:rsid w:val="00E15AD7"/>
    <w:rsid w:val="00E15BC1"/>
    <w:rsid w:val="00E15BF5"/>
    <w:rsid w:val="00E15C0A"/>
    <w:rsid w:val="00E15CA4"/>
    <w:rsid w:val="00E15CD5"/>
    <w:rsid w:val="00E15D56"/>
    <w:rsid w:val="00E15E85"/>
    <w:rsid w:val="00E15F2D"/>
    <w:rsid w:val="00E16089"/>
    <w:rsid w:val="00E16123"/>
    <w:rsid w:val="00E1613E"/>
    <w:rsid w:val="00E16158"/>
    <w:rsid w:val="00E16206"/>
    <w:rsid w:val="00E1621B"/>
    <w:rsid w:val="00E1636D"/>
    <w:rsid w:val="00E16444"/>
    <w:rsid w:val="00E16510"/>
    <w:rsid w:val="00E1665F"/>
    <w:rsid w:val="00E1685B"/>
    <w:rsid w:val="00E16920"/>
    <w:rsid w:val="00E1697F"/>
    <w:rsid w:val="00E16BCA"/>
    <w:rsid w:val="00E16C16"/>
    <w:rsid w:val="00E16C1F"/>
    <w:rsid w:val="00E16C8A"/>
    <w:rsid w:val="00E16D19"/>
    <w:rsid w:val="00E16D58"/>
    <w:rsid w:val="00E16DCA"/>
    <w:rsid w:val="00E16E3F"/>
    <w:rsid w:val="00E16EEA"/>
    <w:rsid w:val="00E16F13"/>
    <w:rsid w:val="00E16F83"/>
    <w:rsid w:val="00E16FB0"/>
    <w:rsid w:val="00E1701E"/>
    <w:rsid w:val="00E1702D"/>
    <w:rsid w:val="00E1704E"/>
    <w:rsid w:val="00E1717A"/>
    <w:rsid w:val="00E172A7"/>
    <w:rsid w:val="00E173CE"/>
    <w:rsid w:val="00E1741A"/>
    <w:rsid w:val="00E1748B"/>
    <w:rsid w:val="00E174FA"/>
    <w:rsid w:val="00E17755"/>
    <w:rsid w:val="00E1778B"/>
    <w:rsid w:val="00E1788C"/>
    <w:rsid w:val="00E17893"/>
    <w:rsid w:val="00E179C3"/>
    <w:rsid w:val="00E17C81"/>
    <w:rsid w:val="00E17D10"/>
    <w:rsid w:val="00E17D61"/>
    <w:rsid w:val="00E17DDB"/>
    <w:rsid w:val="00E20123"/>
    <w:rsid w:val="00E2015C"/>
    <w:rsid w:val="00E2020A"/>
    <w:rsid w:val="00E2030A"/>
    <w:rsid w:val="00E20433"/>
    <w:rsid w:val="00E2051F"/>
    <w:rsid w:val="00E2055A"/>
    <w:rsid w:val="00E20737"/>
    <w:rsid w:val="00E207A8"/>
    <w:rsid w:val="00E207B6"/>
    <w:rsid w:val="00E2094B"/>
    <w:rsid w:val="00E209DF"/>
    <w:rsid w:val="00E20C1C"/>
    <w:rsid w:val="00E20C27"/>
    <w:rsid w:val="00E20D63"/>
    <w:rsid w:val="00E20DC6"/>
    <w:rsid w:val="00E20E78"/>
    <w:rsid w:val="00E20FC3"/>
    <w:rsid w:val="00E210CB"/>
    <w:rsid w:val="00E2118E"/>
    <w:rsid w:val="00E21199"/>
    <w:rsid w:val="00E211B7"/>
    <w:rsid w:val="00E21542"/>
    <w:rsid w:val="00E215F4"/>
    <w:rsid w:val="00E2161B"/>
    <w:rsid w:val="00E21689"/>
    <w:rsid w:val="00E216A7"/>
    <w:rsid w:val="00E216CF"/>
    <w:rsid w:val="00E216F2"/>
    <w:rsid w:val="00E21762"/>
    <w:rsid w:val="00E21857"/>
    <w:rsid w:val="00E219D3"/>
    <w:rsid w:val="00E21AA2"/>
    <w:rsid w:val="00E21C4B"/>
    <w:rsid w:val="00E21C92"/>
    <w:rsid w:val="00E21C9C"/>
    <w:rsid w:val="00E21F40"/>
    <w:rsid w:val="00E21FEE"/>
    <w:rsid w:val="00E22173"/>
    <w:rsid w:val="00E221A0"/>
    <w:rsid w:val="00E221B0"/>
    <w:rsid w:val="00E221F6"/>
    <w:rsid w:val="00E2228D"/>
    <w:rsid w:val="00E223BD"/>
    <w:rsid w:val="00E223BE"/>
    <w:rsid w:val="00E2248A"/>
    <w:rsid w:val="00E22533"/>
    <w:rsid w:val="00E225A9"/>
    <w:rsid w:val="00E225E2"/>
    <w:rsid w:val="00E22670"/>
    <w:rsid w:val="00E2273C"/>
    <w:rsid w:val="00E22745"/>
    <w:rsid w:val="00E227DA"/>
    <w:rsid w:val="00E227F5"/>
    <w:rsid w:val="00E2282E"/>
    <w:rsid w:val="00E22852"/>
    <w:rsid w:val="00E228C8"/>
    <w:rsid w:val="00E22916"/>
    <w:rsid w:val="00E22A3B"/>
    <w:rsid w:val="00E22B8C"/>
    <w:rsid w:val="00E22B9D"/>
    <w:rsid w:val="00E22BFB"/>
    <w:rsid w:val="00E22C2A"/>
    <w:rsid w:val="00E22C8F"/>
    <w:rsid w:val="00E22CA0"/>
    <w:rsid w:val="00E22CCE"/>
    <w:rsid w:val="00E22CDB"/>
    <w:rsid w:val="00E22D59"/>
    <w:rsid w:val="00E22DB0"/>
    <w:rsid w:val="00E23035"/>
    <w:rsid w:val="00E2313A"/>
    <w:rsid w:val="00E231E4"/>
    <w:rsid w:val="00E233F3"/>
    <w:rsid w:val="00E23409"/>
    <w:rsid w:val="00E234D3"/>
    <w:rsid w:val="00E234FB"/>
    <w:rsid w:val="00E23505"/>
    <w:rsid w:val="00E2352A"/>
    <w:rsid w:val="00E23573"/>
    <w:rsid w:val="00E235A2"/>
    <w:rsid w:val="00E235C9"/>
    <w:rsid w:val="00E236BB"/>
    <w:rsid w:val="00E237B6"/>
    <w:rsid w:val="00E23822"/>
    <w:rsid w:val="00E238C4"/>
    <w:rsid w:val="00E23AAF"/>
    <w:rsid w:val="00E23C00"/>
    <w:rsid w:val="00E23C1A"/>
    <w:rsid w:val="00E23E43"/>
    <w:rsid w:val="00E23E56"/>
    <w:rsid w:val="00E23FFE"/>
    <w:rsid w:val="00E2408A"/>
    <w:rsid w:val="00E240AE"/>
    <w:rsid w:val="00E24102"/>
    <w:rsid w:val="00E2419F"/>
    <w:rsid w:val="00E241E5"/>
    <w:rsid w:val="00E24297"/>
    <w:rsid w:val="00E242CD"/>
    <w:rsid w:val="00E243CB"/>
    <w:rsid w:val="00E244EC"/>
    <w:rsid w:val="00E2459E"/>
    <w:rsid w:val="00E245D6"/>
    <w:rsid w:val="00E245E3"/>
    <w:rsid w:val="00E246F7"/>
    <w:rsid w:val="00E24704"/>
    <w:rsid w:val="00E24798"/>
    <w:rsid w:val="00E2480C"/>
    <w:rsid w:val="00E24925"/>
    <w:rsid w:val="00E2492F"/>
    <w:rsid w:val="00E24983"/>
    <w:rsid w:val="00E24C24"/>
    <w:rsid w:val="00E24C79"/>
    <w:rsid w:val="00E24C81"/>
    <w:rsid w:val="00E24CE8"/>
    <w:rsid w:val="00E24CFF"/>
    <w:rsid w:val="00E24D5F"/>
    <w:rsid w:val="00E24F3F"/>
    <w:rsid w:val="00E24FCF"/>
    <w:rsid w:val="00E25044"/>
    <w:rsid w:val="00E25085"/>
    <w:rsid w:val="00E250CE"/>
    <w:rsid w:val="00E25141"/>
    <w:rsid w:val="00E251C4"/>
    <w:rsid w:val="00E252BF"/>
    <w:rsid w:val="00E25413"/>
    <w:rsid w:val="00E254E8"/>
    <w:rsid w:val="00E2552F"/>
    <w:rsid w:val="00E25694"/>
    <w:rsid w:val="00E2581B"/>
    <w:rsid w:val="00E2594D"/>
    <w:rsid w:val="00E25969"/>
    <w:rsid w:val="00E2596C"/>
    <w:rsid w:val="00E259F7"/>
    <w:rsid w:val="00E25B17"/>
    <w:rsid w:val="00E25B9D"/>
    <w:rsid w:val="00E25C3C"/>
    <w:rsid w:val="00E25CCC"/>
    <w:rsid w:val="00E25DB2"/>
    <w:rsid w:val="00E25E54"/>
    <w:rsid w:val="00E25E76"/>
    <w:rsid w:val="00E25FA5"/>
    <w:rsid w:val="00E25FCE"/>
    <w:rsid w:val="00E2615A"/>
    <w:rsid w:val="00E26187"/>
    <w:rsid w:val="00E2619E"/>
    <w:rsid w:val="00E26247"/>
    <w:rsid w:val="00E26313"/>
    <w:rsid w:val="00E26431"/>
    <w:rsid w:val="00E26444"/>
    <w:rsid w:val="00E26517"/>
    <w:rsid w:val="00E2655E"/>
    <w:rsid w:val="00E26584"/>
    <w:rsid w:val="00E26617"/>
    <w:rsid w:val="00E26637"/>
    <w:rsid w:val="00E26692"/>
    <w:rsid w:val="00E268F6"/>
    <w:rsid w:val="00E269D2"/>
    <w:rsid w:val="00E269E4"/>
    <w:rsid w:val="00E26B7E"/>
    <w:rsid w:val="00E26C2A"/>
    <w:rsid w:val="00E26C89"/>
    <w:rsid w:val="00E26DDE"/>
    <w:rsid w:val="00E26ECE"/>
    <w:rsid w:val="00E26EEB"/>
    <w:rsid w:val="00E27014"/>
    <w:rsid w:val="00E2701C"/>
    <w:rsid w:val="00E27023"/>
    <w:rsid w:val="00E2703F"/>
    <w:rsid w:val="00E27114"/>
    <w:rsid w:val="00E2714E"/>
    <w:rsid w:val="00E27174"/>
    <w:rsid w:val="00E27194"/>
    <w:rsid w:val="00E2722E"/>
    <w:rsid w:val="00E27389"/>
    <w:rsid w:val="00E273FE"/>
    <w:rsid w:val="00E27412"/>
    <w:rsid w:val="00E27489"/>
    <w:rsid w:val="00E27496"/>
    <w:rsid w:val="00E274B6"/>
    <w:rsid w:val="00E27603"/>
    <w:rsid w:val="00E27634"/>
    <w:rsid w:val="00E276B1"/>
    <w:rsid w:val="00E277DB"/>
    <w:rsid w:val="00E2784E"/>
    <w:rsid w:val="00E278B7"/>
    <w:rsid w:val="00E279BA"/>
    <w:rsid w:val="00E27A93"/>
    <w:rsid w:val="00E27ACE"/>
    <w:rsid w:val="00E27AFA"/>
    <w:rsid w:val="00E27E29"/>
    <w:rsid w:val="00E27E33"/>
    <w:rsid w:val="00E27E44"/>
    <w:rsid w:val="00E27E7D"/>
    <w:rsid w:val="00E27EA3"/>
    <w:rsid w:val="00E27EAE"/>
    <w:rsid w:val="00E27F5F"/>
    <w:rsid w:val="00E3001C"/>
    <w:rsid w:val="00E30193"/>
    <w:rsid w:val="00E301EA"/>
    <w:rsid w:val="00E30222"/>
    <w:rsid w:val="00E30230"/>
    <w:rsid w:val="00E3042A"/>
    <w:rsid w:val="00E304D3"/>
    <w:rsid w:val="00E3062E"/>
    <w:rsid w:val="00E306F1"/>
    <w:rsid w:val="00E306F3"/>
    <w:rsid w:val="00E307F6"/>
    <w:rsid w:val="00E308FF"/>
    <w:rsid w:val="00E3091F"/>
    <w:rsid w:val="00E30A05"/>
    <w:rsid w:val="00E30AB0"/>
    <w:rsid w:val="00E30DCB"/>
    <w:rsid w:val="00E30E10"/>
    <w:rsid w:val="00E30E36"/>
    <w:rsid w:val="00E30E3E"/>
    <w:rsid w:val="00E30EA0"/>
    <w:rsid w:val="00E30F34"/>
    <w:rsid w:val="00E31063"/>
    <w:rsid w:val="00E3107A"/>
    <w:rsid w:val="00E3109B"/>
    <w:rsid w:val="00E310CA"/>
    <w:rsid w:val="00E3118E"/>
    <w:rsid w:val="00E311A8"/>
    <w:rsid w:val="00E311DF"/>
    <w:rsid w:val="00E31226"/>
    <w:rsid w:val="00E31292"/>
    <w:rsid w:val="00E3130A"/>
    <w:rsid w:val="00E3131A"/>
    <w:rsid w:val="00E31342"/>
    <w:rsid w:val="00E31485"/>
    <w:rsid w:val="00E314CB"/>
    <w:rsid w:val="00E315C4"/>
    <w:rsid w:val="00E31602"/>
    <w:rsid w:val="00E316B9"/>
    <w:rsid w:val="00E31706"/>
    <w:rsid w:val="00E31720"/>
    <w:rsid w:val="00E317CE"/>
    <w:rsid w:val="00E317ED"/>
    <w:rsid w:val="00E31807"/>
    <w:rsid w:val="00E31861"/>
    <w:rsid w:val="00E318B8"/>
    <w:rsid w:val="00E3191C"/>
    <w:rsid w:val="00E319E7"/>
    <w:rsid w:val="00E31B63"/>
    <w:rsid w:val="00E31CB6"/>
    <w:rsid w:val="00E31D06"/>
    <w:rsid w:val="00E31D5E"/>
    <w:rsid w:val="00E31D94"/>
    <w:rsid w:val="00E31DB1"/>
    <w:rsid w:val="00E31E22"/>
    <w:rsid w:val="00E31EDC"/>
    <w:rsid w:val="00E31F9C"/>
    <w:rsid w:val="00E31FD4"/>
    <w:rsid w:val="00E320D4"/>
    <w:rsid w:val="00E321A8"/>
    <w:rsid w:val="00E321D0"/>
    <w:rsid w:val="00E324BE"/>
    <w:rsid w:val="00E326A0"/>
    <w:rsid w:val="00E326DB"/>
    <w:rsid w:val="00E3271B"/>
    <w:rsid w:val="00E32729"/>
    <w:rsid w:val="00E32836"/>
    <w:rsid w:val="00E32847"/>
    <w:rsid w:val="00E32918"/>
    <w:rsid w:val="00E32A9E"/>
    <w:rsid w:val="00E32AF2"/>
    <w:rsid w:val="00E32B66"/>
    <w:rsid w:val="00E32BA7"/>
    <w:rsid w:val="00E32BCF"/>
    <w:rsid w:val="00E32C7C"/>
    <w:rsid w:val="00E32D17"/>
    <w:rsid w:val="00E32DE9"/>
    <w:rsid w:val="00E32FD4"/>
    <w:rsid w:val="00E33015"/>
    <w:rsid w:val="00E3301F"/>
    <w:rsid w:val="00E33044"/>
    <w:rsid w:val="00E331F8"/>
    <w:rsid w:val="00E33271"/>
    <w:rsid w:val="00E3327A"/>
    <w:rsid w:val="00E33293"/>
    <w:rsid w:val="00E332B2"/>
    <w:rsid w:val="00E33331"/>
    <w:rsid w:val="00E33508"/>
    <w:rsid w:val="00E33510"/>
    <w:rsid w:val="00E33536"/>
    <w:rsid w:val="00E3354D"/>
    <w:rsid w:val="00E33675"/>
    <w:rsid w:val="00E33708"/>
    <w:rsid w:val="00E33771"/>
    <w:rsid w:val="00E337B0"/>
    <w:rsid w:val="00E337C7"/>
    <w:rsid w:val="00E33803"/>
    <w:rsid w:val="00E338E5"/>
    <w:rsid w:val="00E338E8"/>
    <w:rsid w:val="00E339DE"/>
    <w:rsid w:val="00E33B87"/>
    <w:rsid w:val="00E33B8A"/>
    <w:rsid w:val="00E33BA5"/>
    <w:rsid w:val="00E33C5F"/>
    <w:rsid w:val="00E33D7D"/>
    <w:rsid w:val="00E33DC4"/>
    <w:rsid w:val="00E33E46"/>
    <w:rsid w:val="00E33F48"/>
    <w:rsid w:val="00E33F68"/>
    <w:rsid w:val="00E33F89"/>
    <w:rsid w:val="00E340E7"/>
    <w:rsid w:val="00E34157"/>
    <w:rsid w:val="00E34180"/>
    <w:rsid w:val="00E3425E"/>
    <w:rsid w:val="00E34296"/>
    <w:rsid w:val="00E342BC"/>
    <w:rsid w:val="00E342C3"/>
    <w:rsid w:val="00E344EA"/>
    <w:rsid w:val="00E346CD"/>
    <w:rsid w:val="00E34784"/>
    <w:rsid w:val="00E347CD"/>
    <w:rsid w:val="00E347E8"/>
    <w:rsid w:val="00E347F1"/>
    <w:rsid w:val="00E347FE"/>
    <w:rsid w:val="00E3491C"/>
    <w:rsid w:val="00E349E4"/>
    <w:rsid w:val="00E34AA3"/>
    <w:rsid w:val="00E34AF2"/>
    <w:rsid w:val="00E34B2A"/>
    <w:rsid w:val="00E34CA2"/>
    <w:rsid w:val="00E34DF4"/>
    <w:rsid w:val="00E34E90"/>
    <w:rsid w:val="00E34EA6"/>
    <w:rsid w:val="00E34EFE"/>
    <w:rsid w:val="00E34FF0"/>
    <w:rsid w:val="00E35264"/>
    <w:rsid w:val="00E352E8"/>
    <w:rsid w:val="00E3538A"/>
    <w:rsid w:val="00E35462"/>
    <w:rsid w:val="00E354A7"/>
    <w:rsid w:val="00E35866"/>
    <w:rsid w:val="00E35895"/>
    <w:rsid w:val="00E35938"/>
    <w:rsid w:val="00E359F3"/>
    <w:rsid w:val="00E35A63"/>
    <w:rsid w:val="00E35AD2"/>
    <w:rsid w:val="00E35B47"/>
    <w:rsid w:val="00E35BFF"/>
    <w:rsid w:val="00E35C3B"/>
    <w:rsid w:val="00E35C7E"/>
    <w:rsid w:val="00E35CFE"/>
    <w:rsid w:val="00E35DBD"/>
    <w:rsid w:val="00E35E32"/>
    <w:rsid w:val="00E35E53"/>
    <w:rsid w:val="00E35F94"/>
    <w:rsid w:val="00E35FF8"/>
    <w:rsid w:val="00E3634D"/>
    <w:rsid w:val="00E363DE"/>
    <w:rsid w:val="00E36490"/>
    <w:rsid w:val="00E36591"/>
    <w:rsid w:val="00E36654"/>
    <w:rsid w:val="00E36733"/>
    <w:rsid w:val="00E36843"/>
    <w:rsid w:val="00E368CF"/>
    <w:rsid w:val="00E3694C"/>
    <w:rsid w:val="00E36A44"/>
    <w:rsid w:val="00E36A6E"/>
    <w:rsid w:val="00E36C83"/>
    <w:rsid w:val="00E36CB4"/>
    <w:rsid w:val="00E36CC4"/>
    <w:rsid w:val="00E36CD5"/>
    <w:rsid w:val="00E36D16"/>
    <w:rsid w:val="00E36D53"/>
    <w:rsid w:val="00E36DD8"/>
    <w:rsid w:val="00E36E54"/>
    <w:rsid w:val="00E36FFA"/>
    <w:rsid w:val="00E37181"/>
    <w:rsid w:val="00E371D5"/>
    <w:rsid w:val="00E37221"/>
    <w:rsid w:val="00E3724F"/>
    <w:rsid w:val="00E37289"/>
    <w:rsid w:val="00E374A3"/>
    <w:rsid w:val="00E374CB"/>
    <w:rsid w:val="00E375C5"/>
    <w:rsid w:val="00E375D1"/>
    <w:rsid w:val="00E376E5"/>
    <w:rsid w:val="00E3770C"/>
    <w:rsid w:val="00E37726"/>
    <w:rsid w:val="00E377E9"/>
    <w:rsid w:val="00E377F9"/>
    <w:rsid w:val="00E377FB"/>
    <w:rsid w:val="00E37806"/>
    <w:rsid w:val="00E37826"/>
    <w:rsid w:val="00E37988"/>
    <w:rsid w:val="00E379C1"/>
    <w:rsid w:val="00E37B24"/>
    <w:rsid w:val="00E37CB8"/>
    <w:rsid w:val="00E37D3F"/>
    <w:rsid w:val="00E37D48"/>
    <w:rsid w:val="00E37F95"/>
    <w:rsid w:val="00E401D0"/>
    <w:rsid w:val="00E402CD"/>
    <w:rsid w:val="00E4042C"/>
    <w:rsid w:val="00E4049E"/>
    <w:rsid w:val="00E40694"/>
    <w:rsid w:val="00E40776"/>
    <w:rsid w:val="00E40777"/>
    <w:rsid w:val="00E40848"/>
    <w:rsid w:val="00E408B9"/>
    <w:rsid w:val="00E40A25"/>
    <w:rsid w:val="00E40B29"/>
    <w:rsid w:val="00E40B54"/>
    <w:rsid w:val="00E40B63"/>
    <w:rsid w:val="00E40BC0"/>
    <w:rsid w:val="00E40C32"/>
    <w:rsid w:val="00E4104C"/>
    <w:rsid w:val="00E4106C"/>
    <w:rsid w:val="00E41083"/>
    <w:rsid w:val="00E411D6"/>
    <w:rsid w:val="00E411FD"/>
    <w:rsid w:val="00E4125A"/>
    <w:rsid w:val="00E4126B"/>
    <w:rsid w:val="00E4128C"/>
    <w:rsid w:val="00E413EF"/>
    <w:rsid w:val="00E414C9"/>
    <w:rsid w:val="00E41504"/>
    <w:rsid w:val="00E41513"/>
    <w:rsid w:val="00E41576"/>
    <w:rsid w:val="00E4158B"/>
    <w:rsid w:val="00E415AB"/>
    <w:rsid w:val="00E416AB"/>
    <w:rsid w:val="00E416CC"/>
    <w:rsid w:val="00E41734"/>
    <w:rsid w:val="00E41762"/>
    <w:rsid w:val="00E41779"/>
    <w:rsid w:val="00E417D1"/>
    <w:rsid w:val="00E418EB"/>
    <w:rsid w:val="00E41901"/>
    <w:rsid w:val="00E41974"/>
    <w:rsid w:val="00E41A7D"/>
    <w:rsid w:val="00E41ABB"/>
    <w:rsid w:val="00E41ABF"/>
    <w:rsid w:val="00E41AD2"/>
    <w:rsid w:val="00E41B0E"/>
    <w:rsid w:val="00E41B27"/>
    <w:rsid w:val="00E41C94"/>
    <w:rsid w:val="00E41CAA"/>
    <w:rsid w:val="00E41D5D"/>
    <w:rsid w:val="00E41D71"/>
    <w:rsid w:val="00E41DCF"/>
    <w:rsid w:val="00E41E64"/>
    <w:rsid w:val="00E41E98"/>
    <w:rsid w:val="00E41F23"/>
    <w:rsid w:val="00E41F8B"/>
    <w:rsid w:val="00E41FA5"/>
    <w:rsid w:val="00E4201B"/>
    <w:rsid w:val="00E4203A"/>
    <w:rsid w:val="00E4213D"/>
    <w:rsid w:val="00E4218D"/>
    <w:rsid w:val="00E42206"/>
    <w:rsid w:val="00E42224"/>
    <w:rsid w:val="00E42233"/>
    <w:rsid w:val="00E42246"/>
    <w:rsid w:val="00E422ED"/>
    <w:rsid w:val="00E42336"/>
    <w:rsid w:val="00E423B0"/>
    <w:rsid w:val="00E4247F"/>
    <w:rsid w:val="00E424CB"/>
    <w:rsid w:val="00E424E9"/>
    <w:rsid w:val="00E42503"/>
    <w:rsid w:val="00E4252F"/>
    <w:rsid w:val="00E42631"/>
    <w:rsid w:val="00E4267D"/>
    <w:rsid w:val="00E42851"/>
    <w:rsid w:val="00E428FF"/>
    <w:rsid w:val="00E42903"/>
    <w:rsid w:val="00E4290F"/>
    <w:rsid w:val="00E4299B"/>
    <w:rsid w:val="00E429B7"/>
    <w:rsid w:val="00E42A55"/>
    <w:rsid w:val="00E42A82"/>
    <w:rsid w:val="00E42AC1"/>
    <w:rsid w:val="00E42D10"/>
    <w:rsid w:val="00E42E82"/>
    <w:rsid w:val="00E42EDA"/>
    <w:rsid w:val="00E42FCF"/>
    <w:rsid w:val="00E42FEE"/>
    <w:rsid w:val="00E430C2"/>
    <w:rsid w:val="00E43122"/>
    <w:rsid w:val="00E433C9"/>
    <w:rsid w:val="00E4341E"/>
    <w:rsid w:val="00E4342C"/>
    <w:rsid w:val="00E43673"/>
    <w:rsid w:val="00E43727"/>
    <w:rsid w:val="00E43826"/>
    <w:rsid w:val="00E43889"/>
    <w:rsid w:val="00E4389D"/>
    <w:rsid w:val="00E4399D"/>
    <w:rsid w:val="00E43A13"/>
    <w:rsid w:val="00E43A6B"/>
    <w:rsid w:val="00E43AFD"/>
    <w:rsid w:val="00E43BD8"/>
    <w:rsid w:val="00E43BE2"/>
    <w:rsid w:val="00E43C47"/>
    <w:rsid w:val="00E43CED"/>
    <w:rsid w:val="00E43D3D"/>
    <w:rsid w:val="00E43F8C"/>
    <w:rsid w:val="00E4402E"/>
    <w:rsid w:val="00E4417D"/>
    <w:rsid w:val="00E441B2"/>
    <w:rsid w:val="00E441B3"/>
    <w:rsid w:val="00E442A2"/>
    <w:rsid w:val="00E442D9"/>
    <w:rsid w:val="00E44650"/>
    <w:rsid w:val="00E44665"/>
    <w:rsid w:val="00E447B3"/>
    <w:rsid w:val="00E447EC"/>
    <w:rsid w:val="00E44823"/>
    <w:rsid w:val="00E44830"/>
    <w:rsid w:val="00E44920"/>
    <w:rsid w:val="00E4499D"/>
    <w:rsid w:val="00E44A94"/>
    <w:rsid w:val="00E44AD0"/>
    <w:rsid w:val="00E44B25"/>
    <w:rsid w:val="00E44F08"/>
    <w:rsid w:val="00E44FF1"/>
    <w:rsid w:val="00E45202"/>
    <w:rsid w:val="00E4523C"/>
    <w:rsid w:val="00E452C0"/>
    <w:rsid w:val="00E45358"/>
    <w:rsid w:val="00E453A7"/>
    <w:rsid w:val="00E454B1"/>
    <w:rsid w:val="00E454F7"/>
    <w:rsid w:val="00E455C1"/>
    <w:rsid w:val="00E455FA"/>
    <w:rsid w:val="00E45690"/>
    <w:rsid w:val="00E456DA"/>
    <w:rsid w:val="00E457C7"/>
    <w:rsid w:val="00E45822"/>
    <w:rsid w:val="00E4586E"/>
    <w:rsid w:val="00E45910"/>
    <w:rsid w:val="00E45B27"/>
    <w:rsid w:val="00E45C15"/>
    <w:rsid w:val="00E45C78"/>
    <w:rsid w:val="00E45CD5"/>
    <w:rsid w:val="00E45D2C"/>
    <w:rsid w:val="00E45E89"/>
    <w:rsid w:val="00E45F4B"/>
    <w:rsid w:val="00E45FB8"/>
    <w:rsid w:val="00E4609A"/>
    <w:rsid w:val="00E46169"/>
    <w:rsid w:val="00E46239"/>
    <w:rsid w:val="00E462E8"/>
    <w:rsid w:val="00E46324"/>
    <w:rsid w:val="00E464B1"/>
    <w:rsid w:val="00E4654B"/>
    <w:rsid w:val="00E4658F"/>
    <w:rsid w:val="00E467B5"/>
    <w:rsid w:val="00E467C2"/>
    <w:rsid w:val="00E467CE"/>
    <w:rsid w:val="00E4692B"/>
    <w:rsid w:val="00E469AE"/>
    <w:rsid w:val="00E46DC3"/>
    <w:rsid w:val="00E46E70"/>
    <w:rsid w:val="00E470CA"/>
    <w:rsid w:val="00E470CD"/>
    <w:rsid w:val="00E47136"/>
    <w:rsid w:val="00E4723D"/>
    <w:rsid w:val="00E47357"/>
    <w:rsid w:val="00E474A7"/>
    <w:rsid w:val="00E47571"/>
    <w:rsid w:val="00E47586"/>
    <w:rsid w:val="00E47679"/>
    <w:rsid w:val="00E476AC"/>
    <w:rsid w:val="00E478DD"/>
    <w:rsid w:val="00E478E8"/>
    <w:rsid w:val="00E47A21"/>
    <w:rsid w:val="00E47AAD"/>
    <w:rsid w:val="00E47AC1"/>
    <w:rsid w:val="00E47B22"/>
    <w:rsid w:val="00E47B59"/>
    <w:rsid w:val="00E47D6B"/>
    <w:rsid w:val="00E47D9B"/>
    <w:rsid w:val="00E47E32"/>
    <w:rsid w:val="00E47E8F"/>
    <w:rsid w:val="00E47EF1"/>
    <w:rsid w:val="00E47F05"/>
    <w:rsid w:val="00E47F51"/>
    <w:rsid w:val="00E5001D"/>
    <w:rsid w:val="00E500BE"/>
    <w:rsid w:val="00E50134"/>
    <w:rsid w:val="00E504A8"/>
    <w:rsid w:val="00E50602"/>
    <w:rsid w:val="00E50704"/>
    <w:rsid w:val="00E50794"/>
    <w:rsid w:val="00E507EF"/>
    <w:rsid w:val="00E50811"/>
    <w:rsid w:val="00E5082B"/>
    <w:rsid w:val="00E5091F"/>
    <w:rsid w:val="00E50A6B"/>
    <w:rsid w:val="00E50AD4"/>
    <w:rsid w:val="00E50B40"/>
    <w:rsid w:val="00E50B5D"/>
    <w:rsid w:val="00E50B71"/>
    <w:rsid w:val="00E50C43"/>
    <w:rsid w:val="00E50CC7"/>
    <w:rsid w:val="00E50CEC"/>
    <w:rsid w:val="00E50DE5"/>
    <w:rsid w:val="00E50DFE"/>
    <w:rsid w:val="00E51034"/>
    <w:rsid w:val="00E513C5"/>
    <w:rsid w:val="00E51439"/>
    <w:rsid w:val="00E51525"/>
    <w:rsid w:val="00E51567"/>
    <w:rsid w:val="00E515C8"/>
    <w:rsid w:val="00E516C3"/>
    <w:rsid w:val="00E5170F"/>
    <w:rsid w:val="00E51746"/>
    <w:rsid w:val="00E5186F"/>
    <w:rsid w:val="00E519D6"/>
    <w:rsid w:val="00E51AF3"/>
    <w:rsid w:val="00E51B11"/>
    <w:rsid w:val="00E51CB6"/>
    <w:rsid w:val="00E51CB9"/>
    <w:rsid w:val="00E51D9C"/>
    <w:rsid w:val="00E51E9D"/>
    <w:rsid w:val="00E51EFC"/>
    <w:rsid w:val="00E5203C"/>
    <w:rsid w:val="00E5213E"/>
    <w:rsid w:val="00E52365"/>
    <w:rsid w:val="00E523A6"/>
    <w:rsid w:val="00E523AA"/>
    <w:rsid w:val="00E523AF"/>
    <w:rsid w:val="00E523D0"/>
    <w:rsid w:val="00E5258A"/>
    <w:rsid w:val="00E52630"/>
    <w:rsid w:val="00E52652"/>
    <w:rsid w:val="00E5265D"/>
    <w:rsid w:val="00E5273C"/>
    <w:rsid w:val="00E527ED"/>
    <w:rsid w:val="00E52876"/>
    <w:rsid w:val="00E52906"/>
    <w:rsid w:val="00E52933"/>
    <w:rsid w:val="00E529A6"/>
    <w:rsid w:val="00E52A5B"/>
    <w:rsid w:val="00E52CDC"/>
    <w:rsid w:val="00E52D84"/>
    <w:rsid w:val="00E52D93"/>
    <w:rsid w:val="00E52DA1"/>
    <w:rsid w:val="00E53170"/>
    <w:rsid w:val="00E5321C"/>
    <w:rsid w:val="00E53273"/>
    <w:rsid w:val="00E53386"/>
    <w:rsid w:val="00E53419"/>
    <w:rsid w:val="00E53422"/>
    <w:rsid w:val="00E534EC"/>
    <w:rsid w:val="00E535BE"/>
    <w:rsid w:val="00E53607"/>
    <w:rsid w:val="00E53625"/>
    <w:rsid w:val="00E53632"/>
    <w:rsid w:val="00E536E3"/>
    <w:rsid w:val="00E53750"/>
    <w:rsid w:val="00E53776"/>
    <w:rsid w:val="00E53799"/>
    <w:rsid w:val="00E53951"/>
    <w:rsid w:val="00E53AB9"/>
    <w:rsid w:val="00E53B81"/>
    <w:rsid w:val="00E53BC7"/>
    <w:rsid w:val="00E53BCA"/>
    <w:rsid w:val="00E53C08"/>
    <w:rsid w:val="00E53C42"/>
    <w:rsid w:val="00E53C62"/>
    <w:rsid w:val="00E53CB7"/>
    <w:rsid w:val="00E53E75"/>
    <w:rsid w:val="00E53EF8"/>
    <w:rsid w:val="00E54035"/>
    <w:rsid w:val="00E541C4"/>
    <w:rsid w:val="00E54334"/>
    <w:rsid w:val="00E5437B"/>
    <w:rsid w:val="00E545F5"/>
    <w:rsid w:val="00E54720"/>
    <w:rsid w:val="00E547A0"/>
    <w:rsid w:val="00E54854"/>
    <w:rsid w:val="00E54885"/>
    <w:rsid w:val="00E54999"/>
    <w:rsid w:val="00E54A78"/>
    <w:rsid w:val="00E54B8E"/>
    <w:rsid w:val="00E54BA7"/>
    <w:rsid w:val="00E54BF1"/>
    <w:rsid w:val="00E54F90"/>
    <w:rsid w:val="00E54FDD"/>
    <w:rsid w:val="00E55037"/>
    <w:rsid w:val="00E55038"/>
    <w:rsid w:val="00E55087"/>
    <w:rsid w:val="00E550A9"/>
    <w:rsid w:val="00E5532F"/>
    <w:rsid w:val="00E553D9"/>
    <w:rsid w:val="00E5554F"/>
    <w:rsid w:val="00E555A9"/>
    <w:rsid w:val="00E55638"/>
    <w:rsid w:val="00E55792"/>
    <w:rsid w:val="00E557FC"/>
    <w:rsid w:val="00E55837"/>
    <w:rsid w:val="00E55A21"/>
    <w:rsid w:val="00E55A5E"/>
    <w:rsid w:val="00E55A82"/>
    <w:rsid w:val="00E55BB7"/>
    <w:rsid w:val="00E55C3E"/>
    <w:rsid w:val="00E55EDE"/>
    <w:rsid w:val="00E56001"/>
    <w:rsid w:val="00E560BC"/>
    <w:rsid w:val="00E5615D"/>
    <w:rsid w:val="00E5621D"/>
    <w:rsid w:val="00E56258"/>
    <w:rsid w:val="00E562E4"/>
    <w:rsid w:val="00E563A4"/>
    <w:rsid w:val="00E5646F"/>
    <w:rsid w:val="00E56681"/>
    <w:rsid w:val="00E5677D"/>
    <w:rsid w:val="00E567F1"/>
    <w:rsid w:val="00E56925"/>
    <w:rsid w:val="00E56952"/>
    <w:rsid w:val="00E56A4D"/>
    <w:rsid w:val="00E56A95"/>
    <w:rsid w:val="00E56BD7"/>
    <w:rsid w:val="00E56C3F"/>
    <w:rsid w:val="00E56C71"/>
    <w:rsid w:val="00E56F09"/>
    <w:rsid w:val="00E56F3D"/>
    <w:rsid w:val="00E56F98"/>
    <w:rsid w:val="00E56FD3"/>
    <w:rsid w:val="00E5701B"/>
    <w:rsid w:val="00E57029"/>
    <w:rsid w:val="00E57039"/>
    <w:rsid w:val="00E57161"/>
    <w:rsid w:val="00E57203"/>
    <w:rsid w:val="00E57229"/>
    <w:rsid w:val="00E5730F"/>
    <w:rsid w:val="00E57344"/>
    <w:rsid w:val="00E57378"/>
    <w:rsid w:val="00E573EC"/>
    <w:rsid w:val="00E57521"/>
    <w:rsid w:val="00E57593"/>
    <w:rsid w:val="00E575FC"/>
    <w:rsid w:val="00E576E6"/>
    <w:rsid w:val="00E57760"/>
    <w:rsid w:val="00E579C1"/>
    <w:rsid w:val="00E57B9F"/>
    <w:rsid w:val="00E57C09"/>
    <w:rsid w:val="00E57CC0"/>
    <w:rsid w:val="00E57D03"/>
    <w:rsid w:val="00E57D46"/>
    <w:rsid w:val="00E57D5E"/>
    <w:rsid w:val="00E57E1C"/>
    <w:rsid w:val="00E57EE6"/>
    <w:rsid w:val="00E57EED"/>
    <w:rsid w:val="00E57F13"/>
    <w:rsid w:val="00E60036"/>
    <w:rsid w:val="00E60075"/>
    <w:rsid w:val="00E600BB"/>
    <w:rsid w:val="00E60350"/>
    <w:rsid w:val="00E6038F"/>
    <w:rsid w:val="00E603A5"/>
    <w:rsid w:val="00E60543"/>
    <w:rsid w:val="00E60573"/>
    <w:rsid w:val="00E605D7"/>
    <w:rsid w:val="00E60690"/>
    <w:rsid w:val="00E607A2"/>
    <w:rsid w:val="00E607C9"/>
    <w:rsid w:val="00E607F4"/>
    <w:rsid w:val="00E608D7"/>
    <w:rsid w:val="00E60929"/>
    <w:rsid w:val="00E60A1E"/>
    <w:rsid w:val="00E60A85"/>
    <w:rsid w:val="00E60AEA"/>
    <w:rsid w:val="00E60B33"/>
    <w:rsid w:val="00E60B42"/>
    <w:rsid w:val="00E60BB1"/>
    <w:rsid w:val="00E60BD5"/>
    <w:rsid w:val="00E60CF7"/>
    <w:rsid w:val="00E60D57"/>
    <w:rsid w:val="00E60D8E"/>
    <w:rsid w:val="00E60DC5"/>
    <w:rsid w:val="00E60DEC"/>
    <w:rsid w:val="00E610BC"/>
    <w:rsid w:val="00E6118D"/>
    <w:rsid w:val="00E61195"/>
    <w:rsid w:val="00E61232"/>
    <w:rsid w:val="00E612FD"/>
    <w:rsid w:val="00E61310"/>
    <w:rsid w:val="00E61342"/>
    <w:rsid w:val="00E61424"/>
    <w:rsid w:val="00E61557"/>
    <w:rsid w:val="00E6155D"/>
    <w:rsid w:val="00E61581"/>
    <w:rsid w:val="00E618D2"/>
    <w:rsid w:val="00E61981"/>
    <w:rsid w:val="00E61998"/>
    <w:rsid w:val="00E6199E"/>
    <w:rsid w:val="00E61B82"/>
    <w:rsid w:val="00E61C19"/>
    <w:rsid w:val="00E61D21"/>
    <w:rsid w:val="00E61E71"/>
    <w:rsid w:val="00E61EBC"/>
    <w:rsid w:val="00E61FD8"/>
    <w:rsid w:val="00E6200C"/>
    <w:rsid w:val="00E62093"/>
    <w:rsid w:val="00E620B1"/>
    <w:rsid w:val="00E621E5"/>
    <w:rsid w:val="00E622AF"/>
    <w:rsid w:val="00E622D1"/>
    <w:rsid w:val="00E622F8"/>
    <w:rsid w:val="00E62357"/>
    <w:rsid w:val="00E6239E"/>
    <w:rsid w:val="00E6242A"/>
    <w:rsid w:val="00E62446"/>
    <w:rsid w:val="00E624EF"/>
    <w:rsid w:val="00E62657"/>
    <w:rsid w:val="00E6268A"/>
    <w:rsid w:val="00E6274D"/>
    <w:rsid w:val="00E62765"/>
    <w:rsid w:val="00E6286C"/>
    <w:rsid w:val="00E62882"/>
    <w:rsid w:val="00E62A5B"/>
    <w:rsid w:val="00E62A98"/>
    <w:rsid w:val="00E62AD7"/>
    <w:rsid w:val="00E62C96"/>
    <w:rsid w:val="00E62CF4"/>
    <w:rsid w:val="00E62E79"/>
    <w:rsid w:val="00E62FD2"/>
    <w:rsid w:val="00E632B5"/>
    <w:rsid w:val="00E633FA"/>
    <w:rsid w:val="00E63433"/>
    <w:rsid w:val="00E63498"/>
    <w:rsid w:val="00E63562"/>
    <w:rsid w:val="00E63617"/>
    <w:rsid w:val="00E63900"/>
    <w:rsid w:val="00E639E7"/>
    <w:rsid w:val="00E63A15"/>
    <w:rsid w:val="00E63A33"/>
    <w:rsid w:val="00E63B83"/>
    <w:rsid w:val="00E63B96"/>
    <w:rsid w:val="00E63C9F"/>
    <w:rsid w:val="00E63CDC"/>
    <w:rsid w:val="00E63D6D"/>
    <w:rsid w:val="00E63E70"/>
    <w:rsid w:val="00E63E80"/>
    <w:rsid w:val="00E63E92"/>
    <w:rsid w:val="00E63F47"/>
    <w:rsid w:val="00E64050"/>
    <w:rsid w:val="00E640AE"/>
    <w:rsid w:val="00E6418C"/>
    <w:rsid w:val="00E64216"/>
    <w:rsid w:val="00E64483"/>
    <w:rsid w:val="00E645A8"/>
    <w:rsid w:val="00E645C4"/>
    <w:rsid w:val="00E6472A"/>
    <w:rsid w:val="00E64736"/>
    <w:rsid w:val="00E648DF"/>
    <w:rsid w:val="00E64907"/>
    <w:rsid w:val="00E64996"/>
    <w:rsid w:val="00E649A5"/>
    <w:rsid w:val="00E64A05"/>
    <w:rsid w:val="00E64A25"/>
    <w:rsid w:val="00E64B32"/>
    <w:rsid w:val="00E64BFE"/>
    <w:rsid w:val="00E64C72"/>
    <w:rsid w:val="00E64D37"/>
    <w:rsid w:val="00E64D70"/>
    <w:rsid w:val="00E64D83"/>
    <w:rsid w:val="00E64FC8"/>
    <w:rsid w:val="00E64FF7"/>
    <w:rsid w:val="00E65044"/>
    <w:rsid w:val="00E6506B"/>
    <w:rsid w:val="00E650B4"/>
    <w:rsid w:val="00E650F9"/>
    <w:rsid w:val="00E65141"/>
    <w:rsid w:val="00E65487"/>
    <w:rsid w:val="00E6570A"/>
    <w:rsid w:val="00E65890"/>
    <w:rsid w:val="00E6594B"/>
    <w:rsid w:val="00E65965"/>
    <w:rsid w:val="00E659AB"/>
    <w:rsid w:val="00E659B2"/>
    <w:rsid w:val="00E659BD"/>
    <w:rsid w:val="00E65AA2"/>
    <w:rsid w:val="00E65E76"/>
    <w:rsid w:val="00E65F22"/>
    <w:rsid w:val="00E65F80"/>
    <w:rsid w:val="00E6603C"/>
    <w:rsid w:val="00E661E8"/>
    <w:rsid w:val="00E66230"/>
    <w:rsid w:val="00E66289"/>
    <w:rsid w:val="00E662FA"/>
    <w:rsid w:val="00E66309"/>
    <w:rsid w:val="00E6630D"/>
    <w:rsid w:val="00E66336"/>
    <w:rsid w:val="00E665C0"/>
    <w:rsid w:val="00E66617"/>
    <w:rsid w:val="00E6661F"/>
    <w:rsid w:val="00E6669F"/>
    <w:rsid w:val="00E666C9"/>
    <w:rsid w:val="00E66781"/>
    <w:rsid w:val="00E6684D"/>
    <w:rsid w:val="00E66A38"/>
    <w:rsid w:val="00E66A3E"/>
    <w:rsid w:val="00E66CF0"/>
    <w:rsid w:val="00E66E4B"/>
    <w:rsid w:val="00E66FF3"/>
    <w:rsid w:val="00E67012"/>
    <w:rsid w:val="00E6709D"/>
    <w:rsid w:val="00E6717C"/>
    <w:rsid w:val="00E672C9"/>
    <w:rsid w:val="00E672E6"/>
    <w:rsid w:val="00E67322"/>
    <w:rsid w:val="00E67365"/>
    <w:rsid w:val="00E67410"/>
    <w:rsid w:val="00E67741"/>
    <w:rsid w:val="00E67750"/>
    <w:rsid w:val="00E677DE"/>
    <w:rsid w:val="00E6783E"/>
    <w:rsid w:val="00E67918"/>
    <w:rsid w:val="00E67969"/>
    <w:rsid w:val="00E67A51"/>
    <w:rsid w:val="00E67B41"/>
    <w:rsid w:val="00E67B95"/>
    <w:rsid w:val="00E67B9C"/>
    <w:rsid w:val="00E67C53"/>
    <w:rsid w:val="00E67D1C"/>
    <w:rsid w:val="00E67D78"/>
    <w:rsid w:val="00E67DFB"/>
    <w:rsid w:val="00E7007F"/>
    <w:rsid w:val="00E70106"/>
    <w:rsid w:val="00E70178"/>
    <w:rsid w:val="00E701B4"/>
    <w:rsid w:val="00E7034A"/>
    <w:rsid w:val="00E703C4"/>
    <w:rsid w:val="00E70455"/>
    <w:rsid w:val="00E7046A"/>
    <w:rsid w:val="00E704CE"/>
    <w:rsid w:val="00E7050E"/>
    <w:rsid w:val="00E70887"/>
    <w:rsid w:val="00E708B3"/>
    <w:rsid w:val="00E708C6"/>
    <w:rsid w:val="00E70A37"/>
    <w:rsid w:val="00E70D19"/>
    <w:rsid w:val="00E70D23"/>
    <w:rsid w:val="00E70DAA"/>
    <w:rsid w:val="00E70E58"/>
    <w:rsid w:val="00E70F6F"/>
    <w:rsid w:val="00E70F89"/>
    <w:rsid w:val="00E710A7"/>
    <w:rsid w:val="00E710BF"/>
    <w:rsid w:val="00E71159"/>
    <w:rsid w:val="00E7117E"/>
    <w:rsid w:val="00E711AC"/>
    <w:rsid w:val="00E71231"/>
    <w:rsid w:val="00E7138B"/>
    <w:rsid w:val="00E7146E"/>
    <w:rsid w:val="00E714B1"/>
    <w:rsid w:val="00E714EE"/>
    <w:rsid w:val="00E7152B"/>
    <w:rsid w:val="00E71601"/>
    <w:rsid w:val="00E71614"/>
    <w:rsid w:val="00E7173C"/>
    <w:rsid w:val="00E71809"/>
    <w:rsid w:val="00E719E0"/>
    <w:rsid w:val="00E71A33"/>
    <w:rsid w:val="00E71A3C"/>
    <w:rsid w:val="00E71A72"/>
    <w:rsid w:val="00E71AA0"/>
    <w:rsid w:val="00E71ACE"/>
    <w:rsid w:val="00E71C09"/>
    <w:rsid w:val="00E71DDB"/>
    <w:rsid w:val="00E71EC2"/>
    <w:rsid w:val="00E7200B"/>
    <w:rsid w:val="00E720BF"/>
    <w:rsid w:val="00E720EE"/>
    <w:rsid w:val="00E7210B"/>
    <w:rsid w:val="00E7228A"/>
    <w:rsid w:val="00E722D0"/>
    <w:rsid w:val="00E72365"/>
    <w:rsid w:val="00E72494"/>
    <w:rsid w:val="00E726D8"/>
    <w:rsid w:val="00E7278C"/>
    <w:rsid w:val="00E727B3"/>
    <w:rsid w:val="00E72969"/>
    <w:rsid w:val="00E72989"/>
    <w:rsid w:val="00E72A31"/>
    <w:rsid w:val="00E72BD1"/>
    <w:rsid w:val="00E72CF6"/>
    <w:rsid w:val="00E73041"/>
    <w:rsid w:val="00E730AC"/>
    <w:rsid w:val="00E7316D"/>
    <w:rsid w:val="00E731A2"/>
    <w:rsid w:val="00E731DF"/>
    <w:rsid w:val="00E7325F"/>
    <w:rsid w:val="00E73262"/>
    <w:rsid w:val="00E73288"/>
    <w:rsid w:val="00E7334B"/>
    <w:rsid w:val="00E7347F"/>
    <w:rsid w:val="00E73586"/>
    <w:rsid w:val="00E737C5"/>
    <w:rsid w:val="00E73828"/>
    <w:rsid w:val="00E73A64"/>
    <w:rsid w:val="00E73DE1"/>
    <w:rsid w:val="00E73E60"/>
    <w:rsid w:val="00E73E75"/>
    <w:rsid w:val="00E73F6B"/>
    <w:rsid w:val="00E73F6F"/>
    <w:rsid w:val="00E73F8D"/>
    <w:rsid w:val="00E74068"/>
    <w:rsid w:val="00E74140"/>
    <w:rsid w:val="00E74163"/>
    <w:rsid w:val="00E7423F"/>
    <w:rsid w:val="00E7432F"/>
    <w:rsid w:val="00E7437B"/>
    <w:rsid w:val="00E743A3"/>
    <w:rsid w:val="00E743F9"/>
    <w:rsid w:val="00E744C9"/>
    <w:rsid w:val="00E7454B"/>
    <w:rsid w:val="00E74658"/>
    <w:rsid w:val="00E746BA"/>
    <w:rsid w:val="00E746F3"/>
    <w:rsid w:val="00E747B5"/>
    <w:rsid w:val="00E74845"/>
    <w:rsid w:val="00E74861"/>
    <w:rsid w:val="00E7493C"/>
    <w:rsid w:val="00E749A8"/>
    <w:rsid w:val="00E749DD"/>
    <w:rsid w:val="00E74A15"/>
    <w:rsid w:val="00E74C13"/>
    <w:rsid w:val="00E74D55"/>
    <w:rsid w:val="00E74D7D"/>
    <w:rsid w:val="00E74E91"/>
    <w:rsid w:val="00E74F9F"/>
    <w:rsid w:val="00E7509A"/>
    <w:rsid w:val="00E750A4"/>
    <w:rsid w:val="00E7522B"/>
    <w:rsid w:val="00E75248"/>
    <w:rsid w:val="00E752E3"/>
    <w:rsid w:val="00E7535A"/>
    <w:rsid w:val="00E753DB"/>
    <w:rsid w:val="00E753F7"/>
    <w:rsid w:val="00E754A4"/>
    <w:rsid w:val="00E75672"/>
    <w:rsid w:val="00E7569C"/>
    <w:rsid w:val="00E756C9"/>
    <w:rsid w:val="00E7579E"/>
    <w:rsid w:val="00E758ED"/>
    <w:rsid w:val="00E75A02"/>
    <w:rsid w:val="00E75C4D"/>
    <w:rsid w:val="00E75C69"/>
    <w:rsid w:val="00E75C6D"/>
    <w:rsid w:val="00E75D19"/>
    <w:rsid w:val="00E75DB1"/>
    <w:rsid w:val="00E75E03"/>
    <w:rsid w:val="00E75ED4"/>
    <w:rsid w:val="00E75EE0"/>
    <w:rsid w:val="00E75FA6"/>
    <w:rsid w:val="00E76041"/>
    <w:rsid w:val="00E76063"/>
    <w:rsid w:val="00E760DB"/>
    <w:rsid w:val="00E76140"/>
    <w:rsid w:val="00E76169"/>
    <w:rsid w:val="00E761E7"/>
    <w:rsid w:val="00E7626E"/>
    <w:rsid w:val="00E762E0"/>
    <w:rsid w:val="00E76536"/>
    <w:rsid w:val="00E76591"/>
    <w:rsid w:val="00E76709"/>
    <w:rsid w:val="00E76785"/>
    <w:rsid w:val="00E76867"/>
    <w:rsid w:val="00E768C2"/>
    <w:rsid w:val="00E76A18"/>
    <w:rsid w:val="00E76A53"/>
    <w:rsid w:val="00E76AA3"/>
    <w:rsid w:val="00E76BD0"/>
    <w:rsid w:val="00E76C9C"/>
    <w:rsid w:val="00E76D1B"/>
    <w:rsid w:val="00E76D4B"/>
    <w:rsid w:val="00E76D53"/>
    <w:rsid w:val="00E76DE0"/>
    <w:rsid w:val="00E76DF2"/>
    <w:rsid w:val="00E76F02"/>
    <w:rsid w:val="00E76F9D"/>
    <w:rsid w:val="00E76FE9"/>
    <w:rsid w:val="00E77076"/>
    <w:rsid w:val="00E770F2"/>
    <w:rsid w:val="00E77188"/>
    <w:rsid w:val="00E7725E"/>
    <w:rsid w:val="00E77293"/>
    <w:rsid w:val="00E77357"/>
    <w:rsid w:val="00E7747D"/>
    <w:rsid w:val="00E7757D"/>
    <w:rsid w:val="00E7767D"/>
    <w:rsid w:val="00E776F7"/>
    <w:rsid w:val="00E77764"/>
    <w:rsid w:val="00E778BC"/>
    <w:rsid w:val="00E77905"/>
    <w:rsid w:val="00E77936"/>
    <w:rsid w:val="00E77B59"/>
    <w:rsid w:val="00E77B62"/>
    <w:rsid w:val="00E77C27"/>
    <w:rsid w:val="00E77DB4"/>
    <w:rsid w:val="00E77FC9"/>
    <w:rsid w:val="00E77FF7"/>
    <w:rsid w:val="00E80019"/>
    <w:rsid w:val="00E80048"/>
    <w:rsid w:val="00E80107"/>
    <w:rsid w:val="00E801F0"/>
    <w:rsid w:val="00E8020C"/>
    <w:rsid w:val="00E80282"/>
    <w:rsid w:val="00E80318"/>
    <w:rsid w:val="00E80372"/>
    <w:rsid w:val="00E8037D"/>
    <w:rsid w:val="00E804B5"/>
    <w:rsid w:val="00E804D9"/>
    <w:rsid w:val="00E805B2"/>
    <w:rsid w:val="00E8065B"/>
    <w:rsid w:val="00E80684"/>
    <w:rsid w:val="00E807BC"/>
    <w:rsid w:val="00E807DD"/>
    <w:rsid w:val="00E807FC"/>
    <w:rsid w:val="00E80854"/>
    <w:rsid w:val="00E8093B"/>
    <w:rsid w:val="00E80A22"/>
    <w:rsid w:val="00E80B39"/>
    <w:rsid w:val="00E80C06"/>
    <w:rsid w:val="00E80C66"/>
    <w:rsid w:val="00E80D26"/>
    <w:rsid w:val="00E80E5A"/>
    <w:rsid w:val="00E80EC5"/>
    <w:rsid w:val="00E80FC9"/>
    <w:rsid w:val="00E81027"/>
    <w:rsid w:val="00E8107E"/>
    <w:rsid w:val="00E812BD"/>
    <w:rsid w:val="00E81328"/>
    <w:rsid w:val="00E8138F"/>
    <w:rsid w:val="00E814EE"/>
    <w:rsid w:val="00E81517"/>
    <w:rsid w:val="00E81535"/>
    <w:rsid w:val="00E81680"/>
    <w:rsid w:val="00E81682"/>
    <w:rsid w:val="00E816C3"/>
    <w:rsid w:val="00E8173B"/>
    <w:rsid w:val="00E81929"/>
    <w:rsid w:val="00E81A16"/>
    <w:rsid w:val="00E81AEC"/>
    <w:rsid w:val="00E81B52"/>
    <w:rsid w:val="00E81C75"/>
    <w:rsid w:val="00E81CC0"/>
    <w:rsid w:val="00E81CFF"/>
    <w:rsid w:val="00E81D51"/>
    <w:rsid w:val="00E81EED"/>
    <w:rsid w:val="00E81FD3"/>
    <w:rsid w:val="00E82127"/>
    <w:rsid w:val="00E8219F"/>
    <w:rsid w:val="00E821B0"/>
    <w:rsid w:val="00E821B6"/>
    <w:rsid w:val="00E821D5"/>
    <w:rsid w:val="00E822F7"/>
    <w:rsid w:val="00E82476"/>
    <w:rsid w:val="00E825C2"/>
    <w:rsid w:val="00E826A9"/>
    <w:rsid w:val="00E827C5"/>
    <w:rsid w:val="00E827FB"/>
    <w:rsid w:val="00E82BB9"/>
    <w:rsid w:val="00E82BE4"/>
    <w:rsid w:val="00E82DBA"/>
    <w:rsid w:val="00E82DF6"/>
    <w:rsid w:val="00E82DF9"/>
    <w:rsid w:val="00E82E7F"/>
    <w:rsid w:val="00E82E8D"/>
    <w:rsid w:val="00E82EFE"/>
    <w:rsid w:val="00E82FE7"/>
    <w:rsid w:val="00E831AE"/>
    <w:rsid w:val="00E8320F"/>
    <w:rsid w:val="00E83374"/>
    <w:rsid w:val="00E833D9"/>
    <w:rsid w:val="00E834F2"/>
    <w:rsid w:val="00E83537"/>
    <w:rsid w:val="00E835AB"/>
    <w:rsid w:val="00E836EC"/>
    <w:rsid w:val="00E8373F"/>
    <w:rsid w:val="00E837FA"/>
    <w:rsid w:val="00E83850"/>
    <w:rsid w:val="00E83880"/>
    <w:rsid w:val="00E83963"/>
    <w:rsid w:val="00E83A26"/>
    <w:rsid w:val="00E83A53"/>
    <w:rsid w:val="00E83A89"/>
    <w:rsid w:val="00E83B9F"/>
    <w:rsid w:val="00E83CE5"/>
    <w:rsid w:val="00E83D74"/>
    <w:rsid w:val="00E84197"/>
    <w:rsid w:val="00E84214"/>
    <w:rsid w:val="00E84225"/>
    <w:rsid w:val="00E84269"/>
    <w:rsid w:val="00E842A2"/>
    <w:rsid w:val="00E84381"/>
    <w:rsid w:val="00E843AD"/>
    <w:rsid w:val="00E84459"/>
    <w:rsid w:val="00E84549"/>
    <w:rsid w:val="00E84663"/>
    <w:rsid w:val="00E846EC"/>
    <w:rsid w:val="00E8479F"/>
    <w:rsid w:val="00E847B8"/>
    <w:rsid w:val="00E84853"/>
    <w:rsid w:val="00E848A7"/>
    <w:rsid w:val="00E84923"/>
    <w:rsid w:val="00E84A1D"/>
    <w:rsid w:val="00E84A6F"/>
    <w:rsid w:val="00E84AA1"/>
    <w:rsid w:val="00E84AE1"/>
    <w:rsid w:val="00E84AEC"/>
    <w:rsid w:val="00E84BB0"/>
    <w:rsid w:val="00E84C41"/>
    <w:rsid w:val="00E84D59"/>
    <w:rsid w:val="00E84DB5"/>
    <w:rsid w:val="00E84DD5"/>
    <w:rsid w:val="00E84E68"/>
    <w:rsid w:val="00E84EAC"/>
    <w:rsid w:val="00E84F5E"/>
    <w:rsid w:val="00E85038"/>
    <w:rsid w:val="00E8518D"/>
    <w:rsid w:val="00E851D7"/>
    <w:rsid w:val="00E85227"/>
    <w:rsid w:val="00E85259"/>
    <w:rsid w:val="00E85287"/>
    <w:rsid w:val="00E853CF"/>
    <w:rsid w:val="00E8546E"/>
    <w:rsid w:val="00E854DE"/>
    <w:rsid w:val="00E8552A"/>
    <w:rsid w:val="00E85624"/>
    <w:rsid w:val="00E85807"/>
    <w:rsid w:val="00E85900"/>
    <w:rsid w:val="00E85AFF"/>
    <w:rsid w:val="00E85BEC"/>
    <w:rsid w:val="00E85C21"/>
    <w:rsid w:val="00E85CA1"/>
    <w:rsid w:val="00E85D76"/>
    <w:rsid w:val="00E85E27"/>
    <w:rsid w:val="00E85E32"/>
    <w:rsid w:val="00E85EE3"/>
    <w:rsid w:val="00E85F33"/>
    <w:rsid w:val="00E85FE8"/>
    <w:rsid w:val="00E86000"/>
    <w:rsid w:val="00E8601D"/>
    <w:rsid w:val="00E8610F"/>
    <w:rsid w:val="00E862C4"/>
    <w:rsid w:val="00E862F2"/>
    <w:rsid w:val="00E863BE"/>
    <w:rsid w:val="00E86499"/>
    <w:rsid w:val="00E864CB"/>
    <w:rsid w:val="00E86505"/>
    <w:rsid w:val="00E86531"/>
    <w:rsid w:val="00E86536"/>
    <w:rsid w:val="00E8656E"/>
    <w:rsid w:val="00E86587"/>
    <w:rsid w:val="00E86653"/>
    <w:rsid w:val="00E866C2"/>
    <w:rsid w:val="00E866C7"/>
    <w:rsid w:val="00E86748"/>
    <w:rsid w:val="00E868E9"/>
    <w:rsid w:val="00E8693B"/>
    <w:rsid w:val="00E8695E"/>
    <w:rsid w:val="00E86B0A"/>
    <w:rsid w:val="00E86BEE"/>
    <w:rsid w:val="00E86D6D"/>
    <w:rsid w:val="00E86D7E"/>
    <w:rsid w:val="00E86D9A"/>
    <w:rsid w:val="00E86DCA"/>
    <w:rsid w:val="00E86F0C"/>
    <w:rsid w:val="00E86F53"/>
    <w:rsid w:val="00E8701F"/>
    <w:rsid w:val="00E87035"/>
    <w:rsid w:val="00E87084"/>
    <w:rsid w:val="00E870A0"/>
    <w:rsid w:val="00E8715B"/>
    <w:rsid w:val="00E8720A"/>
    <w:rsid w:val="00E87429"/>
    <w:rsid w:val="00E87498"/>
    <w:rsid w:val="00E8755D"/>
    <w:rsid w:val="00E876FB"/>
    <w:rsid w:val="00E87853"/>
    <w:rsid w:val="00E87941"/>
    <w:rsid w:val="00E87946"/>
    <w:rsid w:val="00E87BE3"/>
    <w:rsid w:val="00E87C93"/>
    <w:rsid w:val="00E87CF7"/>
    <w:rsid w:val="00E87D12"/>
    <w:rsid w:val="00E87D50"/>
    <w:rsid w:val="00E9016E"/>
    <w:rsid w:val="00E90280"/>
    <w:rsid w:val="00E902C5"/>
    <w:rsid w:val="00E9032C"/>
    <w:rsid w:val="00E9052B"/>
    <w:rsid w:val="00E905CA"/>
    <w:rsid w:val="00E90664"/>
    <w:rsid w:val="00E90711"/>
    <w:rsid w:val="00E9078D"/>
    <w:rsid w:val="00E90901"/>
    <w:rsid w:val="00E90909"/>
    <w:rsid w:val="00E909DE"/>
    <w:rsid w:val="00E90B66"/>
    <w:rsid w:val="00E90C93"/>
    <w:rsid w:val="00E90CB1"/>
    <w:rsid w:val="00E90DD5"/>
    <w:rsid w:val="00E9109A"/>
    <w:rsid w:val="00E9109B"/>
    <w:rsid w:val="00E9121D"/>
    <w:rsid w:val="00E917E5"/>
    <w:rsid w:val="00E91802"/>
    <w:rsid w:val="00E91828"/>
    <w:rsid w:val="00E9186F"/>
    <w:rsid w:val="00E91959"/>
    <w:rsid w:val="00E919E8"/>
    <w:rsid w:val="00E91A71"/>
    <w:rsid w:val="00E91B86"/>
    <w:rsid w:val="00E91BEC"/>
    <w:rsid w:val="00E91C02"/>
    <w:rsid w:val="00E91C72"/>
    <w:rsid w:val="00E91E4E"/>
    <w:rsid w:val="00E91E95"/>
    <w:rsid w:val="00E91F08"/>
    <w:rsid w:val="00E921F3"/>
    <w:rsid w:val="00E92289"/>
    <w:rsid w:val="00E92342"/>
    <w:rsid w:val="00E924B8"/>
    <w:rsid w:val="00E924ED"/>
    <w:rsid w:val="00E92570"/>
    <w:rsid w:val="00E9264B"/>
    <w:rsid w:val="00E92667"/>
    <w:rsid w:val="00E926DE"/>
    <w:rsid w:val="00E928E5"/>
    <w:rsid w:val="00E92AD7"/>
    <w:rsid w:val="00E92E1A"/>
    <w:rsid w:val="00E92E63"/>
    <w:rsid w:val="00E92EB0"/>
    <w:rsid w:val="00E93015"/>
    <w:rsid w:val="00E9308D"/>
    <w:rsid w:val="00E933D9"/>
    <w:rsid w:val="00E93455"/>
    <w:rsid w:val="00E9362D"/>
    <w:rsid w:val="00E93632"/>
    <w:rsid w:val="00E93663"/>
    <w:rsid w:val="00E936E7"/>
    <w:rsid w:val="00E93787"/>
    <w:rsid w:val="00E93795"/>
    <w:rsid w:val="00E9388F"/>
    <w:rsid w:val="00E93A29"/>
    <w:rsid w:val="00E93A67"/>
    <w:rsid w:val="00E93B56"/>
    <w:rsid w:val="00E93B7E"/>
    <w:rsid w:val="00E93BD3"/>
    <w:rsid w:val="00E93C0B"/>
    <w:rsid w:val="00E93C0E"/>
    <w:rsid w:val="00E93C37"/>
    <w:rsid w:val="00E93CD7"/>
    <w:rsid w:val="00E93DDD"/>
    <w:rsid w:val="00E93F4C"/>
    <w:rsid w:val="00E93F51"/>
    <w:rsid w:val="00E93FF3"/>
    <w:rsid w:val="00E94139"/>
    <w:rsid w:val="00E941C2"/>
    <w:rsid w:val="00E941E2"/>
    <w:rsid w:val="00E94251"/>
    <w:rsid w:val="00E942BD"/>
    <w:rsid w:val="00E9435E"/>
    <w:rsid w:val="00E94422"/>
    <w:rsid w:val="00E94474"/>
    <w:rsid w:val="00E944E4"/>
    <w:rsid w:val="00E94527"/>
    <w:rsid w:val="00E94624"/>
    <w:rsid w:val="00E946BD"/>
    <w:rsid w:val="00E9477B"/>
    <w:rsid w:val="00E9479B"/>
    <w:rsid w:val="00E947B6"/>
    <w:rsid w:val="00E94827"/>
    <w:rsid w:val="00E948C3"/>
    <w:rsid w:val="00E94990"/>
    <w:rsid w:val="00E949E2"/>
    <w:rsid w:val="00E949EB"/>
    <w:rsid w:val="00E94A75"/>
    <w:rsid w:val="00E94C53"/>
    <w:rsid w:val="00E94CC4"/>
    <w:rsid w:val="00E94CE8"/>
    <w:rsid w:val="00E94D6B"/>
    <w:rsid w:val="00E94DAD"/>
    <w:rsid w:val="00E94E23"/>
    <w:rsid w:val="00E94E5A"/>
    <w:rsid w:val="00E94F5E"/>
    <w:rsid w:val="00E94F69"/>
    <w:rsid w:val="00E94FC0"/>
    <w:rsid w:val="00E95053"/>
    <w:rsid w:val="00E950A9"/>
    <w:rsid w:val="00E950C3"/>
    <w:rsid w:val="00E950C7"/>
    <w:rsid w:val="00E95105"/>
    <w:rsid w:val="00E952D2"/>
    <w:rsid w:val="00E9535C"/>
    <w:rsid w:val="00E95434"/>
    <w:rsid w:val="00E9574C"/>
    <w:rsid w:val="00E95820"/>
    <w:rsid w:val="00E958AF"/>
    <w:rsid w:val="00E958C8"/>
    <w:rsid w:val="00E95990"/>
    <w:rsid w:val="00E959E6"/>
    <w:rsid w:val="00E95A39"/>
    <w:rsid w:val="00E95BA3"/>
    <w:rsid w:val="00E95C09"/>
    <w:rsid w:val="00E95CA1"/>
    <w:rsid w:val="00E95D57"/>
    <w:rsid w:val="00E95FCD"/>
    <w:rsid w:val="00E96134"/>
    <w:rsid w:val="00E96153"/>
    <w:rsid w:val="00E961D6"/>
    <w:rsid w:val="00E963C4"/>
    <w:rsid w:val="00E9642D"/>
    <w:rsid w:val="00E96490"/>
    <w:rsid w:val="00E96602"/>
    <w:rsid w:val="00E9665E"/>
    <w:rsid w:val="00E9681E"/>
    <w:rsid w:val="00E96823"/>
    <w:rsid w:val="00E968D1"/>
    <w:rsid w:val="00E96917"/>
    <w:rsid w:val="00E9692A"/>
    <w:rsid w:val="00E9699C"/>
    <w:rsid w:val="00E969EF"/>
    <w:rsid w:val="00E96B79"/>
    <w:rsid w:val="00E96C42"/>
    <w:rsid w:val="00E96CAD"/>
    <w:rsid w:val="00E96CD5"/>
    <w:rsid w:val="00E96E4B"/>
    <w:rsid w:val="00E96EA4"/>
    <w:rsid w:val="00E96EAC"/>
    <w:rsid w:val="00E96EC4"/>
    <w:rsid w:val="00E96F5E"/>
    <w:rsid w:val="00E97003"/>
    <w:rsid w:val="00E97152"/>
    <w:rsid w:val="00E971CC"/>
    <w:rsid w:val="00E971F0"/>
    <w:rsid w:val="00E97215"/>
    <w:rsid w:val="00E9733B"/>
    <w:rsid w:val="00E97635"/>
    <w:rsid w:val="00E9773D"/>
    <w:rsid w:val="00E977C8"/>
    <w:rsid w:val="00E97904"/>
    <w:rsid w:val="00E97907"/>
    <w:rsid w:val="00E97A3C"/>
    <w:rsid w:val="00E97A72"/>
    <w:rsid w:val="00E97BEB"/>
    <w:rsid w:val="00E97CF1"/>
    <w:rsid w:val="00E97D04"/>
    <w:rsid w:val="00E97E6D"/>
    <w:rsid w:val="00E97EA3"/>
    <w:rsid w:val="00E97FB4"/>
    <w:rsid w:val="00EA012D"/>
    <w:rsid w:val="00EA0225"/>
    <w:rsid w:val="00EA032A"/>
    <w:rsid w:val="00EA0428"/>
    <w:rsid w:val="00EA04EA"/>
    <w:rsid w:val="00EA05A3"/>
    <w:rsid w:val="00EA05D9"/>
    <w:rsid w:val="00EA0720"/>
    <w:rsid w:val="00EA07F3"/>
    <w:rsid w:val="00EA0821"/>
    <w:rsid w:val="00EA0825"/>
    <w:rsid w:val="00EA082D"/>
    <w:rsid w:val="00EA0928"/>
    <w:rsid w:val="00EA097D"/>
    <w:rsid w:val="00EA0981"/>
    <w:rsid w:val="00EA09EB"/>
    <w:rsid w:val="00EA0AF2"/>
    <w:rsid w:val="00EA0B79"/>
    <w:rsid w:val="00EA0B84"/>
    <w:rsid w:val="00EA0D41"/>
    <w:rsid w:val="00EA0F5B"/>
    <w:rsid w:val="00EA101F"/>
    <w:rsid w:val="00EA1034"/>
    <w:rsid w:val="00EA106E"/>
    <w:rsid w:val="00EA10F0"/>
    <w:rsid w:val="00EA10F4"/>
    <w:rsid w:val="00EA1207"/>
    <w:rsid w:val="00EA12B9"/>
    <w:rsid w:val="00EA135D"/>
    <w:rsid w:val="00EA1395"/>
    <w:rsid w:val="00EA14EB"/>
    <w:rsid w:val="00EA1605"/>
    <w:rsid w:val="00EA168A"/>
    <w:rsid w:val="00EA17EF"/>
    <w:rsid w:val="00EA189B"/>
    <w:rsid w:val="00EA18FE"/>
    <w:rsid w:val="00EA1994"/>
    <w:rsid w:val="00EA1A08"/>
    <w:rsid w:val="00EA1A7D"/>
    <w:rsid w:val="00EA1ABC"/>
    <w:rsid w:val="00EA1B7B"/>
    <w:rsid w:val="00EA1B8C"/>
    <w:rsid w:val="00EA1BFD"/>
    <w:rsid w:val="00EA1D0E"/>
    <w:rsid w:val="00EA1DF0"/>
    <w:rsid w:val="00EA1EC9"/>
    <w:rsid w:val="00EA218B"/>
    <w:rsid w:val="00EA220F"/>
    <w:rsid w:val="00EA221C"/>
    <w:rsid w:val="00EA2249"/>
    <w:rsid w:val="00EA22A5"/>
    <w:rsid w:val="00EA2324"/>
    <w:rsid w:val="00EA2354"/>
    <w:rsid w:val="00EA23FC"/>
    <w:rsid w:val="00EA2402"/>
    <w:rsid w:val="00EA2479"/>
    <w:rsid w:val="00EA24A7"/>
    <w:rsid w:val="00EA24B4"/>
    <w:rsid w:val="00EA2509"/>
    <w:rsid w:val="00EA2527"/>
    <w:rsid w:val="00EA274B"/>
    <w:rsid w:val="00EA2754"/>
    <w:rsid w:val="00EA2757"/>
    <w:rsid w:val="00EA27CE"/>
    <w:rsid w:val="00EA28A9"/>
    <w:rsid w:val="00EA28E4"/>
    <w:rsid w:val="00EA294C"/>
    <w:rsid w:val="00EA2C2C"/>
    <w:rsid w:val="00EA2DD6"/>
    <w:rsid w:val="00EA2E23"/>
    <w:rsid w:val="00EA2E4C"/>
    <w:rsid w:val="00EA2ECC"/>
    <w:rsid w:val="00EA2F03"/>
    <w:rsid w:val="00EA2F24"/>
    <w:rsid w:val="00EA2F82"/>
    <w:rsid w:val="00EA303B"/>
    <w:rsid w:val="00EA3193"/>
    <w:rsid w:val="00EA31CE"/>
    <w:rsid w:val="00EA31D6"/>
    <w:rsid w:val="00EA3291"/>
    <w:rsid w:val="00EA32CD"/>
    <w:rsid w:val="00EA335E"/>
    <w:rsid w:val="00EA33DA"/>
    <w:rsid w:val="00EA345A"/>
    <w:rsid w:val="00EA3529"/>
    <w:rsid w:val="00EA399B"/>
    <w:rsid w:val="00EA39F9"/>
    <w:rsid w:val="00EA3A1A"/>
    <w:rsid w:val="00EA3A28"/>
    <w:rsid w:val="00EA3A49"/>
    <w:rsid w:val="00EA3D92"/>
    <w:rsid w:val="00EA3DCF"/>
    <w:rsid w:val="00EA3FD4"/>
    <w:rsid w:val="00EA4124"/>
    <w:rsid w:val="00EA417C"/>
    <w:rsid w:val="00EA41C4"/>
    <w:rsid w:val="00EA4352"/>
    <w:rsid w:val="00EA437C"/>
    <w:rsid w:val="00EA447F"/>
    <w:rsid w:val="00EA455A"/>
    <w:rsid w:val="00EA45A5"/>
    <w:rsid w:val="00EA4677"/>
    <w:rsid w:val="00EA470E"/>
    <w:rsid w:val="00EA494B"/>
    <w:rsid w:val="00EA4A67"/>
    <w:rsid w:val="00EA4B33"/>
    <w:rsid w:val="00EA4C0F"/>
    <w:rsid w:val="00EA4CBC"/>
    <w:rsid w:val="00EA4CCB"/>
    <w:rsid w:val="00EA4CE1"/>
    <w:rsid w:val="00EA4DDD"/>
    <w:rsid w:val="00EA4E02"/>
    <w:rsid w:val="00EA4E89"/>
    <w:rsid w:val="00EA4FC7"/>
    <w:rsid w:val="00EA5074"/>
    <w:rsid w:val="00EA50B4"/>
    <w:rsid w:val="00EA5189"/>
    <w:rsid w:val="00EA5238"/>
    <w:rsid w:val="00EA5335"/>
    <w:rsid w:val="00EA54EB"/>
    <w:rsid w:val="00EA5611"/>
    <w:rsid w:val="00EA563A"/>
    <w:rsid w:val="00EA5669"/>
    <w:rsid w:val="00EA5800"/>
    <w:rsid w:val="00EA5909"/>
    <w:rsid w:val="00EA5936"/>
    <w:rsid w:val="00EA5980"/>
    <w:rsid w:val="00EA5D98"/>
    <w:rsid w:val="00EA5DF6"/>
    <w:rsid w:val="00EA6024"/>
    <w:rsid w:val="00EA602F"/>
    <w:rsid w:val="00EA60B8"/>
    <w:rsid w:val="00EA60E1"/>
    <w:rsid w:val="00EA6334"/>
    <w:rsid w:val="00EA6335"/>
    <w:rsid w:val="00EA634D"/>
    <w:rsid w:val="00EA648C"/>
    <w:rsid w:val="00EA64DE"/>
    <w:rsid w:val="00EA653B"/>
    <w:rsid w:val="00EA6582"/>
    <w:rsid w:val="00EA6646"/>
    <w:rsid w:val="00EA6671"/>
    <w:rsid w:val="00EA669C"/>
    <w:rsid w:val="00EA66FC"/>
    <w:rsid w:val="00EA67A7"/>
    <w:rsid w:val="00EA68C6"/>
    <w:rsid w:val="00EA69B3"/>
    <w:rsid w:val="00EA6A20"/>
    <w:rsid w:val="00EA6C25"/>
    <w:rsid w:val="00EA6D02"/>
    <w:rsid w:val="00EA6DB1"/>
    <w:rsid w:val="00EA6F8E"/>
    <w:rsid w:val="00EA6F95"/>
    <w:rsid w:val="00EA6FD3"/>
    <w:rsid w:val="00EA7034"/>
    <w:rsid w:val="00EA7193"/>
    <w:rsid w:val="00EA71F9"/>
    <w:rsid w:val="00EA72DC"/>
    <w:rsid w:val="00EA74FB"/>
    <w:rsid w:val="00EA75B8"/>
    <w:rsid w:val="00EA7679"/>
    <w:rsid w:val="00EA78DC"/>
    <w:rsid w:val="00EA794D"/>
    <w:rsid w:val="00EA797D"/>
    <w:rsid w:val="00EA7A18"/>
    <w:rsid w:val="00EA7A1A"/>
    <w:rsid w:val="00EA7A35"/>
    <w:rsid w:val="00EA7A8A"/>
    <w:rsid w:val="00EA7C8A"/>
    <w:rsid w:val="00EA7CCB"/>
    <w:rsid w:val="00EA7DB9"/>
    <w:rsid w:val="00EA7DE4"/>
    <w:rsid w:val="00EA7F29"/>
    <w:rsid w:val="00EA7F7B"/>
    <w:rsid w:val="00EB00C9"/>
    <w:rsid w:val="00EB0348"/>
    <w:rsid w:val="00EB039A"/>
    <w:rsid w:val="00EB03CC"/>
    <w:rsid w:val="00EB0468"/>
    <w:rsid w:val="00EB0484"/>
    <w:rsid w:val="00EB05E6"/>
    <w:rsid w:val="00EB084E"/>
    <w:rsid w:val="00EB0870"/>
    <w:rsid w:val="00EB09CA"/>
    <w:rsid w:val="00EB0A65"/>
    <w:rsid w:val="00EB0BBA"/>
    <w:rsid w:val="00EB0CD6"/>
    <w:rsid w:val="00EB0D4F"/>
    <w:rsid w:val="00EB0DB3"/>
    <w:rsid w:val="00EB0DDA"/>
    <w:rsid w:val="00EB0E19"/>
    <w:rsid w:val="00EB0F9C"/>
    <w:rsid w:val="00EB10C9"/>
    <w:rsid w:val="00EB11D9"/>
    <w:rsid w:val="00EB11EA"/>
    <w:rsid w:val="00EB1358"/>
    <w:rsid w:val="00EB136B"/>
    <w:rsid w:val="00EB1379"/>
    <w:rsid w:val="00EB1411"/>
    <w:rsid w:val="00EB1433"/>
    <w:rsid w:val="00EB146B"/>
    <w:rsid w:val="00EB1491"/>
    <w:rsid w:val="00EB15BB"/>
    <w:rsid w:val="00EB1607"/>
    <w:rsid w:val="00EB1681"/>
    <w:rsid w:val="00EB1690"/>
    <w:rsid w:val="00EB16E3"/>
    <w:rsid w:val="00EB172F"/>
    <w:rsid w:val="00EB1756"/>
    <w:rsid w:val="00EB17EE"/>
    <w:rsid w:val="00EB1838"/>
    <w:rsid w:val="00EB1969"/>
    <w:rsid w:val="00EB19F9"/>
    <w:rsid w:val="00EB1C7F"/>
    <w:rsid w:val="00EB1F07"/>
    <w:rsid w:val="00EB1F6D"/>
    <w:rsid w:val="00EB1F77"/>
    <w:rsid w:val="00EB2029"/>
    <w:rsid w:val="00EB2074"/>
    <w:rsid w:val="00EB20EE"/>
    <w:rsid w:val="00EB20F6"/>
    <w:rsid w:val="00EB227D"/>
    <w:rsid w:val="00EB23F4"/>
    <w:rsid w:val="00EB2450"/>
    <w:rsid w:val="00EB2454"/>
    <w:rsid w:val="00EB245C"/>
    <w:rsid w:val="00EB24C6"/>
    <w:rsid w:val="00EB2515"/>
    <w:rsid w:val="00EB2556"/>
    <w:rsid w:val="00EB2670"/>
    <w:rsid w:val="00EB270C"/>
    <w:rsid w:val="00EB27E4"/>
    <w:rsid w:val="00EB285A"/>
    <w:rsid w:val="00EB28F5"/>
    <w:rsid w:val="00EB2968"/>
    <w:rsid w:val="00EB2C4E"/>
    <w:rsid w:val="00EB2C74"/>
    <w:rsid w:val="00EB2C7E"/>
    <w:rsid w:val="00EB2DE8"/>
    <w:rsid w:val="00EB2E24"/>
    <w:rsid w:val="00EB2E54"/>
    <w:rsid w:val="00EB2E6C"/>
    <w:rsid w:val="00EB2E78"/>
    <w:rsid w:val="00EB3013"/>
    <w:rsid w:val="00EB3118"/>
    <w:rsid w:val="00EB3257"/>
    <w:rsid w:val="00EB32FB"/>
    <w:rsid w:val="00EB33C2"/>
    <w:rsid w:val="00EB33D1"/>
    <w:rsid w:val="00EB3451"/>
    <w:rsid w:val="00EB36B3"/>
    <w:rsid w:val="00EB387B"/>
    <w:rsid w:val="00EB3899"/>
    <w:rsid w:val="00EB39F2"/>
    <w:rsid w:val="00EB3A0E"/>
    <w:rsid w:val="00EB3BB8"/>
    <w:rsid w:val="00EB3BE6"/>
    <w:rsid w:val="00EB3CA3"/>
    <w:rsid w:val="00EB3DAB"/>
    <w:rsid w:val="00EB3DE5"/>
    <w:rsid w:val="00EB3F45"/>
    <w:rsid w:val="00EB3F53"/>
    <w:rsid w:val="00EB3F61"/>
    <w:rsid w:val="00EB415F"/>
    <w:rsid w:val="00EB41BB"/>
    <w:rsid w:val="00EB41F4"/>
    <w:rsid w:val="00EB444E"/>
    <w:rsid w:val="00EB4476"/>
    <w:rsid w:val="00EB45A0"/>
    <w:rsid w:val="00EB46B3"/>
    <w:rsid w:val="00EB46DA"/>
    <w:rsid w:val="00EB470D"/>
    <w:rsid w:val="00EB476C"/>
    <w:rsid w:val="00EB47F3"/>
    <w:rsid w:val="00EB484B"/>
    <w:rsid w:val="00EB489E"/>
    <w:rsid w:val="00EB498F"/>
    <w:rsid w:val="00EB4D06"/>
    <w:rsid w:val="00EB4DCC"/>
    <w:rsid w:val="00EB4E41"/>
    <w:rsid w:val="00EB4E70"/>
    <w:rsid w:val="00EB4F80"/>
    <w:rsid w:val="00EB503C"/>
    <w:rsid w:val="00EB5088"/>
    <w:rsid w:val="00EB511F"/>
    <w:rsid w:val="00EB512E"/>
    <w:rsid w:val="00EB5472"/>
    <w:rsid w:val="00EB5542"/>
    <w:rsid w:val="00EB5570"/>
    <w:rsid w:val="00EB56A8"/>
    <w:rsid w:val="00EB56B3"/>
    <w:rsid w:val="00EB587C"/>
    <w:rsid w:val="00EB5917"/>
    <w:rsid w:val="00EB5920"/>
    <w:rsid w:val="00EB5A99"/>
    <w:rsid w:val="00EB5B47"/>
    <w:rsid w:val="00EB5C85"/>
    <w:rsid w:val="00EB5CF1"/>
    <w:rsid w:val="00EB5D06"/>
    <w:rsid w:val="00EB5E89"/>
    <w:rsid w:val="00EB6005"/>
    <w:rsid w:val="00EB6041"/>
    <w:rsid w:val="00EB6092"/>
    <w:rsid w:val="00EB61AC"/>
    <w:rsid w:val="00EB61BA"/>
    <w:rsid w:val="00EB61F1"/>
    <w:rsid w:val="00EB63FC"/>
    <w:rsid w:val="00EB6422"/>
    <w:rsid w:val="00EB645F"/>
    <w:rsid w:val="00EB6488"/>
    <w:rsid w:val="00EB65D0"/>
    <w:rsid w:val="00EB6884"/>
    <w:rsid w:val="00EB6913"/>
    <w:rsid w:val="00EB6A14"/>
    <w:rsid w:val="00EB6A1D"/>
    <w:rsid w:val="00EB6A1F"/>
    <w:rsid w:val="00EB6A53"/>
    <w:rsid w:val="00EB6B04"/>
    <w:rsid w:val="00EB6B40"/>
    <w:rsid w:val="00EB6BF3"/>
    <w:rsid w:val="00EB6D3C"/>
    <w:rsid w:val="00EB7001"/>
    <w:rsid w:val="00EB700E"/>
    <w:rsid w:val="00EB705F"/>
    <w:rsid w:val="00EB70EE"/>
    <w:rsid w:val="00EB7176"/>
    <w:rsid w:val="00EB7180"/>
    <w:rsid w:val="00EB71A0"/>
    <w:rsid w:val="00EB721F"/>
    <w:rsid w:val="00EB7227"/>
    <w:rsid w:val="00EB723B"/>
    <w:rsid w:val="00EB72F4"/>
    <w:rsid w:val="00EB7319"/>
    <w:rsid w:val="00EB731D"/>
    <w:rsid w:val="00EB750A"/>
    <w:rsid w:val="00EB7546"/>
    <w:rsid w:val="00EB755A"/>
    <w:rsid w:val="00EB7582"/>
    <w:rsid w:val="00EB7606"/>
    <w:rsid w:val="00EB76E5"/>
    <w:rsid w:val="00EB78CB"/>
    <w:rsid w:val="00EB79C6"/>
    <w:rsid w:val="00EB7A2C"/>
    <w:rsid w:val="00EB7A9F"/>
    <w:rsid w:val="00EB7AC6"/>
    <w:rsid w:val="00EB7B1B"/>
    <w:rsid w:val="00EB7B9A"/>
    <w:rsid w:val="00EB7C12"/>
    <w:rsid w:val="00EB7D09"/>
    <w:rsid w:val="00EB7D21"/>
    <w:rsid w:val="00EB7DCD"/>
    <w:rsid w:val="00EB7DEC"/>
    <w:rsid w:val="00EB7E0A"/>
    <w:rsid w:val="00EB7E68"/>
    <w:rsid w:val="00EB7F45"/>
    <w:rsid w:val="00EB7FBA"/>
    <w:rsid w:val="00EC00EF"/>
    <w:rsid w:val="00EC0206"/>
    <w:rsid w:val="00EC02C9"/>
    <w:rsid w:val="00EC0317"/>
    <w:rsid w:val="00EC03A0"/>
    <w:rsid w:val="00EC0447"/>
    <w:rsid w:val="00EC046F"/>
    <w:rsid w:val="00EC0544"/>
    <w:rsid w:val="00EC0612"/>
    <w:rsid w:val="00EC0641"/>
    <w:rsid w:val="00EC082A"/>
    <w:rsid w:val="00EC08FB"/>
    <w:rsid w:val="00EC0934"/>
    <w:rsid w:val="00EC096D"/>
    <w:rsid w:val="00EC0B2E"/>
    <w:rsid w:val="00EC0DC6"/>
    <w:rsid w:val="00EC0E84"/>
    <w:rsid w:val="00EC0EAA"/>
    <w:rsid w:val="00EC0F0F"/>
    <w:rsid w:val="00EC0F56"/>
    <w:rsid w:val="00EC0FE5"/>
    <w:rsid w:val="00EC102B"/>
    <w:rsid w:val="00EC106D"/>
    <w:rsid w:val="00EC1144"/>
    <w:rsid w:val="00EC1252"/>
    <w:rsid w:val="00EC15BC"/>
    <w:rsid w:val="00EC1667"/>
    <w:rsid w:val="00EC1682"/>
    <w:rsid w:val="00EC1703"/>
    <w:rsid w:val="00EC1790"/>
    <w:rsid w:val="00EC1849"/>
    <w:rsid w:val="00EC1922"/>
    <w:rsid w:val="00EC196B"/>
    <w:rsid w:val="00EC19D4"/>
    <w:rsid w:val="00EC1A87"/>
    <w:rsid w:val="00EC1B02"/>
    <w:rsid w:val="00EC1BA3"/>
    <w:rsid w:val="00EC1DC0"/>
    <w:rsid w:val="00EC1E10"/>
    <w:rsid w:val="00EC1E1C"/>
    <w:rsid w:val="00EC1E70"/>
    <w:rsid w:val="00EC1EBE"/>
    <w:rsid w:val="00EC2179"/>
    <w:rsid w:val="00EC2221"/>
    <w:rsid w:val="00EC248B"/>
    <w:rsid w:val="00EC2559"/>
    <w:rsid w:val="00EC2691"/>
    <w:rsid w:val="00EC27D1"/>
    <w:rsid w:val="00EC287E"/>
    <w:rsid w:val="00EC2959"/>
    <w:rsid w:val="00EC2A8E"/>
    <w:rsid w:val="00EC2B70"/>
    <w:rsid w:val="00EC2FB2"/>
    <w:rsid w:val="00EC300D"/>
    <w:rsid w:val="00EC301A"/>
    <w:rsid w:val="00EC30FB"/>
    <w:rsid w:val="00EC310C"/>
    <w:rsid w:val="00EC3205"/>
    <w:rsid w:val="00EC324D"/>
    <w:rsid w:val="00EC3303"/>
    <w:rsid w:val="00EC34B3"/>
    <w:rsid w:val="00EC3616"/>
    <w:rsid w:val="00EC368C"/>
    <w:rsid w:val="00EC3756"/>
    <w:rsid w:val="00EC37C2"/>
    <w:rsid w:val="00EC37CF"/>
    <w:rsid w:val="00EC3984"/>
    <w:rsid w:val="00EC3AC3"/>
    <w:rsid w:val="00EC3B85"/>
    <w:rsid w:val="00EC3B8E"/>
    <w:rsid w:val="00EC3F5A"/>
    <w:rsid w:val="00EC3FC5"/>
    <w:rsid w:val="00EC41DC"/>
    <w:rsid w:val="00EC4401"/>
    <w:rsid w:val="00EC4418"/>
    <w:rsid w:val="00EC4505"/>
    <w:rsid w:val="00EC4577"/>
    <w:rsid w:val="00EC459E"/>
    <w:rsid w:val="00EC45E0"/>
    <w:rsid w:val="00EC4715"/>
    <w:rsid w:val="00EC4818"/>
    <w:rsid w:val="00EC481F"/>
    <w:rsid w:val="00EC4835"/>
    <w:rsid w:val="00EC483A"/>
    <w:rsid w:val="00EC489D"/>
    <w:rsid w:val="00EC4A72"/>
    <w:rsid w:val="00EC4B64"/>
    <w:rsid w:val="00EC4B8D"/>
    <w:rsid w:val="00EC4C9E"/>
    <w:rsid w:val="00EC4D2E"/>
    <w:rsid w:val="00EC4DEE"/>
    <w:rsid w:val="00EC4E53"/>
    <w:rsid w:val="00EC4EF7"/>
    <w:rsid w:val="00EC5018"/>
    <w:rsid w:val="00EC5201"/>
    <w:rsid w:val="00EC53BE"/>
    <w:rsid w:val="00EC53FC"/>
    <w:rsid w:val="00EC552F"/>
    <w:rsid w:val="00EC55DD"/>
    <w:rsid w:val="00EC57F5"/>
    <w:rsid w:val="00EC583E"/>
    <w:rsid w:val="00EC58FC"/>
    <w:rsid w:val="00EC5911"/>
    <w:rsid w:val="00EC5A44"/>
    <w:rsid w:val="00EC5A92"/>
    <w:rsid w:val="00EC5B1C"/>
    <w:rsid w:val="00EC5B59"/>
    <w:rsid w:val="00EC5CED"/>
    <w:rsid w:val="00EC5D5B"/>
    <w:rsid w:val="00EC5D89"/>
    <w:rsid w:val="00EC5DD1"/>
    <w:rsid w:val="00EC5F87"/>
    <w:rsid w:val="00EC5FB9"/>
    <w:rsid w:val="00EC62DA"/>
    <w:rsid w:val="00EC62E8"/>
    <w:rsid w:val="00EC62ED"/>
    <w:rsid w:val="00EC66B7"/>
    <w:rsid w:val="00EC66F1"/>
    <w:rsid w:val="00EC6883"/>
    <w:rsid w:val="00EC691D"/>
    <w:rsid w:val="00EC6A75"/>
    <w:rsid w:val="00EC6B15"/>
    <w:rsid w:val="00EC6B33"/>
    <w:rsid w:val="00EC6B73"/>
    <w:rsid w:val="00EC6C79"/>
    <w:rsid w:val="00EC6CD3"/>
    <w:rsid w:val="00EC6CFE"/>
    <w:rsid w:val="00EC6D0E"/>
    <w:rsid w:val="00EC6F84"/>
    <w:rsid w:val="00EC7096"/>
    <w:rsid w:val="00EC709B"/>
    <w:rsid w:val="00EC7119"/>
    <w:rsid w:val="00EC7255"/>
    <w:rsid w:val="00EC7351"/>
    <w:rsid w:val="00EC745B"/>
    <w:rsid w:val="00EC74F6"/>
    <w:rsid w:val="00EC7520"/>
    <w:rsid w:val="00EC7551"/>
    <w:rsid w:val="00EC7574"/>
    <w:rsid w:val="00EC762D"/>
    <w:rsid w:val="00EC76CC"/>
    <w:rsid w:val="00EC7703"/>
    <w:rsid w:val="00EC774A"/>
    <w:rsid w:val="00EC7856"/>
    <w:rsid w:val="00EC789F"/>
    <w:rsid w:val="00EC7A48"/>
    <w:rsid w:val="00EC7AA4"/>
    <w:rsid w:val="00EC7C19"/>
    <w:rsid w:val="00EC7D02"/>
    <w:rsid w:val="00EC7D3C"/>
    <w:rsid w:val="00EC7DE9"/>
    <w:rsid w:val="00EC7E86"/>
    <w:rsid w:val="00EC7F97"/>
    <w:rsid w:val="00ED00E9"/>
    <w:rsid w:val="00ED019D"/>
    <w:rsid w:val="00ED0202"/>
    <w:rsid w:val="00ED024C"/>
    <w:rsid w:val="00ED02E9"/>
    <w:rsid w:val="00ED0326"/>
    <w:rsid w:val="00ED03AF"/>
    <w:rsid w:val="00ED0426"/>
    <w:rsid w:val="00ED0487"/>
    <w:rsid w:val="00ED053B"/>
    <w:rsid w:val="00ED06A0"/>
    <w:rsid w:val="00ED0775"/>
    <w:rsid w:val="00ED077E"/>
    <w:rsid w:val="00ED0799"/>
    <w:rsid w:val="00ED07C2"/>
    <w:rsid w:val="00ED08C9"/>
    <w:rsid w:val="00ED099E"/>
    <w:rsid w:val="00ED0ADD"/>
    <w:rsid w:val="00ED0B54"/>
    <w:rsid w:val="00ED0BD7"/>
    <w:rsid w:val="00ED0C1B"/>
    <w:rsid w:val="00ED0D27"/>
    <w:rsid w:val="00ED0EB6"/>
    <w:rsid w:val="00ED0EDB"/>
    <w:rsid w:val="00ED0F0C"/>
    <w:rsid w:val="00ED0FDD"/>
    <w:rsid w:val="00ED0FF0"/>
    <w:rsid w:val="00ED1055"/>
    <w:rsid w:val="00ED11F5"/>
    <w:rsid w:val="00ED12A0"/>
    <w:rsid w:val="00ED12A3"/>
    <w:rsid w:val="00ED1364"/>
    <w:rsid w:val="00ED156E"/>
    <w:rsid w:val="00ED15AE"/>
    <w:rsid w:val="00ED1606"/>
    <w:rsid w:val="00ED167B"/>
    <w:rsid w:val="00ED16BF"/>
    <w:rsid w:val="00ED16D6"/>
    <w:rsid w:val="00ED1933"/>
    <w:rsid w:val="00ED1989"/>
    <w:rsid w:val="00ED19F1"/>
    <w:rsid w:val="00ED1AE7"/>
    <w:rsid w:val="00ED1B08"/>
    <w:rsid w:val="00ED1D0F"/>
    <w:rsid w:val="00ED1DE3"/>
    <w:rsid w:val="00ED1E49"/>
    <w:rsid w:val="00ED1EAC"/>
    <w:rsid w:val="00ED1F69"/>
    <w:rsid w:val="00ED1F93"/>
    <w:rsid w:val="00ED201E"/>
    <w:rsid w:val="00ED206B"/>
    <w:rsid w:val="00ED20CC"/>
    <w:rsid w:val="00ED2228"/>
    <w:rsid w:val="00ED223C"/>
    <w:rsid w:val="00ED2278"/>
    <w:rsid w:val="00ED22D6"/>
    <w:rsid w:val="00ED23B1"/>
    <w:rsid w:val="00ED23BB"/>
    <w:rsid w:val="00ED23FE"/>
    <w:rsid w:val="00ED24EB"/>
    <w:rsid w:val="00ED253E"/>
    <w:rsid w:val="00ED25FD"/>
    <w:rsid w:val="00ED264D"/>
    <w:rsid w:val="00ED2891"/>
    <w:rsid w:val="00ED28FE"/>
    <w:rsid w:val="00ED29BF"/>
    <w:rsid w:val="00ED2A3D"/>
    <w:rsid w:val="00ED2BAB"/>
    <w:rsid w:val="00ED2BAD"/>
    <w:rsid w:val="00ED2DE1"/>
    <w:rsid w:val="00ED2E9F"/>
    <w:rsid w:val="00ED2EA8"/>
    <w:rsid w:val="00ED2EF4"/>
    <w:rsid w:val="00ED2F03"/>
    <w:rsid w:val="00ED2F17"/>
    <w:rsid w:val="00ED2FA3"/>
    <w:rsid w:val="00ED3487"/>
    <w:rsid w:val="00ED351B"/>
    <w:rsid w:val="00ED3575"/>
    <w:rsid w:val="00ED36AD"/>
    <w:rsid w:val="00ED389C"/>
    <w:rsid w:val="00ED3969"/>
    <w:rsid w:val="00ED3A67"/>
    <w:rsid w:val="00ED3B37"/>
    <w:rsid w:val="00ED3C32"/>
    <w:rsid w:val="00ED3DA0"/>
    <w:rsid w:val="00ED3DF6"/>
    <w:rsid w:val="00ED3EAF"/>
    <w:rsid w:val="00ED3EBE"/>
    <w:rsid w:val="00ED3F77"/>
    <w:rsid w:val="00ED3FF1"/>
    <w:rsid w:val="00ED427E"/>
    <w:rsid w:val="00ED46CD"/>
    <w:rsid w:val="00ED46F5"/>
    <w:rsid w:val="00ED4965"/>
    <w:rsid w:val="00ED4982"/>
    <w:rsid w:val="00ED49FC"/>
    <w:rsid w:val="00ED4A56"/>
    <w:rsid w:val="00ED4BB4"/>
    <w:rsid w:val="00ED4C98"/>
    <w:rsid w:val="00ED4D24"/>
    <w:rsid w:val="00ED4DD2"/>
    <w:rsid w:val="00ED4EE1"/>
    <w:rsid w:val="00ED4EE4"/>
    <w:rsid w:val="00ED4F01"/>
    <w:rsid w:val="00ED5001"/>
    <w:rsid w:val="00ED5182"/>
    <w:rsid w:val="00ED5192"/>
    <w:rsid w:val="00ED5229"/>
    <w:rsid w:val="00ED5246"/>
    <w:rsid w:val="00ED5348"/>
    <w:rsid w:val="00ED563B"/>
    <w:rsid w:val="00ED56DB"/>
    <w:rsid w:val="00ED5780"/>
    <w:rsid w:val="00ED57A3"/>
    <w:rsid w:val="00ED58AB"/>
    <w:rsid w:val="00ED5AB1"/>
    <w:rsid w:val="00ED5CFE"/>
    <w:rsid w:val="00ED5E54"/>
    <w:rsid w:val="00ED5F33"/>
    <w:rsid w:val="00ED5F99"/>
    <w:rsid w:val="00ED6042"/>
    <w:rsid w:val="00ED60AF"/>
    <w:rsid w:val="00ED61DF"/>
    <w:rsid w:val="00ED6432"/>
    <w:rsid w:val="00ED650E"/>
    <w:rsid w:val="00ED656A"/>
    <w:rsid w:val="00ED66AB"/>
    <w:rsid w:val="00ED66EB"/>
    <w:rsid w:val="00ED6757"/>
    <w:rsid w:val="00ED68A4"/>
    <w:rsid w:val="00ED68C7"/>
    <w:rsid w:val="00ED68F4"/>
    <w:rsid w:val="00ED6918"/>
    <w:rsid w:val="00ED6946"/>
    <w:rsid w:val="00ED6B60"/>
    <w:rsid w:val="00ED6BCA"/>
    <w:rsid w:val="00ED6BDF"/>
    <w:rsid w:val="00ED6D0E"/>
    <w:rsid w:val="00ED6E9C"/>
    <w:rsid w:val="00ED6F0E"/>
    <w:rsid w:val="00ED70C7"/>
    <w:rsid w:val="00ED71FF"/>
    <w:rsid w:val="00ED73FD"/>
    <w:rsid w:val="00ED7410"/>
    <w:rsid w:val="00ED7665"/>
    <w:rsid w:val="00ED7753"/>
    <w:rsid w:val="00ED7777"/>
    <w:rsid w:val="00ED77B0"/>
    <w:rsid w:val="00ED77DD"/>
    <w:rsid w:val="00ED7851"/>
    <w:rsid w:val="00ED788C"/>
    <w:rsid w:val="00ED798E"/>
    <w:rsid w:val="00ED7A38"/>
    <w:rsid w:val="00ED7BD4"/>
    <w:rsid w:val="00ED7BEE"/>
    <w:rsid w:val="00ED7C51"/>
    <w:rsid w:val="00ED7CBB"/>
    <w:rsid w:val="00ED7D67"/>
    <w:rsid w:val="00ED7D9E"/>
    <w:rsid w:val="00ED7E38"/>
    <w:rsid w:val="00ED7E7E"/>
    <w:rsid w:val="00ED7F5A"/>
    <w:rsid w:val="00ED7F89"/>
    <w:rsid w:val="00ED7FE5"/>
    <w:rsid w:val="00EE0031"/>
    <w:rsid w:val="00EE00D5"/>
    <w:rsid w:val="00EE0202"/>
    <w:rsid w:val="00EE021B"/>
    <w:rsid w:val="00EE04C6"/>
    <w:rsid w:val="00EE05CF"/>
    <w:rsid w:val="00EE06FD"/>
    <w:rsid w:val="00EE077E"/>
    <w:rsid w:val="00EE07D0"/>
    <w:rsid w:val="00EE0A4D"/>
    <w:rsid w:val="00EE0B19"/>
    <w:rsid w:val="00EE0B5B"/>
    <w:rsid w:val="00EE0C0B"/>
    <w:rsid w:val="00EE0DDF"/>
    <w:rsid w:val="00EE0ED2"/>
    <w:rsid w:val="00EE0F9B"/>
    <w:rsid w:val="00EE0FCF"/>
    <w:rsid w:val="00EE0FEC"/>
    <w:rsid w:val="00EE10D3"/>
    <w:rsid w:val="00EE10F4"/>
    <w:rsid w:val="00EE1117"/>
    <w:rsid w:val="00EE1280"/>
    <w:rsid w:val="00EE12AA"/>
    <w:rsid w:val="00EE13DA"/>
    <w:rsid w:val="00EE14AB"/>
    <w:rsid w:val="00EE1536"/>
    <w:rsid w:val="00EE17AA"/>
    <w:rsid w:val="00EE19B8"/>
    <w:rsid w:val="00EE19BC"/>
    <w:rsid w:val="00EE1A9F"/>
    <w:rsid w:val="00EE1B20"/>
    <w:rsid w:val="00EE1C0C"/>
    <w:rsid w:val="00EE1C7E"/>
    <w:rsid w:val="00EE1E3A"/>
    <w:rsid w:val="00EE1EC4"/>
    <w:rsid w:val="00EE1F63"/>
    <w:rsid w:val="00EE1F71"/>
    <w:rsid w:val="00EE1FB7"/>
    <w:rsid w:val="00EE1FC3"/>
    <w:rsid w:val="00EE20B4"/>
    <w:rsid w:val="00EE20CA"/>
    <w:rsid w:val="00EE226A"/>
    <w:rsid w:val="00EE23AA"/>
    <w:rsid w:val="00EE23CF"/>
    <w:rsid w:val="00EE24EA"/>
    <w:rsid w:val="00EE2510"/>
    <w:rsid w:val="00EE25C1"/>
    <w:rsid w:val="00EE2904"/>
    <w:rsid w:val="00EE291C"/>
    <w:rsid w:val="00EE2948"/>
    <w:rsid w:val="00EE294D"/>
    <w:rsid w:val="00EE29CA"/>
    <w:rsid w:val="00EE2BEE"/>
    <w:rsid w:val="00EE2C1F"/>
    <w:rsid w:val="00EE2CC8"/>
    <w:rsid w:val="00EE2D8E"/>
    <w:rsid w:val="00EE2E4F"/>
    <w:rsid w:val="00EE2EE5"/>
    <w:rsid w:val="00EE2F4B"/>
    <w:rsid w:val="00EE2FA0"/>
    <w:rsid w:val="00EE2FAD"/>
    <w:rsid w:val="00EE300B"/>
    <w:rsid w:val="00EE301B"/>
    <w:rsid w:val="00EE326A"/>
    <w:rsid w:val="00EE3293"/>
    <w:rsid w:val="00EE32E6"/>
    <w:rsid w:val="00EE33A8"/>
    <w:rsid w:val="00EE34AA"/>
    <w:rsid w:val="00EE35EC"/>
    <w:rsid w:val="00EE3630"/>
    <w:rsid w:val="00EE3724"/>
    <w:rsid w:val="00EE3763"/>
    <w:rsid w:val="00EE389E"/>
    <w:rsid w:val="00EE3A2F"/>
    <w:rsid w:val="00EE3B94"/>
    <w:rsid w:val="00EE3C0E"/>
    <w:rsid w:val="00EE3CFB"/>
    <w:rsid w:val="00EE402F"/>
    <w:rsid w:val="00EE40E2"/>
    <w:rsid w:val="00EE4111"/>
    <w:rsid w:val="00EE4113"/>
    <w:rsid w:val="00EE4162"/>
    <w:rsid w:val="00EE41A1"/>
    <w:rsid w:val="00EE41F4"/>
    <w:rsid w:val="00EE4203"/>
    <w:rsid w:val="00EE422F"/>
    <w:rsid w:val="00EE43DD"/>
    <w:rsid w:val="00EE43DE"/>
    <w:rsid w:val="00EE44A3"/>
    <w:rsid w:val="00EE4554"/>
    <w:rsid w:val="00EE479B"/>
    <w:rsid w:val="00EE4877"/>
    <w:rsid w:val="00EE48A3"/>
    <w:rsid w:val="00EE48F4"/>
    <w:rsid w:val="00EE490D"/>
    <w:rsid w:val="00EE491A"/>
    <w:rsid w:val="00EE49D5"/>
    <w:rsid w:val="00EE4A06"/>
    <w:rsid w:val="00EE4A55"/>
    <w:rsid w:val="00EE4A7F"/>
    <w:rsid w:val="00EE4B67"/>
    <w:rsid w:val="00EE4BC9"/>
    <w:rsid w:val="00EE4C03"/>
    <w:rsid w:val="00EE4C73"/>
    <w:rsid w:val="00EE4DB4"/>
    <w:rsid w:val="00EE4FD7"/>
    <w:rsid w:val="00EE4FD8"/>
    <w:rsid w:val="00EE5099"/>
    <w:rsid w:val="00EE50D9"/>
    <w:rsid w:val="00EE5181"/>
    <w:rsid w:val="00EE52A2"/>
    <w:rsid w:val="00EE5336"/>
    <w:rsid w:val="00EE54DD"/>
    <w:rsid w:val="00EE5610"/>
    <w:rsid w:val="00EE5649"/>
    <w:rsid w:val="00EE56E3"/>
    <w:rsid w:val="00EE5757"/>
    <w:rsid w:val="00EE575E"/>
    <w:rsid w:val="00EE5796"/>
    <w:rsid w:val="00EE57CC"/>
    <w:rsid w:val="00EE58E1"/>
    <w:rsid w:val="00EE5910"/>
    <w:rsid w:val="00EE596E"/>
    <w:rsid w:val="00EE5A29"/>
    <w:rsid w:val="00EE5AD6"/>
    <w:rsid w:val="00EE5B60"/>
    <w:rsid w:val="00EE5CE0"/>
    <w:rsid w:val="00EE5DA6"/>
    <w:rsid w:val="00EE6104"/>
    <w:rsid w:val="00EE629F"/>
    <w:rsid w:val="00EE6390"/>
    <w:rsid w:val="00EE640B"/>
    <w:rsid w:val="00EE645E"/>
    <w:rsid w:val="00EE657E"/>
    <w:rsid w:val="00EE65F2"/>
    <w:rsid w:val="00EE66D8"/>
    <w:rsid w:val="00EE6AEE"/>
    <w:rsid w:val="00EE6B22"/>
    <w:rsid w:val="00EE6B4F"/>
    <w:rsid w:val="00EE6C16"/>
    <w:rsid w:val="00EE6C98"/>
    <w:rsid w:val="00EE6CD9"/>
    <w:rsid w:val="00EE6DA1"/>
    <w:rsid w:val="00EE6E58"/>
    <w:rsid w:val="00EE72E3"/>
    <w:rsid w:val="00EE7512"/>
    <w:rsid w:val="00EE7552"/>
    <w:rsid w:val="00EE7620"/>
    <w:rsid w:val="00EE7647"/>
    <w:rsid w:val="00EE76C2"/>
    <w:rsid w:val="00EE76E9"/>
    <w:rsid w:val="00EE7769"/>
    <w:rsid w:val="00EE78D1"/>
    <w:rsid w:val="00EE790B"/>
    <w:rsid w:val="00EE793A"/>
    <w:rsid w:val="00EE7A65"/>
    <w:rsid w:val="00EE7AC2"/>
    <w:rsid w:val="00EE7ACC"/>
    <w:rsid w:val="00EE7BE4"/>
    <w:rsid w:val="00EE7BFA"/>
    <w:rsid w:val="00EE7C7C"/>
    <w:rsid w:val="00EE7DF0"/>
    <w:rsid w:val="00EE7E3B"/>
    <w:rsid w:val="00EF000D"/>
    <w:rsid w:val="00EF0010"/>
    <w:rsid w:val="00EF0058"/>
    <w:rsid w:val="00EF011A"/>
    <w:rsid w:val="00EF0138"/>
    <w:rsid w:val="00EF01B5"/>
    <w:rsid w:val="00EF04C3"/>
    <w:rsid w:val="00EF0776"/>
    <w:rsid w:val="00EF0997"/>
    <w:rsid w:val="00EF0AC4"/>
    <w:rsid w:val="00EF0B10"/>
    <w:rsid w:val="00EF0B36"/>
    <w:rsid w:val="00EF0D16"/>
    <w:rsid w:val="00EF0D19"/>
    <w:rsid w:val="00EF0D92"/>
    <w:rsid w:val="00EF0DD5"/>
    <w:rsid w:val="00EF0EBE"/>
    <w:rsid w:val="00EF1083"/>
    <w:rsid w:val="00EF10D4"/>
    <w:rsid w:val="00EF1202"/>
    <w:rsid w:val="00EF1286"/>
    <w:rsid w:val="00EF12E0"/>
    <w:rsid w:val="00EF1376"/>
    <w:rsid w:val="00EF15B2"/>
    <w:rsid w:val="00EF15F0"/>
    <w:rsid w:val="00EF16A3"/>
    <w:rsid w:val="00EF17B5"/>
    <w:rsid w:val="00EF1818"/>
    <w:rsid w:val="00EF1A38"/>
    <w:rsid w:val="00EF1B65"/>
    <w:rsid w:val="00EF1C62"/>
    <w:rsid w:val="00EF1D7F"/>
    <w:rsid w:val="00EF1D99"/>
    <w:rsid w:val="00EF1EEF"/>
    <w:rsid w:val="00EF2105"/>
    <w:rsid w:val="00EF211D"/>
    <w:rsid w:val="00EF2264"/>
    <w:rsid w:val="00EF22B8"/>
    <w:rsid w:val="00EF22FD"/>
    <w:rsid w:val="00EF233D"/>
    <w:rsid w:val="00EF23F9"/>
    <w:rsid w:val="00EF23FE"/>
    <w:rsid w:val="00EF252A"/>
    <w:rsid w:val="00EF262B"/>
    <w:rsid w:val="00EF2650"/>
    <w:rsid w:val="00EF2732"/>
    <w:rsid w:val="00EF2823"/>
    <w:rsid w:val="00EF2840"/>
    <w:rsid w:val="00EF2849"/>
    <w:rsid w:val="00EF296A"/>
    <w:rsid w:val="00EF2B37"/>
    <w:rsid w:val="00EF2BB0"/>
    <w:rsid w:val="00EF2D7A"/>
    <w:rsid w:val="00EF2DFE"/>
    <w:rsid w:val="00EF2E0C"/>
    <w:rsid w:val="00EF2EAC"/>
    <w:rsid w:val="00EF2ED0"/>
    <w:rsid w:val="00EF2F1E"/>
    <w:rsid w:val="00EF2F4F"/>
    <w:rsid w:val="00EF3025"/>
    <w:rsid w:val="00EF3098"/>
    <w:rsid w:val="00EF318B"/>
    <w:rsid w:val="00EF324C"/>
    <w:rsid w:val="00EF32AE"/>
    <w:rsid w:val="00EF32DC"/>
    <w:rsid w:val="00EF32FE"/>
    <w:rsid w:val="00EF33F9"/>
    <w:rsid w:val="00EF3548"/>
    <w:rsid w:val="00EF35A0"/>
    <w:rsid w:val="00EF364D"/>
    <w:rsid w:val="00EF3743"/>
    <w:rsid w:val="00EF387A"/>
    <w:rsid w:val="00EF3A55"/>
    <w:rsid w:val="00EF3A5D"/>
    <w:rsid w:val="00EF3B18"/>
    <w:rsid w:val="00EF3D75"/>
    <w:rsid w:val="00EF3DE9"/>
    <w:rsid w:val="00EF3EDF"/>
    <w:rsid w:val="00EF3EEB"/>
    <w:rsid w:val="00EF3F0A"/>
    <w:rsid w:val="00EF3F5F"/>
    <w:rsid w:val="00EF3F8A"/>
    <w:rsid w:val="00EF4006"/>
    <w:rsid w:val="00EF407B"/>
    <w:rsid w:val="00EF411B"/>
    <w:rsid w:val="00EF41DC"/>
    <w:rsid w:val="00EF433B"/>
    <w:rsid w:val="00EF43EA"/>
    <w:rsid w:val="00EF4594"/>
    <w:rsid w:val="00EF460E"/>
    <w:rsid w:val="00EF4620"/>
    <w:rsid w:val="00EF463E"/>
    <w:rsid w:val="00EF4654"/>
    <w:rsid w:val="00EF4656"/>
    <w:rsid w:val="00EF46DE"/>
    <w:rsid w:val="00EF4771"/>
    <w:rsid w:val="00EF495D"/>
    <w:rsid w:val="00EF4B0D"/>
    <w:rsid w:val="00EF4B23"/>
    <w:rsid w:val="00EF4B32"/>
    <w:rsid w:val="00EF4B5D"/>
    <w:rsid w:val="00EF4D14"/>
    <w:rsid w:val="00EF4D26"/>
    <w:rsid w:val="00EF4E99"/>
    <w:rsid w:val="00EF5172"/>
    <w:rsid w:val="00EF51E5"/>
    <w:rsid w:val="00EF51FF"/>
    <w:rsid w:val="00EF52FD"/>
    <w:rsid w:val="00EF530A"/>
    <w:rsid w:val="00EF530D"/>
    <w:rsid w:val="00EF541E"/>
    <w:rsid w:val="00EF5544"/>
    <w:rsid w:val="00EF55B3"/>
    <w:rsid w:val="00EF56B8"/>
    <w:rsid w:val="00EF574E"/>
    <w:rsid w:val="00EF576A"/>
    <w:rsid w:val="00EF5775"/>
    <w:rsid w:val="00EF5782"/>
    <w:rsid w:val="00EF57A1"/>
    <w:rsid w:val="00EF5813"/>
    <w:rsid w:val="00EF5897"/>
    <w:rsid w:val="00EF59F8"/>
    <w:rsid w:val="00EF5A19"/>
    <w:rsid w:val="00EF5B2A"/>
    <w:rsid w:val="00EF5BAB"/>
    <w:rsid w:val="00EF5C21"/>
    <w:rsid w:val="00EF5D0C"/>
    <w:rsid w:val="00EF5D65"/>
    <w:rsid w:val="00EF5D76"/>
    <w:rsid w:val="00EF5DBF"/>
    <w:rsid w:val="00EF5E1E"/>
    <w:rsid w:val="00EF5F42"/>
    <w:rsid w:val="00EF5F9D"/>
    <w:rsid w:val="00EF6070"/>
    <w:rsid w:val="00EF6077"/>
    <w:rsid w:val="00EF6092"/>
    <w:rsid w:val="00EF60FD"/>
    <w:rsid w:val="00EF6103"/>
    <w:rsid w:val="00EF610E"/>
    <w:rsid w:val="00EF61CB"/>
    <w:rsid w:val="00EF61EF"/>
    <w:rsid w:val="00EF6232"/>
    <w:rsid w:val="00EF63A8"/>
    <w:rsid w:val="00EF63F9"/>
    <w:rsid w:val="00EF6438"/>
    <w:rsid w:val="00EF644F"/>
    <w:rsid w:val="00EF6555"/>
    <w:rsid w:val="00EF6571"/>
    <w:rsid w:val="00EF66DF"/>
    <w:rsid w:val="00EF67D7"/>
    <w:rsid w:val="00EF688C"/>
    <w:rsid w:val="00EF68EC"/>
    <w:rsid w:val="00EF6AAE"/>
    <w:rsid w:val="00EF6ACE"/>
    <w:rsid w:val="00EF6B66"/>
    <w:rsid w:val="00EF6B72"/>
    <w:rsid w:val="00EF6C48"/>
    <w:rsid w:val="00EF6C7F"/>
    <w:rsid w:val="00EF6D2B"/>
    <w:rsid w:val="00EF6D31"/>
    <w:rsid w:val="00EF6D95"/>
    <w:rsid w:val="00EF6DB5"/>
    <w:rsid w:val="00EF6E82"/>
    <w:rsid w:val="00EF6E83"/>
    <w:rsid w:val="00EF6E90"/>
    <w:rsid w:val="00EF6EA1"/>
    <w:rsid w:val="00EF6FB1"/>
    <w:rsid w:val="00EF709C"/>
    <w:rsid w:val="00EF72AC"/>
    <w:rsid w:val="00EF7370"/>
    <w:rsid w:val="00EF73A4"/>
    <w:rsid w:val="00EF7451"/>
    <w:rsid w:val="00EF758D"/>
    <w:rsid w:val="00EF7600"/>
    <w:rsid w:val="00EF76D8"/>
    <w:rsid w:val="00EF777A"/>
    <w:rsid w:val="00EF77B2"/>
    <w:rsid w:val="00EF7897"/>
    <w:rsid w:val="00EF78B6"/>
    <w:rsid w:val="00EF7934"/>
    <w:rsid w:val="00EF7992"/>
    <w:rsid w:val="00EF7A73"/>
    <w:rsid w:val="00EF7AC2"/>
    <w:rsid w:val="00EF7ACD"/>
    <w:rsid w:val="00EF7B47"/>
    <w:rsid w:val="00EF7B6F"/>
    <w:rsid w:val="00EF7BD1"/>
    <w:rsid w:val="00EF7C3B"/>
    <w:rsid w:val="00EF7CCD"/>
    <w:rsid w:val="00EF7CF5"/>
    <w:rsid w:val="00EF7E27"/>
    <w:rsid w:val="00EF7E34"/>
    <w:rsid w:val="00EF7FA8"/>
    <w:rsid w:val="00F00044"/>
    <w:rsid w:val="00F0009D"/>
    <w:rsid w:val="00F000A2"/>
    <w:rsid w:val="00F00164"/>
    <w:rsid w:val="00F0025E"/>
    <w:rsid w:val="00F00335"/>
    <w:rsid w:val="00F0035C"/>
    <w:rsid w:val="00F003A5"/>
    <w:rsid w:val="00F003AD"/>
    <w:rsid w:val="00F0051D"/>
    <w:rsid w:val="00F006A3"/>
    <w:rsid w:val="00F007E2"/>
    <w:rsid w:val="00F00898"/>
    <w:rsid w:val="00F00A1A"/>
    <w:rsid w:val="00F00A6A"/>
    <w:rsid w:val="00F00A76"/>
    <w:rsid w:val="00F00AED"/>
    <w:rsid w:val="00F00B07"/>
    <w:rsid w:val="00F00BD3"/>
    <w:rsid w:val="00F00C6F"/>
    <w:rsid w:val="00F00C78"/>
    <w:rsid w:val="00F00DC5"/>
    <w:rsid w:val="00F00DD1"/>
    <w:rsid w:val="00F00EDB"/>
    <w:rsid w:val="00F0101B"/>
    <w:rsid w:val="00F01373"/>
    <w:rsid w:val="00F013A6"/>
    <w:rsid w:val="00F01576"/>
    <w:rsid w:val="00F016E4"/>
    <w:rsid w:val="00F016F7"/>
    <w:rsid w:val="00F0186F"/>
    <w:rsid w:val="00F018E5"/>
    <w:rsid w:val="00F01990"/>
    <w:rsid w:val="00F019FC"/>
    <w:rsid w:val="00F01ADD"/>
    <w:rsid w:val="00F01BF7"/>
    <w:rsid w:val="00F01D98"/>
    <w:rsid w:val="00F01DD3"/>
    <w:rsid w:val="00F02105"/>
    <w:rsid w:val="00F021F9"/>
    <w:rsid w:val="00F02214"/>
    <w:rsid w:val="00F023A9"/>
    <w:rsid w:val="00F023B3"/>
    <w:rsid w:val="00F023D2"/>
    <w:rsid w:val="00F0248C"/>
    <w:rsid w:val="00F0251B"/>
    <w:rsid w:val="00F0251C"/>
    <w:rsid w:val="00F02587"/>
    <w:rsid w:val="00F02752"/>
    <w:rsid w:val="00F027F8"/>
    <w:rsid w:val="00F0282A"/>
    <w:rsid w:val="00F0282F"/>
    <w:rsid w:val="00F028F6"/>
    <w:rsid w:val="00F02ACE"/>
    <w:rsid w:val="00F02B1A"/>
    <w:rsid w:val="00F02BFC"/>
    <w:rsid w:val="00F02C96"/>
    <w:rsid w:val="00F02D4A"/>
    <w:rsid w:val="00F02F94"/>
    <w:rsid w:val="00F02FDA"/>
    <w:rsid w:val="00F03094"/>
    <w:rsid w:val="00F030AC"/>
    <w:rsid w:val="00F030FD"/>
    <w:rsid w:val="00F03197"/>
    <w:rsid w:val="00F03263"/>
    <w:rsid w:val="00F03318"/>
    <w:rsid w:val="00F033CC"/>
    <w:rsid w:val="00F0342C"/>
    <w:rsid w:val="00F034D9"/>
    <w:rsid w:val="00F035B6"/>
    <w:rsid w:val="00F03762"/>
    <w:rsid w:val="00F037FB"/>
    <w:rsid w:val="00F03A15"/>
    <w:rsid w:val="00F03B65"/>
    <w:rsid w:val="00F03C67"/>
    <w:rsid w:val="00F03CBF"/>
    <w:rsid w:val="00F03CD1"/>
    <w:rsid w:val="00F03D53"/>
    <w:rsid w:val="00F03FDA"/>
    <w:rsid w:val="00F04068"/>
    <w:rsid w:val="00F041B9"/>
    <w:rsid w:val="00F0424E"/>
    <w:rsid w:val="00F0433C"/>
    <w:rsid w:val="00F0436A"/>
    <w:rsid w:val="00F04415"/>
    <w:rsid w:val="00F04419"/>
    <w:rsid w:val="00F04460"/>
    <w:rsid w:val="00F04490"/>
    <w:rsid w:val="00F04505"/>
    <w:rsid w:val="00F04751"/>
    <w:rsid w:val="00F047A2"/>
    <w:rsid w:val="00F047F6"/>
    <w:rsid w:val="00F0496E"/>
    <w:rsid w:val="00F04986"/>
    <w:rsid w:val="00F049BA"/>
    <w:rsid w:val="00F04A22"/>
    <w:rsid w:val="00F04A64"/>
    <w:rsid w:val="00F04C12"/>
    <w:rsid w:val="00F04CBD"/>
    <w:rsid w:val="00F04CE7"/>
    <w:rsid w:val="00F04D3F"/>
    <w:rsid w:val="00F04D49"/>
    <w:rsid w:val="00F04DAC"/>
    <w:rsid w:val="00F04DB9"/>
    <w:rsid w:val="00F04F24"/>
    <w:rsid w:val="00F04F6B"/>
    <w:rsid w:val="00F04F74"/>
    <w:rsid w:val="00F04F9F"/>
    <w:rsid w:val="00F0502E"/>
    <w:rsid w:val="00F0504A"/>
    <w:rsid w:val="00F05464"/>
    <w:rsid w:val="00F05573"/>
    <w:rsid w:val="00F05574"/>
    <w:rsid w:val="00F056B3"/>
    <w:rsid w:val="00F05709"/>
    <w:rsid w:val="00F05757"/>
    <w:rsid w:val="00F057A7"/>
    <w:rsid w:val="00F05848"/>
    <w:rsid w:val="00F05AE5"/>
    <w:rsid w:val="00F05D79"/>
    <w:rsid w:val="00F05D8F"/>
    <w:rsid w:val="00F05D9A"/>
    <w:rsid w:val="00F05D9F"/>
    <w:rsid w:val="00F05E79"/>
    <w:rsid w:val="00F060CC"/>
    <w:rsid w:val="00F06192"/>
    <w:rsid w:val="00F062C3"/>
    <w:rsid w:val="00F062EE"/>
    <w:rsid w:val="00F06393"/>
    <w:rsid w:val="00F065E2"/>
    <w:rsid w:val="00F0668C"/>
    <w:rsid w:val="00F066E3"/>
    <w:rsid w:val="00F06725"/>
    <w:rsid w:val="00F0674A"/>
    <w:rsid w:val="00F0677C"/>
    <w:rsid w:val="00F06784"/>
    <w:rsid w:val="00F067C7"/>
    <w:rsid w:val="00F06B1F"/>
    <w:rsid w:val="00F06B2C"/>
    <w:rsid w:val="00F06BD7"/>
    <w:rsid w:val="00F06C0F"/>
    <w:rsid w:val="00F06C3C"/>
    <w:rsid w:val="00F06C79"/>
    <w:rsid w:val="00F06D99"/>
    <w:rsid w:val="00F06E41"/>
    <w:rsid w:val="00F06F8D"/>
    <w:rsid w:val="00F07015"/>
    <w:rsid w:val="00F072FA"/>
    <w:rsid w:val="00F07311"/>
    <w:rsid w:val="00F07338"/>
    <w:rsid w:val="00F07344"/>
    <w:rsid w:val="00F07383"/>
    <w:rsid w:val="00F07392"/>
    <w:rsid w:val="00F073E7"/>
    <w:rsid w:val="00F0740D"/>
    <w:rsid w:val="00F07440"/>
    <w:rsid w:val="00F0745C"/>
    <w:rsid w:val="00F0765A"/>
    <w:rsid w:val="00F076C1"/>
    <w:rsid w:val="00F07832"/>
    <w:rsid w:val="00F078AC"/>
    <w:rsid w:val="00F07922"/>
    <w:rsid w:val="00F079DC"/>
    <w:rsid w:val="00F07AF4"/>
    <w:rsid w:val="00F07B58"/>
    <w:rsid w:val="00F07BCF"/>
    <w:rsid w:val="00F07BD5"/>
    <w:rsid w:val="00F07D55"/>
    <w:rsid w:val="00F1001A"/>
    <w:rsid w:val="00F10121"/>
    <w:rsid w:val="00F10204"/>
    <w:rsid w:val="00F102B3"/>
    <w:rsid w:val="00F102FA"/>
    <w:rsid w:val="00F10350"/>
    <w:rsid w:val="00F10521"/>
    <w:rsid w:val="00F105D8"/>
    <w:rsid w:val="00F1087C"/>
    <w:rsid w:val="00F10941"/>
    <w:rsid w:val="00F1095B"/>
    <w:rsid w:val="00F10AF6"/>
    <w:rsid w:val="00F10B45"/>
    <w:rsid w:val="00F10BD8"/>
    <w:rsid w:val="00F10C3A"/>
    <w:rsid w:val="00F10FE0"/>
    <w:rsid w:val="00F1107F"/>
    <w:rsid w:val="00F110A7"/>
    <w:rsid w:val="00F11184"/>
    <w:rsid w:val="00F1130D"/>
    <w:rsid w:val="00F113DD"/>
    <w:rsid w:val="00F1156C"/>
    <w:rsid w:val="00F115F1"/>
    <w:rsid w:val="00F1161D"/>
    <w:rsid w:val="00F116B0"/>
    <w:rsid w:val="00F116C7"/>
    <w:rsid w:val="00F119C2"/>
    <w:rsid w:val="00F11A3D"/>
    <w:rsid w:val="00F11A5E"/>
    <w:rsid w:val="00F11AB3"/>
    <w:rsid w:val="00F11BF6"/>
    <w:rsid w:val="00F11C16"/>
    <w:rsid w:val="00F11E95"/>
    <w:rsid w:val="00F11EC7"/>
    <w:rsid w:val="00F11FB7"/>
    <w:rsid w:val="00F11FEF"/>
    <w:rsid w:val="00F12083"/>
    <w:rsid w:val="00F1214A"/>
    <w:rsid w:val="00F12156"/>
    <w:rsid w:val="00F12195"/>
    <w:rsid w:val="00F121C9"/>
    <w:rsid w:val="00F1227F"/>
    <w:rsid w:val="00F12391"/>
    <w:rsid w:val="00F123F1"/>
    <w:rsid w:val="00F12446"/>
    <w:rsid w:val="00F12448"/>
    <w:rsid w:val="00F12454"/>
    <w:rsid w:val="00F12486"/>
    <w:rsid w:val="00F12510"/>
    <w:rsid w:val="00F125C2"/>
    <w:rsid w:val="00F12646"/>
    <w:rsid w:val="00F12708"/>
    <w:rsid w:val="00F1273F"/>
    <w:rsid w:val="00F127D4"/>
    <w:rsid w:val="00F12A81"/>
    <w:rsid w:val="00F12B61"/>
    <w:rsid w:val="00F12C37"/>
    <w:rsid w:val="00F12D37"/>
    <w:rsid w:val="00F132F3"/>
    <w:rsid w:val="00F13348"/>
    <w:rsid w:val="00F133A5"/>
    <w:rsid w:val="00F133B3"/>
    <w:rsid w:val="00F1344F"/>
    <w:rsid w:val="00F13458"/>
    <w:rsid w:val="00F1348C"/>
    <w:rsid w:val="00F13505"/>
    <w:rsid w:val="00F13872"/>
    <w:rsid w:val="00F139FF"/>
    <w:rsid w:val="00F13A6D"/>
    <w:rsid w:val="00F13AB4"/>
    <w:rsid w:val="00F13E3D"/>
    <w:rsid w:val="00F13E67"/>
    <w:rsid w:val="00F13F64"/>
    <w:rsid w:val="00F1404C"/>
    <w:rsid w:val="00F1405C"/>
    <w:rsid w:val="00F1407A"/>
    <w:rsid w:val="00F141DA"/>
    <w:rsid w:val="00F1436B"/>
    <w:rsid w:val="00F143F4"/>
    <w:rsid w:val="00F14564"/>
    <w:rsid w:val="00F14775"/>
    <w:rsid w:val="00F14799"/>
    <w:rsid w:val="00F1482B"/>
    <w:rsid w:val="00F14963"/>
    <w:rsid w:val="00F14C8B"/>
    <w:rsid w:val="00F14D0A"/>
    <w:rsid w:val="00F14EA4"/>
    <w:rsid w:val="00F14F76"/>
    <w:rsid w:val="00F1502B"/>
    <w:rsid w:val="00F152DE"/>
    <w:rsid w:val="00F1533F"/>
    <w:rsid w:val="00F154AF"/>
    <w:rsid w:val="00F155DF"/>
    <w:rsid w:val="00F1561A"/>
    <w:rsid w:val="00F15771"/>
    <w:rsid w:val="00F157D1"/>
    <w:rsid w:val="00F15807"/>
    <w:rsid w:val="00F15825"/>
    <w:rsid w:val="00F1583D"/>
    <w:rsid w:val="00F15855"/>
    <w:rsid w:val="00F1595A"/>
    <w:rsid w:val="00F15963"/>
    <w:rsid w:val="00F159FC"/>
    <w:rsid w:val="00F15A3B"/>
    <w:rsid w:val="00F15ACA"/>
    <w:rsid w:val="00F15B60"/>
    <w:rsid w:val="00F15BCE"/>
    <w:rsid w:val="00F15BEA"/>
    <w:rsid w:val="00F15C23"/>
    <w:rsid w:val="00F15C25"/>
    <w:rsid w:val="00F15C63"/>
    <w:rsid w:val="00F15F5F"/>
    <w:rsid w:val="00F16011"/>
    <w:rsid w:val="00F16088"/>
    <w:rsid w:val="00F1608F"/>
    <w:rsid w:val="00F16355"/>
    <w:rsid w:val="00F1643B"/>
    <w:rsid w:val="00F16512"/>
    <w:rsid w:val="00F1655A"/>
    <w:rsid w:val="00F165E4"/>
    <w:rsid w:val="00F1660D"/>
    <w:rsid w:val="00F16641"/>
    <w:rsid w:val="00F16699"/>
    <w:rsid w:val="00F167AA"/>
    <w:rsid w:val="00F16825"/>
    <w:rsid w:val="00F168E8"/>
    <w:rsid w:val="00F16A1C"/>
    <w:rsid w:val="00F16A8C"/>
    <w:rsid w:val="00F16B3C"/>
    <w:rsid w:val="00F16BAB"/>
    <w:rsid w:val="00F16C4A"/>
    <w:rsid w:val="00F16C61"/>
    <w:rsid w:val="00F16D83"/>
    <w:rsid w:val="00F16DDB"/>
    <w:rsid w:val="00F16DE7"/>
    <w:rsid w:val="00F16DFD"/>
    <w:rsid w:val="00F16E31"/>
    <w:rsid w:val="00F16FF1"/>
    <w:rsid w:val="00F1700E"/>
    <w:rsid w:val="00F17019"/>
    <w:rsid w:val="00F1705E"/>
    <w:rsid w:val="00F17064"/>
    <w:rsid w:val="00F17118"/>
    <w:rsid w:val="00F17201"/>
    <w:rsid w:val="00F172E4"/>
    <w:rsid w:val="00F172F8"/>
    <w:rsid w:val="00F1739C"/>
    <w:rsid w:val="00F174A8"/>
    <w:rsid w:val="00F17517"/>
    <w:rsid w:val="00F17584"/>
    <w:rsid w:val="00F177B6"/>
    <w:rsid w:val="00F1782C"/>
    <w:rsid w:val="00F17864"/>
    <w:rsid w:val="00F178E7"/>
    <w:rsid w:val="00F179A2"/>
    <w:rsid w:val="00F179A6"/>
    <w:rsid w:val="00F179BB"/>
    <w:rsid w:val="00F17C45"/>
    <w:rsid w:val="00F17C5F"/>
    <w:rsid w:val="00F17C9C"/>
    <w:rsid w:val="00F17CC1"/>
    <w:rsid w:val="00F17E33"/>
    <w:rsid w:val="00F17ED7"/>
    <w:rsid w:val="00F17F58"/>
    <w:rsid w:val="00F17FC1"/>
    <w:rsid w:val="00F17FFB"/>
    <w:rsid w:val="00F200DF"/>
    <w:rsid w:val="00F20161"/>
    <w:rsid w:val="00F201FB"/>
    <w:rsid w:val="00F2020A"/>
    <w:rsid w:val="00F204A9"/>
    <w:rsid w:val="00F20573"/>
    <w:rsid w:val="00F20859"/>
    <w:rsid w:val="00F208D4"/>
    <w:rsid w:val="00F20980"/>
    <w:rsid w:val="00F20A08"/>
    <w:rsid w:val="00F20A1F"/>
    <w:rsid w:val="00F20BDA"/>
    <w:rsid w:val="00F20CAE"/>
    <w:rsid w:val="00F20E20"/>
    <w:rsid w:val="00F20EC5"/>
    <w:rsid w:val="00F20EE8"/>
    <w:rsid w:val="00F20EF6"/>
    <w:rsid w:val="00F20F5D"/>
    <w:rsid w:val="00F2106D"/>
    <w:rsid w:val="00F210AB"/>
    <w:rsid w:val="00F21154"/>
    <w:rsid w:val="00F2139B"/>
    <w:rsid w:val="00F2145F"/>
    <w:rsid w:val="00F2155A"/>
    <w:rsid w:val="00F2155F"/>
    <w:rsid w:val="00F21704"/>
    <w:rsid w:val="00F217A6"/>
    <w:rsid w:val="00F218A8"/>
    <w:rsid w:val="00F21B36"/>
    <w:rsid w:val="00F21B5D"/>
    <w:rsid w:val="00F21BA3"/>
    <w:rsid w:val="00F21CAF"/>
    <w:rsid w:val="00F21CC0"/>
    <w:rsid w:val="00F21DE9"/>
    <w:rsid w:val="00F21EA0"/>
    <w:rsid w:val="00F21FB9"/>
    <w:rsid w:val="00F221FD"/>
    <w:rsid w:val="00F2223A"/>
    <w:rsid w:val="00F2226E"/>
    <w:rsid w:val="00F2229A"/>
    <w:rsid w:val="00F22504"/>
    <w:rsid w:val="00F22636"/>
    <w:rsid w:val="00F2267A"/>
    <w:rsid w:val="00F227CB"/>
    <w:rsid w:val="00F227E5"/>
    <w:rsid w:val="00F2284E"/>
    <w:rsid w:val="00F22863"/>
    <w:rsid w:val="00F228AF"/>
    <w:rsid w:val="00F228EF"/>
    <w:rsid w:val="00F229BD"/>
    <w:rsid w:val="00F22AA3"/>
    <w:rsid w:val="00F22EC6"/>
    <w:rsid w:val="00F22FB7"/>
    <w:rsid w:val="00F22FC9"/>
    <w:rsid w:val="00F230FA"/>
    <w:rsid w:val="00F2325D"/>
    <w:rsid w:val="00F23272"/>
    <w:rsid w:val="00F23281"/>
    <w:rsid w:val="00F2337C"/>
    <w:rsid w:val="00F23481"/>
    <w:rsid w:val="00F234C6"/>
    <w:rsid w:val="00F234D1"/>
    <w:rsid w:val="00F235D6"/>
    <w:rsid w:val="00F23774"/>
    <w:rsid w:val="00F2388C"/>
    <w:rsid w:val="00F23942"/>
    <w:rsid w:val="00F239A7"/>
    <w:rsid w:val="00F239FD"/>
    <w:rsid w:val="00F23A4A"/>
    <w:rsid w:val="00F23A64"/>
    <w:rsid w:val="00F23A99"/>
    <w:rsid w:val="00F23AF5"/>
    <w:rsid w:val="00F23B55"/>
    <w:rsid w:val="00F23C7D"/>
    <w:rsid w:val="00F23D75"/>
    <w:rsid w:val="00F23DC6"/>
    <w:rsid w:val="00F23F23"/>
    <w:rsid w:val="00F23F5E"/>
    <w:rsid w:val="00F23FE8"/>
    <w:rsid w:val="00F24104"/>
    <w:rsid w:val="00F24230"/>
    <w:rsid w:val="00F24238"/>
    <w:rsid w:val="00F2434C"/>
    <w:rsid w:val="00F24415"/>
    <w:rsid w:val="00F245D3"/>
    <w:rsid w:val="00F245FA"/>
    <w:rsid w:val="00F246A8"/>
    <w:rsid w:val="00F24722"/>
    <w:rsid w:val="00F24767"/>
    <w:rsid w:val="00F2480F"/>
    <w:rsid w:val="00F2482A"/>
    <w:rsid w:val="00F2490D"/>
    <w:rsid w:val="00F24920"/>
    <w:rsid w:val="00F24931"/>
    <w:rsid w:val="00F24992"/>
    <w:rsid w:val="00F249A5"/>
    <w:rsid w:val="00F249D4"/>
    <w:rsid w:val="00F24A95"/>
    <w:rsid w:val="00F24B3E"/>
    <w:rsid w:val="00F24BB3"/>
    <w:rsid w:val="00F24C29"/>
    <w:rsid w:val="00F24C4A"/>
    <w:rsid w:val="00F24DD6"/>
    <w:rsid w:val="00F2500E"/>
    <w:rsid w:val="00F2513D"/>
    <w:rsid w:val="00F2516D"/>
    <w:rsid w:val="00F253CF"/>
    <w:rsid w:val="00F253F4"/>
    <w:rsid w:val="00F254C9"/>
    <w:rsid w:val="00F254DD"/>
    <w:rsid w:val="00F255C4"/>
    <w:rsid w:val="00F257D1"/>
    <w:rsid w:val="00F2592A"/>
    <w:rsid w:val="00F25CBA"/>
    <w:rsid w:val="00F25D0D"/>
    <w:rsid w:val="00F25F45"/>
    <w:rsid w:val="00F25F6F"/>
    <w:rsid w:val="00F25F9A"/>
    <w:rsid w:val="00F26044"/>
    <w:rsid w:val="00F260B7"/>
    <w:rsid w:val="00F26266"/>
    <w:rsid w:val="00F26559"/>
    <w:rsid w:val="00F26615"/>
    <w:rsid w:val="00F26738"/>
    <w:rsid w:val="00F26740"/>
    <w:rsid w:val="00F26771"/>
    <w:rsid w:val="00F267EF"/>
    <w:rsid w:val="00F26885"/>
    <w:rsid w:val="00F2695D"/>
    <w:rsid w:val="00F26979"/>
    <w:rsid w:val="00F26993"/>
    <w:rsid w:val="00F26A52"/>
    <w:rsid w:val="00F26B90"/>
    <w:rsid w:val="00F26D45"/>
    <w:rsid w:val="00F26D56"/>
    <w:rsid w:val="00F26E6D"/>
    <w:rsid w:val="00F26EC4"/>
    <w:rsid w:val="00F26F7A"/>
    <w:rsid w:val="00F26FBD"/>
    <w:rsid w:val="00F270A6"/>
    <w:rsid w:val="00F270B1"/>
    <w:rsid w:val="00F2713A"/>
    <w:rsid w:val="00F271BD"/>
    <w:rsid w:val="00F273D7"/>
    <w:rsid w:val="00F275F8"/>
    <w:rsid w:val="00F27624"/>
    <w:rsid w:val="00F276CD"/>
    <w:rsid w:val="00F2773C"/>
    <w:rsid w:val="00F27880"/>
    <w:rsid w:val="00F2790F"/>
    <w:rsid w:val="00F27944"/>
    <w:rsid w:val="00F27988"/>
    <w:rsid w:val="00F27A8F"/>
    <w:rsid w:val="00F27ABF"/>
    <w:rsid w:val="00F27D3A"/>
    <w:rsid w:val="00F27EAC"/>
    <w:rsid w:val="00F27F6D"/>
    <w:rsid w:val="00F30002"/>
    <w:rsid w:val="00F3000F"/>
    <w:rsid w:val="00F30034"/>
    <w:rsid w:val="00F30088"/>
    <w:rsid w:val="00F300AA"/>
    <w:rsid w:val="00F30112"/>
    <w:rsid w:val="00F30174"/>
    <w:rsid w:val="00F3020C"/>
    <w:rsid w:val="00F302A5"/>
    <w:rsid w:val="00F304B9"/>
    <w:rsid w:val="00F304EF"/>
    <w:rsid w:val="00F304F4"/>
    <w:rsid w:val="00F305A6"/>
    <w:rsid w:val="00F3063C"/>
    <w:rsid w:val="00F30676"/>
    <w:rsid w:val="00F30693"/>
    <w:rsid w:val="00F306FC"/>
    <w:rsid w:val="00F30852"/>
    <w:rsid w:val="00F3085C"/>
    <w:rsid w:val="00F308FF"/>
    <w:rsid w:val="00F30B6D"/>
    <w:rsid w:val="00F30BE8"/>
    <w:rsid w:val="00F30C84"/>
    <w:rsid w:val="00F30D09"/>
    <w:rsid w:val="00F30DC1"/>
    <w:rsid w:val="00F30DF9"/>
    <w:rsid w:val="00F30E08"/>
    <w:rsid w:val="00F30E0D"/>
    <w:rsid w:val="00F30F7B"/>
    <w:rsid w:val="00F30F9C"/>
    <w:rsid w:val="00F30FD9"/>
    <w:rsid w:val="00F31022"/>
    <w:rsid w:val="00F31135"/>
    <w:rsid w:val="00F311FF"/>
    <w:rsid w:val="00F31217"/>
    <w:rsid w:val="00F31273"/>
    <w:rsid w:val="00F314DB"/>
    <w:rsid w:val="00F314DF"/>
    <w:rsid w:val="00F31522"/>
    <w:rsid w:val="00F3153D"/>
    <w:rsid w:val="00F31653"/>
    <w:rsid w:val="00F3168D"/>
    <w:rsid w:val="00F316F0"/>
    <w:rsid w:val="00F31A07"/>
    <w:rsid w:val="00F31A1C"/>
    <w:rsid w:val="00F31ADC"/>
    <w:rsid w:val="00F31BA4"/>
    <w:rsid w:val="00F31BF9"/>
    <w:rsid w:val="00F31C2A"/>
    <w:rsid w:val="00F31C4C"/>
    <w:rsid w:val="00F31D1A"/>
    <w:rsid w:val="00F31E37"/>
    <w:rsid w:val="00F31ED6"/>
    <w:rsid w:val="00F31F2D"/>
    <w:rsid w:val="00F31F3F"/>
    <w:rsid w:val="00F3214E"/>
    <w:rsid w:val="00F32166"/>
    <w:rsid w:val="00F3220D"/>
    <w:rsid w:val="00F32226"/>
    <w:rsid w:val="00F3227F"/>
    <w:rsid w:val="00F322F3"/>
    <w:rsid w:val="00F32391"/>
    <w:rsid w:val="00F324CE"/>
    <w:rsid w:val="00F324ED"/>
    <w:rsid w:val="00F32531"/>
    <w:rsid w:val="00F3258C"/>
    <w:rsid w:val="00F32629"/>
    <w:rsid w:val="00F326C9"/>
    <w:rsid w:val="00F326D6"/>
    <w:rsid w:val="00F32704"/>
    <w:rsid w:val="00F328CE"/>
    <w:rsid w:val="00F328F9"/>
    <w:rsid w:val="00F329ED"/>
    <w:rsid w:val="00F32A24"/>
    <w:rsid w:val="00F32AA8"/>
    <w:rsid w:val="00F32B17"/>
    <w:rsid w:val="00F32B6B"/>
    <w:rsid w:val="00F32C92"/>
    <w:rsid w:val="00F32D4C"/>
    <w:rsid w:val="00F32D73"/>
    <w:rsid w:val="00F32E56"/>
    <w:rsid w:val="00F32FB3"/>
    <w:rsid w:val="00F33104"/>
    <w:rsid w:val="00F33317"/>
    <w:rsid w:val="00F33411"/>
    <w:rsid w:val="00F33532"/>
    <w:rsid w:val="00F33578"/>
    <w:rsid w:val="00F335D0"/>
    <w:rsid w:val="00F33667"/>
    <w:rsid w:val="00F336AB"/>
    <w:rsid w:val="00F33716"/>
    <w:rsid w:val="00F3373D"/>
    <w:rsid w:val="00F33793"/>
    <w:rsid w:val="00F337EB"/>
    <w:rsid w:val="00F339C0"/>
    <w:rsid w:val="00F339C8"/>
    <w:rsid w:val="00F33AA1"/>
    <w:rsid w:val="00F33AB4"/>
    <w:rsid w:val="00F33B3A"/>
    <w:rsid w:val="00F33B5E"/>
    <w:rsid w:val="00F33C31"/>
    <w:rsid w:val="00F33C44"/>
    <w:rsid w:val="00F33C55"/>
    <w:rsid w:val="00F33C9E"/>
    <w:rsid w:val="00F33CBA"/>
    <w:rsid w:val="00F33D35"/>
    <w:rsid w:val="00F33D52"/>
    <w:rsid w:val="00F33EF3"/>
    <w:rsid w:val="00F33FA3"/>
    <w:rsid w:val="00F34142"/>
    <w:rsid w:val="00F342AD"/>
    <w:rsid w:val="00F342FE"/>
    <w:rsid w:val="00F34368"/>
    <w:rsid w:val="00F3460F"/>
    <w:rsid w:val="00F346D5"/>
    <w:rsid w:val="00F347DF"/>
    <w:rsid w:val="00F34940"/>
    <w:rsid w:val="00F34A6E"/>
    <w:rsid w:val="00F34AD3"/>
    <w:rsid w:val="00F34C04"/>
    <w:rsid w:val="00F34D5B"/>
    <w:rsid w:val="00F34FAC"/>
    <w:rsid w:val="00F35068"/>
    <w:rsid w:val="00F35083"/>
    <w:rsid w:val="00F35198"/>
    <w:rsid w:val="00F351A3"/>
    <w:rsid w:val="00F351EA"/>
    <w:rsid w:val="00F35249"/>
    <w:rsid w:val="00F35265"/>
    <w:rsid w:val="00F352BE"/>
    <w:rsid w:val="00F35400"/>
    <w:rsid w:val="00F3546C"/>
    <w:rsid w:val="00F3554C"/>
    <w:rsid w:val="00F35822"/>
    <w:rsid w:val="00F35854"/>
    <w:rsid w:val="00F358E2"/>
    <w:rsid w:val="00F358E9"/>
    <w:rsid w:val="00F3597C"/>
    <w:rsid w:val="00F359FF"/>
    <w:rsid w:val="00F35A0D"/>
    <w:rsid w:val="00F35A1C"/>
    <w:rsid w:val="00F35AC0"/>
    <w:rsid w:val="00F35AFD"/>
    <w:rsid w:val="00F35B00"/>
    <w:rsid w:val="00F35C0B"/>
    <w:rsid w:val="00F35C5A"/>
    <w:rsid w:val="00F35C8F"/>
    <w:rsid w:val="00F35DEE"/>
    <w:rsid w:val="00F35E9A"/>
    <w:rsid w:val="00F35EE1"/>
    <w:rsid w:val="00F35EED"/>
    <w:rsid w:val="00F360B4"/>
    <w:rsid w:val="00F3613F"/>
    <w:rsid w:val="00F36160"/>
    <w:rsid w:val="00F361CA"/>
    <w:rsid w:val="00F361ED"/>
    <w:rsid w:val="00F36315"/>
    <w:rsid w:val="00F363D7"/>
    <w:rsid w:val="00F363F0"/>
    <w:rsid w:val="00F36457"/>
    <w:rsid w:val="00F36544"/>
    <w:rsid w:val="00F3655D"/>
    <w:rsid w:val="00F36621"/>
    <w:rsid w:val="00F3662B"/>
    <w:rsid w:val="00F366FA"/>
    <w:rsid w:val="00F36901"/>
    <w:rsid w:val="00F369E0"/>
    <w:rsid w:val="00F36A8D"/>
    <w:rsid w:val="00F36C72"/>
    <w:rsid w:val="00F36CE8"/>
    <w:rsid w:val="00F36E6D"/>
    <w:rsid w:val="00F37039"/>
    <w:rsid w:val="00F3714A"/>
    <w:rsid w:val="00F37171"/>
    <w:rsid w:val="00F372EF"/>
    <w:rsid w:val="00F37391"/>
    <w:rsid w:val="00F373C9"/>
    <w:rsid w:val="00F37453"/>
    <w:rsid w:val="00F37492"/>
    <w:rsid w:val="00F374B3"/>
    <w:rsid w:val="00F374F4"/>
    <w:rsid w:val="00F37551"/>
    <w:rsid w:val="00F37593"/>
    <w:rsid w:val="00F376C0"/>
    <w:rsid w:val="00F377A5"/>
    <w:rsid w:val="00F37806"/>
    <w:rsid w:val="00F37827"/>
    <w:rsid w:val="00F37866"/>
    <w:rsid w:val="00F37919"/>
    <w:rsid w:val="00F37928"/>
    <w:rsid w:val="00F379AB"/>
    <w:rsid w:val="00F379C1"/>
    <w:rsid w:val="00F379C6"/>
    <w:rsid w:val="00F379E1"/>
    <w:rsid w:val="00F37A51"/>
    <w:rsid w:val="00F37A70"/>
    <w:rsid w:val="00F37B38"/>
    <w:rsid w:val="00F37BE8"/>
    <w:rsid w:val="00F37CCF"/>
    <w:rsid w:val="00F37D3F"/>
    <w:rsid w:val="00F37D89"/>
    <w:rsid w:val="00F37F6B"/>
    <w:rsid w:val="00F4003F"/>
    <w:rsid w:val="00F400E4"/>
    <w:rsid w:val="00F4011E"/>
    <w:rsid w:val="00F40160"/>
    <w:rsid w:val="00F4016A"/>
    <w:rsid w:val="00F4023A"/>
    <w:rsid w:val="00F40492"/>
    <w:rsid w:val="00F4052D"/>
    <w:rsid w:val="00F405C0"/>
    <w:rsid w:val="00F40611"/>
    <w:rsid w:val="00F406B0"/>
    <w:rsid w:val="00F409AF"/>
    <w:rsid w:val="00F40AC0"/>
    <w:rsid w:val="00F40AEB"/>
    <w:rsid w:val="00F40C1E"/>
    <w:rsid w:val="00F40D32"/>
    <w:rsid w:val="00F40D52"/>
    <w:rsid w:val="00F40D93"/>
    <w:rsid w:val="00F40E15"/>
    <w:rsid w:val="00F40E46"/>
    <w:rsid w:val="00F40E4B"/>
    <w:rsid w:val="00F40EAC"/>
    <w:rsid w:val="00F40ED1"/>
    <w:rsid w:val="00F40F30"/>
    <w:rsid w:val="00F41062"/>
    <w:rsid w:val="00F411A2"/>
    <w:rsid w:val="00F411E9"/>
    <w:rsid w:val="00F41310"/>
    <w:rsid w:val="00F41345"/>
    <w:rsid w:val="00F413D3"/>
    <w:rsid w:val="00F41553"/>
    <w:rsid w:val="00F415F0"/>
    <w:rsid w:val="00F41607"/>
    <w:rsid w:val="00F41615"/>
    <w:rsid w:val="00F416AF"/>
    <w:rsid w:val="00F41824"/>
    <w:rsid w:val="00F41968"/>
    <w:rsid w:val="00F419DF"/>
    <w:rsid w:val="00F419E2"/>
    <w:rsid w:val="00F419F4"/>
    <w:rsid w:val="00F41AB3"/>
    <w:rsid w:val="00F41BAE"/>
    <w:rsid w:val="00F41CB9"/>
    <w:rsid w:val="00F41DF4"/>
    <w:rsid w:val="00F41EA2"/>
    <w:rsid w:val="00F41ECB"/>
    <w:rsid w:val="00F41F28"/>
    <w:rsid w:val="00F41FBC"/>
    <w:rsid w:val="00F42035"/>
    <w:rsid w:val="00F4206A"/>
    <w:rsid w:val="00F4223E"/>
    <w:rsid w:val="00F42313"/>
    <w:rsid w:val="00F42434"/>
    <w:rsid w:val="00F42463"/>
    <w:rsid w:val="00F42478"/>
    <w:rsid w:val="00F424B7"/>
    <w:rsid w:val="00F424C8"/>
    <w:rsid w:val="00F425BA"/>
    <w:rsid w:val="00F425C9"/>
    <w:rsid w:val="00F42607"/>
    <w:rsid w:val="00F426CF"/>
    <w:rsid w:val="00F42713"/>
    <w:rsid w:val="00F42808"/>
    <w:rsid w:val="00F42830"/>
    <w:rsid w:val="00F42897"/>
    <w:rsid w:val="00F428EA"/>
    <w:rsid w:val="00F42A62"/>
    <w:rsid w:val="00F42ADD"/>
    <w:rsid w:val="00F42AED"/>
    <w:rsid w:val="00F42B91"/>
    <w:rsid w:val="00F42CB8"/>
    <w:rsid w:val="00F42D40"/>
    <w:rsid w:val="00F42E40"/>
    <w:rsid w:val="00F42E7E"/>
    <w:rsid w:val="00F42F8A"/>
    <w:rsid w:val="00F4314B"/>
    <w:rsid w:val="00F43236"/>
    <w:rsid w:val="00F432CF"/>
    <w:rsid w:val="00F43318"/>
    <w:rsid w:val="00F43344"/>
    <w:rsid w:val="00F433EC"/>
    <w:rsid w:val="00F43499"/>
    <w:rsid w:val="00F43587"/>
    <w:rsid w:val="00F435A3"/>
    <w:rsid w:val="00F435B5"/>
    <w:rsid w:val="00F435E8"/>
    <w:rsid w:val="00F43665"/>
    <w:rsid w:val="00F4384E"/>
    <w:rsid w:val="00F438ED"/>
    <w:rsid w:val="00F4390F"/>
    <w:rsid w:val="00F439BB"/>
    <w:rsid w:val="00F43A64"/>
    <w:rsid w:val="00F43ACE"/>
    <w:rsid w:val="00F43C33"/>
    <w:rsid w:val="00F43F26"/>
    <w:rsid w:val="00F43FCF"/>
    <w:rsid w:val="00F44001"/>
    <w:rsid w:val="00F44032"/>
    <w:rsid w:val="00F4405B"/>
    <w:rsid w:val="00F440DC"/>
    <w:rsid w:val="00F442A0"/>
    <w:rsid w:val="00F442C9"/>
    <w:rsid w:val="00F4442E"/>
    <w:rsid w:val="00F444DF"/>
    <w:rsid w:val="00F44563"/>
    <w:rsid w:val="00F4459C"/>
    <w:rsid w:val="00F4460B"/>
    <w:rsid w:val="00F446D0"/>
    <w:rsid w:val="00F44755"/>
    <w:rsid w:val="00F4488F"/>
    <w:rsid w:val="00F44AAC"/>
    <w:rsid w:val="00F44B1E"/>
    <w:rsid w:val="00F44C18"/>
    <w:rsid w:val="00F44D39"/>
    <w:rsid w:val="00F44EF4"/>
    <w:rsid w:val="00F44F32"/>
    <w:rsid w:val="00F44FA0"/>
    <w:rsid w:val="00F45239"/>
    <w:rsid w:val="00F454BF"/>
    <w:rsid w:val="00F4551E"/>
    <w:rsid w:val="00F455FC"/>
    <w:rsid w:val="00F45623"/>
    <w:rsid w:val="00F457F5"/>
    <w:rsid w:val="00F45856"/>
    <w:rsid w:val="00F45922"/>
    <w:rsid w:val="00F459AB"/>
    <w:rsid w:val="00F459E2"/>
    <w:rsid w:val="00F45A39"/>
    <w:rsid w:val="00F45D51"/>
    <w:rsid w:val="00F45D60"/>
    <w:rsid w:val="00F45EBF"/>
    <w:rsid w:val="00F45EF4"/>
    <w:rsid w:val="00F45F92"/>
    <w:rsid w:val="00F45FC1"/>
    <w:rsid w:val="00F4604E"/>
    <w:rsid w:val="00F46102"/>
    <w:rsid w:val="00F4626E"/>
    <w:rsid w:val="00F463F9"/>
    <w:rsid w:val="00F4659D"/>
    <w:rsid w:val="00F466C5"/>
    <w:rsid w:val="00F467C5"/>
    <w:rsid w:val="00F46832"/>
    <w:rsid w:val="00F468FF"/>
    <w:rsid w:val="00F469C0"/>
    <w:rsid w:val="00F469E5"/>
    <w:rsid w:val="00F469F2"/>
    <w:rsid w:val="00F46AE4"/>
    <w:rsid w:val="00F46B87"/>
    <w:rsid w:val="00F46BCC"/>
    <w:rsid w:val="00F46CD5"/>
    <w:rsid w:val="00F46D02"/>
    <w:rsid w:val="00F46E51"/>
    <w:rsid w:val="00F46E7B"/>
    <w:rsid w:val="00F46E99"/>
    <w:rsid w:val="00F47012"/>
    <w:rsid w:val="00F4704C"/>
    <w:rsid w:val="00F47058"/>
    <w:rsid w:val="00F470BE"/>
    <w:rsid w:val="00F470D6"/>
    <w:rsid w:val="00F47285"/>
    <w:rsid w:val="00F4748B"/>
    <w:rsid w:val="00F47568"/>
    <w:rsid w:val="00F475AB"/>
    <w:rsid w:val="00F475CD"/>
    <w:rsid w:val="00F475EA"/>
    <w:rsid w:val="00F476DA"/>
    <w:rsid w:val="00F47713"/>
    <w:rsid w:val="00F47786"/>
    <w:rsid w:val="00F477DC"/>
    <w:rsid w:val="00F477FD"/>
    <w:rsid w:val="00F47822"/>
    <w:rsid w:val="00F47867"/>
    <w:rsid w:val="00F47874"/>
    <w:rsid w:val="00F478AC"/>
    <w:rsid w:val="00F47900"/>
    <w:rsid w:val="00F479B6"/>
    <w:rsid w:val="00F479DB"/>
    <w:rsid w:val="00F47A39"/>
    <w:rsid w:val="00F47A4E"/>
    <w:rsid w:val="00F47ADC"/>
    <w:rsid w:val="00F47BB5"/>
    <w:rsid w:val="00F47CC3"/>
    <w:rsid w:val="00F47D2F"/>
    <w:rsid w:val="00F47DB0"/>
    <w:rsid w:val="00F47EAB"/>
    <w:rsid w:val="00F50026"/>
    <w:rsid w:val="00F50168"/>
    <w:rsid w:val="00F501FC"/>
    <w:rsid w:val="00F5020A"/>
    <w:rsid w:val="00F50228"/>
    <w:rsid w:val="00F50299"/>
    <w:rsid w:val="00F5043B"/>
    <w:rsid w:val="00F5046F"/>
    <w:rsid w:val="00F5056C"/>
    <w:rsid w:val="00F505D9"/>
    <w:rsid w:val="00F50614"/>
    <w:rsid w:val="00F50617"/>
    <w:rsid w:val="00F50704"/>
    <w:rsid w:val="00F5072B"/>
    <w:rsid w:val="00F5077B"/>
    <w:rsid w:val="00F507B2"/>
    <w:rsid w:val="00F508F6"/>
    <w:rsid w:val="00F50A9B"/>
    <w:rsid w:val="00F50B18"/>
    <w:rsid w:val="00F50B1C"/>
    <w:rsid w:val="00F50BBB"/>
    <w:rsid w:val="00F50BDC"/>
    <w:rsid w:val="00F50C52"/>
    <w:rsid w:val="00F50FB6"/>
    <w:rsid w:val="00F51161"/>
    <w:rsid w:val="00F51277"/>
    <w:rsid w:val="00F51328"/>
    <w:rsid w:val="00F51408"/>
    <w:rsid w:val="00F51428"/>
    <w:rsid w:val="00F5147F"/>
    <w:rsid w:val="00F5153F"/>
    <w:rsid w:val="00F515CA"/>
    <w:rsid w:val="00F516B3"/>
    <w:rsid w:val="00F51706"/>
    <w:rsid w:val="00F51770"/>
    <w:rsid w:val="00F5182B"/>
    <w:rsid w:val="00F518FA"/>
    <w:rsid w:val="00F519DD"/>
    <w:rsid w:val="00F51A41"/>
    <w:rsid w:val="00F51AA1"/>
    <w:rsid w:val="00F51BB4"/>
    <w:rsid w:val="00F51CCD"/>
    <w:rsid w:val="00F51D1D"/>
    <w:rsid w:val="00F51E0E"/>
    <w:rsid w:val="00F51E28"/>
    <w:rsid w:val="00F51F78"/>
    <w:rsid w:val="00F51FA6"/>
    <w:rsid w:val="00F51FAE"/>
    <w:rsid w:val="00F51FF0"/>
    <w:rsid w:val="00F52117"/>
    <w:rsid w:val="00F524D7"/>
    <w:rsid w:val="00F52658"/>
    <w:rsid w:val="00F52665"/>
    <w:rsid w:val="00F527EC"/>
    <w:rsid w:val="00F52822"/>
    <w:rsid w:val="00F528CF"/>
    <w:rsid w:val="00F529BB"/>
    <w:rsid w:val="00F52AF1"/>
    <w:rsid w:val="00F52B77"/>
    <w:rsid w:val="00F52BEA"/>
    <w:rsid w:val="00F52C95"/>
    <w:rsid w:val="00F52E60"/>
    <w:rsid w:val="00F52F0C"/>
    <w:rsid w:val="00F52F3B"/>
    <w:rsid w:val="00F52F45"/>
    <w:rsid w:val="00F5313F"/>
    <w:rsid w:val="00F5330C"/>
    <w:rsid w:val="00F53375"/>
    <w:rsid w:val="00F533D6"/>
    <w:rsid w:val="00F5347B"/>
    <w:rsid w:val="00F535A4"/>
    <w:rsid w:val="00F5363A"/>
    <w:rsid w:val="00F53707"/>
    <w:rsid w:val="00F5371B"/>
    <w:rsid w:val="00F5371E"/>
    <w:rsid w:val="00F5377A"/>
    <w:rsid w:val="00F537DE"/>
    <w:rsid w:val="00F53866"/>
    <w:rsid w:val="00F538B6"/>
    <w:rsid w:val="00F539DD"/>
    <w:rsid w:val="00F53DD8"/>
    <w:rsid w:val="00F53F09"/>
    <w:rsid w:val="00F53F50"/>
    <w:rsid w:val="00F53FE9"/>
    <w:rsid w:val="00F54108"/>
    <w:rsid w:val="00F54140"/>
    <w:rsid w:val="00F5416B"/>
    <w:rsid w:val="00F5422B"/>
    <w:rsid w:val="00F5425B"/>
    <w:rsid w:val="00F542A9"/>
    <w:rsid w:val="00F542B6"/>
    <w:rsid w:val="00F5453A"/>
    <w:rsid w:val="00F545A8"/>
    <w:rsid w:val="00F545FF"/>
    <w:rsid w:val="00F54714"/>
    <w:rsid w:val="00F54745"/>
    <w:rsid w:val="00F54880"/>
    <w:rsid w:val="00F5490F"/>
    <w:rsid w:val="00F5497D"/>
    <w:rsid w:val="00F549BD"/>
    <w:rsid w:val="00F549CA"/>
    <w:rsid w:val="00F54A47"/>
    <w:rsid w:val="00F54A4E"/>
    <w:rsid w:val="00F54A72"/>
    <w:rsid w:val="00F54AA9"/>
    <w:rsid w:val="00F54AED"/>
    <w:rsid w:val="00F54C4C"/>
    <w:rsid w:val="00F54DBB"/>
    <w:rsid w:val="00F54DC0"/>
    <w:rsid w:val="00F54E38"/>
    <w:rsid w:val="00F54EE6"/>
    <w:rsid w:val="00F54F15"/>
    <w:rsid w:val="00F55068"/>
    <w:rsid w:val="00F550C0"/>
    <w:rsid w:val="00F550F5"/>
    <w:rsid w:val="00F552E6"/>
    <w:rsid w:val="00F5532B"/>
    <w:rsid w:val="00F55342"/>
    <w:rsid w:val="00F553B0"/>
    <w:rsid w:val="00F55435"/>
    <w:rsid w:val="00F5545F"/>
    <w:rsid w:val="00F554B3"/>
    <w:rsid w:val="00F554B4"/>
    <w:rsid w:val="00F5550A"/>
    <w:rsid w:val="00F556A4"/>
    <w:rsid w:val="00F556DC"/>
    <w:rsid w:val="00F55713"/>
    <w:rsid w:val="00F557FD"/>
    <w:rsid w:val="00F558E2"/>
    <w:rsid w:val="00F55A25"/>
    <w:rsid w:val="00F55A43"/>
    <w:rsid w:val="00F55B76"/>
    <w:rsid w:val="00F55B88"/>
    <w:rsid w:val="00F55B9F"/>
    <w:rsid w:val="00F55CDA"/>
    <w:rsid w:val="00F55DC3"/>
    <w:rsid w:val="00F55E6B"/>
    <w:rsid w:val="00F55E8B"/>
    <w:rsid w:val="00F55EEB"/>
    <w:rsid w:val="00F56032"/>
    <w:rsid w:val="00F56152"/>
    <w:rsid w:val="00F5618C"/>
    <w:rsid w:val="00F56236"/>
    <w:rsid w:val="00F562F3"/>
    <w:rsid w:val="00F5631E"/>
    <w:rsid w:val="00F563A6"/>
    <w:rsid w:val="00F56569"/>
    <w:rsid w:val="00F567A0"/>
    <w:rsid w:val="00F567CE"/>
    <w:rsid w:val="00F5686C"/>
    <w:rsid w:val="00F568D4"/>
    <w:rsid w:val="00F569E2"/>
    <w:rsid w:val="00F56A7E"/>
    <w:rsid w:val="00F56AA4"/>
    <w:rsid w:val="00F56AD4"/>
    <w:rsid w:val="00F56BB4"/>
    <w:rsid w:val="00F56BF2"/>
    <w:rsid w:val="00F56C29"/>
    <w:rsid w:val="00F56C6C"/>
    <w:rsid w:val="00F56C82"/>
    <w:rsid w:val="00F56E38"/>
    <w:rsid w:val="00F56FB8"/>
    <w:rsid w:val="00F56FE1"/>
    <w:rsid w:val="00F572C0"/>
    <w:rsid w:val="00F574BE"/>
    <w:rsid w:val="00F574D5"/>
    <w:rsid w:val="00F57633"/>
    <w:rsid w:val="00F576FE"/>
    <w:rsid w:val="00F57717"/>
    <w:rsid w:val="00F57764"/>
    <w:rsid w:val="00F57992"/>
    <w:rsid w:val="00F579DC"/>
    <w:rsid w:val="00F57A7E"/>
    <w:rsid w:val="00F57C34"/>
    <w:rsid w:val="00F57D24"/>
    <w:rsid w:val="00F57E42"/>
    <w:rsid w:val="00F57ED0"/>
    <w:rsid w:val="00F57ED1"/>
    <w:rsid w:val="00F602BF"/>
    <w:rsid w:val="00F6043F"/>
    <w:rsid w:val="00F604E9"/>
    <w:rsid w:val="00F6056D"/>
    <w:rsid w:val="00F6066F"/>
    <w:rsid w:val="00F60792"/>
    <w:rsid w:val="00F6085A"/>
    <w:rsid w:val="00F608FA"/>
    <w:rsid w:val="00F609E3"/>
    <w:rsid w:val="00F60A37"/>
    <w:rsid w:val="00F60A53"/>
    <w:rsid w:val="00F60AAB"/>
    <w:rsid w:val="00F60AEC"/>
    <w:rsid w:val="00F60B9D"/>
    <w:rsid w:val="00F60BE9"/>
    <w:rsid w:val="00F60D03"/>
    <w:rsid w:val="00F60D75"/>
    <w:rsid w:val="00F60F1B"/>
    <w:rsid w:val="00F6101A"/>
    <w:rsid w:val="00F61094"/>
    <w:rsid w:val="00F610FE"/>
    <w:rsid w:val="00F61196"/>
    <w:rsid w:val="00F61278"/>
    <w:rsid w:val="00F612C1"/>
    <w:rsid w:val="00F612CB"/>
    <w:rsid w:val="00F612DF"/>
    <w:rsid w:val="00F61440"/>
    <w:rsid w:val="00F6154D"/>
    <w:rsid w:val="00F615E4"/>
    <w:rsid w:val="00F61726"/>
    <w:rsid w:val="00F6172D"/>
    <w:rsid w:val="00F61784"/>
    <w:rsid w:val="00F617D9"/>
    <w:rsid w:val="00F61C40"/>
    <w:rsid w:val="00F61CC3"/>
    <w:rsid w:val="00F61D70"/>
    <w:rsid w:val="00F61E95"/>
    <w:rsid w:val="00F61F0E"/>
    <w:rsid w:val="00F62023"/>
    <w:rsid w:val="00F6216C"/>
    <w:rsid w:val="00F621AE"/>
    <w:rsid w:val="00F621BA"/>
    <w:rsid w:val="00F62262"/>
    <w:rsid w:val="00F622B8"/>
    <w:rsid w:val="00F62376"/>
    <w:rsid w:val="00F6250B"/>
    <w:rsid w:val="00F62655"/>
    <w:rsid w:val="00F62676"/>
    <w:rsid w:val="00F62678"/>
    <w:rsid w:val="00F6293D"/>
    <w:rsid w:val="00F629DF"/>
    <w:rsid w:val="00F629F6"/>
    <w:rsid w:val="00F62AAF"/>
    <w:rsid w:val="00F62B54"/>
    <w:rsid w:val="00F62D0B"/>
    <w:rsid w:val="00F62D59"/>
    <w:rsid w:val="00F62D72"/>
    <w:rsid w:val="00F62EB7"/>
    <w:rsid w:val="00F62F0C"/>
    <w:rsid w:val="00F62F2B"/>
    <w:rsid w:val="00F62F40"/>
    <w:rsid w:val="00F62FF6"/>
    <w:rsid w:val="00F63050"/>
    <w:rsid w:val="00F63120"/>
    <w:rsid w:val="00F631E7"/>
    <w:rsid w:val="00F6321E"/>
    <w:rsid w:val="00F63331"/>
    <w:rsid w:val="00F633B2"/>
    <w:rsid w:val="00F63433"/>
    <w:rsid w:val="00F634AE"/>
    <w:rsid w:val="00F63523"/>
    <w:rsid w:val="00F635E1"/>
    <w:rsid w:val="00F63932"/>
    <w:rsid w:val="00F6397C"/>
    <w:rsid w:val="00F63B67"/>
    <w:rsid w:val="00F63C17"/>
    <w:rsid w:val="00F63C53"/>
    <w:rsid w:val="00F63C77"/>
    <w:rsid w:val="00F63C7C"/>
    <w:rsid w:val="00F63D81"/>
    <w:rsid w:val="00F63DE0"/>
    <w:rsid w:val="00F63EA5"/>
    <w:rsid w:val="00F63EBF"/>
    <w:rsid w:val="00F63F10"/>
    <w:rsid w:val="00F63F3E"/>
    <w:rsid w:val="00F63FA7"/>
    <w:rsid w:val="00F64092"/>
    <w:rsid w:val="00F64263"/>
    <w:rsid w:val="00F6427E"/>
    <w:rsid w:val="00F6429D"/>
    <w:rsid w:val="00F6431C"/>
    <w:rsid w:val="00F64327"/>
    <w:rsid w:val="00F643F3"/>
    <w:rsid w:val="00F64412"/>
    <w:rsid w:val="00F64502"/>
    <w:rsid w:val="00F648A0"/>
    <w:rsid w:val="00F64A8D"/>
    <w:rsid w:val="00F64B24"/>
    <w:rsid w:val="00F64B4B"/>
    <w:rsid w:val="00F64B86"/>
    <w:rsid w:val="00F64C56"/>
    <w:rsid w:val="00F64DE6"/>
    <w:rsid w:val="00F64EAC"/>
    <w:rsid w:val="00F65044"/>
    <w:rsid w:val="00F6505F"/>
    <w:rsid w:val="00F65097"/>
    <w:rsid w:val="00F65160"/>
    <w:rsid w:val="00F652BE"/>
    <w:rsid w:val="00F6541E"/>
    <w:rsid w:val="00F654B2"/>
    <w:rsid w:val="00F655A5"/>
    <w:rsid w:val="00F656EA"/>
    <w:rsid w:val="00F656ED"/>
    <w:rsid w:val="00F65708"/>
    <w:rsid w:val="00F65776"/>
    <w:rsid w:val="00F65792"/>
    <w:rsid w:val="00F658DC"/>
    <w:rsid w:val="00F659BD"/>
    <w:rsid w:val="00F65B23"/>
    <w:rsid w:val="00F65C2C"/>
    <w:rsid w:val="00F65CC2"/>
    <w:rsid w:val="00F65DCA"/>
    <w:rsid w:val="00F65F5D"/>
    <w:rsid w:val="00F65F8E"/>
    <w:rsid w:val="00F66074"/>
    <w:rsid w:val="00F6610A"/>
    <w:rsid w:val="00F661C4"/>
    <w:rsid w:val="00F662B8"/>
    <w:rsid w:val="00F66342"/>
    <w:rsid w:val="00F663C1"/>
    <w:rsid w:val="00F6648A"/>
    <w:rsid w:val="00F6648B"/>
    <w:rsid w:val="00F664BC"/>
    <w:rsid w:val="00F6650A"/>
    <w:rsid w:val="00F66511"/>
    <w:rsid w:val="00F66647"/>
    <w:rsid w:val="00F66670"/>
    <w:rsid w:val="00F6669C"/>
    <w:rsid w:val="00F666E9"/>
    <w:rsid w:val="00F66707"/>
    <w:rsid w:val="00F667DB"/>
    <w:rsid w:val="00F66803"/>
    <w:rsid w:val="00F66989"/>
    <w:rsid w:val="00F66A58"/>
    <w:rsid w:val="00F66BA4"/>
    <w:rsid w:val="00F66C4C"/>
    <w:rsid w:val="00F66E78"/>
    <w:rsid w:val="00F66EF5"/>
    <w:rsid w:val="00F66EF9"/>
    <w:rsid w:val="00F66F46"/>
    <w:rsid w:val="00F6708E"/>
    <w:rsid w:val="00F670B3"/>
    <w:rsid w:val="00F671D3"/>
    <w:rsid w:val="00F6720E"/>
    <w:rsid w:val="00F67395"/>
    <w:rsid w:val="00F674F3"/>
    <w:rsid w:val="00F675B1"/>
    <w:rsid w:val="00F6761E"/>
    <w:rsid w:val="00F676B4"/>
    <w:rsid w:val="00F67719"/>
    <w:rsid w:val="00F67829"/>
    <w:rsid w:val="00F6783A"/>
    <w:rsid w:val="00F678CE"/>
    <w:rsid w:val="00F67912"/>
    <w:rsid w:val="00F6797B"/>
    <w:rsid w:val="00F679B4"/>
    <w:rsid w:val="00F67AB7"/>
    <w:rsid w:val="00F67B89"/>
    <w:rsid w:val="00F67BA4"/>
    <w:rsid w:val="00F67C0B"/>
    <w:rsid w:val="00F67C33"/>
    <w:rsid w:val="00F67D05"/>
    <w:rsid w:val="00F67D11"/>
    <w:rsid w:val="00F67D93"/>
    <w:rsid w:val="00F67E99"/>
    <w:rsid w:val="00F67EDA"/>
    <w:rsid w:val="00F700F5"/>
    <w:rsid w:val="00F70111"/>
    <w:rsid w:val="00F7017B"/>
    <w:rsid w:val="00F7022A"/>
    <w:rsid w:val="00F7030E"/>
    <w:rsid w:val="00F70312"/>
    <w:rsid w:val="00F70321"/>
    <w:rsid w:val="00F70415"/>
    <w:rsid w:val="00F70418"/>
    <w:rsid w:val="00F70425"/>
    <w:rsid w:val="00F704AB"/>
    <w:rsid w:val="00F704EF"/>
    <w:rsid w:val="00F7058B"/>
    <w:rsid w:val="00F705DA"/>
    <w:rsid w:val="00F705FA"/>
    <w:rsid w:val="00F7062D"/>
    <w:rsid w:val="00F709A8"/>
    <w:rsid w:val="00F70A40"/>
    <w:rsid w:val="00F70AEE"/>
    <w:rsid w:val="00F70BBE"/>
    <w:rsid w:val="00F70C4F"/>
    <w:rsid w:val="00F70CFB"/>
    <w:rsid w:val="00F70D78"/>
    <w:rsid w:val="00F70E6A"/>
    <w:rsid w:val="00F70EC2"/>
    <w:rsid w:val="00F70F6F"/>
    <w:rsid w:val="00F70FB9"/>
    <w:rsid w:val="00F7101E"/>
    <w:rsid w:val="00F71027"/>
    <w:rsid w:val="00F71055"/>
    <w:rsid w:val="00F710B6"/>
    <w:rsid w:val="00F71141"/>
    <w:rsid w:val="00F71159"/>
    <w:rsid w:val="00F71269"/>
    <w:rsid w:val="00F7128C"/>
    <w:rsid w:val="00F71494"/>
    <w:rsid w:val="00F714CC"/>
    <w:rsid w:val="00F71622"/>
    <w:rsid w:val="00F71623"/>
    <w:rsid w:val="00F7166F"/>
    <w:rsid w:val="00F716B1"/>
    <w:rsid w:val="00F71729"/>
    <w:rsid w:val="00F71746"/>
    <w:rsid w:val="00F71871"/>
    <w:rsid w:val="00F7192E"/>
    <w:rsid w:val="00F71964"/>
    <w:rsid w:val="00F719A9"/>
    <w:rsid w:val="00F719EA"/>
    <w:rsid w:val="00F71B2B"/>
    <w:rsid w:val="00F71B5B"/>
    <w:rsid w:val="00F71B5E"/>
    <w:rsid w:val="00F71EA2"/>
    <w:rsid w:val="00F7208E"/>
    <w:rsid w:val="00F7209D"/>
    <w:rsid w:val="00F720BD"/>
    <w:rsid w:val="00F7212E"/>
    <w:rsid w:val="00F72136"/>
    <w:rsid w:val="00F7219D"/>
    <w:rsid w:val="00F7221A"/>
    <w:rsid w:val="00F72366"/>
    <w:rsid w:val="00F723BC"/>
    <w:rsid w:val="00F72452"/>
    <w:rsid w:val="00F7251F"/>
    <w:rsid w:val="00F72534"/>
    <w:rsid w:val="00F7263F"/>
    <w:rsid w:val="00F726F1"/>
    <w:rsid w:val="00F72929"/>
    <w:rsid w:val="00F7294E"/>
    <w:rsid w:val="00F72A5F"/>
    <w:rsid w:val="00F72AB4"/>
    <w:rsid w:val="00F72CF0"/>
    <w:rsid w:val="00F72DF0"/>
    <w:rsid w:val="00F72DF3"/>
    <w:rsid w:val="00F72E66"/>
    <w:rsid w:val="00F72E90"/>
    <w:rsid w:val="00F72EFC"/>
    <w:rsid w:val="00F73023"/>
    <w:rsid w:val="00F7304A"/>
    <w:rsid w:val="00F73081"/>
    <w:rsid w:val="00F730CF"/>
    <w:rsid w:val="00F73119"/>
    <w:rsid w:val="00F73380"/>
    <w:rsid w:val="00F73518"/>
    <w:rsid w:val="00F73569"/>
    <w:rsid w:val="00F7360B"/>
    <w:rsid w:val="00F73721"/>
    <w:rsid w:val="00F73760"/>
    <w:rsid w:val="00F737ED"/>
    <w:rsid w:val="00F73862"/>
    <w:rsid w:val="00F7395D"/>
    <w:rsid w:val="00F739C2"/>
    <w:rsid w:val="00F739EE"/>
    <w:rsid w:val="00F73AAE"/>
    <w:rsid w:val="00F73AC5"/>
    <w:rsid w:val="00F73BAE"/>
    <w:rsid w:val="00F73C2C"/>
    <w:rsid w:val="00F73D98"/>
    <w:rsid w:val="00F73F67"/>
    <w:rsid w:val="00F74314"/>
    <w:rsid w:val="00F74350"/>
    <w:rsid w:val="00F743ED"/>
    <w:rsid w:val="00F7444F"/>
    <w:rsid w:val="00F74466"/>
    <w:rsid w:val="00F746CE"/>
    <w:rsid w:val="00F74A7C"/>
    <w:rsid w:val="00F74B7B"/>
    <w:rsid w:val="00F74BB2"/>
    <w:rsid w:val="00F74D05"/>
    <w:rsid w:val="00F74E48"/>
    <w:rsid w:val="00F74F3F"/>
    <w:rsid w:val="00F75047"/>
    <w:rsid w:val="00F75057"/>
    <w:rsid w:val="00F75145"/>
    <w:rsid w:val="00F75195"/>
    <w:rsid w:val="00F751D0"/>
    <w:rsid w:val="00F75245"/>
    <w:rsid w:val="00F752C0"/>
    <w:rsid w:val="00F753C5"/>
    <w:rsid w:val="00F754CE"/>
    <w:rsid w:val="00F75618"/>
    <w:rsid w:val="00F756F3"/>
    <w:rsid w:val="00F75796"/>
    <w:rsid w:val="00F75872"/>
    <w:rsid w:val="00F758F4"/>
    <w:rsid w:val="00F759B5"/>
    <w:rsid w:val="00F75A5C"/>
    <w:rsid w:val="00F75AF5"/>
    <w:rsid w:val="00F75C9A"/>
    <w:rsid w:val="00F75CA3"/>
    <w:rsid w:val="00F75CC9"/>
    <w:rsid w:val="00F75D69"/>
    <w:rsid w:val="00F75DAD"/>
    <w:rsid w:val="00F75E2E"/>
    <w:rsid w:val="00F75ED7"/>
    <w:rsid w:val="00F75FBE"/>
    <w:rsid w:val="00F76073"/>
    <w:rsid w:val="00F760F6"/>
    <w:rsid w:val="00F76109"/>
    <w:rsid w:val="00F76139"/>
    <w:rsid w:val="00F76151"/>
    <w:rsid w:val="00F76196"/>
    <w:rsid w:val="00F7625B"/>
    <w:rsid w:val="00F762E2"/>
    <w:rsid w:val="00F76392"/>
    <w:rsid w:val="00F764FD"/>
    <w:rsid w:val="00F76577"/>
    <w:rsid w:val="00F76658"/>
    <w:rsid w:val="00F76753"/>
    <w:rsid w:val="00F76813"/>
    <w:rsid w:val="00F76904"/>
    <w:rsid w:val="00F769FE"/>
    <w:rsid w:val="00F76A34"/>
    <w:rsid w:val="00F76A78"/>
    <w:rsid w:val="00F76AB2"/>
    <w:rsid w:val="00F76AEA"/>
    <w:rsid w:val="00F76B3C"/>
    <w:rsid w:val="00F76C13"/>
    <w:rsid w:val="00F76C5A"/>
    <w:rsid w:val="00F76C76"/>
    <w:rsid w:val="00F76EFB"/>
    <w:rsid w:val="00F76F17"/>
    <w:rsid w:val="00F76F2C"/>
    <w:rsid w:val="00F76F91"/>
    <w:rsid w:val="00F77127"/>
    <w:rsid w:val="00F771E8"/>
    <w:rsid w:val="00F77294"/>
    <w:rsid w:val="00F7729B"/>
    <w:rsid w:val="00F772A5"/>
    <w:rsid w:val="00F7733C"/>
    <w:rsid w:val="00F77418"/>
    <w:rsid w:val="00F77553"/>
    <w:rsid w:val="00F77590"/>
    <w:rsid w:val="00F77665"/>
    <w:rsid w:val="00F777E6"/>
    <w:rsid w:val="00F777ED"/>
    <w:rsid w:val="00F779E7"/>
    <w:rsid w:val="00F77AF1"/>
    <w:rsid w:val="00F77BD3"/>
    <w:rsid w:val="00F77BEA"/>
    <w:rsid w:val="00F77DC7"/>
    <w:rsid w:val="00F77E21"/>
    <w:rsid w:val="00F77E50"/>
    <w:rsid w:val="00F77E6D"/>
    <w:rsid w:val="00F77EBF"/>
    <w:rsid w:val="00F800BF"/>
    <w:rsid w:val="00F8040D"/>
    <w:rsid w:val="00F8059F"/>
    <w:rsid w:val="00F805ED"/>
    <w:rsid w:val="00F806D7"/>
    <w:rsid w:val="00F806EA"/>
    <w:rsid w:val="00F80981"/>
    <w:rsid w:val="00F809AB"/>
    <w:rsid w:val="00F809FA"/>
    <w:rsid w:val="00F80A64"/>
    <w:rsid w:val="00F80D5D"/>
    <w:rsid w:val="00F80DA2"/>
    <w:rsid w:val="00F80E96"/>
    <w:rsid w:val="00F80FDC"/>
    <w:rsid w:val="00F8123F"/>
    <w:rsid w:val="00F8124A"/>
    <w:rsid w:val="00F812F9"/>
    <w:rsid w:val="00F8144B"/>
    <w:rsid w:val="00F81592"/>
    <w:rsid w:val="00F815DA"/>
    <w:rsid w:val="00F815EF"/>
    <w:rsid w:val="00F8166A"/>
    <w:rsid w:val="00F8167D"/>
    <w:rsid w:val="00F81706"/>
    <w:rsid w:val="00F81714"/>
    <w:rsid w:val="00F81849"/>
    <w:rsid w:val="00F818D0"/>
    <w:rsid w:val="00F81AE5"/>
    <w:rsid w:val="00F81B1B"/>
    <w:rsid w:val="00F81D9F"/>
    <w:rsid w:val="00F81ECA"/>
    <w:rsid w:val="00F81F68"/>
    <w:rsid w:val="00F8201F"/>
    <w:rsid w:val="00F82080"/>
    <w:rsid w:val="00F822C3"/>
    <w:rsid w:val="00F8256D"/>
    <w:rsid w:val="00F825AF"/>
    <w:rsid w:val="00F825B5"/>
    <w:rsid w:val="00F825C0"/>
    <w:rsid w:val="00F82664"/>
    <w:rsid w:val="00F82681"/>
    <w:rsid w:val="00F8274F"/>
    <w:rsid w:val="00F827A0"/>
    <w:rsid w:val="00F827C8"/>
    <w:rsid w:val="00F8280C"/>
    <w:rsid w:val="00F82810"/>
    <w:rsid w:val="00F8289C"/>
    <w:rsid w:val="00F828CF"/>
    <w:rsid w:val="00F82923"/>
    <w:rsid w:val="00F8292C"/>
    <w:rsid w:val="00F82A0A"/>
    <w:rsid w:val="00F82ACA"/>
    <w:rsid w:val="00F82B09"/>
    <w:rsid w:val="00F82B9F"/>
    <w:rsid w:val="00F82BB2"/>
    <w:rsid w:val="00F82C2E"/>
    <w:rsid w:val="00F82D54"/>
    <w:rsid w:val="00F82D91"/>
    <w:rsid w:val="00F82D9A"/>
    <w:rsid w:val="00F82E21"/>
    <w:rsid w:val="00F82E8D"/>
    <w:rsid w:val="00F82EB9"/>
    <w:rsid w:val="00F82F2D"/>
    <w:rsid w:val="00F8308E"/>
    <w:rsid w:val="00F830C4"/>
    <w:rsid w:val="00F83176"/>
    <w:rsid w:val="00F831DF"/>
    <w:rsid w:val="00F83234"/>
    <w:rsid w:val="00F8346E"/>
    <w:rsid w:val="00F836D0"/>
    <w:rsid w:val="00F836D2"/>
    <w:rsid w:val="00F8372B"/>
    <w:rsid w:val="00F8372E"/>
    <w:rsid w:val="00F8393B"/>
    <w:rsid w:val="00F8399C"/>
    <w:rsid w:val="00F83BF0"/>
    <w:rsid w:val="00F83C68"/>
    <w:rsid w:val="00F83C74"/>
    <w:rsid w:val="00F83DF5"/>
    <w:rsid w:val="00F83E29"/>
    <w:rsid w:val="00F83F6F"/>
    <w:rsid w:val="00F841D6"/>
    <w:rsid w:val="00F8422C"/>
    <w:rsid w:val="00F8427E"/>
    <w:rsid w:val="00F84395"/>
    <w:rsid w:val="00F843A9"/>
    <w:rsid w:val="00F84574"/>
    <w:rsid w:val="00F8468B"/>
    <w:rsid w:val="00F84696"/>
    <w:rsid w:val="00F84762"/>
    <w:rsid w:val="00F84851"/>
    <w:rsid w:val="00F84879"/>
    <w:rsid w:val="00F84920"/>
    <w:rsid w:val="00F84938"/>
    <w:rsid w:val="00F84AB3"/>
    <w:rsid w:val="00F84B02"/>
    <w:rsid w:val="00F84BE5"/>
    <w:rsid w:val="00F84CAC"/>
    <w:rsid w:val="00F84DAF"/>
    <w:rsid w:val="00F84FC3"/>
    <w:rsid w:val="00F84FEC"/>
    <w:rsid w:val="00F85269"/>
    <w:rsid w:val="00F853C2"/>
    <w:rsid w:val="00F853EF"/>
    <w:rsid w:val="00F85421"/>
    <w:rsid w:val="00F8549F"/>
    <w:rsid w:val="00F855F6"/>
    <w:rsid w:val="00F85700"/>
    <w:rsid w:val="00F857D7"/>
    <w:rsid w:val="00F85816"/>
    <w:rsid w:val="00F8586A"/>
    <w:rsid w:val="00F85887"/>
    <w:rsid w:val="00F858F3"/>
    <w:rsid w:val="00F859B5"/>
    <w:rsid w:val="00F85A1A"/>
    <w:rsid w:val="00F85A7F"/>
    <w:rsid w:val="00F85AE4"/>
    <w:rsid w:val="00F85B26"/>
    <w:rsid w:val="00F85C3E"/>
    <w:rsid w:val="00F85CCC"/>
    <w:rsid w:val="00F85E57"/>
    <w:rsid w:val="00F85F5A"/>
    <w:rsid w:val="00F86024"/>
    <w:rsid w:val="00F8606E"/>
    <w:rsid w:val="00F86143"/>
    <w:rsid w:val="00F86201"/>
    <w:rsid w:val="00F86214"/>
    <w:rsid w:val="00F862E3"/>
    <w:rsid w:val="00F86383"/>
    <w:rsid w:val="00F8638E"/>
    <w:rsid w:val="00F86423"/>
    <w:rsid w:val="00F86584"/>
    <w:rsid w:val="00F867EF"/>
    <w:rsid w:val="00F86811"/>
    <w:rsid w:val="00F86889"/>
    <w:rsid w:val="00F868F7"/>
    <w:rsid w:val="00F86B95"/>
    <w:rsid w:val="00F86CDA"/>
    <w:rsid w:val="00F86DA4"/>
    <w:rsid w:val="00F86DE4"/>
    <w:rsid w:val="00F86EA3"/>
    <w:rsid w:val="00F86F01"/>
    <w:rsid w:val="00F86F92"/>
    <w:rsid w:val="00F86FE3"/>
    <w:rsid w:val="00F870C2"/>
    <w:rsid w:val="00F871B4"/>
    <w:rsid w:val="00F872F7"/>
    <w:rsid w:val="00F87368"/>
    <w:rsid w:val="00F874BA"/>
    <w:rsid w:val="00F874DF"/>
    <w:rsid w:val="00F875FD"/>
    <w:rsid w:val="00F8762B"/>
    <w:rsid w:val="00F876BE"/>
    <w:rsid w:val="00F876E6"/>
    <w:rsid w:val="00F8787A"/>
    <w:rsid w:val="00F87895"/>
    <w:rsid w:val="00F8795F"/>
    <w:rsid w:val="00F87B1B"/>
    <w:rsid w:val="00F87BB7"/>
    <w:rsid w:val="00F87C05"/>
    <w:rsid w:val="00F87D8D"/>
    <w:rsid w:val="00F87FFC"/>
    <w:rsid w:val="00F90107"/>
    <w:rsid w:val="00F9011A"/>
    <w:rsid w:val="00F9014C"/>
    <w:rsid w:val="00F902B2"/>
    <w:rsid w:val="00F9041A"/>
    <w:rsid w:val="00F9043A"/>
    <w:rsid w:val="00F90469"/>
    <w:rsid w:val="00F9053F"/>
    <w:rsid w:val="00F905C1"/>
    <w:rsid w:val="00F906FD"/>
    <w:rsid w:val="00F9083C"/>
    <w:rsid w:val="00F90908"/>
    <w:rsid w:val="00F9099F"/>
    <w:rsid w:val="00F90AA5"/>
    <w:rsid w:val="00F90B59"/>
    <w:rsid w:val="00F90B61"/>
    <w:rsid w:val="00F90B6E"/>
    <w:rsid w:val="00F90B88"/>
    <w:rsid w:val="00F90CD0"/>
    <w:rsid w:val="00F90CE3"/>
    <w:rsid w:val="00F90D5C"/>
    <w:rsid w:val="00F90F45"/>
    <w:rsid w:val="00F90F85"/>
    <w:rsid w:val="00F90FD0"/>
    <w:rsid w:val="00F91074"/>
    <w:rsid w:val="00F91176"/>
    <w:rsid w:val="00F9121C"/>
    <w:rsid w:val="00F9132E"/>
    <w:rsid w:val="00F91342"/>
    <w:rsid w:val="00F913E6"/>
    <w:rsid w:val="00F91476"/>
    <w:rsid w:val="00F9149B"/>
    <w:rsid w:val="00F915D7"/>
    <w:rsid w:val="00F9168F"/>
    <w:rsid w:val="00F9169C"/>
    <w:rsid w:val="00F91970"/>
    <w:rsid w:val="00F91A5E"/>
    <w:rsid w:val="00F91BE8"/>
    <w:rsid w:val="00F91C78"/>
    <w:rsid w:val="00F91D42"/>
    <w:rsid w:val="00F91DE3"/>
    <w:rsid w:val="00F91EE3"/>
    <w:rsid w:val="00F92002"/>
    <w:rsid w:val="00F9206B"/>
    <w:rsid w:val="00F920D3"/>
    <w:rsid w:val="00F9234B"/>
    <w:rsid w:val="00F92505"/>
    <w:rsid w:val="00F9258B"/>
    <w:rsid w:val="00F925F4"/>
    <w:rsid w:val="00F9276E"/>
    <w:rsid w:val="00F9279E"/>
    <w:rsid w:val="00F927E8"/>
    <w:rsid w:val="00F927E9"/>
    <w:rsid w:val="00F927EB"/>
    <w:rsid w:val="00F92893"/>
    <w:rsid w:val="00F929EC"/>
    <w:rsid w:val="00F92B6E"/>
    <w:rsid w:val="00F92C3A"/>
    <w:rsid w:val="00F92CFA"/>
    <w:rsid w:val="00F92DA6"/>
    <w:rsid w:val="00F92E45"/>
    <w:rsid w:val="00F92E9B"/>
    <w:rsid w:val="00F92F45"/>
    <w:rsid w:val="00F92F5F"/>
    <w:rsid w:val="00F92FDC"/>
    <w:rsid w:val="00F930AC"/>
    <w:rsid w:val="00F930CD"/>
    <w:rsid w:val="00F9328B"/>
    <w:rsid w:val="00F932EE"/>
    <w:rsid w:val="00F933B1"/>
    <w:rsid w:val="00F93421"/>
    <w:rsid w:val="00F934A7"/>
    <w:rsid w:val="00F93579"/>
    <w:rsid w:val="00F935D9"/>
    <w:rsid w:val="00F9360B"/>
    <w:rsid w:val="00F93625"/>
    <w:rsid w:val="00F93679"/>
    <w:rsid w:val="00F936C0"/>
    <w:rsid w:val="00F936E8"/>
    <w:rsid w:val="00F9374D"/>
    <w:rsid w:val="00F937CF"/>
    <w:rsid w:val="00F9384D"/>
    <w:rsid w:val="00F93851"/>
    <w:rsid w:val="00F93955"/>
    <w:rsid w:val="00F939BA"/>
    <w:rsid w:val="00F939F7"/>
    <w:rsid w:val="00F93A62"/>
    <w:rsid w:val="00F93A99"/>
    <w:rsid w:val="00F93CCE"/>
    <w:rsid w:val="00F93CE0"/>
    <w:rsid w:val="00F93DCD"/>
    <w:rsid w:val="00F9407D"/>
    <w:rsid w:val="00F9419F"/>
    <w:rsid w:val="00F9434A"/>
    <w:rsid w:val="00F94434"/>
    <w:rsid w:val="00F94457"/>
    <w:rsid w:val="00F94491"/>
    <w:rsid w:val="00F9454A"/>
    <w:rsid w:val="00F945D4"/>
    <w:rsid w:val="00F9460A"/>
    <w:rsid w:val="00F94663"/>
    <w:rsid w:val="00F94825"/>
    <w:rsid w:val="00F9486E"/>
    <w:rsid w:val="00F948BF"/>
    <w:rsid w:val="00F948F6"/>
    <w:rsid w:val="00F94B74"/>
    <w:rsid w:val="00F94E2E"/>
    <w:rsid w:val="00F9516B"/>
    <w:rsid w:val="00F95187"/>
    <w:rsid w:val="00F95236"/>
    <w:rsid w:val="00F95264"/>
    <w:rsid w:val="00F952E5"/>
    <w:rsid w:val="00F95398"/>
    <w:rsid w:val="00F953B6"/>
    <w:rsid w:val="00F95463"/>
    <w:rsid w:val="00F954DD"/>
    <w:rsid w:val="00F95513"/>
    <w:rsid w:val="00F95554"/>
    <w:rsid w:val="00F955A4"/>
    <w:rsid w:val="00F95752"/>
    <w:rsid w:val="00F95769"/>
    <w:rsid w:val="00F95850"/>
    <w:rsid w:val="00F9589D"/>
    <w:rsid w:val="00F958E3"/>
    <w:rsid w:val="00F9590E"/>
    <w:rsid w:val="00F95950"/>
    <w:rsid w:val="00F95B40"/>
    <w:rsid w:val="00F95B4E"/>
    <w:rsid w:val="00F95DF2"/>
    <w:rsid w:val="00F95E20"/>
    <w:rsid w:val="00F95E5E"/>
    <w:rsid w:val="00F960CA"/>
    <w:rsid w:val="00F9616D"/>
    <w:rsid w:val="00F961AF"/>
    <w:rsid w:val="00F96207"/>
    <w:rsid w:val="00F96223"/>
    <w:rsid w:val="00F9627B"/>
    <w:rsid w:val="00F962F6"/>
    <w:rsid w:val="00F96305"/>
    <w:rsid w:val="00F9635B"/>
    <w:rsid w:val="00F96431"/>
    <w:rsid w:val="00F965B1"/>
    <w:rsid w:val="00F96663"/>
    <w:rsid w:val="00F96726"/>
    <w:rsid w:val="00F967B2"/>
    <w:rsid w:val="00F96887"/>
    <w:rsid w:val="00F968D9"/>
    <w:rsid w:val="00F9692F"/>
    <w:rsid w:val="00F96948"/>
    <w:rsid w:val="00F96A74"/>
    <w:rsid w:val="00F96A94"/>
    <w:rsid w:val="00F96BE3"/>
    <w:rsid w:val="00F96C2D"/>
    <w:rsid w:val="00F96C81"/>
    <w:rsid w:val="00F96CCE"/>
    <w:rsid w:val="00F96D04"/>
    <w:rsid w:val="00F96D0C"/>
    <w:rsid w:val="00F96DCA"/>
    <w:rsid w:val="00F96E56"/>
    <w:rsid w:val="00F96ED1"/>
    <w:rsid w:val="00F96EFA"/>
    <w:rsid w:val="00F96FB7"/>
    <w:rsid w:val="00F970F6"/>
    <w:rsid w:val="00F9710C"/>
    <w:rsid w:val="00F973DF"/>
    <w:rsid w:val="00F9743A"/>
    <w:rsid w:val="00F9744D"/>
    <w:rsid w:val="00F97457"/>
    <w:rsid w:val="00F974AD"/>
    <w:rsid w:val="00F97506"/>
    <w:rsid w:val="00F9752B"/>
    <w:rsid w:val="00F9756B"/>
    <w:rsid w:val="00F97582"/>
    <w:rsid w:val="00F97889"/>
    <w:rsid w:val="00F9788C"/>
    <w:rsid w:val="00F978B9"/>
    <w:rsid w:val="00F9792E"/>
    <w:rsid w:val="00F9796D"/>
    <w:rsid w:val="00F97B7F"/>
    <w:rsid w:val="00F97BD9"/>
    <w:rsid w:val="00F97D82"/>
    <w:rsid w:val="00F97DAE"/>
    <w:rsid w:val="00F97EB6"/>
    <w:rsid w:val="00FA002E"/>
    <w:rsid w:val="00FA008C"/>
    <w:rsid w:val="00FA0254"/>
    <w:rsid w:val="00FA028B"/>
    <w:rsid w:val="00FA02EB"/>
    <w:rsid w:val="00FA03B9"/>
    <w:rsid w:val="00FA0411"/>
    <w:rsid w:val="00FA042E"/>
    <w:rsid w:val="00FA04CF"/>
    <w:rsid w:val="00FA094A"/>
    <w:rsid w:val="00FA09C6"/>
    <w:rsid w:val="00FA0B60"/>
    <w:rsid w:val="00FA0B6B"/>
    <w:rsid w:val="00FA0B7F"/>
    <w:rsid w:val="00FA0BD4"/>
    <w:rsid w:val="00FA0C6E"/>
    <w:rsid w:val="00FA0C7C"/>
    <w:rsid w:val="00FA0D08"/>
    <w:rsid w:val="00FA0D16"/>
    <w:rsid w:val="00FA0D74"/>
    <w:rsid w:val="00FA0E44"/>
    <w:rsid w:val="00FA0EA3"/>
    <w:rsid w:val="00FA0EB7"/>
    <w:rsid w:val="00FA0F19"/>
    <w:rsid w:val="00FA0FDD"/>
    <w:rsid w:val="00FA1182"/>
    <w:rsid w:val="00FA134C"/>
    <w:rsid w:val="00FA1403"/>
    <w:rsid w:val="00FA1529"/>
    <w:rsid w:val="00FA1586"/>
    <w:rsid w:val="00FA15D6"/>
    <w:rsid w:val="00FA15F1"/>
    <w:rsid w:val="00FA15F2"/>
    <w:rsid w:val="00FA1662"/>
    <w:rsid w:val="00FA1850"/>
    <w:rsid w:val="00FA1862"/>
    <w:rsid w:val="00FA191B"/>
    <w:rsid w:val="00FA19C8"/>
    <w:rsid w:val="00FA1A1B"/>
    <w:rsid w:val="00FA1C7C"/>
    <w:rsid w:val="00FA1EF3"/>
    <w:rsid w:val="00FA208C"/>
    <w:rsid w:val="00FA212F"/>
    <w:rsid w:val="00FA2218"/>
    <w:rsid w:val="00FA2225"/>
    <w:rsid w:val="00FA2244"/>
    <w:rsid w:val="00FA22C8"/>
    <w:rsid w:val="00FA22DE"/>
    <w:rsid w:val="00FA2305"/>
    <w:rsid w:val="00FA24C5"/>
    <w:rsid w:val="00FA2537"/>
    <w:rsid w:val="00FA264E"/>
    <w:rsid w:val="00FA26C2"/>
    <w:rsid w:val="00FA277D"/>
    <w:rsid w:val="00FA2790"/>
    <w:rsid w:val="00FA287E"/>
    <w:rsid w:val="00FA2A27"/>
    <w:rsid w:val="00FA2A9B"/>
    <w:rsid w:val="00FA2CDC"/>
    <w:rsid w:val="00FA2D5C"/>
    <w:rsid w:val="00FA2E4A"/>
    <w:rsid w:val="00FA2F3F"/>
    <w:rsid w:val="00FA2F9C"/>
    <w:rsid w:val="00FA3018"/>
    <w:rsid w:val="00FA309F"/>
    <w:rsid w:val="00FA31EC"/>
    <w:rsid w:val="00FA3408"/>
    <w:rsid w:val="00FA34E2"/>
    <w:rsid w:val="00FA3594"/>
    <w:rsid w:val="00FA35B2"/>
    <w:rsid w:val="00FA35DF"/>
    <w:rsid w:val="00FA366C"/>
    <w:rsid w:val="00FA37AF"/>
    <w:rsid w:val="00FA3B21"/>
    <w:rsid w:val="00FA3B26"/>
    <w:rsid w:val="00FA3BA5"/>
    <w:rsid w:val="00FA3CC0"/>
    <w:rsid w:val="00FA3D07"/>
    <w:rsid w:val="00FA3D94"/>
    <w:rsid w:val="00FA3DAC"/>
    <w:rsid w:val="00FA3FE0"/>
    <w:rsid w:val="00FA4037"/>
    <w:rsid w:val="00FA4097"/>
    <w:rsid w:val="00FA40A3"/>
    <w:rsid w:val="00FA4145"/>
    <w:rsid w:val="00FA4242"/>
    <w:rsid w:val="00FA42E5"/>
    <w:rsid w:val="00FA432B"/>
    <w:rsid w:val="00FA4461"/>
    <w:rsid w:val="00FA44E3"/>
    <w:rsid w:val="00FA4569"/>
    <w:rsid w:val="00FA45BF"/>
    <w:rsid w:val="00FA465C"/>
    <w:rsid w:val="00FA47DE"/>
    <w:rsid w:val="00FA48C9"/>
    <w:rsid w:val="00FA4932"/>
    <w:rsid w:val="00FA4C03"/>
    <w:rsid w:val="00FA4C64"/>
    <w:rsid w:val="00FA4CF1"/>
    <w:rsid w:val="00FA4D07"/>
    <w:rsid w:val="00FA4D57"/>
    <w:rsid w:val="00FA4E05"/>
    <w:rsid w:val="00FA4E8E"/>
    <w:rsid w:val="00FA4ED9"/>
    <w:rsid w:val="00FA4EEC"/>
    <w:rsid w:val="00FA4F6E"/>
    <w:rsid w:val="00FA5012"/>
    <w:rsid w:val="00FA5019"/>
    <w:rsid w:val="00FA5036"/>
    <w:rsid w:val="00FA5047"/>
    <w:rsid w:val="00FA5094"/>
    <w:rsid w:val="00FA516D"/>
    <w:rsid w:val="00FA528C"/>
    <w:rsid w:val="00FA52C7"/>
    <w:rsid w:val="00FA530B"/>
    <w:rsid w:val="00FA53B2"/>
    <w:rsid w:val="00FA53F6"/>
    <w:rsid w:val="00FA5406"/>
    <w:rsid w:val="00FA5423"/>
    <w:rsid w:val="00FA547E"/>
    <w:rsid w:val="00FA5520"/>
    <w:rsid w:val="00FA5583"/>
    <w:rsid w:val="00FA56BB"/>
    <w:rsid w:val="00FA58A2"/>
    <w:rsid w:val="00FA5A86"/>
    <w:rsid w:val="00FA5EB4"/>
    <w:rsid w:val="00FA602D"/>
    <w:rsid w:val="00FA61C0"/>
    <w:rsid w:val="00FA6244"/>
    <w:rsid w:val="00FA6359"/>
    <w:rsid w:val="00FA639C"/>
    <w:rsid w:val="00FA63AF"/>
    <w:rsid w:val="00FA6422"/>
    <w:rsid w:val="00FA64C0"/>
    <w:rsid w:val="00FA6585"/>
    <w:rsid w:val="00FA65AE"/>
    <w:rsid w:val="00FA668A"/>
    <w:rsid w:val="00FA66D9"/>
    <w:rsid w:val="00FA67C3"/>
    <w:rsid w:val="00FA6894"/>
    <w:rsid w:val="00FA68D4"/>
    <w:rsid w:val="00FA69E8"/>
    <w:rsid w:val="00FA6A28"/>
    <w:rsid w:val="00FA6A46"/>
    <w:rsid w:val="00FA6B15"/>
    <w:rsid w:val="00FA6BA8"/>
    <w:rsid w:val="00FA6C37"/>
    <w:rsid w:val="00FA6C53"/>
    <w:rsid w:val="00FA6D5E"/>
    <w:rsid w:val="00FA6FFE"/>
    <w:rsid w:val="00FA700A"/>
    <w:rsid w:val="00FA7109"/>
    <w:rsid w:val="00FA714F"/>
    <w:rsid w:val="00FA71A0"/>
    <w:rsid w:val="00FA7256"/>
    <w:rsid w:val="00FA7271"/>
    <w:rsid w:val="00FA7278"/>
    <w:rsid w:val="00FA72F8"/>
    <w:rsid w:val="00FA73C5"/>
    <w:rsid w:val="00FA7489"/>
    <w:rsid w:val="00FA754B"/>
    <w:rsid w:val="00FA75DD"/>
    <w:rsid w:val="00FA75F9"/>
    <w:rsid w:val="00FA762A"/>
    <w:rsid w:val="00FA76B2"/>
    <w:rsid w:val="00FA779B"/>
    <w:rsid w:val="00FA79A5"/>
    <w:rsid w:val="00FA7A14"/>
    <w:rsid w:val="00FA7ABD"/>
    <w:rsid w:val="00FA7AD8"/>
    <w:rsid w:val="00FA7C50"/>
    <w:rsid w:val="00FA7CA7"/>
    <w:rsid w:val="00FA7E68"/>
    <w:rsid w:val="00FA7F59"/>
    <w:rsid w:val="00FA7F86"/>
    <w:rsid w:val="00FA7FA7"/>
    <w:rsid w:val="00FB018D"/>
    <w:rsid w:val="00FB067F"/>
    <w:rsid w:val="00FB07B1"/>
    <w:rsid w:val="00FB0812"/>
    <w:rsid w:val="00FB08B1"/>
    <w:rsid w:val="00FB08FC"/>
    <w:rsid w:val="00FB0942"/>
    <w:rsid w:val="00FB0A41"/>
    <w:rsid w:val="00FB0AF9"/>
    <w:rsid w:val="00FB0B54"/>
    <w:rsid w:val="00FB0B75"/>
    <w:rsid w:val="00FB0BCF"/>
    <w:rsid w:val="00FB0C15"/>
    <w:rsid w:val="00FB0CB0"/>
    <w:rsid w:val="00FB0CCB"/>
    <w:rsid w:val="00FB0F05"/>
    <w:rsid w:val="00FB0F18"/>
    <w:rsid w:val="00FB0F20"/>
    <w:rsid w:val="00FB0F6B"/>
    <w:rsid w:val="00FB1198"/>
    <w:rsid w:val="00FB12C5"/>
    <w:rsid w:val="00FB1488"/>
    <w:rsid w:val="00FB14C1"/>
    <w:rsid w:val="00FB14C4"/>
    <w:rsid w:val="00FB1678"/>
    <w:rsid w:val="00FB168B"/>
    <w:rsid w:val="00FB18D3"/>
    <w:rsid w:val="00FB1927"/>
    <w:rsid w:val="00FB19B7"/>
    <w:rsid w:val="00FB1A87"/>
    <w:rsid w:val="00FB1B4F"/>
    <w:rsid w:val="00FB1B86"/>
    <w:rsid w:val="00FB1C09"/>
    <w:rsid w:val="00FB1C65"/>
    <w:rsid w:val="00FB1C9E"/>
    <w:rsid w:val="00FB1D7C"/>
    <w:rsid w:val="00FB1DB4"/>
    <w:rsid w:val="00FB1DEA"/>
    <w:rsid w:val="00FB2164"/>
    <w:rsid w:val="00FB218D"/>
    <w:rsid w:val="00FB21B3"/>
    <w:rsid w:val="00FB2250"/>
    <w:rsid w:val="00FB227B"/>
    <w:rsid w:val="00FB22A1"/>
    <w:rsid w:val="00FB23A8"/>
    <w:rsid w:val="00FB23E8"/>
    <w:rsid w:val="00FB2576"/>
    <w:rsid w:val="00FB2623"/>
    <w:rsid w:val="00FB2763"/>
    <w:rsid w:val="00FB27C3"/>
    <w:rsid w:val="00FB282B"/>
    <w:rsid w:val="00FB283F"/>
    <w:rsid w:val="00FB28B5"/>
    <w:rsid w:val="00FB2A1D"/>
    <w:rsid w:val="00FB2AED"/>
    <w:rsid w:val="00FB2AFF"/>
    <w:rsid w:val="00FB2BCD"/>
    <w:rsid w:val="00FB2C50"/>
    <w:rsid w:val="00FB2CBF"/>
    <w:rsid w:val="00FB2D65"/>
    <w:rsid w:val="00FB2DC3"/>
    <w:rsid w:val="00FB2DD1"/>
    <w:rsid w:val="00FB2F84"/>
    <w:rsid w:val="00FB3012"/>
    <w:rsid w:val="00FB3097"/>
    <w:rsid w:val="00FB3191"/>
    <w:rsid w:val="00FB31C9"/>
    <w:rsid w:val="00FB338C"/>
    <w:rsid w:val="00FB33C1"/>
    <w:rsid w:val="00FB33D7"/>
    <w:rsid w:val="00FB33E4"/>
    <w:rsid w:val="00FB340D"/>
    <w:rsid w:val="00FB347F"/>
    <w:rsid w:val="00FB34B8"/>
    <w:rsid w:val="00FB35DE"/>
    <w:rsid w:val="00FB39B4"/>
    <w:rsid w:val="00FB3A08"/>
    <w:rsid w:val="00FB3AE5"/>
    <w:rsid w:val="00FB3C48"/>
    <w:rsid w:val="00FB3CD0"/>
    <w:rsid w:val="00FB3D83"/>
    <w:rsid w:val="00FB3DDA"/>
    <w:rsid w:val="00FB3FD9"/>
    <w:rsid w:val="00FB403A"/>
    <w:rsid w:val="00FB412E"/>
    <w:rsid w:val="00FB4301"/>
    <w:rsid w:val="00FB4420"/>
    <w:rsid w:val="00FB44D8"/>
    <w:rsid w:val="00FB4649"/>
    <w:rsid w:val="00FB4724"/>
    <w:rsid w:val="00FB477C"/>
    <w:rsid w:val="00FB47BE"/>
    <w:rsid w:val="00FB482F"/>
    <w:rsid w:val="00FB4875"/>
    <w:rsid w:val="00FB4A21"/>
    <w:rsid w:val="00FB4A6E"/>
    <w:rsid w:val="00FB4B19"/>
    <w:rsid w:val="00FB4B1B"/>
    <w:rsid w:val="00FB4B7B"/>
    <w:rsid w:val="00FB4C32"/>
    <w:rsid w:val="00FB500A"/>
    <w:rsid w:val="00FB51A9"/>
    <w:rsid w:val="00FB53AB"/>
    <w:rsid w:val="00FB5515"/>
    <w:rsid w:val="00FB55EA"/>
    <w:rsid w:val="00FB58E8"/>
    <w:rsid w:val="00FB593E"/>
    <w:rsid w:val="00FB5952"/>
    <w:rsid w:val="00FB59B6"/>
    <w:rsid w:val="00FB59F3"/>
    <w:rsid w:val="00FB5A2B"/>
    <w:rsid w:val="00FB5A47"/>
    <w:rsid w:val="00FB5B4E"/>
    <w:rsid w:val="00FB5B94"/>
    <w:rsid w:val="00FB5C9C"/>
    <w:rsid w:val="00FB5DAC"/>
    <w:rsid w:val="00FB5DCD"/>
    <w:rsid w:val="00FB5EB0"/>
    <w:rsid w:val="00FB5EB7"/>
    <w:rsid w:val="00FB5FA9"/>
    <w:rsid w:val="00FB6027"/>
    <w:rsid w:val="00FB60A2"/>
    <w:rsid w:val="00FB60AE"/>
    <w:rsid w:val="00FB6161"/>
    <w:rsid w:val="00FB62F8"/>
    <w:rsid w:val="00FB6340"/>
    <w:rsid w:val="00FB6486"/>
    <w:rsid w:val="00FB651C"/>
    <w:rsid w:val="00FB6582"/>
    <w:rsid w:val="00FB663E"/>
    <w:rsid w:val="00FB6740"/>
    <w:rsid w:val="00FB67A2"/>
    <w:rsid w:val="00FB68ED"/>
    <w:rsid w:val="00FB6947"/>
    <w:rsid w:val="00FB69DA"/>
    <w:rsid w:val="00FB6AAE"/>
    <w:rsid w:val="00FB6AED"/>
    <w:rsid w:val="00FB6AF1"/>
    <w:rsid w:val="00FB6B87"/>
    <w:rsid w:val="00FB6C92"/>
    <w:rsid w:val="00FB6CE9"/>
    <w:rsid w:val="00FB6DA6"/>
    <w:rsid w:val="00FB6E70"/>
    <w:rsid w:val="00FB6F91"/>
    <w:rsid w:val="00FB712C"/>
    <w:rsid w:val="00FB73BD"/>
    <w:rsid w:val="00FB73FB"/>
    <w:rsid w:val="00FB7421"/>
    <w:rsid w:val="00FB74E8"/>
    <w:rsid w:val="00FB7545"/>
    <w:rsid w:val="00FB7720"/>
    <w:rsid w:val="00FB78BB"/>
    <w:rsid w:val="00FB796A"/>
    <w:rsid w:val="00FB79F7"/>
    <w:rsid w:val="00FB7A18"/>
    <w:rsid w:val="00FB7A7E"/>
    <w:rsid w:val="00FB7ABF"/>
    <w:rsid w:val="00FB7DB2"/>
    <w:rsid w:val="00FB7DBF"/>
    <w:rsid w:val="00FB7DE1"/>
    <w:rsid w:val="00FB7F3C"/>
    <w:rsid w:val="00FB7FB0"/>
    <w:rsid w:val="00FC00D1"/>
    <w:rsid w:val="00FC0119"/>
    <w:rsid w:val="00FC012A"/>
    <w:rsid w:val="00FC0222"/>
    <w:rsid w:val="00FC027B"/>
    <w:rsid w:val="00FC0332"/>
    <w:rsid w:val="00FC04DC"/>
    <w:rsid w:val="00FC0531"/>
    <w:rsid w:val="00FC0596"/>
    <w:rsid w:val="00FC05F3"/>
    <w:rsid w:val="00FC070C"/>
    <w:rsid w:val="00FC0809"/>
    <w:rsid w:val="00FC0849"/>
    <w:rsid w:val="00FC08C2"/>
    <w:rsid w:val="00FC0905"/>
    <w:rsid w:val="00FC0B9F"/>
    <w:rsid w:val="00FC0C9E"/>
    <w:rsid w:val="00FC0CA6"/>
    <w:rsid w:val="00FC0D59"/>
    <w:rsid w:val="00FC0D65"/>
    <w:rsid w:val="00FC0D6B"/>
    <w:rsid w:val="00FC0F27"/>
    <w:rsid w:val="00FC1004"/>
    <w:rsid w:val="00FC1018"/>
    <w:rsid w:val="00FC108D"/>
    <w:rsid w:val="00FC1230"/>
    <w:rsid w:val="00FC1287"/>
    <w:rsid w:val="00FC1440"/>
    <w:rsid w:val="00FC14A2"/>
    <w:rsid w:val="00FC1581"/>
    <w:rsid w:val="00FC164F"/>
    <w:rsid w:val="00FC16A0"/>
    <w:rsid w:val="00FC16E1"/>
    <w:rsid w:val="00FC1811"/>
    <w:rsid w:val="00FC19DB"/>
    <w:rsid w:val="00FC1B17"/>
    <w:rsid w:val="00FC1CB4"/>
    <w:rsid w:val="00FC1D7A"/>
    <w:rsid w:val="00FC1D85"/>
    <w:rsid w:val="00FC1D98"/>
    <w:rsid w:val="00FC1EFF"/>
    <w:rsid w:val="00FC22C4"/>
    <w:rsid w:val="00FC23D8"/>
    <w:rsid w:val="00FC241C"/>
    <w:rsid w:val="00FC248F"/>
    <w:rsid w:val="00FC24FF"/>
    <w:rsid w:val="00FC26A5"/>
    <w:rsid w:val="00FC26B6"/>
    <w:rsid w:val="00FC2A09"/>
    <w:rsid w:val="00FC2AAD"/>
    <w:rsid w:val="00FC2AB8"/>
    <w:rsid w:val="00FC2C4D"/>
    <w:rsid w:val="00FC2D2D"/>
    <w:rsid w:val="00FC2D36"/>
    <w:rsid w:val="00FC2DFB"/>
    <w:rsid w:val="00FC2E77"/>
    <w:rsid w:val="00FC2F1C"/>
    <w:rsid w:val="00FC2F84"/>
    <w:rsid w:val="00FC3022"/>
    <w:rsid w:val="00FC32EE"/>
    <w:rsid w:val="00FC3347"/>
    <w:rsid w:val="00FC3382"/>
    <w:rsid w:val="00FC3394"/>
    <w:rsid w:val="00FC342C"/>
    <w:rsid w:val="00FC34CD"/>
    <w:rsid w:val="00FC3518"/>
    <w:rsid w:val="00FC3529"/>
    <w:rsid w:val="00FC3635"/>
    <w:rsid w:val="00FC366A"/>
    <w:rsid w:val="00FC37AC"/>
    <w:rsid w:val="00FC37C0"/>
    <w:rsid w:val="00FC37C3"/>
    <w:rsid w:val="00FC3813"/>
    <w:rsid w:val="00FC3899"/>
    <w:rsid w:val="00FC3963"/>
    <w:rsid w:val="00FC39D0"/>
    <w:rsid w:val="00FC39D5"/>
    <w:rsid w:val="00FC3AC9"/>
    <w:rsid w:val="00FC3AE9"/>
    <w:rsid w:val="00FC3B24"/>
    <w:rsid w:val="00FC3BD3"/>
    <w:rsid w:val="00FC3C47"/>
    <w:rsid w:val="00FC3C73"/>
    <w:rsid w:val="00FC3D5F"/>
    <w:rsid w:val="00FC3D71"/>
    <w:rsid w:val="00FC3DB7"/>
    <w:rsid w:val="00FC3E46"/>
    <w:rsid w:val="00FC3EAF"/>
    <w:rsid w:val="00FC3F0A"/>
    <w:rsid w:val="00FC3F9B"/>
    <w:rsid w:val="00FC4001"/>
    <w:rsid w:val="00FC401E"/>
    <w:rsid w:val="00FC4426"/>
    <w:rsid w:val="00FC460D"/>
    <w:rsid w:val="00FC478A"/>
    <w:rsid w:val="00FC4A22"/>
    <w:rsid w:val="00FC4B7C"/>
    <w:rsid w:val="00FC4C22"/>
    <w:rsid w:val="00FC4CA6"/>
    <w:rsid w:val="00FC4D6F"/>
    <w:rsid w:val="00FC4DA7"/>
    <w:rsid w:val="00FC4DFC"/>
    <w:rsid w:val="00FC4E69"/>
    <w:rsid w:val="00FC4F40"/>
    <w:rsid w:val="00FC4F6A"/>
    <w:rsid w:val="00FC4FF0"/>
    <w:rsid w:val="00FC4FF6"/>
    <w:rsid w:val="00FC5169"/>
    <w:rsid w:val="00FC517B"/>
    <w:rsid w:val="00FC5274"/>
    <w:rsid w:val="00FC52E4"/>
    <w:rsid w:val="00FC52F1"/>
    <w:rsid w:val="00FC5363"/>
    <w:rsid w:val="00FC53B7"/>
    <w:rsid w:val="00FC53D6"/>
    <w:rsid w:val="00FC5786"/>
    <w:rsid w:val="00FC592E"/>
    <w:rsid w:val="00FC59C2"/>
    <w:rsid w:val="00FC5A2A"/>
    <w:rsid w:val="00FC5A83"/>
    <w:rsid w:val="00FC5B1D"/>
    <w:rsid w:val="00FC5C9A"/>
    <w:rsid w:val="00FC5D32"/>
    <w:rsid w:val="00FC5D7E"/>
    <w:rsid w:val="00FC5DC8"/>
    <w:rsid w:val="00FC5E5A"/>
    <w:rsid w:val="00FC5FD3"/>
    <w:rsid w:val="00FC6096"/>
    <w:rsid w:val="00FC624C"/>
    <w:rsid w:val="00FC63FC"/>
    <w:rsid w:val="00FC65D4"/>
    <w:rsid w:val="00FC65F1"/>
    <w:rsid w:val="00FC6749"/>
    <w:rsid w:val="00FC676C"/>
    <w:rsid w:val="00FC6776"/>
    <w:rsid w:val="00FC6977"/>
    <w:rsid w:val="00FC697C"/>
    <w:rsid w:val="00FC6AC1"/>
    <w:rsid w:val="00FC6B08"/>
    <w:rsid w:val="00FC6B2A"/>
    <w:rsid w:val="00FC6B6D"/>
    <w:rsid w:val="00FC6C4B"/>
    <w:rsid w:val="00FC6C81"/>
    <w:rsid w:val="00FC6D47"/>
    <w:rsid w:val="00FC6E03"/>
    <w:rsid w:val="00FC6E48"/>
    <w:rsid w:val="00FC6EB4"/>
    <w:rsid w:val="00FC6ECC"/>
    <w:rsid w:val="00FC6EDB"/>
    <w:rsid w:val="00FC71E5"/>
    <w:rsid w:val="00FC733A"/>
    <w:rsid w:val="00FC73ED"/>
    <w:rsid w:val="00FC74F0"/>
    <w:rsid w:val="00FC7574"/>
    <w:rsid w:val="00FC7725"/>
    <w:rsid w:val="00FC7B96"/>
    <w:rsid w:val="00FC7C6B"/>
    <w:rsid w:val="00FC7C80"/>
    <w:rsid w:val="00FC7D6A"/>
    <w:rsid w:val="00FC7D71"/>
    <w:rsid w:val="00FC7EBB"/>
    <w:rsid w:val="00FD0076"/>
    <w:rsid w:val="00FD00A7"/>
    <w:rsid w:val="00FD00AF"/>
    <w:rsid w:val="00FD00F2"/>
    <w:rsid w:val="00FD01AC"/>
    <w:rsid w:val="00FD024B"/>
    <w:rsid w:val="00FD028D"/>
    <w:rsid w:val="00FD0620"/>
    <w:rsid w:val="00FD06B0"/>
    <w:rsid w:val="00FD0A62"/>
    <w:rsid w:val="00FD0B05"/>
    <w:rsid w:val="00FD0D13"/>
    <w:rsid w:val="00FD0D9D"/>
    <w:rsid w:val="00FD0E0D"/>
    <w:rsid w:val="00FD0E49"/>
    <w:rsid w:val="00FD0F6A"/>
    <w:rsid w:val="00FD0F78"/>
    <w:rsid w:val="00FD105C"/>
    <w:rsid w:val="00FD110E"/>
    <w:rsid w:val="00FD1137"/>
    <w:rsid w:val="00FD12A8"/>
    <w:rsid w:val="00FD1312"/>
    <w:rsid w:val="00FD13B0"/>
    <w:rsid w:val="00FD1462"/>
    <w:rsid w:val="00FD1529"/>
    <w:rsid w:val="00FD15B9"/>
    <w:rsid w:val="00FD164C"/>
    <w:rsid w:val="00FD1789"/>
    <w:rsid w:val="00FD1792"/>
    <w:rsid w:val="00FD17A4"/>
    <w:rsid w:val="00FD17EF"/>
    <w:rsid w:val="00FD19B3"/>
    <w:rsid w:val="00FD1A62"/>
    <w:rsid w:val="00FD1ADD"/>
    <w:rsid w:val="00FD1C0D"/>
    <w:rsid w:val="00FD1E12"/>
    <w:rsid w:val="00FD1E1C"/>
    <w:rsid w:val="00FD1E6B"/>
    <w:rsid w:val="00FD1F6F"/>
    <w:rsid w:val="00FD1F7B"/>
    <w:rsid w:val="00FD2040"/>
    <w:rsid w:val="00FD209E"/>
    <w:rsid w:val="00FD226F"/>
    <w:rsid w:val="00FD22D3"/>
    <w:rsid w:val="00FD2331"/>
    <w:rsid w:val="00FD2475"/>
    <w:rsid w:val="00FD24A6"/>
    <w:rsid w:val="00FD2554"/>
    <w:rsid w:val="00FD2677"/>
    <w:rsid w:val="00FD26A5"/>
    <w:rsid w:val="00FD28B2"/>
    <w:rsid w:val="00FD29E8"/>
    <w:rsid w:val="00FD2BB3"/>
    <w:rsid w:val="00FD2D5D"/>
    <w:rsid w:val="00FD2D5E"/>
    <w:rsid w:val="00FD2D74"/>
    <w:rsid w:val="00FD2E31"/>
    <w:rsid w:val="00FD2E7F"/>
    <w:rsid w:val="00FD2EC1"/>
    <w:rsid w:val="00FD2EF9"/>
    <w:rsid w:val="00FD2F99"/>
    <w:rsid w:val="00FD303F"/>
    <w:rsid w:val="00FD3340"/>
    <w:rsid w:val="00FD33CF"/>
    <w:rsid w:val="00FD342C"/>
    <w:rsid w:val="00FD34A4"/>
    <w:rsid w:val="00FD34D2"/>
    <w:rsid w:val="00FD3575"/>
    <w:rsid w:val="00FD358A"/>
    <w:rsid w:val="00FD3699"/>
    <w:rsid w:val="00FD36B7"/>
    <w:rsid w:val="00FD373D"/>
    <w:rsid w:val="00FD3790"/>
    <w:rsid w:val="00FD389D"/>
    <w:rsid w:val="00FD3A25"/>
    <w:rsid w:val="00FD3AF8"/>
    <w:rsid w:val="00FD3D0B"/>
    <w:rsid w:val="00FD3D4A"/>
    <w:rsid w:val="00FD3D8F"/>
    <w:rsid w:val="00FD3DAF"/>
    <w:rsid w:val="00FD3E09"/>
    <w:rsid w:val="00FD3E5F"/>
    <w:rsid w:val="00FD3E7E"/>
    <w:rsid w:val="00FD3F92"/>
    <w:rsid w:val="00FD40EB"/>
    <w:rsid w:val="00FD4167"/>
    <w:rsid w:val="00FD418D"/>
    <w:rsid w:val="00FD420F"/>
    <w:rsid w:val="00FD4260"/>
    <w:rsid w:val="00FD4297"/>
    <w:rsid w:val="00FD42A8"/>
    <w:rsid w:val="00FD436C"/>
    <w:rsid w:val="00FD4540"/>
    <w:rsid w:val="00FD4589"/>
    <w:rsid w:val="00FD45B8"/>
    <w:rsid w:val="00FD475A"/>
    <w:rsid w:val="00FD4793"/>
    <w:rsid w:val="00FD4871"/>
    <w:rsid w:val="00FD48CA"/>
    <w:rsid w:val="00FD48CB"/>
    <w:rsid w:val="00FD497E"/>
    <w:rsid w:val="00FD49AE"/>
    <w:rsid w:val="00FD4B2C"/>
    <w:rsid w:val="00FD4BD9"/>
    <w:rsid w:val="00FD4C26"/>
    <w:rsid w:val="00FD4C33"/>
    <w:rsid w:val="00FD4CE1"/>
    <w:rsid w:val="00FD4DFF"/>
    <w:rsid w:val="00FD4E18"/>
    <w:rsid w:val="00FD4EFE"/>
    <w:rsid w:val="00FD4FCB"/>
    <w:rsid w:val="00FD5019"/>
    <w:rsid w:val="00FD5086"/>
    <w:rsid w:val="00FD508B"/>
    <w:rsid w:val="00FD512C"/>
    <w:rsid w:val="00FD518C"/>
    <w:rsid w:val="00FD51DB"/>
    <w:rsid w:val="00FD551D"/>
    <w:rsid w:val="00FD56C6"/>
    <w:rsid w:val="00FD56E7"/>
    <w:rsid w:val="00FD5887"/>
    <w:rsid w:val="00FD590B"/>
    <w:rsid w:val="00FD5957"/>
    <w:rsid w:val="00FD59D7"/>
    <w:rsid w:val="00FD5A00"/>
    <w:rsid w:val="00FD5AE3"/>
    <w:rsid w:val="00FD5B2A"/>
    <w:rsid w:val="00FD5C02"/>
    <w:rsid w:val="00FD5D46"/>
    <w:rsid w:val="00FD5ECE"/>
    <w:rsid w:val="00FD5EE1"/>
    <w:rsid w:val="00FD5EF3"/>
    <w:rsid w:val="00FD5F53"/>
    <w:rsid w:val="00FD5F7A"/>
    <w:rsid w:val="00FD6027"/>
    <w:rsid w:val="00FD6111"/>
    <w:rsid w:val="00FD61A6"/>
    <w:rsid w:val="00FD61D0"/>
    <w:rsid w:val="00FD61F5"/>
    <w:rsid w:val="00FD620B"/>
    <w:rsid w:val="00FD627C"/>
    <w:rsid w:val="00FD639A"/>
    <w:rsid w:val="00FD6487"/>
    <w:rsid w:val="00FD6536"/>
    <w:rsid w:val="00FD6678"/>
    <w:rsid w:val="00FD67DD"/>
    <w:rsid w:val="00FD6897"/>
    <w:rsid w:val="00FD696D"/>
    <w:rsid w:val="00FD6B1A"/>
    <w:rsid w:val="00FD6BEC"/>
    <w:rsid w:val="00FD6D1F"/>
    <w:rsid w:val="00FD6D48"/>
    <w:rsid w:val="00FD6E14"/>
    <w:rsid w:val="00FD6E50"/>
    <w:rsid w:val="00FD6FC3"/>
    <w:rsid w:val="00FD70D4"/>
    <w:rsid w:val="00FD7121"/>
    <w:rsid w:val="00FD7331"/>
    <w:rsid w:val="00FD7452"/>
    <w:rsid w:val="00FD74CA"/>
    <w:rsid w:val="00FD74D9"/>
    <w:rsid w:val="00FD74FC"/>
    <w:rsid w:val="00FD75A5"/>
    <w:rsid w:val="00FD75E6"/>
    <w:rsid w:val="00FD763B"/>
    <w:rsid w:val="00FD7654"/>
    <w:rsid w:val="00FD7678"/>
    <w:rsid w:val="00FD7748"/>
    <w:rsid w:val="00FD7847"/>
    <w:rsid w:val="00FD78E1"/>
    <w:rsid w:val="00FD7921"/>
    <w:rsid w:val="00FD79DD"/>
    <w:rsid w:val="00FD7A61"/>
    <w:rsid w:val="00FD7BB7"/>
    <w:rsid w:val="00FD7BD7"/>
    <w:rsid w:val="00FD7C90"/>
    <w:rsid w:val="00FD7D56"/>
    <w:rsid w:val="00FD7DA8"/>
    <w:rsid w:val="00FE0221"/>
    <w:rsid w:val="00FE029C"/>
    <w:rsid w:val="00FE02DA"/>
    <w:rsid w:val="00FE03CD"/>
    <w:rsid w:val="00FE046F"/>
    <w:rsid w:val="00FE0502"/>
    <w:rsid w:val="00FE0696"/>
    <w:rsid w:val="00FE072A"/>
    <w:rsid w:val="00FE077F"/>
    <w:rsid w:val="00FE085A"/>
    <w:rsid w:val="00FE08C1"/>
    <w:rsid w:val="00FE0977"/>
    <w:rsid w:val="00FE098E"/>
    <w:rsid w:val="00FE0A4D"/>
    <w:rsid w:val="00FE0AF7"/>
    <w:rsid w:val="00FE0BF3"/>
    <w:rsid w:val="00FE0CCD"/>
    <w:rsid w:val="00FE0D59"/>
    <w:rsid w:val="00FE0DF6"/>
    <w:rsid w:val="00FE0FC7"/>
    <w:rsid w:val="00FE1052"/>
    <w:rsid w:val="00FE105E"/>
    <w:rsid w:val="00FE10A6"/>
    <w:rsid w:val="00FE1125"/>
    <w:rsid w:val="00FE11BC"/>
    <w:rsid w:val="00FE11F0"/>
    <w:rsid w:val="00FE129F"/>
    <w:rsid w:val="00FE12EF"/>
    <w:rsid w:val="00FE137C"/>
    <w:rsid w:val="00FE1564"/>
    <w:rsid w:val="00FE15BA"/>
    <w:rsid w:val="00FE15CC"/>
    <w:rsid w:val="00FE1628"/>
    <w:rsid w:val="00FE1929"/>
    <w:rsid w:val="00FE19D1"/>
    <w:rsid w:val="00FE1AAA"/>
    <w:rsid w:val="00FE1B0D"/>
    <w:rsid w:val="00FE1B4B"/>
    <w:rsid w:val="00FE1CE4"/>
    <w:rsid w:val="00FE1DC3"/>
    <w:rsid w:val="00FE1E0F"/>
    <w:rsid w:val="00FE1E2D"/>
    <w:rsid w:val="00FE1E66"/>
    <w:rsid w:val="00FE1E85"/>
    <w:rsid w:val="00FE2077"/>
    <w:rsid w:val="00FE2130"/>
    <w:rsid w:val="00FE2240"/>
    <w:rsid w:val="00FE2258"/>
    <w:rsid w:val="00FE2329"/>
    <w:rsid w:val="00FE23FB"/>
    <w:rsid w:val="00FE2400"/>
    <w:rsid w:val="00FE2625"/>
    <w:rsid w:val="00FE26B6"/>
    <w:rsid w:val="00FE2704"/>
    <w:rsid w:val="00FE282A"/>
    <w:rsid w:val="00FE2A74"/>
    <w:rsid w:val="00FE2BBD"/>
    <w:rsid w:val="00FE2DC2"/>
    <w:rsid w:val="00FE2DC5"/>
    <w:rsid w:val="00FE3024"/>
    <w:rsid w:val="00FE3178"/>
    <w:rsid w:val="00FE3186"/>
    <w:rsid w:val="00FE3189"/>
    <w:rsid w:val="00FE324C"/>
    <w:rsid w:val="00FE329C"/>
    <w:rsid w:val="00FE33A3"/>
    <w:rsid w:val="00FE33C6"/>
    <w:rsid w:val="00FE35B2"/>
    <w:rsid w:val="00FE35BA"/>
    <w:rsid w:val="00FE3782"/>
    <w:rsid w:val="00FE37BA"/>
    <w:rsid w:val="00FE3840"/>
    <w:rsid w:val="00FE3A41"/>
    <w:rsid w:val="00FE3AD1"/>
    <w:rsid w:val="00FE3B57"/>
    <w:rsid w:val="00FE3BCD"/>
    <w:rsid w:val="00FE3D86"/>
    <w:rsid w:val="00FE3EFA"/>
    <w:rsid w:val="00FE4054"/>
    <w:rsid w:val="00FE407B"/>
    <w:rsid w:val="00FE40EF"/>
    <w:rsid w:val="00FE40F1"/>
    <w:rsid w:val="00FE40F4"/>
    <w:rsid w:val="00FE423C"/>
    <w:rsid w:val="00FE431B"/>
    <w:rsid w:val="00FE432E"/>
    <w:rsid w:val="00FE4333"/>
    <w:rsid w:val="00FE4402"/>
    <w:rsid w:val="00FE44A8"/>
    <w:rsid w:val="00FE45F7"/>
    <w:rsid w:val="00FE469A"/>
    <w:rsid w:val="00FE46F6"/>
    <w:rsid w:val="00FE4715"/>
    <w:rsid w:val="00FE4737"/>
    <w:rsid w:val="00FE4850"/>
    <w:rsid w:val="00FE496A"/>
    <w:rsid w:val="00FE498C"/>
    <w:rsid w:val="00FE4A4E"/>
    <w:rsid w:val="00FE4B01"/>
    <w:rsid w:val="00FE4B48"/>
    <w:rsid w:val="00FE4C4E"/>
    <w:rsid w:val="00FE4CEF"/>
    <w:rsid w:val="00FE4D14"/>
    <w:rsid w:val="00FE4D65"/>
    <w:rsid w:val="00FE4DA2"/>
    <w:rsid w:val="00FE4DD9"/>
    <w:rsid w:val="00FE4E08"/>
    <w:rsid w:val="00FE4EA1"/>
    <w:rsid w:val="00FE4F4F"/>
    <w:rsid w:val="00FE4FF4"/>
    <w:rsid w:val="00FE5024"/>
    <w:rsid w:val="00FE50B0"/>
    <w:rsid w:val="00FE5264"/>
    <w:rsid w:val="00FE52ED"/>
    <w:rsid w:val="00FE52F7"/>
    <w:rsid w:val="00FE5410"/>
    <w:rsid w:val="00FE5448"/>
    <w:rsid w:val="00FE562D"/>
    <w:rsid w:val="00FE5829"/>
    <w:rsid w:val="00FE5877"/>
    <w:rsid w:val="00FE58F9"/>
    <w:rsid w:val="00FE597D"/>
    <w:rsid w:val="00FE5A6F"/>
    <w:rsid w:val="00FE5B1D"/>
    <w:rsid w:val="00FE5BD1"/>
    <w:rsid w:val="00FE5C14"/>
    <w:rsid w:val="00FE5EC9"/>
    <w:rsid w:val="00FE5FC0"/>
    <w:rsid w:val="00FE5FFD"/>
    <w:rsid w:val="00FE6087"/>
    <w:rsid w:val="00FE6133"/>
    <w:rsid w:val="00FE6228"/>
    <w:rsid w:val="00FE62AE"/>
    <w:rsid w:val="00FE63D6"/>
    <w:rsid w:val="00FE64F3"/>
    <w:rsid w:val="00FE66D5"/>
    <w:rsid w:val="00FE66DB"/>
    <w:rsid w:val="00FE673D"/>
    <w:rsid w:val="00FE6888"/>
    <w:rsid w:val="00FE698D"/>
    <w:rsid w:val="00FE6AFE"/>
    <w:rsid w:val="00FE6B61"/>
    <w:rsid w:val="00FE6B97"/>
    <w:rsid w:val="00FE6BA9"/>
    <w:rsid w:val="00FE6C02"/>
    <w:rsid w:val="00FE6CB6"/>
    <w:rsid w:val="00FE6D0D"/>
    <w:rsid w:val="00FE6D53"/>
    <w:rsid w:val="00FE6D87"/>
    <w:rsid w:val="00FE7044"/>
    <w:rsid w:val="00FE70D6"/>
    <w:rsid w:val="00FE70E9"/>
    <w:rsid w:val="00FE711E"/>
    <w:rsid w:val="00FE71B4"/>
    <w:rsid w:val="00FE71CB"/>
    <w:rsid w:val="00FE71FA"/>
    <w:rsid w:val="00FE725C"/>
    <w:rsid w:val="00FE729C"/>
    <w:rsid w:val="00FE73F3"/>
    <w:rsid w:val="00FE742F"/>
    <w:rsid w:val="00FE76ED"/>
    <w:rsid w:val="00FE772E"/>
    <w:rsid w:val="00FE7762"/>
    <w:rsid w:val="00FE77D8"/>
    <w:rsid w:val="00FE7832"/>
    <w:rsid w:val="00FE788A"/>
    <w:rsid w:val="00FE78FB"/>
    <w:rsid w:val="00FE790E"/>
    <w:rsid w:val="00FE7A0F"/>
    <w:rsid w:val="00FE7A2E"/>
    <w:rsid w:val="00FE7B95"/>
    <w:rsid w:val="00FE7BB6"/>
    <w:rsid w:val="00FE7C28"/>
    <w:rsid w:val="00FE7D98"/>
    <w:rsid w:val="00FE7E62"/>
    <w:rsid w:val="00FE7EA0"/>
    <w:rsid w:val="00FE7EBA"/>
    <w:rsid w:val="00FE7EDE"/>
    <w:rsid w:val="00FE7F56"/>
    <w:rsid w:val="00FF0117"/>
    <w:rsid w:val="00FF01E8"/>
    <w:rsid w:val="00FF0226"/>
    <w:rsid w:val="00FF0259"/>
    <w:rsid w:val="00FF0261"/>
    <w:rsid w:val="00FF0379"/>
    <w:rsid w:val="00FF040C"/>
    <w:rsid w:val="00FF046E"/>
    <w:rsid w:val="00FF0522"/>
    <w:rsid w:val="00FF05BD"/>
    <w:rsid w:val="00FF05E6"/>
    <w:rsid w:val="00FF06B3"/>
    <w:rsid w:val="00FF070C"/>
    <w:rsid w:val="00FF0725"/>
    <w:rsid w:val="00FF0B2E"/>
    <w:rsid w:val="00FF0B7D"/>
    <w:rsid w:val="00FF0B99"/>
    <w:rsid w:val="00FF0BD8"/>
    <w:rsid w:val="00FF0CCB"/>
    <w:rsid w:val="00FF0CD4"/>
    <w:rsid w:val="00FF0D41"/>
    <w:rsid w:val="00FF0D4C"/>
    <w:rsid w:val="00FF0EDD"/>
    <w:rsid w:val="00FF0F07"/>
    <w:rsid w:val="00FF0FD1"/>
    <w:rsid w:val="00FF1152"/>
    <w:rsid w:val="00FF1356"/>
    <w:rsid w:val="00FF1400"/>
    <w:rsid w:val="00FF1536"/>
    <w:rsid w:val="00FF157F"/>
    <w:rsid w:val="00FF15B4"/>
    <w:rsid w:val="00FF16BB"/>
    <w:rsid w:val="00FF16CD"/>
    <w:rsid w:val="00FF176D"/>
    <w:rsid w:val="00FF17FD"/>
    <w:rsid w:val="00FF185F"/>
    <w:rsid w:val="00FF19E9"/>
    <w:rsid w:val="00FF1B2C"/>
    <w:rsid w:val="00FF1BD7"/>
    <w:rsid w:val="00FF20BB"/>
    <w:rsid w:val="00FF21C7"/>
    <w:rsid w:val="00FF21EF"/>
    <w:rsid w:val="00FF22C7"/>
    <w:rsid w:val="00FF22C8"/>
    <w:rsid w:val="00FF22F3"/>
    <w:rsid w:val="00FF23EB"/>
    <w:rsid w:val="00FF2447"/>
    <w:rsid w:val="00FF2813"/>
    <w:rsid w:val="00FF288E"/>
    <w:rsid w:val="00FF28C1"/>
    <w:rsid w:val="00FF293E"/>
    <w:rsid w:val="00FF2A3B"/>
    <w:rsid w:val="00FF2A7D"/>
    <w:rsid w:val="00FF2AF1"/>
    <w:rsid w:val="00FF2C27"/>
    <w:rsid w:val="00FF2C7F"/>
    <w:rsid w:val="00FF2D3C"/>
    <w:rsid w:val="00FF2E5C"/>
    <w:rsid w:val="00FF2F98"/>
    <w:rsid w:val="00FF2FB9"/>
    <w:rsid w:val="00FF2FBC"/>
    <w:rsid w:val="00FF302A"/>
    <w:rsid w:val="00FF3043"/>
    <w:rsid w:val="00FF30E2"/>
    <w:rsid w:val="00FF3107"/>
    <w:rsid w:val="00FF328A"/>
    <w:rsid w:val="00FF3428"/>
    <w:rsid w:val="00FF343D"/>
    <w:rsid w:val="00FF37D6"/>
    <w:rsid w:val="00FF37D8"/>
    <w:rsid w:val="00FF392A"/>
    <w:rsid w:val="00FF3955"/>
    <w:rsid w:val="00FF39B1"/>
    <w:rsid w:val="00FF39DD"/>
    <w:rsid w:val="00FF3A47"/>
    <w:rsid w:val="00FF3AB3"/>
    <w:rsid w:val="00FF3B44"/>
    <w:rsid w:val="00FF3B87"/>
    <w:rsid w:val="00FF3C49"/>
    <w:rsid w:val="00FF3CC5"/>
    <w:rsid w:val="00FF3D0D"/>
    <w:rsid w:val="00FF3E0A"/>
    <w:rsid w:val="00FF3E95"/>
    <w:rsid w:val="00FF3EA1"/>
    <w:rsid w:val="00FF3EA5"/>
    <w:rsid w:val="00FF3F9A"/>
    <w:rsid w:val="00FF4036"/>
    <w:rsid w:val="00FF404F"/>
    <w:rsid w:val="00FF415F"/>
    <w:rsid w:val="00FF420C"/>
    <w:rsid w:val="00FF427B"/>
    <w:rsid w:val="00FF436B"/>
    <w:rsid w:val="00FF43ED"/>
    <w:rsid w:val="00FF444E"/>
    <w:rsid w:val="00FF455F"/>
    <w:rsid w:val="00FF4568"/>
    <w:rsid w:val="00FF4571"/>
    <w:rsid w:val="00FF4628"/>
    <w:rsid w:val="00FF4657"/>
    <w:rsid w:val="00FF466E"/>
    <w:rsid w:val="00FF46C7"/>
    <w:rsid w:val="00FF48E1"/>
    <w:rsid w:val="00FF4968"/>
    <w:rsid w:val="00FF4990"/>
    <w:rsid w:val="00FF4BCA"/>
    <w:rsid w:val="00FF4CA7"/>
    <w:rsid w:val="00FF4DB2"/>
    <w:rsid w:val="00FF4E16"/>
    <w:rsid w:val="00FF4F29"/>
    <w:rsid w:val="00FF4F3D"/>
    <w:rsid w:val="00FF5055"/>
    <w:rsid w:val="00FF50C8"/>
    <w:rsid w:val="00FF5120"/>
    <w:rsid w:val="00FF51BF"/>
    <w:rsid w:val="00FF5385"/>
    <w:rsid w:val="00FF53BD"/>
    <w:rsid w:val="00FF54A5"/>
    <w:rsid w:val="00FF556C"/>
    <w:rsid w:val="00FF558D"/>
    <w:rsid w:val="00FF55CF"/>
    <w:rsid w:val="00FF55E0"/>
    <w:rsid w:val="00FF5629"/>
    <w:rsid w:val="00FF565E"/>
    <w:rsid w:val="00FF5753"/>
    <w:rsid w:val="00FF575C"/>
    <w:rsid w:val="00FF57C5"/>
    <w:rsid w:val="00FF580A"/>
    <w:rsid w:val="00FF59D2"/>
    <w:rsid w:val="00FF5A06"/>
    <w:rsid w:val="00FF5A7F"/>
    <w:rsid w:val="00FF5BF3"/>
    <w:rsid w:val="00FF5C1B"/>
    <w:rsid w:val="00FF5C8F"/>
    <w:rsid w:val="00FF5C92"/>
    <w:rsid w:val="00FF5DA1"/>
    <w:rsid w:val="00FF5F90"/>
    <w:rsid w:val="00FF60BF"/>
    <w:rsid w:val="00FF60F8"/>
    <w:rsid w:val="00FF6129"/>
    <w:rsid w:val="00FF619E"/>
    <w:rsid w:val="00FF62EE"/>
    <w:rsid w:val="00FF6301"/>
    <w:rsid w:val="00FF63E0"/>
    <w:rsid w:val="00FF6510"/>
    <w:rsid w:val="00FF6621"/>
    <w:rsid w:val="00FF680D"/>
    <w:rsid w:val="00FF683A"/>
    <w:rsid w:val="00FF6A1B"/>
    <w:rsid w:val="00FF6AA9"/>
    <w:rsid w:val="00FF6C59"/>
    <w:rsid w:val="00FF6C6A"/>
    <w:rsid w:val="00FF6E0B"/>
    <w:rsid w:val="00FF6F3D"/>
    <w:rsid w:val="00FF6F6B"/>
    <w:rsid w:val="00FF6F6C"/>
    <w:rsid w:val="00FF6F8E"/>
    <w:rsid w:val="00FF6FF1"/>
    <w:rsid w:val="00FF708D"/>
    <w:rsid w:val="00FF717F"/>
    <w:rsid w:val="00FF71DD"/>
    <w:rsid w:val="00FF731C"/>
    <w:rsid w:val="00FF738E"/>
    <w:rsid w:val="00FF7544"/>
    <w:rsid w:val="00FF7683"/>
    <w:rsid w:val="00FF7695"/>
    <w:rsid w:val="00FF7741"/>
    <w:rsid w:val="00FF774D"/>
    <w:rsid w:val="00FF7761"/>
    <w:rsid w:val="00FF7865"/>
    <w:rsid w:val="00FF7911"/>
    <w:rsid w:val="00FF7AE0"/>
    <w:rsid w:val="00FF7AE9"/>
    <w:rsid w:val="00FF7BD8"/>
    <w:rsid w:val="00FF7C02"/>
    <w:rsid w:val="00FF7C6B"/>
    <w:rsid w:val="00FF7C94"/>
    <w:rsid w:val="00FF7CAF"/>
    <w:rsid w:val="00FF7E2B"/>
    <w:rsid w:val="00FF7E93"/>
    <w:rsid w:val="00FF7EC4"/>
    <w:rsid w:val="00FF7F5B"/>
    <w:rsid w:val="00FF7FA8"/>
    <w:rsid w:val="015EBD35"/>
    <w:rsid w:val="017AACCB"/>
    <w:rsid w:val="018BE5CF"/>
    <w:rsid w:val="01D306D9"/>
    <w:rsid w:val="01D37857"/>
    <w:rsid w:val="01D9B316"/>
    <w:rsid w:val="01E22B24"/>
    <w:rsid w:val="01FC26C9"/>
    <w:rsid w:val="021A9E48"/>
    <w:rsid w:val="021AF70E"/>
    <w:rsid w:val="022449D4"/>
    <w:rsid w:val="022FD3BC"/>
    <w:rsid w:val="0239B4C7"/>
    <w:rsid w:val="02850C54"/>
    <w:rsid w:val="02A80E5D"/>
    <w:rsid w:val="02C643B1"/>
    <w:rsid w:val="02C7B92D"/>
    <w:rsid w:val="02FF790B"/>
    <w:rsid w:val="0312FECF"/>
    <w:rsid w:val="032320C0"/>
    <w:rsid w:val="033D783A"/>
    <w:rsid w:val="0362D80C"/>
    <w:rsid w:val="0371A8D0"/>
    <w:rsid w:val="037C15B7"/>
    <w:rsid w:val="03845AAE"/>
    <w:rsid w:val="03977A01"/>
    <w:rsid w:val="03A37B7F"/>
    <w:rsid w:val="03AF44DC"/>
    <w:rsid w:val="03DAF44B"/>
    <w:rsid w:val="03E2B31C"/>
    <w:rsid w:val="040577AD"/>
    <w:rsid w:val="0410C2CD"/>
    <w:rsid w:val="042519FF"/>
    <w:rsid w:val="043D23B7"/>
    <w:rsid w:val="0444890F"/>
    <w:rsid w:val="04561EB2"/>
    <w:rsid w:val="0462BA8E"/>
    <w:rsid w:val="049953BD"/>
    <w:rsid w:val="04B96E5B"/>
    <w:rsid w:val="04CCF5E7"/>
    <w:rsid w:val="04D0BC42"/>
    <w:rsid w:val="04D5DDD0"/>
    <w:rsid w:val="04DB79D2"/>
    <w:rsid w:val="04F06B6A"/>
    <w:rsid w:val="04F99E11"/>
    <w:rsid w:val="04FA20A2"/>
    <w:rsid w:val="050D2612"/>
    <w:rsid w:val="0517C307"/>
    <w:rsid w:val="05210AA4"/>
    <w:rsid w:val="052DA85A"/>
    <w:rsid w:val="0539D14D"/>
    <w:rsid w:val="054DE433"/>
    <w:rsid w:val="057A48A1"/>
    <w:rsid w:val="0593B75E"/>
    <w:rsid w:val="0593F2F6"/>
    <w:rsid w:val="05A049FF"/>
    <w:rsid w:val="05D5792B"/>
    <w:rsid w:val="06271BAB"/>
    <w:rsid w:val="064BE1D5"/>
    <w:rsid w:val="0658E0AA"/>
    <w:rsid w:val="06674E8E"/>
    <w:rsid w:val="066BF533"/>
    <w:rsid w:val="0698C11F"/>
    <w:rsid w:val="06A67D10"/>
    <w:rsid w:val="06AC134A"/>
    <w:rsid w:val="06F1056B"/>
    <w:rsid w:val="070A23CE"/>
    <w:rsid w:val="072F59EB"/>
    <w:rsid w:val="07305C9A"/>
    <w:rsid w:val="07365F03"/>
    <w:rsid w:val="07438A4D"/>
    <w:rsid w:val="075556ED"/>
    <w:rsid w:val="0768ED82"/>
    <w:rsid w:val="077B99DE"/>
    <w:rsid w:val="0786F350"/>
    <w:rsid w:val="0796594E"/>
    <w:rsid w:val="07B601D2"/>
    <w:rsid w:val="07BD6727"/>
    <w:rsid w:val="07D2BE9D"/>
    <w:rsid w:val="0803F923"/>
    <w:rsid w:val="081BD09F"/>
    <w:rsid w:val="082936B8"/>
    <w:rsid w:val="084BFEC3"/>
    <w:rsid w:val="085E94A1"/>
    <w:rsid w:val="086AD856"/>
    <w:rsid w:val="08789A0B"/>
    <w:rsid w:val="088B06FB"/>
    <w:rsid w:val="0891149D"/>
    <w:rsid w:val="08AC305F"/>
    <w:rsid w:val="08AE5334"/>
    <w:rsid w:val="08D62233"/>
    <w:rsid w:val="08E57DE4"/>
    <w:rsid w:val="08EB3292"/>
    <w:rsid w:val="08F0E353"/>
    <w:rsid w:val="094EA42D"/>
    <w:rsid w:val="09A74ED2"/>
    <w:rsid w:val="09BD6B24"/>
    <w:rsid w:val="09C9CAD5"/>
    <w:rsid w:val="09E46CC3"/>
    <w:rsid w:val="09F5EEA8"/>
    <w:rsid w:val="0A3B7936"/>
    <w:rsid w:val="0A591400"/>
    <w:rsid w:val="0A5E0B60"/>
    <w:rsid w:val="0A6232D0"/>
    <w:rsid w:val="0A6535F0"/>
    <w:rsid w:val="0A688BFF"/>
    <w:rsid w:val="0A75DD42"/>
    <w:rsid w:val="0A7CB7EE"/>
    <w:rsid w:val="0A97FDAE"/>
    <w:rsid w:val="0AABAD4C"/>
    <w:rsid w:val="0AB411C1"/>
    <w:rsid w:val="0ABDCC27"/>
    <w:rsid w:val="0ADF6EF0"/>
    <w:rsid w:val="0AE4A21D"/>
    <w:rsid w:val="0AF927F1"/>
    <w:rsid w:val="0B16A30C"/>
    <w:rsid w:val="0B239352"/>
    <w:rsid w:val="0B2CAF9C"/>
    <w:rsid w:val="0B6D6148"/>
    <w:rsid w:val="0B73E921"/>
    <w:rsid w:val="0B7AD69E"/>
    <w:rsid w:val="0B86A5C5"/>
    <w:rsid w:val="0B93220B"/>
    <w:rsid w:val="0BBA9735"/>
    <w:rsid w:val="0BD288A5"/>
    <w:rsid w:val="0BF808E9"/>
    <w:rsid w:val="0C16529B"/>
    <w:rsid w:val="0C5A1653"/>
    <w:rsid w:val="0C6516B2"/>
    <w:rsid w:val="0C967101"/>
    <w:rsid w:val="0CBA9CCD"/>
    <w:rsid w:val="0CDF7245"/>
    <w:rsid w:val="0D3637E6"/>
    <w:rsid w:val="0D38F204"/>
    <w:rsid w:val="0D3CAF30"/>
    <w:rsid w:val="0D5D9385"/>
    <w:rsid w:val="0D896BD5"/>
    <w:rsid w:val="0DA32F12"/>
    <w:rsid w:val="0DA72D4A"/>
    <w:rsid w:val="0DD66C62"/>
    <w:rsid w:val="0E13784F"/>
    <w:rsid w:val="0E1586AE"/>
    <w:rsid w:val="0E41FA2C"/>
    <w:rsid w:val="0E4CDDC9"/>
    <w:rsid w:val="0E578ED4"/>
    <w:rsid w:val="0E9078D6"/>
    <w:rsid w:val="0EA18FAA"/>
    <w:rsid w:val="0ED21F6D"/>
    <w:rsid w:val="0EF66540"/>
    <w:rsid w:val="0EFF8BB8"/>
    <w:rsid w:val="0F00F42C"/>
    <w:rsid w:val="0F0E09FF"/>
    <w:rsid w:val="0F171DE6"/>
    <w:rsid w:val="0F2381EB"/>
    <w:rsid w:val="0F284EF5"/>
    <w:rsid w:val="0F2DEE32"/>
    <w:rsid w:val="0F3C44CF"/>
    <w:rsid w:val="0F4F2E59"/>
    <w:rsid w:val="0FA6FD49"/>
    <w:rsid w:val="0FB9FA5B"/>
    <w:rsid w:val="0FBCB42E"/>
    <w:rsid w:val="10170F44"/>
    <w:rsid w:val="10240E58"/>
    <w:rsid w:val="1038B8AD"/>
    <w:rsid w:val="10391FFC"/>
    <w:rsid w:val="105565C1"/>
    <w:rsid w:val="10968E88"/>
    <w:rsid w:val="109E74E0"/>
    <w:rsid w:val="10A676AE"/>
    <w:rsid w:val="10A6A62D"/>
    <w:rsid w:val="10AFA104"/>
    <w:rsid w:val="10BC14C4"/>
    <w:rsid w:val="10CF18C2"/>
    <w:rsid w:val="10DB9B84"/>
    <w:rsid w:val="10ECB1F1"/>
    <w:rsid w:val="10EEDB3C"/>
    <w:rsid w:val="11031191"/>
    <w:rsid w:val="110BA025"/>
    <w:rsid w:val="11103B07"/>
    <w:rsid w:val="112BC239"/>
    <w:rsid w:val="112D47BB"/>
    <w:rsid w:val="112DBF2A"/>
    <w:rsid w:val="1146D690"/>
    <w:rsid w:val="118CAF8E"/>
    <w:rsid w:val="119227EA"/>
    <w:rsid w:val="11A376F9"/>
    <w:rsid w:val="11B06933"/>
    <w:rsid w:val="11B7115B"/>
    <w:rsid w:val="11C109F1"/>
    <w:rsid w:val="11C633B2"/>
    <w:rsid w:val="11F62053"/>
    <w:rsid w:val="1201881B"/>
    <w:rsid w:val="12089F8D"/>
    <w:rsid w:val="121BF2EC"/>
    <w:rsid w:val="12230F1F"/>
    <w:rsid w:val="1245DB98"/>
    <w:rsid w:val="124BE030"/>
    <w:rsid w:val="126997CF"/>
    <w:rsid w:val="126AA744"/>
    <w:rsid w:val="126BCCA8"/>
    <w:rsid w:val="1274AE0D"/>
    <w:rsid w:val="12B59BC5"/>
    <w:rsid w:val="12DA3611"/>
    <w:rsid w:val="1311A3D6"/>
    <w:rsid w:val="1318BB58"/>
    <w:rsid w:val="131DF623"/>
    <w:rsid w:val="131FA80E"/>
    <w:rsid w:val="1328E05E"/>
    <w:rsid w:val="1358E475"/>
    <w:rsid w:val="1365DB3E"/>
    <w:rsid w:val="138392E6"/>
    <w:rsid w:val="1386B6A9"/>
    <w:rsid w:val="138F643A"/>
    <w:rsid w:val="13957DE3"/>
    <w:rsid w:val="139C446F"/>
    <w:rsid w:val="13BF4EF4"/>
    <w:rsid w:val="13C5F46B"/>
    <w:rsid w:val="13D7FD26"/>
    <w:rsid w:val="13E4CFB2"/>
    <w:rsid w:val="13F0716B"/>
    <w:rsid w:val="1416F024"/>
    <w:rsid w:val="141FAC40"/>
    <w:rsid w:val="147229BE"/>
    <w:rsid w:val="147970D3"/>
    <w:rsid w:val="14A7C939"/>
    <w:rsid w:val="14E87FA6"/>
    <w:rsid w:val="14F9050B"/>
    <w:rsid w:val="15142F37"/>
    <w:rsid w:val="1572EE8C"/>
    <w:rsid w:val="1588A0F3"/>
    <w:rsid w:val="159B6B1E"/>
    <w:rsid w:val="15A4AFD3"/>
    <w:rsid w:val="15CB8F38"/>
    <w:rsid w:val="15D8AC5A"/>
    <w:rsid w:val="15DC3CEA"/>
    <w:rsid w:val="15DD9C0B"/>
    <w:rsid w:val="15E5C60F"/>
    <w:rsid w:val="15EA7D80"/>
    <w:rsid w:val="1623F52C"/>
    <w:rsid w:val="163C23BC"/>
    <w:rsid w:val="1654ADDC"/>
    <w:rsid w:val="16981BFD"/>
    <w:rsid w:val="16987A1B"/>
    <w:rsid w:val="169AF2B5"/>
    <w:rsid w:val="169FF8FC"/>
    <w:rsid w:val="16A429FF"/>
    <w:rsid w:val="16D35F9D"/>
    <w:rsid w:val="16F75E28"/>
    <w:rsid w:val="17050EF6"/>
    <w:rsid w:val="170996CC"/>
    <w:rsid w:val="175AB0F8"/>
    <w:rsid w:val="175D0BC1"/>
    <w:rsid w:val="17955F75"/>
    <w:rsid w:val="17AC53BB"/>
    <w:rsid w:val="17B081A3"/>
    <w:rsid w:val="17B9BF6B"/>
    <w:rsid w:val="17D30B16"/>
    <w:rsid w:val="17FC5D66"/>
    <w:rsid w:val="180AE9EC"/>
    <w:rsid w:val="1827F14C"/>
    <w:rsid w:val="183EEE7D"/>
    <w:rsid w:val="184B738C"/>
    <w:rsid w:val="18803064"/>
    <w:rsid w:val="189B975B"/>
    <w:rsid w:val="18F288B0"/>
    <w:rsid w:val="18FACF13"/>
    <w:rsid w:val="19029B2B"/>
    <w:rsid w:val="193C5CB3"/>
    <w:rsid w:val="197526EE"/>
    <w:rsid w:val="199FFCE2"/>
    <w:rsid w:val="19B08014"/>
    <w:rsid w:val="19C17216"/>
    <w:rsid w:val="19DD3983"/>
    <w:rsid w:val="19DF0FC8"/>
    <w:rsid w:val="19E010F3"/>
    <w:rsid w:val="19F2104C"/>
    <w:rsid w:val="1A2B83D6"/>
    <w:rsid w:val="1A8BB7FF"/>
    <w:rsid w:val="1AE1B2F0"/>
    <w:rsid w:val="1AE9A4F4"/>
    <w:rsid w:val="1AF8F8DA"/>
    <w:rsid w:val="1B21D74C"/>
    <w:rsid w:val="1B7ECE42"/>
    <w:rsid w:val="1BA18645"/>
    <w:rsid w:val="1BAAC4F1"/>
    <w:rsid w:val="1BAF7BD3"/>
    <w:rsid w:val="1BC54253"/>
    <w:rsid w:val="1BEF3BDB"/>
    <w:rsid w:val="1C35A3F7"/>
    <w:rsid w:val="1C3BD531"/>
    <w:rsid w:val="1C6441C9"/>
    <w:rsid w:val="1C77F091"/>
    <w:rsid w:val="1C9C3E3C"/>
    <w:rsid w:val="1CC694BB"/>
    <w:rsid w:val="1CDE4C8A"/>
    <w:rsid w:val="1CE069EA"/>
    <w:rsid w:val="1CE371F3"/>
    <w:rsid w:val="1D0077B2"/>
    <w:rsid w:val="1D0FA835"/>
    <w:rsid w:val="1D10EB62"/>
    <w:rsid w:val="1D34EB9D"/>
    <w:rsid w:val="1D42C750"/>
    <w:rsid w:val="1D4540D2"/>
    <w:rsid w:val="1D48ECF9"/>
    <w:rsid w:val="1D63BB0B"/>
    <w:rsid w:val="1DA33D35"/>
    <w:rsid w:val="1DB1ACD8"/>
    <w:rsid w:val="1DB8805D"/>
    <w:rsid w:val="1DC2840D"/>
    <w:rsid w:val="1DC62AF0"/>
    <w:rsid w:val="1DDBDB4F"/>
    <w:rsid w:val="1E199EC9"/>
    <w:rsid w:val="1E369888"/>
    <w:rsid w:val="1E4B3D3D"/>
    <w:rsid w:val="1E86F345"/>
    <w:rsid w:val="1E9DAD6E"/>
    <w:rsid w:val="1E9F8BE5"/>
    <w:rsid w:val="1EA64CE7"/>
    <w:rsid w:val="1EBA0A11"/>
    <w:rsid w:val="1EE70AA5"/>
    <w:rsid w:val="1EF0E855"/>
    <w:rsid w:val="1F357367"/>
    <w:rsid w:val="1F36BC2E"/>
    <w:rsid w:val="1F4D5BF1"/>
    <w:rsid w:val="1F764FBB"/>
    <w:rsid w:val="1F7E0C30"/>
    <w:rsid w:val="1FAC2BD6"/>
    <w:rsid w:val="1FBF4DD8"/>
    <w:rsid w:val="1FC9E9C9"/>
    <w:rsid w:val="1FCA442F"/>
    <w:rsid w:val="1FCD34FE"/>
    <w:rsid w:val="1FCFBB9F"/>
    <w:rsid w:val="1FE2DE31"/>
    <w:rsid w:val="2001FB46"/>
    <w:rsid w:val="20115E3C"/>
    <w:rsid w:val="201AAF2B"/>
    <w:rsid w:val="201CBCAD"/>
    <w:rsid w:val="202139CA"/>
    <w:rsid w:val="2021B9DA"/>
    <w:rsid w:val="203DFE13"/>
    <w:rsid w:val="20693407"/>
    <w:rsid w:val="206FA800"/>
    <w:rsid w:val="207B1E57"/>
    <w:rsid w:val="209B1602"/>
    <w:rsid w:val="20A34AAB"/>
    <w:rsid w:val="20AE7D90"/>
    <w:rsid w:val="20BABC6D"/>
    <w:rsid w:val="20BBFCFF"/>
    <w:rsid w:val="20C26CE9"/>
    <w:rsid w:val="20D43CE9"/>
    <w:rsid w:val="2123B31F"/>
    <w:rsid w:val="21269D49"/>
    <w:rsid w:val="21307F07"/>
    <w:rsid w:val="214891E2"/>
    <w:rsid w:val="216B9167"/>
    <w:rsid w:val="217DCA89"/>
    <w:rsid w:val="217FE648"/>
    <w:rsid w:val="21C2B17A"/>
    <w:rsid w:val="21C5415A"/>
    <w:rsid w:val="21CB6EE5"/>
    <w:rsid w:val="21CB9AE5"/>
    <w:rsid w:val="21CCEAC5"/>
    <w:rsid w:val="21D1851F"/>
    <w:rsid w:val="21DF9CC1"/>
    <w:rsid w:val="21F9C7F3"/>
    <w:rsid w:val="220FB124"/>
    <w:rsid w:val="223114C1"/>
    <w:rsid w:val="2249627F"/>
    <w:rsid w:val="2253F216"/>
    <w:rsid w:val="225E2878"/>
    <w:rsid w:val="2269CFA8"/>
    <w:rsid w:val="226C4BAC"/>
    <w:rsid w:val="226CF7E7"/>
    <w:rsid w:val="22852EA0"/>
    <w:rsid w:val="2285505E"/>
    <w:rsid w:val="22921BB1"/>
    <w:rsid w:val="229D5EBC"/>
    <w:rsid w:val="22A31EC3"/>
    <w:rsid w:val="22C1ADB3"/>
    <w:rsid w:val="22C6052B"/>
    <w:rsid w:val="22C8CDB1"/>
    <w:rsid w:val="22C91C5C"/>
    <w:rsid w:val="22D18A3D"/>
    <w:rsid w:val="22ECD283"/>
    <w:rsid w:val="231507B7"/>
    <w:rsid w:val="2332786B"/>
    <w:rsid w:val="2334B032"/>
    <w:rsid w:val="2343A729"/>
    <w:rsid w:val="2354FE8F"/>
    <w:rsid w:val="2367E3EC"/>
    <w:rsid w:val="236C796D"/>
    <w:rsid w:val="2379373F"/>
    <w:rsid w:val="238CE4C4"/>
    <w:rsid w:val="239CDFF3"/>
    <w:rsid w:val="23A1B000"/>
    <w:rsid w:val="23B2E007"/>
    <w:rsid w:val="23D8C9DA"/>
    <w:rsid w:val="23DF6773"/>
    <w:rsid w:val="2418DFB6"/>
    <w:rsid w:val="241AF106"/>
    <w:rsid w:val="241D73A1"/>
    <w:rsid w:val="242EDEE1"/>
    <w:rsid w:val="2432FA33"/>
    <w:rsid w:val="2432FEC2"/>
    <w:rsid w:val="243D665B"/>
    <w:rsid w:val="244097C1"/>
    <w:rsid w:val="24451ED2"/>
    <w:rsid w:val="2447968C"/>
    <w:rsid w:val="2454594D"/>
    <w:rsid w:val="245D5ECA"/>
    <w:rsid w:val="24894D56"/>
    <w:rsid w:val="24A4222F"/>
    <w:rsid w:val="24F6915C"/>
    <w:rsid w:val="24F77793"/>
    <w:rsid w:val="24FF3FE6"/>
    <w:rsid w:val="25332813"/>
    <w:rsid w:val="2565DFD6"/>
    <w:rsid w:val="25744E5D"/>
    <w:rsid w:val="2577249B"/>
    <w:rsid w:val="25AF8FEE"/>
    <w:rsid w:val="25CCFAE8"/>
    <w:rsid w:val="25CFDCE7"/>
    <w:rsid w:val="25DC6307"/>
    <w:rsid w:val="25DC9D33"/>
    <w:rsid w:val="25DCFDC4"/>
    <w:rsid w:val="25EC7570"/>
    <w:rsid w:val="25F6CE8A"/>
    <w:rsid w:val="25FCD0A1"/>
    <w:rsid w:val="2600E04E"/>
    <w:rsid w:val="2630CB43"/>
    <w:rsid w:val="266241C9"/>
    <w:rsid w:val="266A2157"/>
    <w:rsid w:val="267FB353"/>
    <w:rsid w:val="269C3352"/>
    <w:rsid w:val="26A4BCCF"/>
    <w:rsid w:val="26B9896E"/>
    <w:rsid w:val="26D11CB1"/>
    <w:rsid w:val="26DF86CE"/>
    <w:rsid w:val="26F2E458"/>
    <w:rsid w:val="27326FA6"/>
    <w:rsid w:val="276DF95C"/>
    <w:rsid w:val="27830F27"/>
    <w:rsid w:val="27AA7B08"/>
    <w:rsid w:val="27B42496"/>
    <w:rsid w:val="27D4F93B"/>
    <w:rsid w:val="27DC0FED"/>
    <w:rsid w:val="27E71ACA"/>
    <w:rsid w:val="27EC90F2"/>
    <w:rsid w:val="27FB8170"/>
    <w:rsid w:val="28033DB3"/>
    <w:rsid w:val="28092000"/>
    <w:rsid w:val="281240BE"/>
    <w:rsid w:val="2817DA35"/>
    <w:rsid w:val="28B40B27"/>
    <w:rsid w:val="28B44C21"/>
    <w:rsid w:val="28B60253"/>
    <w:rsid w:val="28BD2838"/>
    <w:rsid w:val="28C777A8"/>
    <w:rsid w:val="28CB5AEA"/>
    <w:rsid w:val="28E8DE45"/>
    <w:rsid w:val="28FA09DB"/>
    <w:rsid w:val="2900C6B8"/>
    <w:rsid w:val="29093C5B"/>
    <w:rsid w:val="291B401C"/>
    <w:rsid w:val="293960C4"/>
    <w:rsid w:val="293D11CC"/>
    <w:rsid w:val="29A8E9B4"/>
    <w:rsid w:val="29BD1AD3"/>
    <w:rsid w:val="29C1725A"/>
    <w:rsid w:val="2A122693"/>
    <w:rsid w:val="2A18C943"/>
    <w:rsid w:val="2A1D35D3"/>
    <w:rsid w:val="2A2165F1"/>
    <w:rsid w:val="2A2ECE03"/>
    <w:rsid w:val="2A3D0E80"/>
    <w:rsid w:val="2A742ED7"/>
    <w:rsid w:val="2A7DF503"/>
    <w:rsid w:val="2A8C42DC"/>
    <w:rsid w:val="2AAF8DAA"/>
    <w:rsid w:val="2ABB7583"/>
    <w:rsid w:val="2AC298C4"/>
    <w:rsid w:val="2AD49F67"/>
    <w:rsid w:val="2AE80846"/>
    <w:rsid w:val="2AF12B8C"/>
    <w:rsid w:val="2B23F8C8"/>
    <w:rsid w:val="2B314838"/>
    <w:rsid w:val="2B3AD530"/>
    <w:rsid w:val="2B5B5CB6"/>
    <w:rsid w:val="2B799591"/>
    <w:rsid w:val="2BAEF60F"/>
    <w:rsid w:val="2BCE4AF7"/>
    <w:rsid w:val="2BE0D5CA"/>
    <w:rsid w:val="2BF7C0A3"/>
    <w:rsid w:val="2BFB4211"/>
    <w:rsid w:val="2C237A8D"/>
    <w:rsid w:val="2C242165"/>
    <w:rsid w:val="2C2A5F8F"/>
    <w:rsid w:val="2C2B8903"/>
    <w:rsid w:val="2C3E46E4"/>
    <w:rsid w:val="2C4D5913"/>
    <w:rsid w:val="2C6B1B63"/>
    <w:rsid w:val="2C953EEB"/>
    <w:rsid w:val="2C95F1F1"/>
    <w:rsid w:val="2CC39B8D"/>
    <w:rsid w:val="2CD7D00F"/>
    <w:rsid w:val="2CE84A06"/>
    <w:rsid w:val="2D108BFC"/>
    <w:rsid w:val="2D53DE2F"/>
    <w:rsid w:val="2D6FD6F0"/>
    <w:rsid w:val="2D715117"/>
    <w:rsid w:val="2D772826"/>
    <w:rsid w:val="2D773D2D"/>
    <w:rsid w:val="2D874AAB"/>
    <w:rsid w:val="2D93D538"/>
    <w:rsid w:val="2DE63EED"/>
    <w:rsid w:val="2DEA5D8D"/>
    <w:rsid w:val="2E0296E0"/>
    <w:rsid w:val="2E0322B4"/>
    <w:rsid w:val="2E1931BA"/>
    <w:rsid w:val="2E3C7C98"/>
    <w:rsid w:val="2E5342DC"/>
    <w:rsid w:val="2E5A9173"/>
    <w:rsid w:val="2E677477"/>
    <w:rsid w:val="2E9CAB1F"/>
    <w:rsid w:val="2ECC50F3"/>
    <w:rsid w:val="2ED9A001"/>
    <w:rsid w:val="2EEB41C1"/>
    <w:rsid w:val="2EF6101D"/>
    <w:rsid w:val="2F03FE70"/>
    <w:rsid w:val="2F085EB4"/>
    <w:rsid w:val="2F24C915"/>
    <w:rsid w:val="2F266622"/>
    <w:rsid w:val="2F33B385"/>
    <w:rsid w:val="2F43ADD1"/>
    <w:rsid w:val="2F5410F0"/>
    <w:rsid w:val="2F564931"/>
    <w:rsid w:val="2F84C30F"/>
    <w:rsid w:val="2F9CCE6D"/>
    <w:rsid w:val="2FA657FB"/>
    <w:rsid w:val="2FAE62BA"/>
    <w:rsid w:val="2FC360AD"/>
    <w:rsid w:val="2FD1285E"/>
    <w:rsid w:val="2FDB882E"/>
    <w:rsid w:val="2FE2959A"/>
    <w:rsid w:val="2FFC1EE8"/>
    <w:rsid w:val="301A327F"/>
    <w:rsid w:val="302AE4A7"/>
    <w:rsid w:val="30359B0B"/>
    <w:rsid w:val="3085B254"/>
    <w:rsid w:val="30A41BFB"/>
    <w:rsid w:val="30C4C80D"/>
    <w:rsid w:val="30F0B7D0"/>
    <w:rsid w:val="30F5FA38"/>
    <w:rsid w:val="31200822"/>
    <w:rsid w:val="314351DE"/>
    <w:rsid w:val="3146745F"/>
    <w:rsid w:val="31534955"/>
    <w:rsid w:val="31BAC78D"/>
    <w:rsid w:val="31DE63AC"/>
    <w:rsid w:val="31F80756"/>
    <w:rsid w:val="3211D8EA"/>
    <w:rsid w:val="32320CD0"/>
    <w:rsid w:val="3255B68B"/>
    <w:rsid w:val="3282698F"/>
    <w:rsid w:val="328D0FC9"/>
    <w:rsid w:val="32A1FF8F"/>
    <w:rsid w:val="32CE7388"/>
    <w:rsid w:val="32EEA5C5"/>
    <w:rsid w:val="32EF8435"/>
    <w:rsid w:val="33017855"/>
    <w:rsid w:val="3310A388"/>
    <w:rsid w:val="331F9745"/>
    <w:rsid w:val="332274BB"/>
    <w:rsid w:val="334E95BB"/>
    <w:rsid w:val="3361FC54"/>
    <w:rsid w:val="338F6B03"/>
    <w:rsid w:val="33C9E459"/>
    <w:rsid w:val="33CE4A1A"/>
    <w:rsid w:val="33EEA170"/>
    <w:rsid w:val="33FA9E1B"/>
    <w:rsid w:val="3432BAE5"/>
    <w:rsid w:val="3474666D"/>
    <w:rsid w:val="34793A6E"/>
    <w:rsid w:val="347FFA8B"/>
    <w:rsid w:val="3497B7C5"/>
    <w:rsid w:val="349EA347"/>
    <w:rsid w:val="34FA6E7C"/>
    <w:rsid w:val="3501FD54"/>
    <w:rsid w:val="35247438"/>
    <w:rsid w:val="352BC53D"/>
    <w:rsid w:val="35547FA9"/>
    <w:rsid w:val="35585980"/>
    <w:rsid w:val="3587E30C"/>
    <w:rsid w:val="35A4EB34"/>
    <w:rsid w:val="35E76F02"/>
    <w:rsid w:val="35E9DE97"/>
    <w:rsid w:val="35F6DF3A"/>
    <w:rsid w:val="361169E2"/>
    <w:rsid w:val="36120196"/>
    <w:rsid w:val="3633934B"/>
    <w:rsid w:val="3638894C"/>
    <w:rsid w:val="366090FB"/>
    <w:rsid w:val="3661920F"/>
    <w:rsid w:val="367A2BF2"/>
    <w:rsid w:val="369481BB"/>
    <w:rsid w:val="36B0C593"/>
    <w:rsid w:val="36B80287"/>
    <w:rsid w:val="36D45264"/>
    <w:rsid w:val="36FFE38B"/>
    <w:rsid w:val="37221FC9"/>
    <w:rsid w:val="3755D7D3"/>
    <w:rsid w:val="3770FFFA"/>
    <w:rsid w:val="37867B5C"/>
    <w:rsid w:val="37965B58"/>
    <w:rsid w:val="379C04E3"/>
    <w:rsid w:val="37A6335F"/>
    <w:rsid w:val="37AF8271"/>
    <w:rsid w:val="37C41C24"/>
    <w:rsid w:val="37D0798F"/>
    <w:rsid w:val="38152D2B"/>
    <w:rsid w:val="383060DD"/>
    <w:rsid w:val="38398656"/>
    <w:rsid w:val="383E8DE3"/>
    <w:rsid w:val="386B053D"/>
    <w:rsid w:val="38864B0F"/>
    <w:rsid w:val="38BF783C"/>
    <w:rsid w:val="3963EDB0"/>
    <w:rsid w:val="3970182A"/>
    <w:rsid w:val="3986F446"/>
    <w:rsid w:val="39AA7822"/>
    <w:rsid w:val="39BAE017"/>
    <w:rsid w:val="39EB803D"/>
    <w:rsid w:val="3A17B930"/>
    <w:rsid w:val="3A21877B"/>
    <w:rsid w:val="3A240139"/>
    <w:rsid w:val="3A2BBE78"/>
    <w:rsid w:val="3A2D4152"/>
    <w:rsid w:val="3A55CBBE"/>
    <w:rsid w:val="3A5B358A"/>
    <w:rsid w:val="3A654E46"/>
    <w:rsid w:val="3AAFBDF7"/>
    <w:rsid w:val="3AB61DDA"/>
    <w:rsid w:val="3ADF6849"/>
    <w:rsid w:val="3AE2F173"/>
    <w:rsid w:val="3AF5AF4F"/>
    <w:rsid w:val="3B08C895"/>
    <w:rsid w:val="3B46A6E0"/>
    <w:rsid w:val="3B71A42B"/>
    <w:rsid w:val="3B74CA6A"/>
    <w:rsid w:val="3B91277D"/>
    <w:rsid w:val="3B980D73"/>
    <w:rsid w:val="3BBF34ED"/>
    <w:rsid w:val="3BC132EF"/>
    <w:rsid w:val="3BC8B3F5"/>
    <w:rsid w:val="3BF48994"/>
    <w:rsid w:val="3BFDF7B0"/>
    <w:rsid w:val="3C0CD035"/>
    <w:rsid w:val="3C1C003A"/>
    <w:rsid w:val="3C1D55F8"/>
    <w:rsid w:val="3C1F1753"/>
    <w:rsid w:val="3C3B343B"/>
    <w:rsid w:val="3C469E9D"/>
    <w:rsid w:val="3C65899E"/>
    <w:rsid w:val="3C66E3DE"/>
    <w:rsid w:val="3C7A7EA5"/>
    <w:rsid w:val="3C85F5B5"/>
    <w:rsid w:val="3C90A4CA"/>
    <w:rsid w:val="3CA258BD"/>
    <w:rsid w:val="3CBCA031"/>
    <w:rsid w:val="3CD6D9F9"/>
    <w:rsid w:val="3D04EB3F"/>
    <w:rsid w:val="3D142A48"/>
    <w:rsid w:val="3D1D61B2"/>
    <w:rsid w:val="3D36089A"/>
    <w:rsid w:val="3D68C544"/>
    <w:rsid w:val="3D96A297"/>
    <w:rsid w:val="3DA048D4"/>
    <w:rsid w:val="3DAB5998"/>
    <w:rsid w:val="3DAC51AC"/>
    <w:rsid w:val="3DB53104"/>
    <w:rsid w:val="3DC5ACCE"/>
    <w:rsid w:val="3DC6F65C"/>
    <w:rsid w:val="3DCA4349"/>
    <w:rsid w:val="3DD2CFF0"/>
    <w:rsid w:val="3DD45C07"/>
    <w:rsid w:val="3DDBC487"/>
    <w:rsid w:val="3DDC7019"/>
    <w:rsid w:val="3DE948FC"/>
    <w:rsid w:val="3E2EB2DD"/>
    <w:rsid w:val="3E356537"/>
    <w:rsid w:val="3E55CA49"/>
    <w:rsid w:val="3E868EDC"/>
    <w:rsid w:val="3E8C352B"/>
    <w:rsid w:val="3E97447F"/>
    <w:rsid w:val="3E981097"/>
    <w:rsid w:val="3EA6EC82"/>
    <w:rsid w:val="3EA8B226"/>
    <w:rsid w:val="3EAC8ED1"/>
    <w:rsid w:val="3EB61FEE"/>
    <w:rsid w:val="3EB66172"/>
    <w:rsid w:val="3EC3EAC1"/>
    <w:rsid w:val="3EDDCAEB"/>
    <w:rsid w:val="3EF6AC96"/>
    <w:rsid w:val="3F12A319"/>
    <w:rsid w:val="3F1F3F67"/>
    <w:rsid w:val="3F289E3C"/>
    <w:rsid w:val="3FAF851A"/>
    <w:rsid w:val="3FCDFF1D"/>
    <w:rsid w:val="3FF510E6"/>
    <w:rsid w:val="3FFBF5C4"/>
    <w:rsid w:val="3FFDAC58"/>
    <w:rsid w:val="40346951"/>
    <w:rsid w:val="40481503"/>
    <w:rsid w:val="405ACF9B"/>
    <w:rsid w:val="4068CBAE"/>
    <w:rsid w:val="406B0343"/>
    <w:rsid w:val="407D4D34"/>
    <w:rsid w:val="40D2D47B"/>
    <w:rsid w:val="40DC7D98"/>
    <w:rsid w:val="4100FCEA"/>
    <w:rsid w:val="41031B50"/>
    <w:rsid w:val="41211102"/>
    <w:rsid w:val="413526FA"/>
    <w:rsid w:val="4149CB01"/>
    <w:rsid w:val="414AF31D"/>
    <w:rsid w:val="41552CE8"/>
    <w:rsid w:val="417EE6D4"/>
    <w:rsid w:val="41815C35"/>
    <w:rsid w:val="4188FD07"/>
    <w:rsid w:val="419B4AC8"/>
    <w:rsid w:val="419D67B2"/>
    <w:rsid w:val="41B2D0F8"/>
    <w:rsid w:val="41D8EF4D"/>
    <w:rsid w:val="41DBBB96"/>
    <w:rsid w:val="41FA6752"/>
    <w:rsid w:val="4219DD2F"/>
    <w:rsid w:val="4228C780"/>
    <w:rsid w:val="42380E82"/>
    <w:rsid w:val="42645796"/>
    <w:rsid w:val="426AF413"/>
    <w:rsid w:val="4270759F"/>
    <w:rsid w:val="42745EAF"/>
    <w:rsid w:val="42C7928F"/>
    <w:rsid w:val="43387386"/>
    <w:rsid w:val="435CDAE4"/>
    <w:rsid w:val="436F2E03"/>
    <w:rsid w:val="43AFA7D7"/>
    <w:rsid w:val="43BB8414"/>
    <w:rsid w:val="43DABA2A"/>
    <w:rsid w:val="43F39DB6"/>
    <w:rsid w:val="44177713"/>
    <w:rsid w:val="4422EB19"/>
    <w:rsid w:val="444A5B44"/>
    <w:rsid w:val="4456F6E2"/>
    <w:rsid w:val="4467BF3B"/>
    <w:rsid w:val="44848E55"/>
    <w:rsid w:val="44942322"/>
    <w:rsid w:val="44A5B791"/>
    <w:rsid w:val="44E13AAE"/>
    <w:rsid w:val="45010764"/>
    <w:rsid w:val="450A5CF9"/>
    <w:rsid w:val="452C4413"/>
    <w:rsid w:val="4550F19D"/>
    <w:rsid w:val="4568ABDB"/>
    <w:rsid w:val="458B2082"/>
    <w:rsid w:val="4591591F"/>
    <w:rsid w:val="45AC6FB2"/>
    <w:rsid w:val="45B003A6"/>
    <w:rsid w:val="45BE7FE2"/>
    <w:rsid w:val="45D3FFA3"/>
    <w:rsid w:val="45E234A0"/>
    <w:rsid w:val="45E8D529"/>
    <w:rsid w:val="45EB6A65"/>
    <w:rsid w:val="46092E99"/>
    <w:rsid w:val="4642062B"/>
    <w:rsid w:val="4652560B"/>
    <w:rsid w:val="46547AF9"/>
    <w:rsid w:val="466B97B9"/>
    <w:rsid w:val="466E8BC2"/>
    <w:rsid w:val="466F63F5"/>
    <w:rsid w:val="46908DCD"/>
    <w:rsid w:val="469E8773"/>
    <w:rsid w:val="46A0D9ED"/>
    <w:rsid w:val="46ABFF7F"/>
    <w:rsid w:val="46ADDDFF"/>
    <w:rsid w:val="46AF636C"/>
    <w:rsid w:val="46C2DCD4"/>
    <w:rsid w:val="46F39105"/>
    <w:rsid w:val="4706662F"/>
    <w:rsid w:val="4719881F"/>
    <w:rsid w:val="472D3A31"/>
    <w:rsid w:val="473F3E0D"/>
    <w:rsid w:val="474F73B8"/>
    <w:rsid w:val="474F917D"/>
    <w:rsid w:val="47660534"/>
    <w:rsid w:val="4782C03E"/>
    <w:rsid w:val="479848FB"/>
    <w:rsid w:val="47A1F566"/>
    <w:rsid w:val="47B0D512"/>
    <w:rsid w:val="47D76E12"/>
    <w:rsid w:val="47F45D1A"/>
    <w:rsid w:val="4837BE71"/>
    <w:rsid w:val="484B8C6A"/>
    <w:rsid w:val="4851667F"/>
    <w:rsid w:val="485288AE"/>
    <w:rsid w:val="48A793C7"/>
    <w:rsid w:val="48BFC618"/>
    <w:rsid w:val="493AB56B"/>
    <w:rsid w:val="49662FFF"/>
    <w:rsid w:val="497182B5"/>
    <w:rsid w:val="49785969"/>
    <w:rsid w:val="49B2859C"/>
    <w:rsid w:val="49B82CC8"/>
    <w:rsid w:val="49CBB22A"/>
    <w:rsid w:val="49FDBE77"/>
    <w:rsid w:val="4A16E4BD"/>
    <w:rsid w:val="4A26B2EC"/>
    <w:rsid w:val="4A503782"/>
    <w:rsid w:val="4A6D8A7E"/>
    <w:rsid w:val="4A8B48D2"/>
    <w:rsid w:val="4A9CE05A"/>
    <w:rsid w:val="4AA7946B"/>
    <w:rsid w:val="4ABD8899"/>
    <w:rsid w:val="4AC745D8"/>
    <w:rsid w:val="4AE2B793"/>
    <w:rsid w:val="4AE6153A"/>
    <w:rsid w:val="4AFF8036"/>
    <w:rsid w:val="4B0C7104"/>
    <w:rsid w:val="4B0ED44E"/>
    <w:rsid w:val="4B0FDE78"/>
    <w:rsid w:val="4B112659"/>
    <w:rsid w:val="4B16F80D"/>
    <w:rsid w:val="4B1B4F6A"/>
    <w:rsid w:val="4B207BEC"/>
    <w:rsid w:val="4B4E56EF"/>
    <w:rsid w:val="4B563F52"/>
    <w:rsid w:val="4B6EDF86"/>
    <w:rsid w:val="4B745A5D"/>
    <w:rsid w:val="4B76F904"/>
    <w:rsid w:val="4B8928DD"/>
    <w:rsid w:val="4B8D880F"/>
    <w:rsid w:val="4BA7F5A0"/>
    <w:rsid w:val="4BD2F006"/>
    <w:rsid w:val="4BD9862E"/>
    <w:rsid w:val="4BF1C419"/>
    <w:rsid w:val="4BF2104E"/>
    <w:rsid w:val="4C1599EE"/>
    <w:rsid w:val="4C4AC503"/>
    <w:rsid w:val="4C4D018D"/>
    <w:rsid w:val="4C6DDD78"/>
    <w:rsid w:val="4C6DF6F9"/>
    <w:rsid w:val="4C6FAE2F"/>
    <w:rsid w:val="4C71EC07"/>
    <w:rsid w:val="4C749EFA"/>
    <w:rsid w:val="4CAAFD80"/>
    <w:rsid w:val="4CAED56E"/>
    <w:rsid w:val="4CE21438"/>
    <w:rsid w:val="4CE4DEC0"/>
    <w:rsid w:val="4CF11ABC"/>
    <w:rsid w:val="4CF2B6ED"/>
    <w:rsid w:val="4D072D7A"/>
    <w:rsid w:val="4D10CD00"/>
    <w:rsid w:val="4D20DFC7"/>
    <w:rsid w:val="4D24E55B"/>
    <w:rsid w:val="4D2A6A5E"/>
    <w:rsid w:val="4D4CB365"/>
    <w:rsid w:val="4D7FDE64"/>
    <w:rsid w:val="4D8BCCE9"/>
    <w:rsid w:val="4DB3E800"/>
    <w:rsid w:val="4DD384C3"/>
    <w:rsid w:val="4DE239F9"/>
    <w:rsid w:val="4E1F5164"/>
    <w:rsid w:val="4E225086"/>
    <w:rsid w:val="4E319A1D"/>
    <w:rsid w:val="4E327B73"/>
    <w:rsid w:val="4E462E56"/>
    <w:rsid w:val="4E6AADA2"/>
    <w:rsid w:val="4EA6EA40"/>
    <w:rsid w:val="4EAE9CEE"/>
    <w:rsid w:val="4EAEB488"/>
    <w:rsid w:val="4EC5C7F0"/>
    <w:rsid w:val="4EF9DB2E"/>
    <w:rsid w:val="4F00139B"/>
    <w:rsid w:val="4F3C24EF"/>
    <w:rsid w:val="4F5B270D"/>
    <w:rsid w:val="4F9E7D36"/>
    <w:rsid w:val="4FA5F67E"/>
    <w:rsid w:val="4FC55080"/>
    <w:rsid w:val="5005151C"/>
    <w:rsid w:val="50228DBC"/>
    <w:rsid w:val="5026613C"/>
    <w:rsid w:val="502966D2"/>
    <w:rsid w:val="5036C2F0"/>
    <w:rsid w:val="503C29B9"/>
    <w:rsid w:val="503DC3C1"/>
    <w:rsid w:val="50412D05"/>
    <w:rsid w:val="505082C0"/>
    <w:rsid w:val="50625A01"/>
    <w:rsid w:val="50824634"/>
    <w:rsid w:val="50C484EC"/>
    <w:rsid w:val="5156F004"/>
    <w:rsid w:val="51843ED8"/>
    <w:rsid w:val="51904375"/>
    <w:rsid w:val="519A5A3E"/>
    <w:rsid w:val="51B1A414"/>
    <w:rsid w:val="51C08A73"/>
    <w:rsid w:val="51D3E143"/>
    <w:rsid w:val="520B6183"/>
    <w:rsid w:val="5211AC51"/>
    <w:rsid w:val="52457D2A"/>
    <w:rsid w:val="52680A42"/>
    <w:rsid w:val="526B844B"/>
    <w:rsid w:val="5291111C"/>
    <w:rsid w:val="52CBCEBC"/>
    <w:rsid w:val="53014CBE"/>
    <w:rsid w:val="53064A97"/>
    <w:rsid w:val="53080D47"/>
    <w:rsid w:val="530F414E"/>
    <w:rsid w:val="5336D810"/>
    <w:rsid w:val="533A9F08"/>
    <w:rsid w:val="538EC71D"/>
    <w:rsid w:val="5396746A"/>
    <w:rsid w:val="539E038A"/>
    <w:rsid w:val="53C6675E"/>
    <w:rsid w:val="54085FFA"/>
    <w:rsid w:val="5414C817"/>
    <w:rsid w:val="54318E13"/>
    <w:rsid w:val="544815FB"/>
    <w:rsid w:val="545989D0"/>
    <w:rsid w:val="5470B2F7"/>
    <w:rsid w:val="54742F57"/>
    <w:rsid w:val="549AAC15"/>
    <w:rsid w:val="54B3CBB3"/>
    <w:rsid w:val="54C7EEA9"/>
    <w:rsid w:val="54D5AD53"/>
    <w:rsid w:val="54E77F57"/>
    <w:rsid w:val="54EA914E"/>
    <w:rsid w:val="54EDE187"/>
    <w:rsid w:val="5505BE5C"/>
    <w:rsid w:val="553447E8"/>
    <w:rsid w:val="553EEA63"/>
    <w:rsid w:val="5583106B"/>
    <w:rsid w:val="55D75FF0"/>
    <w:rsid w:val="55E433C4"/>
    <w:rsid w:val="55E8696A"/>
    <w:rsid w:val="562F71E3"/>
    <w:rsid w:val="5630980C"/>
    <w:rsid w:val="563A535C"/>
    <w:rsid w:val="563D07DE"/>
    <w:rsid w:val="56468460"/>
    <w:rsid w:val="56477865"/>
    <w:rsid w:val="565282E3"/>
    <w:rsid w:val="566400BC"/>
    <w:rsid w:val="568FEE29"/>
    <w:rsid w:val="569431B1"/>
    <w:rsid w:val="56A3AA4D"/>
    <w:rsid w:val="56A6A8ED"/>
    <w:rsid w:val="56C21C94"/>
    <w:rsid w:val="56DBA8A6"/>
    <w:rsid w:val="56FD3183"/>
    <w:rsid w:val="571048B9"/>
    <w:rsid w:val="572BDDF9"/>
    <w:rsid w:val="57461C15"/>
    <w:rsid w:val="577B4697"/>
    <w:rsid w:val="57966DAC"/>
    <w:rsid w:val="579E35B8"/>
    <w:rsid w:val="57B50A76"/>
    <w:rsid w:val="57D1CC5B"/>
    <w:rsid w:val="57D291A0"/>
    <w:rsid w:val="57D9CBA5"/>
    <w:rsid w:val="57E6E483"/>
    <w:rsid w:val="57E7F154"/>
    <w:rsid w:val="58026DDD"/>
    <w:rsid w:val="58402124"/>
    <w:rsid w:val="5858F8FE"/>
    <w:rsid w:val="585B833D"/>
    <w:rsid w:val="585BE0BB"/>
    <w:rsid w:val="585C0912"/>
    <w:rsid w:val="58692797"/>
    <w:rsid w:val="587C9739"/>
    <w:rsid w:val="587E44CB"/>
    <w:rsid w:val="58AEC3D8"/>
    <w:rsid w:val="58B0F573"/>
    <w:rsid w:val="58C674F1"/>
    <w:rsid w:val="58C7B12C"/>
    <w:rsid w:val="58CA90A3"/>
    <w:rsid w:val="58E19A52"/>
    <w:rsid w:val="58EF77E9"/>
    <w:rsid w:val="591A487A"/>
    <w:rsid w:val="5929C88C"/>
    <w:rsid w:val="59373619"/>
    <w:rsid w:val="593F719B"/>
    <w:rsid w:val="594DBFD5"/>
    <w:rsid w:val="596F9A15"/>
    <w:rsid w:val="599C2E6F"/>
    <w:rsid w:val="59AE049C"/>
    <w:rsid w:val="59B4812E"/>
    <w:rsid w:val="59BEEA1B"/>
    <w:rsid w:val="59DF47E7"/>
    <w:rsid w:val="59E6E304"/>
    <w:rsid w:val="5A019C28"/>
    <w:rsid w:val="5A14A9D6"/>
    <w:rsid w:val="5A239380"/>
    <w:rsid w:val="5A2A642C"/>
    <w:rsid w:val="5A488DEC"/>
    <w:rsid w:val="5A5F9F50"/>
    <w:rsid w:val="5A681C8A"/>
    <w:rsid w:val="5A6CF07B"/>
    <w:rsid w:val="5AAE8F64"/>
    <w:rsid w:val="5ABB1614"/>
    <w:rsid w:val="5B058779"/>
    <w:rsid w:val="5B06D9D5"/>
    <w:rsid w:val="5B0CE4F7"/>
    <w:rsid w:val="5B193B2F"/>
    <w:rsid w:val="5B5737F1"/>
    <w:rsid w:val="5B5DB32C"/>
    <w:rsid w:val="5B89745D"/>
    <w:rsid w:val="5BAFC0EE"/>
    <w:rsid w:val="5BB21043"/>
    <w:rsid w:val="5BB3748A"/>
    <w:rsid w:val="5BC6816F"/>
    <w:rsid w:val="5BE67AE6"/>
    <w:rsid w:val="5BFB1F49"/>
    <w:rsid w:val="5C3FB787"/>
    <w:rsid w:val="5C465CF0"/>
    <w:rsid w:val="5C4EEA87"/>
    <w:rsid w:val="5C600343"/>
    <w:rsid w:val="5CA027DB"/>
    <w:rsid w:val="5CAA9E41"/>
    <w:rsid w:val="5CDEA2C4"/>
    <w:rsid w:val="5D203027"/>
    <w:rsid w:val="5D205C82"/>
    <w:rsid w:val="5D21D754"/>
    <w:rsid w:val="5D3561E5"/>
    <w:rsid w:val="5D40D775"/>
    <w:rsid w:val="5D492CE2"/>
    <w:rsid w:val="5D543267"/>
    <w:rsid w:val="5D67F74E"/>
    <w:rsid w:val="5D86DBEE"/>
    <w:rsid w:val="5D8FAE81"/>
    <w:rsid w:val="5DFB4E53"/>
    <w:rsid w:val="5E3CD48E"/>
    <w:rsid w:val="5E5A52B1"/>
    <w:rsid w:val="5E6FA000"/>
    <w:rsid w:val="5E7DB4E2"/>
    <w:rsid w:val="5E885144"/>
    <w:rsid w:val="5E98E6D0"/>
    <w:rsid w:val="5EA0BE78"/>
    <w:rsid w:val="5EA49D77"/>
    <w:rsid w:val="5EEF8928"/>
    <w:rsid w:val="5F06E399"/>
    <w:rsid w:val="5F4AA0C2"/>
    <w:rsid w:val="5F629340"/>
    <w:rsid w:val="5FA430A5"/>
    <w:rsid w:val="5FB7CCEE"/>
    <w:rsid w:val="5FB83229"/>
    <w:rsid w:val="5FB88FE8"/>
    <w:rsid w:val="5FE2BCBA"/>
    <w:rsid w:val="606BADA0"/>
    <w:rsid w:val="60744C31"/>
    <w:rsid w:val="60C3EC4A"/>
    <w:rsid w:val="60F26E37"/>
    <w:rsid w:val="610B2478"/>
    <w:rsid w:val="610C5BE3"/>
    <w:rsid w:val="61167919"/>
    <w:rsid w:val="615AE4CC"/>
    <w:rsid w:val="61790A09"/>
    <w:rsid w:val="6196F055"/>
    <w:rsid w:val="619A9159"/>
    <w:rsid w:val="61CF4230"/>
    <w:rsid w:val="62156A66"/>
    <w:rsid w:val="627A0687"/>
    <w:rsid w:val="62B1DF81"/>
    <w:rsid w:val="62B51A94"/>
    <w:rsid w:val="62C8AFD8"/>
    <w:rsid w:val="630C9291"/>
    <w:rsid w:val="630E54D5"/>
    <w:rsid w:val="630E5EA2"/>
    <w:rsid w:val="633B36DA"/>
    <w:rsid w:val="635BBA65"/>
    <w:rsid w:val="635D1E8A"/>
    <w:rsid w:val="636826A4"/>
    <w:rsid w:val="639E529D"/>
    <w:rsid w:val="63A27C43"/>
    <w:rsid w:val="63A5F5CE"/>
    <w:rsid w:val="63B63493"/>
    <w:rsid w:val="63BC845E"/>
    <w:rsid w:val="63C4324D"/>
    <w:rsid w:val="63FD1A90"/>
    <w:rsid w:val="640BB9EF"/>
    <w:rsid w:val="64477FC5"/>
    <w:rsid w:val="645D7747"/>
    <w:rsid w:val="64AC4780"/>
    <w:rsid w:val="64E7ADD9"/>
    <w:rsid w:val="64EE02B8"/>
    <w:rsid w:val="6507A05E"/>
    <w:rsid w:val="6516B762"/>
    <w:rsid w:val="6556A7A1"/>
    <w:rsid w:val="65A134ED"/>
    <w:rsid w:val="65EC78AB"/>
    <w:rsid w:val="65F4C47E"/>
    <w:rsid w:val="660FA8CC"/>
    <w:rsid w:val="665FF894"/>
    <w:rsid w:val="66AB9098"/>
    <w:rsid w:val="66B62DA2"/>
    <w:rsid w:val="66BEF25F"/>
    <w:rsid w:val="66C58293"/>
    <w:rsid w:val="66D7D76F"/>
    <w:rsid w:val="66DB96B3"/>
    <w:rsid w:val="670EC03F"/>
    <w:rsid w:val="672DCB2D"/>
    <w:rsid w:val="673D9F99"/>
    <w:rsid w:val="67449AA0"/>
    <w:rsid w:val="67681EAB"/>
    <w:rsid w:val="677AFF46"/>
    <w:rsid w:val="678183DA"/>
    <w:rsid w:val="678A9332"/>
    <w:rsid w:val="679B7A22"/>
    <w:rsid w:val="67A6F98B"/>
    <w:rsid w:val="67B03F50"/>
    <w:rsid w:val="67E3B8E6"/>
    <w:rsid w:val="67F5015C"/>
    <w:rsid w:val="6863D2B7"/>
    <w:rsid w:val="68846E7A"/>
    <w:rsid w:val="688B69BF"/>
    <w:rsid w:val="68A60F82"/>
    <w:rsid w:val="68AAC08F"/>
    <w:rsid w:val="68BB5806"/>
    <w:rsid w:val="68CF1521"/>
    <w:rsid w:val="68DCBD1E"/>
    <w:rsid w:val="691F2898"/>
    <w:rsid w:val="69224734"/>
    <w:rsid w:val="692C3914"/>
    <w:rsid w:val="693AC3A8"/>
    <w:rsid w:val="693C7E8B"/>
    <w:rsid w:val="69750EB7"/>
    <w:rsid w:val="697BC443"/>
    <w:rsid w:val="697D8FBB"/>
    <w:rsid w:val="69815090"/>
    <w:rsid w:val="6995F698"/>
    <w:rsid w:val="69B7CF9C"/>
    <w:rsid w:val="69CC82EE"/>
    <w:rsid w:val="69D99AD2"/>
    <w:rsid w:val="69E0319C"/>
    <w:rsid w:val="6A012294"/>
    <w:rsid w:val="6A210892"/>
    <w:rsid w:val="6A55940E"/>
    <w:rsid w:val="6A7445E1"/>
    <w:rsid w:val="6A976C5A"/>
    <w:rsid w:val="6A9937A4"/>
    <w:rsid w:val="6A9DA964"/>
    <w:rsid w:val="6AC0E9C7"/>
    <w:rsid w:val="6AD07FCE"/>
    <w:rsid w:val="6AF70882"/>
    <w:rsid w:val="6AF8F0D7"/>
    <w:rsid w:val="6AF9257E"/>
    <w:rsid w:val="6B112E6C"/>
    <w:rsid w:val="6B177BEB"/>
    <w:rsid w:val="6B2FA167"/>
    <w:rsid w:val="6B5FB4B4"/>
    <w:rsid w:val="6B6151A1"/>
    <w:rsid w:val="6B6C2A32"/>
    <w:rsid w:val="6B9932DF"/>
    <w:rsid w:val="6BA32CCE"/>
    <w:rsid w:val="6BEE3FBC"/>
    <w:rsid w:val="6C0B8AA7"/>
    <w:rsid w:val="6C23E30B"/>
    <w:rsid w:val="6C80D723"/>
    <w:rsid w:val="6C8C1C6C"/>
    <w:rsid w:val="6CBC986D"/>
    <w:rsid w:val="6CC25843"/>
    <w:rsid w:val="6CC30535"/>
    <w:rsid w:val="6CD45423"/>
    <w:rsid w:val="6D168A88"/>
    <w:rsid w:val="6D19FFA1"/>
    <w:rsid w:val="6D1EE6D8"/>
    <w:rsid w:val="6D4173BC"/>
    <w:rsid w:val="6D439067"/>
    <w:rsid w:val="6D5C47E0"/>
    <w:rsid w:val="6D607CFA"/>
    <w:rsid w:val="6D68C906"/>
    <w:rsid w:val="6D77D0D0"/>
    <w:rsid w:val="6DCD5DB2"/>
    <w:rsid w:val="6DF360B7"/>
    <w:rsid w:val="6DFB684C"/>
    <w:rsid w:val="6E5D67D6"/>
    <w:rsid w:val="6E7D6FF9"/>
    <w:rsid w:val="6E99F16A"/>
    <w:rsid w:val="6EA248C7"/>
    <w:rsid w:val="6EB5A813"/>
    <w:rsid w:val="6EC71CB1"/>
    <w:rsid w:val="6ECC25B8"/>
    <w:rsid w:val="6EE85FF9"/>
    <w:rsid w:val="6EE9CFD8"/>
    <w:rsid w:val="6EF570FD"/>
    <w:rsid w:val="6F0DE169"/>
    <w:rsid w:val="6F1FCD22"/>
    <w:rsid w:val="6F2B961B"/>
    <w:rsid w:val="6F2FF6AB"/>
    <w:rsid w:val="6F7DE1F2"/>
    <w:rsid w:val="6F874BAB"/>
    <w:rsid w:val="6F8FF10B"/>
    <w:rsid w:val="6F9A7C17"/>
    <w:rsid w:val="6FA73F12"/>
    <w:rsid w:val="6FA792AB"/>
    <w:rsid w:val="6FAF9B08"/>
    <w:rsid w:val="6FB06F86"/>
    <w:rsid w:val="6FB712B5"/>
    <w:rsid w:val="6FD6084E"/>
    <w:rsid w:val="6FE3442B"/>
    <w:rsid w:val="6FF1EE87"/>
    <w:rsid w:val="7028F784"/>
    <w:rsid w:val="7034363E"/>
    <w:rsid w:val="70976458"/>
    <w:rsid w:val="709BE061"/>
    <w:rsid w:val="70DCFBD9"/>
    <w:rsid w:val="70EBAE62"/>
    <w:rsid w:val="70F4A481"/>
    <w:rsid w:val="71378767"/>
    <w:rsid w:val="713FEC33"/>
    <w:rsid w:val="7165DA20"/>
    <w:rsid w:val="71756DBF"/>
    <w:rsid w:val="7182D5AD"/>
    <w:rsid w:val="719941D1"/>
    <w:rsid w:val="71A4DA48"/>
    <w:rsid w:val="71CFBCF8"/>
    <w:rsid w:val="71DDB52E"/>
    <w:rsid w:val="7242100F"/>
    <w:rsid w:val="72459195"/>
    <w:rsid w:val="725854BD"/>
    <w:rsid w:val="725DF311"/>
    <w:rsid w:val="725F48AD"/>
    <w:rsid w:val="7264FF06"/>
    <w:rsid w:val="726662E3"/>
    <w:rsid w:val="726D516E"/>
    <w:rsid w:val="726DB3BA"/>
    <w:rsid w:val="727A9FC0"/>
    <w:rsid w:val="727BFCA2"/>
    <w:rsid w:val="729432CF"/>
    <w:rsid w:val="72A30262"/>
    <w:rsid w:val="72F9AB5B"/>
    <w:rsid w:val="7306EF0F"/>
    <w:rsid w:val="7318C3F3"/>
    <w:rsid w:val="7330A2CB"/>
    <w:rsid w:val="73460FCF"/>
    <w:rsid w:val="73493C14"/>
    <w:rsid w:val="734B7611"/>
    <w:rsid w:val="7397F863"/>
    <w:rsid w:val="73AF4E3A"/>
    <w:rsid w:val="73DE982D"/>
    <w:rsid w:val="73E0B4B1"/>
    <w:rsid w:val="74202E25"/>
    <w:rsid w:val="74270C73"/>
    <w:rsid w:val="742A41FE"/>
    <w:rsid w:val="743E3878"/>
    <w:rsid w:val="74B6B1A8"/>
    <w:rsid w:val="74B7B60D"/>
    <w:rsid w:val="74BE8319"/>
    <w:rsid w:val="74C1C7D7"/>
    <w:rsid w:val="74DF7CB8"/>
    <w:rsid w:val="74EE33ED"/>
    <w:rsid w:val="74F86187"/>
    <w:rsid w:val="750A595C"/>
    <w:rsid w:val="751E8ADF"/>
    <w:rsid w:val="7542A73B"/>
    <w:rsid w:val="7559B98A"/>
    <w:rsid w:val="755F24FD"/>
    <w:rsid w:val="759363DC"/>
    <w:rsid w:val="75AFEB38"/>
    <w:rsid w:val="75C9C2B0"/>
    <w:rsid w:val="75E0AB72"/>
    <w:rsid w:val="760DD0A2"/>
    <w:rsid w:val="76196D52"/>
    <w:rsid w:val="761A02FC"/>
    <w:rsid w:val="764828F2"/>
    <w:rsid w:val="7669B273"/>
    <w:rsid w:val="768CE6C2"/>
    <w:rsid w:val="769E03F3"/>
    <w:rsid w:val="76BB487F"/>
    <w:rsid w:val="76DA6CE6"/>
    <w:rsid w:val="77010890"/>
    <w:rsid w:val="7727435E"/>
    <w:rsid w:val="772D5105"/>
    <w:rsid w:val="77375B49"/>
    <w:rsid w:val="77648CC0"/>
    <w:rsid w:val="777460F1"/>
    <w:rsid w:val="777B1CBE"/>
    <w:rsid w:val="7788BFBF"/>
    <w:rsid w:val="779018E5"/>
    <w:rsid w:val="77A00B90"/>
    <w:rsid w:val="77E0FE16"/>
    <w:rsid w:val="77E3F578"/>
    <w:rsid w:val="77E67BB9"/>
    <w:rsid w:val="77F584FB"/>
    <w:rsid w:val="780E3824"/>
    <w:rsid w:val="78207A0C"/>
    <w:rsid w:val="782993D0"/>
    <w:rsid w:val="783F210B"/>
    <w:rsid w:val="7842610C"/>
    <w:rsid w:val="785625DD"/>
    <w:rsid w:val="785CC5EB"/>
    <w:rsid w:val="787D9462"/>
    <w:rsid w:val="788BB817"/>
    <w:rsid w:val="78925955"/>
    <w:rsid w:val="78DD621E"/>
    <w:rsid w:val="78F0E8CB"/>
    <w:rsid w:val="790822A8"/>
    <w:rsid w:val="791456CC"/>
    <w:rsid w:val="79171B61"/>
    <w:rsid w:val="79294432"/>
    <w:rsid w:val="79441711"/>
    <w:rsid w:val="7950C256"/>
    <w:rsid w:val="795696FD"/>
    <w:rsid w:val="79630F76"/>
    <w:rsid w:val="79648F2C"/>
    <w:rsid w:val="797E7A18"/>
    <w:rsid w:val="799E863F"/>
    <w:rsid w:val="79A3E55D"/>
    <w:rsid w:val="79B45D92"/>
    <w:rsid w:val="79C99D02"/>
    <w:rsid w:val="79F61C5C"/>
    <w:rsid w:val="7A20D691"/>
    <w:rsid w:val="7A52C4BA"/>
    <w:rsid w:val="7A5FE8A7"/>
    <w:rsid w:val="7A66DFCF"/>
    <w:rsid w:val="7A72DDB1"/>
    <w:rsid w:val="7A7FE475"/>
    <w:rsid w:val="7A937D10"/>
    <w:rsid w:val="7A9A2BC8"/>
    <w:rsid w:val="7A9E31AF"/>
    <w:rsid w:val="7AAA7AC6"/>
    <w:rsid w:val="7AB4B2E8"/>
    <w:rsid w:val="7AC73C21"/>
    <w:rsid w:val="7AE2A49E"/>
    <w:rsid w:val="7AE8ED37"/>
    <w:rsid w:val="7AE970D6"/>
    <w:rsid w:val="7AF8CE80"/>
    <w:rsid w:val="7B23328A"/>
    <w:rsid w:val="7B2597E2"/>
    <w:rsid w:val="7B49624B"/>
    <w:rsid w:val="7B4E4225"/>
    <w:rsid w:val="7B5A16D6"/>
    <w:rsid w:val="7B7C7FCB"/>
    <w:rsid w:val="7B890719"/>
    <w:rsid w:val="7B8B9B94"/>
    <w:rsid w:val="7BA1B724"/>
    <w:rsid w:val="7BB2D16F"/>
    <w:rsid w:val="7BBA70F0"/>
    <w:rsid w:val="7BBC75C3"/>
    <w:rsid w:val="7BC3ADB3"/>
    <w:rsid w:val="7BC62E04"/>
    <w:rsid w:val="7BD3797B"/>
    <w:rsid w:val="7BE65628"/>
    <w:rsid w:val="7BF1A3E5"/>
    <w:rsid w:val="7C00E737"/>
    <w:rsid w:val="7C020E16"/>
    <w:rsid w:val="7C163B15"/>
    <w:rsid w:val="7C526C33"/>
    <w:rsid w:val="7C56054B"/>
    <w:rsid w:val="7C9AD37E"/>
    <w:rsid w:val="7CA23659"/>
    <w:rsid w:val="7CB6C46C"/>
    <w:rsid w:val="7CC6275F"/>
    <w:rsid w:val="7CCCCADC"/>
    <w:rsid w:val="7CDC9C26"/>
    <w:rsid w:val="7D011B26"/>
    <w:rsid w:val="7D18804D"/>
    <w:rsid w:val="7D2DE030"/>
    <w:rsid w:val="7D3A17BA"/>
    <w:rsid w:val="7D6C9935"/>
    <w:rsid w:val="7DAB3514"/>
    <w:rsid w:val="7DB2F7FE"/>
    <w:rsid w:val="7DDD37DE"/>
    <w:rsid w:val="7E134D70"/>
    <w:rsid w:val="7E2A6F7A"/>
    <w:rsid w:val="7E2E6CA2"/>
    <w:rsid w:val="7E31017E"/>
    <w:rsid w:val="7E4B1488"/>
    <w:rsid w:val="7E56CE98"/>
    <w:rsid w:val="7E84F050"/>
    <w:rsid w:val="7E8ABB63"/>
    <w:rsid w:val="7E9DB91C"/>
    <w:rsid w:val="7EC1F397"/>
    <w:rsid w:val="7F13F2D1"/>
    <w:rsid w:val="7F2154E3"/>
    <w:rsid w:val="7F35A957"/>
    <w:rsid w:val="7F669EC3"/>
    <w:rsid w:val="7F908896"/>
    <w:rsid w:val="7FA5BC4E"/>
    <w:rsid w:val="7FA7AE49"/>
    <w:rsid w:val="7FAB1DB1"/>
    <w:rsid w:val="7FBCB7C5"/>
    <w:rsid w:val="7FE5226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0F707B"/>
  <w15:chartTrackingRefBased/>
  <w15:docId w15:val="{5A9CDA69-BF49-4F77-988E-89BE01326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13B9"/>
    <w:pPr>
      <w:keepNext/>
      <w:keepLines/>
      <w:numPr>
        <w:numId w:val="1"/>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B5E20"/>
    <w:pPr>
      <w:keepNext/>
      <w:keepLines/>
      <w:numPr>
        <w:ilvl w:val="1"/>
        <w:numId w:val="1"/>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E1BD5"/>
    <w:pPr>
      <w:keepNext/>
      <w:keepLines/>
      <w:numPr>
        <w:ilvl w:val="2"/>
        <w:numId w:val="1"/>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F7CC6"/>
    <w:pPr>
      <w:keepNext/>
      <w:keepLines/>
      <w:numPr>
        <w:ilvl w:val="3"/>
        <w:numId w:val="1"/>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F7CC6"/>
    <w:pPr>
      <w:keepNext/>
      <w:keepLines/>
      <w:numPr>
        <w:ilvl w:val="4"/>
        <w:numId w:val="1"/>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F7CC6"/>
    <w:pPr>
      <w:keepNext/>
      <w:keepLines/>
      <w:numPr>
        <w:ilvl w:val="5"/>
        <w:numId w:val="1"/>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7CC6"/>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7CC6"/>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7CC6"/>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3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B5E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E1B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F7C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9F7C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F7C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7C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7C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7CC6"/>
    <w:rPr>
      <w:rFonts w:eastAsiaTheme="majorEastAsia" w:cstheme="majorBidi"/>
      <w:color w:val="272727" w:themeColor="text1" w:themeTint="D8"/>
    </w:rPr>
  </w:style>
  <w:style w:type="paragraph" w:styleId="Title">
    <w:name w:val="Title"/>
    <w:basedOn w:val="Heading1"/>
    <w:next w:val="Normal"/>
    <w:link w:val="TitleChar"/>
    <w:uiPriority w:val="10"/>
    <w:qFormat/>
    <w:rsid w:val="009F7CC6"/>
    <w:pPr>
      <w:spacing w:line="240" w:lineRule="auto"/>
      <w:contextualSpacing/>
    </w:pPr>
    <w:rPr>
      <w:spacing w:val="-10"/>
      <w:kern w:val="28"/>
      <w:sz w:val="56"/>
      <w:szCs w:val="56"/>
    </w:rPr>
  </w:style>
  <w:style w:type="character" w:customStyle="1" w:styleId="TitleChar">
    <w:name w:val="Title Char"/>
    <w:basedOn w:val="DefaultParagraphFont"/>
    <w:link w:val="Title"/>
    <w:uiPriority w:val="10"/>
    <w:rsid w:val="009F7CC6"/>
    <w:rPr>
      <w:rFonts w:asciiTheme="majorHAnsi" w:eastAsiaTheme="majorEastAsia" w:hAnsiTheme="majorHAnsi" w:cstheme="majorBidi"/>
      <w:color w:val="0F4761" w:themeColor="accent1" w:themeShade="BF"/>
      <w:spacing w:val="-10"/>
      <w:kern w:val="28"/>
      <w:sz w:val="56"/>
      <w:szCs w:val="56"/>
    </w:rPr>
  </w:style>
  <w:style w:type="paragraph" w:styleId="Subtitle">
    <w:name w:val="Subtitle"/>
    <w:basedOn w:val="Normal"/>
    <w:next w:val="Normal"/>
    <w:link w:val="SubtitleChar"/>
    <w:uiPriority w:val="11"/>
    <w:qFormat/>
    <w:rsid w:val="009F7C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7C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7CC6"/>
    <w:pPr>
      <w:spacing w:before="160"/>
      <w:jc w:val="center"/>
    </w:pPr>
    <w:rPr>
      <w:i/>
      <w:iCs/>
      <w:color w:val="404040" w:themeColor="text1" w:themeTint="BF"/>
    </w:rPr>
  </w:style>
  <w:style w:type="character" w:customStyle="1" w:styleId="QuoteChar">
    <w:name w:val="Quote Char"/>
    <w:basedOn w:val="DefaultParagraphFont"/>
    <w:link w:val="Quote"/>
    <w:uiPriority w:val="29"/>
    <w:rsid w:val="009F7CC6"/>
    <w:rPr>
      <w:i/>
      <w:iCs/>
      <w:color w:val="404040" w:themeColor="text1" w:themeTint="BF"/>
    </w:rPr>
  </w:style>
  <w:style w:type="paragraph" w:styleId="ListParagraph">
    <w:name w:val="List Paragraph"/>
    <w:aliases w:val="List number Paragraph"/>
    <w:basedOn w:val="Normal"/>
    <w:link w:val="ListParagraphChar"/>
    <w:uiPriority w:val="34"/>
    <w:qFormat/>
    <w:rsid w:val="009F7CC6"/>
    <w:pPr>
      <w:ind w:left="720"/>
      <w:contextualSpacing/>
    </w:pPr>
  </w:style>
  <w:style w:type="character" w:styleId="IntenseEmphasis">
    <w:name w:val="Intense Emphasis"/>
    <w:basedOn w:val="DefaultParagraphFont"/>
    <w:uiPriority w:val="21"/>
    <w:qFormat/>
    <w:rsid w:val="009F7CC6"/>
    <w:rPr>
      <w:i/>
      <w:iCs/>
      <w:color w:val="0F4761" w:themeColor="accent1" w:themeShade="BF"/>
    </w:rPr>
  </w:style>
  <w:style w:type="paragraph" w:styleId="IntenseQuote">
    <w:name w:val="Intense Quote"/>
    <w:basedOn w:val="Normal"/>
    <w:next w:val="Normal"/>
    <w:link w:val="IntenseQuoteChar"/>
    <w:uiPriority w:val="30"/>
    <w:qFormat/>
    <w:rsid w:val="009F7C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7CC6"/>
    <w:rPr>
      <w:i/>
      <w:iCs/>
      <w:color w:val="0F4761" w:themeColor="accent1" w:themeShade="BF"/>
    </w:rPr>
  </w:style>
  <w:style w:type="character" w:styleId="IntenseReference">
    <w:name w:val="Intense Reference"/>
    <w:basedOn w:val="DefaultParagraphFont"/>
    <w:uiPriority w:val="32"/>
    <w:qFormat/>
    <w:rsid w:val="009F7CC6"/>
    <w:rPr>
      <w:b/>
      <w:bCs/>
      <w:smallCaps/>
      <w:color w:val="0F4761" w:themeColor="accent1" w:themeShade="BF"/>
      <w:spacing w:val="5"/>
    </w:rPr>
  </w:style>
  <w:style w:type="paragraph" w:styleId="Header">
    <w:name w:val="header"/>
    <w:basedOn w:val="Normal"/>
    <w:link w:val="HeaderChar"/>
    <w:uiPriority w:val="99"/>
    <w:unhideWhenUsed/>
    <w:rsid w:val="00D732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2E1"/>
  </w:style>
  <w:style w:type="paragraph" w:styleId="Footer">
    <w:name w:val="footer"/>
    <w:basedOn w:val="Normal"/>
    <w:link w:val="FooterChar"/>
    <w:uiPriority w:val="99"/>
    <w:unhideWhenUsed/>
    <w:rsid w:val="00D732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2E1"/>
  </w:style>
  <w:style w:type="character" w:styleId="CommentReference">
    <w:name w:val="annotation reference"/>
    <w:basedOn w:val="DefaultParagraphFont"/>
    <w:uiPriority w:val="99"/>
    <w:unhideWhenUsed/>
    <w:rsid w:val="00D01A1E"/>
    <w:rPr>
      <w:sz w:val="16"/>
      <w:szCs w:val="16"/>
    </w:rPr>
  </w:style>
  <w:style w:type="paragraph" w:styleId="CommentText">
    <w:name w:val="annotation text"/>
    <w:basedOn w:val="Normal"/>
    <w:link w:val="CommentTextChar"/>
    <w:uiPriority w:val="99"/>
    <w:unhideWhenUsed/>
    <w:rsid w:val="00D01A1E"/>
    <w:pPr>
      <w:spacing w:line="240" w:lineRule="auto"/>
    </w:pPr>
    <w:rPr>
      <w:sz w:val="20"/>
      <w:szCs w:val="20"/>
    </w:rPr>
  </w:style>
  <w:style w:type="character" w:customStyle="1" w:styleId="CommentTextChar">
    <w:name w:val="Comment Text Char"/>
    <w:basedOn w:val="DefaultParagraphFont"/>
    <w:link w:val="CommentText"/>
    <w:uiPriority w:val="99"/>
    <w:rsid w:val="00D01A1E"/>
    <w:rPr>
      <w:sz w:val="20"/>
      <w:szCs w:val="20"/>
    </w:rPr>
  </w:style>
  <w:style w:type="paragraph" w:styleId="CommentSubject">
    <w:name w:val="annotation subject"/>
    <w:basedOn w:val="CommentText"/>
    <w:next w:val="CommentText"/>
    <w:link w:val="CommentSubjectChar"/>
    <w:uiPriority w:val="99"/>
    <w:semiHidden/>
    <w:unhideWhenUsed/>
    <w:rsid w:val="00D01A1E"/>
    <w:rPr>
      <w:b/>
      <w:bCs/>
    </w:rPr>
  </w:style>
  <w:style w:type="character" w:customStyle="1" w:styleId="CommentSubjectChar">
    <w:name w:val="Comment Subject Char"/>
    <w:basedOn w:val="CommentTextChar"/>
    <w:link w:val="CommentSubject"/>
    <w:uiPriority w:val="99"/>
    <w:semiHidden/>
    <w:rsid w:val="00D01A1E"/>
    <w:rPr>
      <w:b/>
      <w:bCs/>
      <w:sz w:val="20"/>
      <w:szCs w:val="20"/>
    </w:rPr>
  </w:style>
  <w:style w:type="character" w:styleId="Hyperlink">
    <w:name w:val="Hyperlink"/>
    <w:basedOn w:val="DefaultParagraphFont"/>
    <w:uiPriority w:val="99"/>
    <w:unhideWhenUsed/>
    <w:rsid w:val="00E50811"/>
    <w:rPr>
      <w:color w:val="467886" w:themeColor="hyperlink"/>
      <w:u w:val="single"/>
    </w:rPr>
  </w:style>
  <w:style w:type="character" w:styleId="UnresolvedMention">
    <w:name w:val="Unresolved Mention"/>
    <w:basedOn w:val="DefaultParagraphFont"/>
    <w:uiPriority w:val="99"/>
    <w:unhideWhenUsed/>
    <w:rsid w:val="00E50811"/>
    <w:rPr>
      <w:color w:val="605E5C"/>
      <w:shd w:val="clear" w:color="auto" w:fill="E1DFDD"/>
    </w:rPr>
  </w:style>
  <w:style w:type="paragraph" w:styleId="TOCHeading">
    <w:name w:val="TOC Heading"/>
    <w:basedOn w:val="Heading1"/>
    <w:next w:val="Normal"/>
    <w:uiPriority w:val="39"/>
    <w:unhideWhenUsed/>
    <w:qFormat/>
    <w:rsid w:val="00432D1A"/>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432D1A"/>
    <w:pPr>
      <w:spacing w:after="100"/>
    </w:pPr>
  </w:style>
  <w:style w:type="paragraph" w:styleId="TOC2">
    <w:name w:val="toc 2"/>
    <w:basedOn w:val="Normal"/>
    <w:next w:val="Normal"/>
    <w:autoRedefine/>
    <w:uiPriority w:val="39"/>
    <w:unhideWhenUsed/>
    <w:rsid w:val="00432D1A"/>
    <w:pPr>
      <w:spacing w:after="100"/>
      <w:ind w:left="220"/>
    </w:pPr>
  </w:style>
  <w:style w:type="paragraph" w:styleId="TOC3">
    <w:name w:val="toc 3"/>
    <w:basedOn w:val="Normal"/>
    <w:next w:val="Normal"/>
    <w:autoRedefine/>
    <w:uiPriority w:val="39"/>
    <w:unhideWhenUsed/>
    <w:rsid w:val="00432D1A"/>
    <w:pPr>
      <w:spacing w:after="100"/>
      <w:ind w:left="440"/>
    </w:pPr>
  </w:style>
  <w:style w:type="paragraph" w:styleId="Revision">
    <w:name w:val="Revision"/>
    <w:hidden/>
    <w:uiPriority w:val="99"/>
    <w:semiHidden/>
    <w:rsid w:val="00E31342"/>
    <w:pPr>
      <w:spacing w:after="0" w:line="240" w:lineRule="auto"/>
    </w:pPr>
  </w:style>
  <w:style w:type="table" w:styleId="TableGrid">
    <w:name w:val="Table Grid"/>
    <w:basedOn w:val="TableNormal"/>
    <w:uiPriority w:val="39"/>
    <w:rsid w:val="00FC0B9F"/>
    <w:pPr>
      <w:spacing w:after="0" w:line="240" w:lineRule="auto"/>
    </w:pPr>
    <w:tblPr>
      <w:tblInd w:w="0" w:type="nil"/>
      <w:tblCellMar>
        <w:left w:w="0" w:type="dxa"/>
        <w:right w:w="0" w:type="dxa"/>
      </w:tblCellMar>
    </w:tblPr>
  </w:style>
  <w:style w:type="character" w:styleId="FollowedHyperlink">
    <w:name w:val="FollowedHyperlink"/>
    <w:basedOn w:val="DefaultParagraphFont"/>
    <w:uiPriority w:val="99"/>
    <w:semiHidden/>
    <w:unhideWhenUsed/>
    <w:rsid w:val="001F1139"/>
    <w:rPr>
      <w:color w:val="96607D" w:themeColor="followedHyperlink"/>
      <w:u w:val="single"/>
    </w:rPr>
  </w:style>
  <w:style w:type="paragraph" w:customStyle="1" w:styleId="pf0">
    <w:name w:val="pf0"/>
    <w:basedOn w:val="Normal"/>
    <w:rsid w:val="00AC6A34"/>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cf01">
    <w:name w:val="cf01"/>
    <w:basedOn w:val="DefaultParagraphFont"/>
    <w:rsid w:val="00AC6A34"/>
    <w:rPr>
      <w:rFonts w:ascii="Segoe UI" w:hAnsi="Segoe UI" w:cs="Segoe UI" w:hint="default"/>
      <w:b/>
      <w:bCs/>
      <w:sz w:val="18"/>
      <w:szCs w:val="18"/>
      <w:shd w:val="clear" w:color="auto" w:fill="FFFFFF"/>
    </w:rPr>
  </w:style>
  <w:style w:type="character" w:styleId="Mention">
    <w:name w:val="Mention"/>
    <w:basedOn w:val="DefaultParagraphFont"/>
    <w:uiPriority w:val="99"/>
    <w:unhideWhenUsed/>
    <w:rsid w:val="00E6268A"/>
    <w:rPr>
      <w:color w:val="2B579A"/>
      <w:shd w:val="clear" w:color="auto" w:fill="E1DFDD"/>
    </w:rPr>
  </w:style>
  <w:style w:type="paragraph" w:styleId="NormalWeb">
    <w:name w:val="Normal (Web)"/>
    <w:basedOn w:val="Normal"/>
    <w:uiPriority w:val="99"/>
    <w:semiHidden/>
    <w:unhideWhenUsed/>
    <w:rsid w:val="008D3C73"/>
    <w:rPr>
      <w:rFonts w:ascii="Times New Roman" w:hAnsi="Times New Roman" w:cs="Times New Roman"/>
      <w:sz w:val="24"/>
      <w:szCs w:val="24"/>
    </w:rPr>
  </w:style>
  <w:style w:type="paragraph" w:styleId="NoSpacing">
    <w:name w:val="No Spacing"/>
    <w:link w:val="NoSpacingChar"/>
    <w:uiPriority w:val="1"/>
    <w:qFormat/>
    <w:rsid w:val="00AF7CD1"/>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AF7CD1"/>
    <w:rPr>
      <w:rFonts w:eastAsiaTheme="minorEastAsia"/>
      <w:kern w:val="0"/>
      <w:lang w:val="en-US"/>
      <w14:ligatures w14:val="none"/>
    </w:rPr>
  </w:style>
  <w:style w:type="character" w:styleId="Strong">
    <w:name w:val="Strong"/>
    <w:basedOn w:val="DefaultParagraphFont"/>
    <w:uiPriority w:val="22"/>
    <w:qFormat/>
    <w:rsid w:val="00137AFF"/>
    <w:rPr>
      <w:b/>
      <w:bCs/>
    </w:rPr>
  </w:style>
  <w:style w:type="paragraph" w:customStyle="1" w:styleId="paragraph">
    <w:name w:val="paragraph"/>
    <w:basedOn w:val="Normal"/>
    <w:rsid w:val="003C0B92"/>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3C0B92"/>
  </w:style>
  <w:style w:type="character" w:customStyle="1" w:styleId="eop">
    <w:name w:val="eop"/>
    <w:basedOn w:val="DefaultParagraphFont"/>
    <w:rsid w:val="003C0B92"/>
  </w:style>
  <w:style w:type="paragraph" w:customStyle="1" w:styleId="Example">
    <w:name w:val="Example"/>
    <w:basedOn w:val="Normal"/>
    <w:rsid w:val="00731113"/>
    <w:pPr>
      <w:tabs>
        <w:tab w:val="left" w:pos="1354"/>
      </w:tabs>
      <w:spacing w:after="240" w:line="220" w:lineRule="atLeast"/>
      <w:jc w:val="both"/>
    </w:pPr>
    <w:rPr>
      <w:rFonts w:ascii="Cambria" w:eastAsia="Calibri" w:hAnsi="Cambria" w:cs="Times New Roman"/>
      <w:kern w:val="0"/>
      <w:sz w:val="20"/>
      <w:lang w:val="en-GB"/>
      <w14:ligatures w14:val="none"/>
    </w:rPr>
  </w:style>
  <w:style w:type="paragraph" w:customStyle="1" w:styleId="Note">
    <w:name w:val="Note"/>
    <w:basedOn w:val="Normal"/>
    <w:rsid w:val="00731113"/>
    <w:pPr>
      <w:tabs>
        <w:tab w:val="left" w:pos="965"/>
      </w:tabs>
      <w:spacing w:after="240" w:line="220" w:lineRule="atLeast"/>
      <w:jc w:val="both"/>
    </w:pPr>
    <w:rPr>
      <w:rFonts w:ascii="Cambria" w:eastAsia="Calibri" w:hAnsi="Cambria" w:cs="Times New Roman"/>
      <w:kern w:val="0"/>
      <w:sz w:val="20"/>
      <w:lang w:val="en-GB"/>
      <w14:ligatures w14:val="none"/>
    </w:rPr>
  </w:style>
  <w:style w:type="paragraph" w:customStyle="1" w:styleId="ListContinue1">
    <w:name w:val="List Continue 1"/>
    <w:basedOn w:val="Normal"/>
    <w:rsid w:val="00731113"/>
    <w:pPr>
      <w:numPr>
        <w:numId w:val="5"/>
      </w:numPr>
      <w:tabs>
        <w:tab w:val="left" w:pos="720"/>
      </w:tabs>
      <w:spacing w:after="240" w:line="240" w:lineRule="atLeast"/>
      <w:ind w:left="357" w:hanging="357"/>
      <w:jc w:val="both"/>
    </w:pPr>
    <w:rPr>
      <w:rFonts w:ascii="Cambria" w:eastAsia="Calibri" w:hAnsi="Cambria" w:cs="Times New Roman"/>
      <w:kern w:val="0"/>
      <w:lang w:val="en-GB"/>
      <w14:ligatures w14:val="none"/>
    </w:rPr>
  </w:style>
  <w:style w:type="paragraph" w:styleId="BodyText">
    <w:name w:val="Body Text"/>
    <w:basedOn w:val="Normal"/>
    <w:link w:val="BodyTextChar"/>
    <w:uiPriority w:val="99"/>
    <w:unhideWhenUsed/>
    <w:rsid w:val="00731113"/>
    <w:pPr>
      <w:spacing w:after="240" w:line="240" w:lineRule="atLeast"/>
      <w:jc w:val="both"/>
    </w:pPr>
    <w:rPr>
      <w:rFonts w:ascii="Cambria" w:eastAsia="Calibri" w:hAnsi="Cambria" w:cs="Times New Roman"/>
      <w:kern w:val="0"/>
      <w:lang w:val="en-GB"/>
      <w14:ligatures w14:val="none"/>
    </w:rPr>
  </w:style>
  <w:style w:type="character" w:customStyle="1" w:styleId="BodyTextChar">
    <w:name w:val="Body Text Char"/>
    <w:basedOn w:val="DefaultParagraphFont"/>
    <w:link w:val="BodyText"/>
    <w:uiPriority w:val="99"/>
    <w:rsid w:val="00731113"/>
    <w:rPr>
      <w:rFonts w:ascii="Cambria" w:eastAsia="Calibri" w:hAnsi="Cambria" w:cs="Times New Roman"/>
      <w:kern w:val="0"/>
      <w:lang w:val="en-GB"/>
      <w14:ligatures w14:val="none"/>
    </w:rPr>
  </w:style>
  <w:style w:type="paragraph" w:customStyle="1" w:styleId="ListNumber1">
    <w:name w:val="List Number 1"/>
    <w:basedOn w:val="Normal"/>
    <w:rsid w:val="001353B7"/>
    <w:pPr>
      <w:spacing w:after="240" w:line="240" w:lineRule="atLeast"/>
      <w:ind w:left="403" w:hanging="403"/>
      <w:jc w:val="both"/>
    </w:pPr>
    <w:rPr>
      <w:rFonts w:ascii="Cambria" w:eastAsia="Calibri" w:hAnsi="Cambria" w:cs="Times New Roman"/>
      <w:kern w:val="0"/>
      <w:lang w:val="en-GB"/>
      <w14:ligatures w14:val="none"/>
    </w:rPr>
  </w:style>
  <w:style w:type="paragraph" w:styleId="Caption">
    <w:name w:val="caption"/>
    <w:basedOn w:val="Normal"/>
    <w:next w:val="Normal"/>
    <w:uiPriority w:val="35"/>
    <w:unhideWhenUsed/>
    <w:qFormat/>
    <w:rsid w:val="00434F58"/>
    <w:pPr>
      <w:spacing w:after="200" w:line="240" w:lineRule="auto"/>
    </w:pPr>
    <w:rPr>
      <w:rFonts w:eastAsiaTheme="minorEastAsia"/>
      <w:i/>
      <w:iCs/>
      <w:color w:val="0E2841" w:themeColor="text2"/>
      <w:kern w:val="0"/>
      <w:sz w:val="18"/>
      <w:szCs w:val="18"/>
      <w:lang w:val="en-US" w:eastAsia="ja-JP"/>
      <w14:ligatures w14:val="none"/>
    </w:rPr>
  </w:style>
  <w:style w:type="paragraph" w:styleId="TOC4">
    <w:name w:val="toc 4"/>
    <w:basedOn w:val="Normal"/>
    <w:next w:val="Normal"/>
    <w:autoRedefine/>
    <w:uiPriority w:val="39"/>
    <w:unhideWhenUsed/>
    <w:rsid w:val="00354323"/>
    <w:pPr>
      <w:spacing w:after="100" w:line="278" w:lineRule="auto"/>
      <w:ind w:left="720"/>
    </w:pPr>
    <w:rPr>
      <w:rFonts w:eastAsiaTheme="minorEastAsia"/>
      <w:sz w:val="24"/>
      <w:szCs w:val="24"/>
      <w:lang w:eastAsia="en-AU"/>
    </w:rPr>
  </w:style>
  <w:style w:type="paragraph" w:styleId="TOC5">
    <w:name w:val="toc 5"/>
    <w:basedOn w:val="Normal"/>
    <w:next w:val="Normal"/>
    <w:autoRedefine/>
    <w:uiPriority w:val="39"/>
    <w:unhideWhenUsed/>
    <w:rsid w:val="00354323"/>
    <w:pPr>
      <w:spacing w:after="100" w:line="278" w:lineRule="auto"/>
      <w:ind w:left="960"/>
    </w:pPr>
    <w:rPr>
      <w:rFonts w:eastAsiaTheme="minorEastAsia"/>
      <w:sz w:val="24"/>
      <w:szCs w:val="24"/>
      <w:lang w:eastAsia="en-AU"/>
    </w:rPr>
  </w:style>
  <w:style w:type="paragraph" w:styleId="TOC6">
    <w:name w:val="toc 6"/>
    <w:basedOn w:val="Normal"/>
    <w:next w:val="Normal"/>
    <w:autoRedefine/>
    <w:uiPriority w:val="39"/>
    <w:unhideWhenUsed/>
    <w:rsid w:val="00354323"/>
    <w:pPr>
      <w:spacing w:after="100" w:line="278" w:lineRule="auto"/>
      <w:ind w:left="1200"/>
    </w:pPr>
    <w:rPr>
      <w:rFonts w:eastAsiaTheme="minorEastAsia"/>
      <w:sz w:val="24"/>
      <w:szCs w:val="24"/>
      <w:lang w:eastAsia="en-AU"/>
    </w:rPr>
  </w:style>
  <w:style w:type="paragraph" w:styleId="TOC7">
    <w:name w:val="toc 7"/>
    <w:basedOn w:val="Normal"/>
    <w:next w:val="Normal"/>
    <w:autoRedefine/>
    <w:uiPriority w:val="39"/>
    <w:unhideWhenUsed/>
    <w:rsid w:val="00354323"/>
    <w:pPr>
      <w:spacing w:after="100" w:line="278" w:lineRule="auto"/>
      <w:ind w:left="1440"/>
    </w:pPr>
    <w:rPr>
      <w:rFonts w:eastAsiaTheme="minorEastAsia"/>
      <w:sz w:val="24"/>
      <w:szCs w:val="24"/>
      <w:lang w:eastAsia="en-AU"/>
    </w:rPr>
  </w:style>
  <w:style w:type="paragraph" w:styleId="TOC8">
    <w:name w:val="toc 8"/>
    <w:basedOn w:val="Normal"/>
    <w:next w:val="Normal"/>
    <w:autoRedefine/>
    <w:uiPriority w:val="39"/>
    <w:unhideWhenUsed/>
    <w:rsid w:val="00354323"/>
    <w:pPr>
      <w:spacing w:after="100" w:line="278" w:lineRule="auto"/>
      <w:ind w:left="1680"/>
    </w:pPr>
    <w:rPr>
      <w:rFonts w:eastAsiaTheme="minorEastAsia"/>
      <w:sz w:val="24"/>
      <w:szCs w:val="24"/>
      <w:lang w:eastAsia="en-AU"/>
    </w:rPr>
  </w:style>
  <w:style w:type="paragraph" w:styleId="TOC9">
    <w:name w:val="toc 9"/>
    <w:basedOn w:val="Normal"/>
    <w:next w:val="Normal"/>
    <w:autoRedefine/>
    <w:uiPriority w:val="39"/>
    <w:unhideWhenUsed/>
    <w:rsid w:val="00354323"/>
    <w:pPr>
      <w:spacing w:after="100" w:line="278" w:lineRule="auto"/>
      <w:ind w:left="1920"/>
    </w:pPr>
    <w:rPr>
      <w:rFonts w:eastAsiaTheme="minorEastAsia"/>
      <w:sz w:val="24"/>
      <w:szCs w:val="24"/>
      <w:lang w:eastAsia="en-AU"/>
    </w:rPr>
  </w:style>
  <w:style w:type="paragraph" w:customStyle="1" w:styleId="Style1">
    <w:name w:val="Style1"/>
    <w:basedOn w:val="Heading4"/>
    <w:link w:val="Style1Char"/>
    <w:qFormat/>
    <w:rsid w:val="00762184"/>
    <w:pPr>
      <w:numPr>
        <w:ilvl w:val="0"/>
        <w:numId w:val="0"/>
      </w:numPr>
      <w:ind w:left="576" w:hanging="576"/>
    </w:pPr>
  </w:style>
  <w:style w:type="character" w:customStyle="1" w:styleId="Style1Char">
    <w:name w:val="Style1 Char"/>
    <w:basedOn w:val="Heading4Char"/>
    <w:link w:val="Style1"/>
    <w:rsid w:val="00762184"/>
    <w:rPr>
      <w:rFonts w:eastAsiaTheme="majorEastAsia" w:cstheme="majorBidi"/>
      <w:i/>
      <w:iCs/>
      <w:color w:val="0F4761" w:themeColor="accent1" w:themeShade="BF"/>
    </w:rPr>
  </w:style>
  <w:style w:type="paragraph" w:customStyle="1" w:styleId="Style2">
    <w:name w:val="Style2"/>
    <w:basedOn w:val="Heading2"/>
    <w:link w:val="Style2Char"/>
    <w:qFormat/>
    <w:rsid w:val="008C0963"/>
    <w:pPr>
      <w:numPr>
        <w:ilvl w:val="0"/>
        <w:numId w:val="0"/>
      </w:numPr>
      <w:ind w:left="2136" w:hanging="576"/>
    </w:pPr>
  </w:style>
  <w:style w:type="character" w:customStyle="1" w:styleId="Style2Char">
    <w:name w:val="Style2 Char"/>
    <w:basedOn w:val="Heading2Char"/>
    <w:link w:val="Style2"/>
    <w:rsid w:val="008C0963"/>
    <w:rPr>
      <w:rFonts w:asciiTheme="majorHAnsi" w:eastAsiaTheme="majorEastAsia" w:hAnsiTheme="majorHAnsi" w:cstheme="majorBidi"/>
      <w:color w:val="0F4761" w:themeColor="accent1" w:themeShade="BF"/>
      <w:sz w:val="32"/>
      <w:szCs w:val="32"/>
    </w:rPr>
  </w:style>
  <w:style w:type="paragraph" w:customStyle="1" w:styleId="TableText">
    <w:name w:val="TableText"/>
    <w:basedOn w:val="Normal"/>
    <w:uiPriority w:val="5"/>
    <w:qFormat/>
    <w:rsid w:val="00AD762D"/>
    <w:pPr>
      <w:spacing w:before="60" w:after="60" w:line="240" w:lineRule="auto"/>
    </w:pPr>
    <w:rPr>
      <w:rFonts w:ascii="Calibri" w:eastAsia="Calibri" w:hAnsi="Calibri" w:cs="Times New Roman"/>
      <w:color w:val="000000"/>
      <w:kern w:val="0"/>
      <w:sz w:val="18"/>
      <w:lang w:eastAsia="en-AU"/>
      <w14:ligatures w14:val="none"/>
    </w:rPr>
  </w:style>
  <w:style w:type="paragraph" w:customStyle="1" w:styleId="Style3">
    <w:name w:val="Style3"/>
    <w:basedOn w:val="Heading2"/>
    <w:link w:val="Style3Char"/>
    <w:qFormat/>
    <w:rsid w:val="00F5056C"/>
  </w:style>
  <w:style w:type="character" w:customStyle="1" w:styleId="Style3Char">
    <w:name w:val="Style3 Char"/>
    <w:basedOn w:val="Heading2Char"/>
    <w:link w:val="Style3"/>
    <w:rsid w:val="00F5056C"/>
    <w:rPr>
      <w:rFonts w:asciiTheme="majorHAnsi" w:eastAsiaTheme="majorEastAsia" w:hAnsiTheme="majorHAnsi" w:cstheme="majorBidi"/>
      <w:color w:val="0F4761" w:themeColor="accent1" w:themeShade="BF"/>
      <w:sz w:val="32"/>
      <w:szCs w:val="32"/>
    </w:rPr>
  </w:style>
  <w:style w:type="character" w:styleId="LineNumber">
    <w:name w:val="line number"/>
    <w:basedOn w:val="DefaultParagraphFont"/>
    <w:uiPriority w:val="99"/>
    <w:semiHidden/>
    <w:unhideWhenUsed/>
    <w:rsid w:val="002B2E62"/>
  </w:style>
  <w:style w:type="paragraph" w:styleId="FootnoteText">
    <w:name w:val="footnote text"/>
    <w:basedOn w:val="Normal"/>
    <w:link w:val="FootnoteTextChar"/>
    <w:uiPriority w:val="99"/>
    <w:semiHidden/>
    <w:unhideWhenUsed/>
    <w:rsid w:val="005A1B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1B4C"/>
    <w:rPr>
      <w:sz w:val="20"/>
      <w:szCs w:val="20"/>
    </w:rPr>
  </w:style>
  <w:style w:type="character" w:styleId="FootnoteReference">
    <w:name w:val="footnote reference"/>
    <w:basedOn w:val="DefaultParagraphFont"/>
    <w:uiPriority w:val="99"/>
    <w:semiHidden/>
    <w:unhideWhenUsed/>
    <w:rsid w:val="005A1B4C"/>
    <w:rPr>
      <w:vertAlign w:val="superscript"/>
    </w:rPr>
  </w:style>
  <w:style w:type="paragraph" w:customStyle="1" w:styleId="Style4">
    <w:name w:val="Style4"/>
    <w:basedOn w:val="Heading1"/>
    <w:link w:val="Style4Char"/>
    <w:qFormat/>
    <w:rsid w:val="00AB3409"/>
  </w:style>
  <w:style w:type="character" w:customStyle="1" w:styleId="Style4Char">
    <w:name w:val="Style4 Char"/>
    <w:basedOn w:val="Heading1Char"/>
    <w:link w:val="Style4"/>
    <w:rsid w:val="00AB3409"/>
    <w:rPr>
      <w:rFonts w:asciiTheme="majorHAnsi" w:eastAsiaTheme="majorEastAsia" w:hAnsiTheme="majorHAnsi" w:cstheme="majorBidi"/>
      <w:color w:val="0F4761" w:themeColor="accent1" w:themeShade="BF"/>
      <w:sz w:val="40"/>
      <w:szCs w:val="40"/>
    </w:rPr>
  </w:style>
  <w:style w:type="paragraph" w:styleId="EndnoteText">
    <w:name w:val="endnote text"/>
    <w:basedOn w:val="Normal"/>
    <w:link w:val="EndnoteTextChar"/>
    <w:uiPriority w:val="99"/>
    <w:semiHidden/>
    <w:unhideWhenUsed/>
    <w:rsid w:val="002A35B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A35BA"/>
    <w:rPr>
      <w:sz w:val="20"/>
      <w:szCs w:val="20"/>
    </w:rPr>
  </w:style>
  <w:style w:type="character" w:styleId="EndnoteReference">
    <w:name w:val="endnote reference"/>
    <w:basedOn w:val="DefaultParagraphFont"/>
    <w:uiPriority w:val="99"/>
    <w:semiHidden/>
    <w:unhideWhenUsed/>
    <w:rsid w:val="002A35BA"/>
    <w:rPr>
      <w:vertAlign w:val="superscript"/>
    </w:rPr>
  </w:style>
  <w:style w:type="paragraph" w:customStyle="1" w:styleId="Sub-title">
    <w:name w:val="Sub-title"/>
    <w:qFormat/>
    <w:rsid w:val="00BD1260"/>
    <w:pPr>
      <w:spacing w:before="120" w:after="0"/>
    </w:pPr>
    <w:rPr>
      <w:rFonts w:ascii="Calibri" w:hAnsi="Calibri" w:cs="Calibri"/>
      <w:color w:val="083A42"/>
      <w:sz w:val="56"/>
      <w:szCs w:val="56"/>
    </w:rPr>
  </w:style>
  <w:style w:type="paragraph" w:customStyle="1" w:styleId="Authors">
    <w:name w:val="Authors"/>
    <w:qFormat/>
    <w:rsid w:val="00BD1260"/>
    <w:pPr>
      <w:spacing w:after="60"/>
    </w:pPr>
    <w:rPr>
      <w:b/>
      <w:bCs/>
      <w:color w:val="000000" w:themeColor="text1"/>
      <w:sz w:val="28"/>
      <w:szCs w:val="28"/>
    </w:rPr>
  </w:style>
  <w:style w:type="paragraph" w:customStyle="1" w:styleId="Copyright">
    <w:name w:val="Copyright"/>
    <w:basedOn w:val="Normal"/>
    <w:qFormat/>
    <w:rsid w:val="00BD1260"/>
    <w:pPr>
      <w:spacing w:after="120"/>
    </w:pPr>
    <w:rPr>
      <w:rFonts w:ascii="Calibri" w:hAnsi="Calibri" w:cs="Calibri"/>
      <w:color w:val="000000" w:themeColor="text1"/>
      <w:sz w:val="18"/>
      <w:szCs w:val="18"/>
    </w:rPr>
  </w:style>
  <w:style w:type="paragraph" w:customStyle="1" w:styleId="Body">
    <w:name w:val="Body"/>
    <w:basedOn w:val="Copyright"/>
    <w:rsid w:val="00BD1260"/>
    <w:pPr>
      <w:spacing w:after="200"/>
    </w:pPr>
    <w:rPr>
      <w:sz w:val="22"/>
    </w:rPr>
  </w:style>
  <w:style w:type="paragraph" w:customStyle="1" w:styleId="Style5">
    <w:name w:val="Style5"/>
    <w:basedOn w:val="Heading2"/>
    <w:link w:val="Style5Char"/>
    <w:qFormat/>
    <w:rsid w:val="002651C9"/>
  </w:style>
  <w:style w:type="character" w:customStyle="1" w:styleId="Style5Char">
    <w:name w:val="Style5 Char"/>
    <w:basedOn w:val="Heading2Char"/>
    <w:link w:val="Style5"/>
    <w:rsid w:val="002651C9"/>
    <w:rPr>
      <w:rFonts w:asciiTheme="majorHAnsi" w:eastAsiaTheme="majorEastAsia" w:hAnsiTheme="majorHAnsi" w:cstheme="majorBidi"/>
      <w:color w:val="0F4761" w:themeColor="accent1" w:themeShade="BF"/>
      <w:sz w:val="32"/>
      <w:szCs w:val="32"/>
    </w:rPr>
  </w:style>
  <w:style w:type="paragraph" w:customStyle="1" w:styleId="Style6">
    <w:name w:val="Style6"/>
    <w:basedOn w:val="Heading1"/>
    <w:link w:val="Style6Char"/>
    <w:qFormat/>
    <w:rsid w:val="002651C9"/>
    <w:pPr>
      <w:ind w:left="432"/>
    </w:pPr>
  </w:style>
  <w:style w:type="character" w:customStyle="1" w:styleId="Style6Char">
    <w:name w:val="Style6 Char"/>
    <w:basedOn w:val="Heading1Char"/>
    <w:link w:val="Style6"/>
    <w:rsid w:val="002651C9"/>
    <w:rPr>
      <w:rFonts w:asciiTheme="majorHAnsi" w:eastAsiaTheme="majorEastAsia" w:hAnsiTheme="majorHAnsi" w:cstheme="majorBidi"/>
      <w:color w:val="0F4761" w:themeColor="accent1" w:themeShade="BF"/>
      <w:sz w:val="40"/>
      <w:szCs w:val="40"/>
    </w:rPr>
  </w:style>
  <w:style w:type="paragraph" w:customStyle="1" w:styleId="Style7">
    <w:name w:val="Style7"/>
    <w:basedOn w:val="Heading1"/>
    <w:link w:val="Style7Char"/>
    <w:qFormat/>
    <w:rsid w:val="002651C9"/>
    <w:pPr>
      <w:keepNext w:val="0"/>
      <w:keepLines w:val="0"/>
      <w:ind w:left="432"/>
    </w:pPr>
  </w:style>
  <w:style w:type="character" w:customStyle="1" w:styleId="Style7Char">
    <w:name w:val="Style7 Char"/>
    <w:basedOn w:val="Heading1Char"/>
    <w:link w:val="Style7"/>
    <w:rsid w:val="002651C9"/>
    <w:rPr>
      <w:rFonts w:asciiTheme="majorHAnsi" w:eastAsiaTheme="majorEastAsia" w:hAnsiTheme="majorHAnsi" w:cstheme="majorBidi"/>
      <w:color w:val="0F4761" w:themeColor="accent1" w:themeShade="BF"/>
      <w:sz w:val="40"/>
      <w:szCs w:val="40"/>
    </w:rPr>
  </w:style>
  <w:style w:type="character" w:styleId="Emphasis">
    <w:name w:val="Emphasis"/>
    <w:basedOn w:val="DefaultParagraphFont"/>
    <w:uiPriority w:val="20"/>
    <w:qFormat/>
    <w:rsid w:val="00CF39FD"/>
    <w:rPr>
      <w:i/>
      <w:iCs/>
    </w:rPr>
  </w:style>
  <w:style w:type="paragraph" w:customStyle="1" w:styleId="Style8">
    <w:name w:val="Style8"/>
    <w:basedOn w:val="Style4"/>
    <w:link w:val="Style8Char"/>
    <w:qFormat/>
    <w:rsid w:val="00376AED"/>
    <w:pPr>
      <w:ind w:left="432"/>
    </w:pPr>
  </w:style>
  <w:style w:type="character" w:customStyle="1" w:styleId="Style8Char">
    <w:name w:val="Style8 Char"/>
    <w:basedOn w:val="Style4Char"/>
    <w:link w:val="Style8"/>
    <w:rsid w:val="00376AED"/>
    <w:rPr>
      <w:rFonts w:asciiTheme="majorHAnsi" w:eastAsiaTheme="majorEastAsia" w:hAnsiTheme="majorHAnsi" w:cstheme="majorBidi"/>
      <w:color w:val="0F4761" w:themeColor="accent1" w:themeShade="BF"/>
      <w:sz w:val="40"/>
      <w:szCs w:val="40"/>
    </w:rPr>
  </w:style>
  <w:style w:type="character" w:customStyle="1" w:styleId="ListParagraphChar">
    <w:name w:val="List Paragraph Char"/>
    <w:aliases w:val="List number Paragraph Char"/>
    <w:basedOn w:val="DefaultParagraphFont"/>
    <w:link w:val="ListParagraph"/>
    <w:uiPriority w:val="34"/>
    <w:rsid w:val="00AE2769"/>
  </w:style>
  <w:style w:type="paragraph" w:customStyle="1" w:styleId="xmsonormal">
    <w:name w:val="x_msonormal"/>
    <w:basedOn w:val="Normal"/>
    <w:rsid w:val="00600B77"/>
    <w:pPr>
      <w:spacing w:after="0" w:line="240" w:lineRule="auto"/>
    </w:pPr>
    <w:rPr>
      <w:rFonts w:ascii="Aptos" w:hAnsi="Aptos" w:cs="Aptos"/>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9501">
      <w:bodyDiv w:val="1"/>
      <w:marLeft w:val="0"/>
      <w:marRight w:val="0"/>
      <w:marTop w:val="0"/>
      <w:marBottom w:val="0"/>
      <w:divBdr>
        <w:top w:val="none" w:sz="0" w:space="0" w:color="auto"/>
        <w:left w:val="none" w:sz="0" w:space="0" w:color="auto"/>
        <w:bottom w:val="none" w:sz="0" w:space="0" w:color="auto"/>
        <w:right w:val="none" w:sz="0" w:space="0" w:color="auto"/>
      </w:divBdr>
    </w:div>
    <w:div w:id="5405062">
      <w:bodyDiv w:val="1"/>
      <w:marLeft w:val="0"/>
      <w:marRight w:val="0"/>
      <w:marTop w:val="0"/>
      <w:marBottom w:val="0"/>
      <w:divBdr>
        <w:top w:val="none" w:sz="0" w:space="0" w:color="auto"/>
        <w:left w:val="none" w:sz="0" w:space="0" w:color="auto"/>
        <w:bottom w:val="none" w:sz="0" w:space="0" w:color="auto"/>
        <w:right w:val="none" w:sz="0" w:space="0" w:color="auto"/>
      </w:divBdr>
      <w:divsChild>
        <w:div w:id="379597509">
          <w:marLeft w:val="0"/>
          <w:marRight w:val="0"/>
          <w:marTop w:val="0"/>
          <w:marBottom w:val="0"/>
          <w:divBdr>
            <w:top w:val="none" w:sz="0" w:space="0" w:color="auto"/>
            <w:left w:val="none" w:sz="0" w:space="0" w:color="auto"/>
            <w:bottom w:val="none" w:sz="0" w:space="0" w:color="auto"/>
            <w:right w:val="none" w:sz="0" w:space="0" w:color="auto"/>
          </w:divBdr>
        </w:div>
        <w:div w:id="565602655">
          <w:marLeft w:val="0"/>
          <w:marRight w:val="0"/>
          <w:marTop w:val="0"/>
          <w:marBottom w:val="0"/>
          <w:divBdr>
            <w:top w:val="none" w:sz="0" w:space="0" w:color="auto"/>
            <w:left w:val="none" w:sz="0" w:space="0" w:color="auto"/>
            <w:bottom w:val="none" w:sz="0" w:space="0" w:color="auto"/>
            <w:right w:val="none" w:sz="0" w:space="0" w:color="auto"/>
          </w:divBdr>
        </w:div>
        <w:div w:id="728846300">
          <w:marLeft w:val="0"/>
          <w:marRight w:val="0"/>
          <w:marTop w:val="0"/>
          <w:marBottom w:val="0"/>
          <w:divBdr>
            <w:top w:val="none" w:sz="0" w:space="0" w:color="auto"/>
            <w:left w:val="none" w:sz="0" w:space="0" w:color="auto"/>
            <w:bottom w:val="none" w:sz="0" w:space="0" w:color="auto"/>
            <w:right w:val="none" w:sz="0" w:space="0" w:color="auto"/>
          </w:divBdr>
        </w:div>
        <w:div w:id="1054813494">
          <w:marLeft w:val="0"/>
          <w:marRight w:val="0"/>
          <w:marTop w:val="0"/>
          <w:marBottom w:val="0"/>
          <w:divBdr>
            <w:top w:val="none" w:sz="0" w:space="0" w:color="auto"/>
            <w:left w:val="none" w:sz="0" w:space="0" w:color="auto"/>
            <w:bottom w:val="none" w:sz="0" w:space="0" w:color="auto"/>
            <w:right w:val="none" w:sz="0" w:space="0" w:color="auto"/>
          </w:divBdr>
          <w:divsChild>
            <w:div w:id="128129875">
              <w:marLeft w:val="-75"/>
              <w:marRight w:val="0"/>
              <w:marTop w:val="30"/>
              <w:marBottom w:val="30"/>
              <w:divBdr>
                <w:top w:val="none" w:sz="0" w:space="0" w:color="auto"/>
                <w:left w:val="none" w:sz="0" w:space="0" w:color="auto"/>
                <w:bottom w:val="none" w:sz="0" w:space="0" w:color="auto"/>
                <w:right w:val="none" w:sz="0" w:space="0" w:color="auto"/>
              </w:divBdr>
              <w:divsChild>
                <w:div w:id="288753770">
                  <w:marLeft w:val="0"/>
                  <w:marRight w:val="0"/>
                  <w:marTop w:val="0"/>
                  <w:marBottom w:val="0"/>
                  <w:divBdr>
                    <w:top w:val="none" w:sz="0" w:space="0" w:color="auto"/>
                    <w:left w:val="none" w:sz="0" w:space="0" w:color="auto"/>
                    <w:bottom w:val="none" w:sz="0" w:space="0" w:color="auto"/>
                    <w:right w:val="none" w:sz="0" w:space="0" w:color="auto"/>
                  </w:divBdr>
                  <w:divsChild>
                    <w:div w:id="49967876">
                      <w:marLeft w:val="0"/>
                      <w:marRight w:val="0"/>
                      <w:marTop w:val="0"/>
                      <w:marBottom w:val="0"/>
                      <w:divBdr>
                        <w:top w:val="none" w:sz="0" w:space="0" w:color="auto"/>
                        <w:left w:val="none" w:sz="0" w:space="0" w:color="auto"/>
                        <w:bottom w:val="none" w:sz="0" w:space="0" w:color="auto"/>
                        <w:right w:val="none" w:sz="0" w:space="0" w:color="auto"/>
                      </w:divBdr>
                    </w:div>
                  </w:divsChild>
                </w:div>
                <w:div w:id="290792999">
                  <w:marLeft w:val="0"/>
                  <w:marRight w:val="0"/>
                  <w:marTop w:val="0"/>
                  <w:marBottom w:val="0"/>
                  <w:divBdr>
                    <w:top w:val="none" w:sz="0" w:space="0" w:color="auto"/>
                    <w:left w:val="none" w:sz="0" w:space="0" w:color="auto"/>
                    <w:bottom w:val="none" w:sz="0" w:space="0" w:color="auto"/>
                    <w:right w:val="none" w:sz="0" w:space="0" w:color="auto"/>
                  </w:divBdr>
                  <w:divsChild>
                    <w:div w:id="266695155">
                      <w:marLeft w:val="0"/>
                      <w:marRight w:val="0"/>
                      <w:marTop w:val="0"/>
                      <w:marBottom w:val="0"/>
                      <w:divBdr>
                        <w:top w:val="none" w:sz="0" w:space="0" w:color="auto"/>
                        <w:left w:val="none" w:sz="0" w:space="0" w:color="auto"/>
                        <w:bottom w:val="none" w:sz="0" w:space="0" w:color="auto"/>
                        <w:right w:val="none" w:sz="0" w:space="0" w:color="auto"/>
                      </w:divBdr>
                    </w:div>
                  </w:divsChild>
                </w:div>
                <w:div w:id="338705195">
                  <w:marLeft w:val="0"/>
                  <w:marRight w:val="0"/>
                  <w:marTop w:val="0"/>
                  <w:marBottom w:val="0"/>
                  <w:divBdr>
                    <w:top w:val="none" w:sz="0" w:space="0" w:color="auto"/>
                    <w:left w:val="none" w:sz="0" w:space="0" w:color="auto"/>
                    <w:bottom w:val="none" w:sz="0" w:space="0" w:color="auto"/>
                    <w:right w:val="none" w:sz="0" w:space="0" w:color="auto"/>
                  </w:divBdr>
                  <w:divsChild>
                    <w:div w:id="1229921826">
                      <w:marLeft w:val="0"/>
                      <w:marRight w:val="0"/>
                      <w:marTop w:val="0"/>
                      <w:marBottom w:val="0"/>
                      <w:divBdr>
                        <w:top w:val="none" w:sz="0" w:space="0" w:color="auto"/>
                        <w:left w:val="none" w:sz="0" w:space="0" w:color="auto"/>
                        <w:bottom w:val="none" w:sz="0" w:space="0" w:color="auto"/>
                        <w:right w:val="none" w:sz="0" w:space="0" w:color="auto"/>
                      </w:divBdr>
                    </w:div>
                  </w:divsChild>
                </w:div>
                <w:div w:id="477848343">
                  <w:marLeft w:val="0"/>
                  <w:marRight w:val="0"/>
                  <w:marTop w:val="0"/>
                  <w:marBottom w:val="0"/>
                  <w:divBdr>
                    <w:top w:val="none" w:sz="0" w:space="0" w:color="auto"/>
                    <w:left w:val="none" w:sz="0" w:space="0" w:color="auto"/>
                    <w:bottom w:val="none" w:sz="0" w:space="0" w:color="auto"/>
                    <w:right w:val="none" w:sz="0" w:space="0" w:color="auto"/>
                  </w:divBdr>
                  <w:divsChild>
                    <w:div w:id="1543595086">
                      <w:marLeft w:val="0"/>
                      <w:marRight w:val="0"/>
                      <w:marTop w:val="0"/>
                      <w:marBottom w:val="0"/>
                      <w:divBdr>
                        <w:top w:val="none" w:sz="0" w:space="0" w:color="auto"/>
                        <w:left w:val="none" w:sz="0" w:space="0" w:color="auto"/>
                        <w:bottom w:val="none" w:sz="0" w:space="0" w:color="auto"/>
                        <w:right w:val="none" w:sz="0" w:space="0" w:color="auto"/>
                      </w:divBdr>
                    </w:div>
                  </w:divsChild>
                </w:div>
                <w:div w:id="549928245">
                  <w:marLeft w:val="0"/>
                  <w:marRight w:val="0"/>
                  <w:marTop w:val="0"/>
                  <w:marBottom w:val="0"/>
                  <w:divBdr>
                    <w:top w:val="none" w:sz="0" w:space="0" w:color="auto"/>
                    <w:left w:val="none" w:sz="0" w:space="0" w:color="auto"/>
                    <w:bottom w:val="none" w:sz="0" w:space="0" w:color="auto"/>
                    <w:right w:val="none" w:sz="0" w:space="0" w:color="auto"/>
                  </w:divBdr>
                  <w:divsChild>
                    <w:div w:id="1813403054">
                      <w:marLeft w:val="0"/>
                      <w:marRight w:val="0"/>
                      <w:marTop w:val="0"/>
                      <w:marBottom w:val="0"/>
                      <w:divBdr>
                        <w:top w:val="none" w:sz="0" w:space="0" w:color="auto"/>
                        <w:left w:val="none" w:sz="0" w:space="0" w:color="auto"/>
                        <w:bottom w:val="none" w:sz="0" w:space="0" w:color="auto"/>
                        <w:right w:val="none" w:sz="0" w:space="0" w:color="auto"/>
                      </w:divBdr>
                    </w:div>
                  </w:divsChild>
                </w:div>
                <w:div w:id="702445220">
                  <w:marLeft w:val="0"/>
                  <w:marRight w:val="0"/>
                  <w:marTop w:val="0"/>
                  <w:marBottom w:val="0"/>
                  <w:divBdr>
                    <w:top w:val="none" w:sz="0" w:space="0" w:color="auto"/>
                    <w:left w:val="none" w:sz="0" w:space="0" w:color="auto"/>
                    <w:bottom w:val="none" w:sz="0" w:space="0" w:color="auto"/>
                    <w:right w:val="none" w:sz="0" w:space="0" w:color="auto"/>
                  </w:divBdr>
                  <w:divsChild>
                    <w:div w:id="1565532457">
                      <w:marLeft w:val="0"/>
                      <w:marRight w:val="0"/>
                      <w:marTop w:val="0"/>
                      <w:marBottom w:val="0"/>
                      <w:divBdr>
                        <w:top w:val="none" w:sz="0" w:space="0" w:color="auto"/>
                        <w:left w:val="none" w:sz="0" w:space="0" w:color="auto"/>
                        <w:bottom w:val="none" w:sz="0" w:space="0" w:color="auto"/>
                        <w:right w:val="none" w:sz="0" w:space="0" w:color="auto"/>
                      </w:divBdr>
                    </w:div>
                  </w:divsChild>
                </w:div>
                <w:div w:id="879248247">
                  <w:marLeft w:val="0"/>
                  <w:marRight w:val="0"/>
                  <w:marTop w:val="0"/>
                  <w:marBottom w:val="0"/>
                  <w:divBdr>
                    <w:top w:val="none" w:sz="0" w:space="0" w:color="auto"/>
                    <w:left w:val="none" w:sz="0" w:space="0" w:color="auto"/>
                    <w:bottom w:val="none" w:sz="0" w:space="0" w:color="auto"/>
                    <w:right w:val="none" w:sz="0" w:space="0" w:color="auto"/>
                  </w:divBdr>
                  <w:divsChild>
                    <w:div w:id="1677615512">
                      <w:marLeft w:val="0"/>
                      <w:marRight w:val="0"/>
                      <w:marTop w:val="0"/>
                      <w:marBottom w:val="0"/>
                      <w:divBdr>
                        <w:top w:val="none" w:sz="0" w:space="0" w:color="auto"/>
                        <w:left w:val="none" w:sz="0" w:space="0" w:color="auto"/>
                        <w:bottom w:val="none" w:sz="0" w:space="0" w:color="auto"/>
                        <w:right w:val="none" w:sz="0" w:space="0" w:color="auto"/>
                      </w:divBdr>
                    </w:div>
                  </w:divsChild>
                </w:div>
                <w:div w:id="898705747">
                  <w:marLeft w:val="0"/>
                  <w:marRight w:val="0"/>
                  <w:marTop w:val="0"/>
                  <w:marBottom w:val="0"/>
                  <w:divBdr>
                    <w:top w:val="none" w:sz="0" w:space="0" w:color="auto"/>
                    <w:left w:val="none" w:sz="0" w:space="0" w:color="auto"/>
                    <w:bottom w:val="none" w:sz="0" w:space="0" w:color="auto"/>
                    <w:right w:val="none" w:sz="0" w:space="0" w:color="auto"/>
                  </w:divBdr>
                  <w:divsChild>
                    <w:div w:id="1012144655">
                      <w:marLeft w:val="0"/>
                      <w:marRight w:val="0"/>
                      <w:marTop w:val="0"/>
                      <w:marBottom w:val="0"/>
                      <w:divBdr>
                        <w:top w:val="none" w:sz="0" w:space="0" w:color="auto"/>
                        <w:left w:val="none" w:sz="0" w:space="0" w:color="auto"/>
                        <w:bottom w:val="none" w:sz="0" w:space="0" w:color="auto"/>
                        <w:right w:val="none" w:sz="0" w:space="0" w:color="auto"/>
                      </w:divBdr>
                    </w:div>
                  </w:divsChild>
                </w:div>
                <w:div w:id="902761460">
                  <w:marLeft w:val="0"/>
                  <w:marRight w:val="0"/>
                  <w:marTop w:val="0"/>
                  <w:marBottom w:val="0"/>
                  <w:divBdr>
                    <w:top w:val="none" w:sz="0" w:space="0" w:color="auto"/>
                    <w:left w:val="none" w:sz="0" w:space="0" w:color="auto"/>
                    <w:bottom w:val="none" w:sz="0" w:space="0" w:color="auto"/>
                    <w:right w:val="none" w:sz="0" w:space="0" w:color="auto"/>
                  </w:divBdr>
                  <w:divsChild>
                    <w:div w:id="213201902">
                      <w:marLeft w:val="0"/>
                      <w:marRight w:val="0"/>
                      <w:marTop w:val="0"/>
                      <w:marBottom w:val="0"/>
                      <w:divBdr>
                        <w:top w:val="none" w:sz="0" w:space="0" w:color="auto"/>
                        <w:left w:val="none" w:sz="0" w:space="0" w:color="auto"/>
                        <w:bottom w:val="none" w:sz="0" w:space="0" w:color="auto"/>
                        <w:right w:val="none" w:sz="0" w:space="0" w:color="auto"/>
                      </w:divBdr>
                    </w:div>
                  </w:divsChild>
                </w:div>
                <w:div w:id="960068279">
                  <w:marLeft w:val="0"/>
                  <w:marRight w:val="0"/>
                  <w:marTop w:val="0"/>
                  <w:marBottom w:val="0"/>
                  <w:divBdr>
                    <w:top w:val="none" w:sz="0" w:space="0" w:color="auto"/>
                    <w:left w:val="none" w:sz="0" w:space="0" w:color="auto"/>
                    <w:bottom w:val="none" w:sz="0" w:space="0" w:color="auto"/>
                    <w:right w:val="none" w:sz="0" w:space="0" w:color="auto"/>
                  </w:divBdr>
                  <w:divsChild>
                    <w:div w:id="1215195482">
                      <w:marLeft w:val="0"/>
                      <w:marRight w:val="0"/>
                      <w:marTop w:val="0"/>
                      <w:marBottom w:val="0"/>
                      <w:divBdr>
                        <w:top w:val="none" w:sz="0" w:space="0" w:color="auto"/>
                        <w:left w:val="none" w:sz="0" w:space="0" w:color="auto"/>
                        <w:bottom w:val="none" w:sz="0" w:space="0" w:color="auto"/>
                        <w:right w:val="none" w:sz="0" w:space="0" w:color="auto"/>
                      </w:divBdr>
                    </w:div>
                  </w:divsChild>
                </w:div>
                <w:div w:id="1013336121">
                  <w:marLeft w:val="0"/>
                  <w:marRight w:val="0"/>
                  <w:marTop w:val="0"/>
                  <w:marBottom w:val="0"/>
                  <w:divBdr>
                    <w:top w:val="none" w:sz="0" w:space="0" w:color="auto"/>
                    <w:left w:val="none" w:sz="0" w:space="0" w:color="auto"/>
                    <w:bottom w:val="none" w:sz="0" w:space="0" w:color="auto"/>
                    <w:right w:val="none" w:sz="0" w:space="0" w:color="auto"/>
                  </w:divBdr>
                  <w:divsChild>
                    <w:div w:id="102072007">
                      <w:marLeft w:val="0"/>
                      <w:marRight w:val="0"/>
                      <w:marTop w:val="0"/>
                      <w:marBottom w:val="0"/>
                      <w:divBdr>
                        <w:top w:val="none" w:sz="0" w:space="0" w:color="auto"/>
                        <w:left w:val="none" w:sz="0" w:space="0" w:color="auto"/>
                        <w:bottom w:val="none" w:sz="0" w:space="0" w:color="auto"/>
                        <w:right w:val="none" w:sz="0" w:space="0" w:color="auto"/>
                      </w:divBdr>
                    </w:div>
                  </w:divsChild>
                </w:div>
                <w:div w:id="1083449061">
                  <w:marLeft w:val="0"/>
                  <w:marRight w:val="0"/>
                  <w:marTop w:val="0"/>
                  <w:marBottom w:val="0"/>
                  <w:divBdr>
                    <w:top w:val="none" w:sz="0" w:space="0" w:color="auto"/>
                    <w:left w:val="none" w:sz="0" w:space="0" w:color="auto"/>
                    <w:bottom w:val="none" w:sz="0" w:space="0" w:color="auto"/>
                    <w:right w:val="none" w:sz="0" w:space="0" w:color="auto"/>
                  </w:divBdr>
                  <w:divsChild>
                    <w:div w:id="168568196">
                      <w:marLeft w:val="0"/>
                      <w:marRight w:val="0"/>
                      <w:marTop w:val="0"/>
                      <w:marBottom w:val="0"/>
                      <w:divBdr>
                        <w:top w:val="none" w:sz="0" w:space="0" w:color="auto"/>
                        <w:left w:val="none" w:sz="0" w:space="0" w:color="auto"/>
                        <w:bottom w:val="none" w:sz="0" w:space="0" w:color="auto"/>
                        <w:right w:val="none" w:sz="0" w:space="0" w:color="auto"/>
                      </w:divBdr>
                    </w:div>
                  </w:divsChild>
                </w:div>
                <w:div w:id="1178812918">
                  <w:marLeft w:val="0"/>
                  <w:marRight w:val="0"/>
                  <w:marTop w:val="0"/>
                  <w:marBottom w:val="0"/>
                  <w:divBdr>
                    <w:top w:val="none" w:sz="0" w:space="0" w:color="auto"/>
                    <w:left w:val="none" w:sz="0" w:space="0" w:color="auto"/>
                    <w:bottom w:val="none" w:sz="0" w:space="0" w:color="auto"/>
                    <w:right w:val="none" w:sz="0" w:space="0" w:color="auto"/>
                  </w:divBdr>
                  <w:divsChild>
                    <w:div w:id="459225681">
                      <w:marLeft w:val="0"/>
                      <w:marRight w:val="0"/>
                      <w:marTop w:val="0"/>
                      <w:marBottom w:val="0"/>
                      <w:divBdr>
                        <w:top w:val="none" w:sz="0" w:space="0" w:color="auto"/>
                        <w:left w:val="none" w:sz="0" w:space="0" w:color="auto"/>
                        <w:bottom w:val="none" w:sz="0" w:space="0" w:color="auto"/>
                        <w:right w:val="none" w:sz="0" w:space="0" w:color="auto"/>
                      </w:divBdr>
                    </w:div>
                  </w:divsChild>
                </w:div>
                <w:div w:id="1214387409">
                  <w:marLeft w:val="0"/>
                  <w:marRight w:val="0"/>
                  <w:marTop w:val="0"/>
                  <w:marBottom w:val="0"/>
                  <w:divBdr>
                    <w:top w:val="none" w:sz="0" w:space="0" w:color="auto"/>
                    <w:left w:val="none" w:sz="0" w:space="0" w:color="auto"/>
                    <w:bottom w:val="none" w:sz="0" w:space="0" w:color="auto"/>
                    <w:right w:val="none" w:sz="0" w:space="0" w:color="auto"/>
                  </w:divBdr>
                  <w:divsChild>
                    <w:div w:id="956368822">
                      <w:marLeft w:val="0"/>
                      <w:marRight w:val="0"/>
                      <w:marTop w:val="0"/>
                      <w:marBottom w:val="0"/>
                      <w:divBdr>
                        <w:top w:val="none" w:sz="0" w:space="0" w:color="auto"/>
                        <w:left w:val="none" w:sz="0" w:space="0" w:color="auto"/>
                        <w:bottom w:val="none" w:sz="0" w:space="0" w:color="auto"/>
                        <w:right w:val="none" w:sz="0" w:space="0" w:color="auto"/>
                      </w:divBdr>
                    </w:div>
                  </w:divsChild>
                </w:div>
                <w:div w:id="1235165268">
                  <w:marLeft w:val="0"/>
                  <w:marRight w:val="0"/>
                  <w:marTop w:val="0"/>
                  <w:marBottom w:val="0"/>
                  <w:divBdr>
                    <w:top w:val="none" w:sz="0" w:space="0" w:color="auto"/>
                    <w:left w:val="none" w:sz="0" w:space="0" w:color="auto"/>
                    <w:bottom w:val="none" w:sz="0" w:space="0" w:color="auto"/>
                    <w:right w:val="none" w:sz="0" w:space="0" w:color="auto"/>
                  </w:divBdr>
                  <w:divsChild>
                    <w:div w:id="436826962">
                      <w:marLeft w:val="0"/>
                      <w:marRight w:val="0"/>
                      <w:marTop w:val="0"/>
                      <w:marBottom w:val="0"/>
                      <w:divBdr>
                        <w:top w:val="none" w:sz="0" w:space="0" w:color="auto"/>
                        <w:left w:val="none" w:sz="0" w:space="0" w:color="auto"/>
                        <w:bottom w:val="none" w:sz="0" w:space="0" w:color="auto"/>
                        <w:right w:val="none" w:sz="0" w:space="0" w:color="auto"/>
                      </w:divBdr>
                    </w:div>
                  </w:divsChild>
                </w:div>
                <w:div w:id="1295991054">
                  <w:marLeft w:val="0"/>
                  <w:marRight w:val="0"/>
                  <w:marTop w:val="0"/>
                  <w:marBottom w:val="0"/>
                  <w:divBdr>
                    <w:top w:val="none" w:sz="0" w:space="0" w:color="auto"/>
                    <w:left w:val="none" w:sz="0" w:space="0" w:color="auto"/>
                    <w:bottom w:val="none" w:sz="0" w:space="0" w:color="auto"/>
                    <w:right w:val="none" w:sz="0" w:space="0" w:color="auto"/>
                  </w:divBdr>
                  <w:divsChild>
                    <w:div w:id="1587305620">
                      <w:marLeft w:val="0"/>
                      <w:marRight w:val="0"/>
                      <w:marTop w:val="0"/>
                      <w:marBottom w:val="0"/>
                      <w:divBdr>
                        <w:top w:val="none" w:sz="0" w:space="0" w:color="auto"/>
                        <w:left w:val="none" w:sz="0" w:space="0" w:color="auto"/>
                        <w:bottom w:val="none" w:sz="0" w:space="0" w:color="auto"/>
                        <w:right w:val="none" w:sz="0" w:space="0" w:color="auto"/>
                      </w:divBdr>
                    </w:div>
                  </w:divsChild>
                </w:div>
                <w:div w:id="1336032499">
                  <w:marLeft w:val="0"/>
                  <w:marRight w:val="0"/>
                  <w:marTop w:val="0"/>
                  <w:marBottom w:val="0"/>
                  <w:divBdr>
                    <w:top w:val="none" w:sz="0" w:space="0" w:color="auto"/>
                    <w:left w:val="none" w:sz="0" w:space="0" w:color="auto"/>
                    <w:bottom w:val="none" w:sz="0" w:space="0" w:color="auto"/>
                    <w:right w:val="none" w:sz="0" w:space="0" w:color="auto"/>
                  </w:divBdr>
                  <w:divsChild>
                    <w:div w:id="1655645035">
                      <w:marLeft w:val="0"/>
                      <w:marRight w:val="0"/>
                      <w:marTop w:val="0"/>
                      <w:marBottom w:val="0"/>
                      <w:divBdr>
                        <w:top w:val="none" w:sz="0" w:space="0" w:color="auto"/>
                        <w:left w:val="none" w:sz="0" w:space="0" w:color="auto"/>
                        <w:bottom w:val="none" w:sz="0" w:space="0" w:color="auto"/>
                        <w:right w:val="none" w:sz="0" w:space="0" w:color="auto"/>
                      </w:divBdr>
                    </w:div>
                  </w:divsChild>
                </w:div>
                <w:div w:id="1412966353">
                  <w:marLeft w:val="0"/>
                  <w:marRight w:val="0"/>
                  <w:marTop w:val="0"/>
                  <w:marBottom w:val="0"/>
                  <w:divBdr>
                    <w:top w:val="none" w:sz="0" w:space="0" w:color="auto"/>
                    <w:left w:val="none" w:sz="0" w:space="0" w:color="auto"/>
                    <w:bottom w:val="none" w:sz="0" w:space="0" w:color="auto"/>
                    <w:right w:val="none" w:sz="0" w:space="0" w:color="auto"/>
                  </w:divBdr>
                  <w:divsChild>
                    <w:div w:id="1527598201">
                      <w:marLeft w:val="0"/>
                      <w:marRight w:val="0"/>
                      <w:marTop w:val="0"/>
                      <w:marBottom w:val="0"/>
                      <w:divBdr>
                        <w:top w:val="none" w:sz="0" w:space="0" w:color="auto"/>
                        <w:left w:val="none" w:sz="0" w:space="0" w:color="auto"/>
                        <w:bottom w:val="none" w:sz="0" w:space="0" w:color="auto"/>
                        <w:right w:val="none" w:sz="0" w:space="0" w:color="auto"/>
                      </w:divBdr>
                    </w:div>
                  </w:divsChild>
                </w:div>
                <w:div w:id="1514418947">
                  <w:marLeft w:val="0"/>
                  <w:marRight w:val="0"/>
                  <w:marTop w:val="0"/>
                  <w:marBottom w:val="0"/>
                  <w:divBdr>
                    <w:top w:val="none" w:sz="0" w:space="0" w:color="auto"/>
                    <w:left w:val="none" w:sz="0" w:space="0" w:color="auto"/>
                    <w:bottom w:val="none" w:sz="0" w:space="0" w:color="auto"/>
                    <w:right w:val="none" w:sz="0" w:space="0" w:color="auto"/>
                  </w:divBdr>
                  <w:divsChild>
                    <w:div w:id="1375470384">
                      <w:marLeft w:val="0"/>
                      <w:marRight w:val="0"/>
                      <w:marTop w:val="0"/>
                      <w:marBottom w:val="0"/>
                      <w:divBdr>
                        <w:top w:val="none" w:sz="0" w:space="0" w:color="auto"/>
                        <w:left w:val="none" w:sz="0" w:space="0" w:color="auto"/>
                        <w:bottom w:val="none" w:sz="0" w:space="0" w:color="auto"/>
                        <w:right w:val="none" w:sz="0" w:space="0" w:color="auto"/>
                      </w:divBdr>
                    </w:div>
                  </w:divsChild>
                </w:div>
                <w:div w:id="1716352092">
                  <w:marLeft w:val="0"/>
                  <w:marRight w:val="0"/>
                  <w:marTop w:val="0"/>
                  <w:marBottom w:val="0"/>
                  <w:divBdr>
                    <w:top w:val="none" w:sz="0" w:space="0" w:color="auto"/>
                    <w:left w:val="none" w:sz="0" w:space="0" w:color="auto"/>
                    <w:bottom w:val="none" w:sz="0" w:space="0" w:color="auto"/>
                    <w:right w:val="none" w:sz="0" w:space="0" w:color="auto"/>
                  </w:divBdr>
                  <w:divsChild>
                    <w:div w:id="1090272209">
                      <w:marLeft w:val="0"/>
                      <w:marRight w:val="0"/>
                      <w:marTop w:val="0"/>
                      <w:marBottom w:val="0"/>
                      <w:divBdr>
                        <w:top w:val="none" w:sz="0" w:space="0" w:color="auto"/>
                        <w:left w:val="none" w:sz="0" w:space="0" w:color="auto"/>
                        <w:bottom w:val="none" w:sz="0" w:space="0" w:color="auto"/>
                        <w:right w:val="none" w:sz="0" w:space="0" w:color="auto"/>
                      </w:divBdr>
                    </w:div>
                  </w:divsChild>
                </w:div>
                <w:div w:id="1819417122">
                  <w:marLeft w:val="0"/>
                  <w:marRight w:val="0"/>
                  <w:marTop w:val="0"/>
                  <w:marBottom w:val="0"/>
                  <w:divBdr>
                    <w:top w:val="none" w:sz="0" w:space="0" w:color="auto"/>
                    <w:left w:val="none" w:sz="0" w:space="0" w:color="auto"/>
                    <w:bottom w:val="none" w:sz="0" w:space="0" w:color="auto"/>
                    <w:right w:val="none" w:sz="0" w:space="0" w:color="auto"/>
                  </w:divBdr>
                  <w:divsChild>
                    <w:div w:id="350452080">
                      <w:marLeft w:val="0"/>
                      <w:marRight w:val="0"/>
                      <w:marTop w:val="0"/>
                      <w:marBottom w:val="0"/>
                      <w:divBdr>
                        <w:top w:val="none" w:sz="0" w:space="0" w:color="auto"/>
                        <w:left w:val="none" w:sz="0" w:space="0" w:color="auto"/>
                        <w:bottom w:val="none" w:sz="0" w:space="0" w:color="auto"/>
                        <w:right w:val="none" w:sz="0" w:space="0" w:color="auto"/>
                      </w:divBdr>
                    </w:div>
                  </w:divsChild>
                </w:div>
                <w:div w:id="1945654287">
                  <w:marLeft w:val="0"/>
                  <w:marRight w:val="0"/>
                  <w:marTop w:val="0"/>
                  <w:marBottom w:val="0"/>
                  <w:divBdr>
                    <w:top w:val="none" w:sz="0" w:space="0" w:color="auto"/>
                    <w:left w:val="none" w:sz="0" w:space="0" w:color="auto"/>
                    <w:bottom w:val="none" w:sz="0" w:space="0" w:color="auto"/>
                    <w:right w:val="none" w:sz="0" w:space="0" w:color="auto"/>
                  </w:divBdr>
                  <w:divsChild>
                    <w:div w:id="447706140">
                      <w:marLeft w:val="0"/>
                      <w:marRight w:val="0"/>
                      <w:marTop w:val="0"/>
                      <w:marBottom w:val="0"/>
                      <w:divBdr>
                        <w:top w:val="none" w:sz="0" w:space="0" w:color="auto"/>
                        <w:left w:val="none" w:sz="0" w:space="0" w:color="auto"/>
                        <w:bottom w:val="none" w:sz="0" w:space="0" w:color="auto"/>
                        <w:right w:val="none" w:sz="0" w:space="0" w:color="auto"/>
                      </w:divBdr>
                    </w:div>
                  </w:divsChild>
                </w:div>
                <w:div w:id="1977176346">
                  <w:marLeft w:val="0"/>
                  <w:marRight w:val="0"/>
                  <w:marTop w:val="0"/>
                  <w:marBottom w:val="0"/>
                  <w:divBdr>
                    <w:top w:val="none" w:sz="0" w:space="0" w:color="auto"/>
                    <w:left w:val="none" w:sz="0" w:space="0" w:color="auto"/>
                    <w:bottom w:val="none" w:sz="0" w:space="0" w:color="auto"/>
                    <w:right w:val="none" w:sz="0" w:space="0" w:color="auto"/>
                  </w:divBdr>
                  <w:divsChild>
                    <w:div w:id="301079143">
                      <w:marLeft w:val="0"/>
                      <w:marRight w:val="0"/>
                      <w:marTop w:val="0"/>
                      <w:marBottom w:val="0"/>
                      <w:divBdr>
                        <w:top w:val="none" w:sz="0" w:space="0" w:color="auto"/>
                        <w:left w:val="none" w:sz="0" w:space="0" w:color="auto"/>
                        <w:bottom w:val="none" w:sz="0" w:space="0" w:color="auto"/>
                        <w:right w:val="none" w:sz="0" w:space="0" w:color="auto"/>
                      </w:divBdr>
                    </w:div>
                  </w:divsChild>
                </w:div>
                <w:div w:id="2130471843">
                  <w:marLeft w:val="0"/>
                  <w:marRight w:val="0"/>
                  <w:marTop w:val="0"/>
                  <w:marBottom w:val="0"/>
                  <w:divBdr>
                    <w:top w:val="none" w:sz="0" w:space="0" w:color="auto"/>
                    <w:left w:val="none" w:sz="0" w:space="0" w:color="auto"/>
                    <w:bottom w:val="none" w:sz="0" w:space="0" w:color="auto"/>
                    <w:right w:val="none" w:sz="0" w:space="0" w:color="auto"/>
                  </w:divBdr>
                  <w:divsChild>
                    <w:div w:id="167962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3156">
          <w:marLeft w:val="0"/>
          <w:marRight w:val="0"/>
          <w:marTop w:val="0"/>
          <w:marBottom w:val="0"/>
          <w:divBdr>
            <w:top w:val="none" w:sz="0" w:space="0" w:color="auto"/>
            <w:left w:val="none" w:sz="0" w:space="0" w:color="auto"/>
            <w:bottom w:val="none" w:sz="0" w:space="0" w:color="auto"/>
            <w:right w:val="none" w:sz="0" w:space="0" w:color="auto"/>
          </w:divBdr>
        </w:div>
        <w:div w:id="1209148556">
          <w:marLeft w:val="0"/>
          <w:marRight w:val="0"/>
          <w:marTop w:val="0"/>
          <w:marBottom w:val="0"/>
          <w:divBdr>
            <w:top w:val="none" w:sz="0" w:space="0" w:color="auto"/>
            <w:left w:val="none" w:sz="0" w:space="0" w:color="auto"/>
            <w:bottom w:val="none" w:sz="0" w:space="0" w:color="auto"/>
            <w:right w:val="none" w:sz="0" w:space="0" w:color="auto"/>
          </w:divBdr>
          <w:divsChild>
            <w:div w:id="763694776">
              <w:marLeft w:val="-75"/>
              <w:marRight w:val="0"/>
              <w:marTop w:val="30"/>
              <w:marBottom w:val="30"/>
              <w:divBdr>
                <w:top w:val="none" w:sz="0" w:space="0" w:color="auto"/>
                <w:left w:val="none" w:sz="0" w:space="0" w:color="auto"/>
                <w:bottom w:val="none" w:sz="0" w:space="0" w:color="auto"/>
                <w:right w:val="none" w:sz="0" w:space="0" w:color="auto"/>
              </w:divBdr>
              <w:divsChild>
                <w:div w:id="48192656">
                  <w:marLeft w:val="0"/>
                  <w:marRight w:val="0"/>
                  <w:marTop w:val="0"/>
                  <w:marBottom w:val="0"/>
                  <w:divBdr>
                    <w:top w:val="none" w:sz="0" w:space="0" w:color="auto"/>
                    <w:left w:val="none" w:sz="0" w:space="0" w:color="auto"/>
                    <w:bottom w:val="none" w:sz="0" w:space="0" w:color="auto"/>
                    <w:right w:val="none" w:sz="0" w:space="0" w:color="auto"/>
                  </w:divBdr>
                  <w:divsChild>
                    <w:div w:id="1309899745">
                      <w:marLeft w:val="0"/>
                      <w:marRight w:val="0"/>
                      <w:marTop w:val="0"/>
                      <w:marBottom w:val="0"/>
                      <w:divBdr>
                        <w:top w:val="none" w:sz="0" w:space="0" w:color="auto"/>
                        <w:left w:val="none" w:sz="0" w:space="0" w:color="auto"/>
                        <w:bottom w:val="none" w:sz="0" w:space="0" w:color="auto"/>
                        <w:right w:val="none" w:sz="0" w:space="0" w:color="auto"/>
                      </w:divBdr>
                    </w:div>
                  </w:divsChild>
                </w:div>
                <w:div w:id="114570493">
                  <w:marLeft w:val="0"/>
                  <w:marRight w:val="0"/>
                  <w:marTop w:val="0"/>
                  <w:marBottom w:val="0"/>
                  <w:divBdr>
                    <w:top w:val="none" w:sz="0" w:space="0" w:color="auto"/>
                    <w:left w:val="none" w:sz="0" w:space="0" w:color="auto"/>
                    <w:bottom w:val="none" w:sz="0" w:space="0" w:color="auto"/>
                    <w:right w:val="none" w:sz="0" w:space="0" w:color="auto"/>
                  </w:divBdr>
                  <w:divsChild>
                    <w:div w:id="1482774134">
                      <w:marLeft w:val="0"/>
                      <w:marRight w:val="0"/>
                      <w:marTop w:val="0"/>
                      <w:marBottom w:val="0"/>
                      <w:divBdr>
                        <w:top w:val="none" w:sz="0" w:space="0" w:color="auto"/>
                        <w:left w:val="none" w:sz="0" w:space="0" w:color="auto"/>
                        <w:bottom w:val="none" w:sz="0" w:space="0" w:color="auto"/>
                        <w:right w:val="none" w:sz="0" w:space="0" w:color="auto"/>
                      </w:divBdr>
                    </w:div>
                  </w:divsChild>
                </w:div>
                <w:div w:id="270014640">
                  <w:marLeft w:val="0"/>
                  <w:marRight w:val="0"/>
                  <w:marTop w:val="0"/>
                  <w:marBottom w:val="0"/>
                  <w:divBdr>
                    <w:top w:val="none" w:sz="0" w:space="0" w:color="auto"/>
                    <w:left w:val="none" w:sz="0" w:space="0" w:color="auto"/>
                    <w:bottom w:val="none" w:sz="0" w:space="0" w:color="auto"/>
                    <w:right w:val="none" w:sz="0" w:space="0" w:color="auto"/>
                  </w:divBdr>
                  <w:divsChild>
                    <w:div w:id="1035425128">
                      <w:marLeft w:val="0"/>
                      <w:marRight w:val="0"/>
                      <w:marTop w:val="0"/>
                      <w:marBottom w:val="0"/>
                      <w:divBdr>
                        <w:top w:val="none" w:sz="0" w:space="0" w:color="auto"/>
                        <w:left w:val="none" w:sz="0" w:space="0" w:color="auto"/>
                        <w:bottom w:val="none" w:sz="0" w:space="0" w:color="auto"/>
                        <w:right w:val="none" w:sz="0" w:space="0" w:color="auto"/>
                      </w:divBdr>
                    </w:div>
                  </w:divsChild>
                </w:div>
                <w:div w:id="321154729">
                  <w:marLeft w:val="0"/>
                  <w:marRight w:val="0"/>
                  <w:marTop w:val="0"/>
                  <w:marBottom w:val="0"/>
                  <w:divBdr>
                    <w:top w:val="none" w:sz="0" w:space="0" w:color="auto"/>
                    <w:left w:val="none" w:sz="0" w:space="0" w:color="auto"/>
                    <w:bottom w:val="none" w:sz="0" w:space="0" w:color="auto"/>
                    <w:right w:val="none" w:sz="0" w:space="0" w:color="auto"/>
                  </w:divBdr>
                  <w:divsChild>
                    <w:div w:id="607467080">
                      <w:marLeft w:val="0"/>
                      <w:marRight w:val="0"/>
                      <w:marTop w:val="0"/>
                      <w:marBottom w:val="0"/>
                      <w:divBdr>
                        <w:top w:val="none" w:sz="0" w:space="0" w:color="auto"/>
                        <w:left w:val="none" w:sz="0" w:space="0" w:color="auto"/>
                        <w:bottom w:val="none" w:sz="0" w:space="0" w:color="auto"/>
                        <w:right w:val="none" w:sz="0" w:space="0" w:color="auto"/>
                      </w:divBdr>
                    </w:div>
                  </w:divsChild>
                </w:div>
                <w:div w:id="526530064">
                  <w:marLeft w:val="0"/>
                  <w:marRight w:val="0"/>
                  <w:marTop w:val="0"/>
                  <w:marBottom w:val="0"/>
                  <w:divBdr>
                    <w:top w:val="none" w:sz="0" w:space="0" w:color="auto"/>
                    <w:left w:val="none" w:sz="0" w:space="0" w:color="auto"/>
                    <w:bottom w:val="none" w:sz="0" w:space="0" w:color="auto"/>
                    <w:right w:val="none" w:sz="0" w:space="0" w:color="auto"/>
                  </w:divBdr>
                  <w:divsChild>
                    <w:div w:id="1459300085">
                      <w:marLeft w:val="0"/>
                      <w:marRight w:val="0"/>
                      <w:marTop w:val="0"/>
                      <w:marBottom w:val="0"/>
                      <w:divBdr>
                        <w:top w:val="none" w:sz="0" w:space="0" w:color="auto"/>
                        <w:left w:val="none" w:sz="0" w:space="0" w:color="auto"/>
                        <w:bottom w:val="none" w:sz="0" w:space="0" w:color="auto"/>
                        <w:right w:val="none" w:sz="0" w:space="0" w:color="auto"/>
                      </w:divBdr>
                    </w:div>
                  </w:divsChild>
                </w:div>
                <w:div w:id="538326665">
                  <w:marLeft w:val="0"/>
                  <w:marRight w:val="0"/>
                  <w:marTop w:val="0"/>
                  <w:marBottom w:val="0"/>
                  <w:divBdr>
                    <w:top w:val="none" w:sz="0" w:space="0" w:color="auto"/>
                    <w:left w:val="none" w:sz="0" w:space="0" w:color="auto"/>
                    <w:bottom w:val="none" w:sz="0" w:space="0" w:color="auto"/>
                    <w:right w:val="none" w:sz="0" w:space="0" w:color="auto"/>
                  </w:divBdr>
                  <w:divsChild>
                    <w:div w:id="544175406">
                      <w:marLeft w:val="0"/>
                      <w:marRight w:val="0"/>
                      <w:marTop w:val="0"/>
                      <w:marBottom w:val="0"/>
                      <w:divBdr>
                        <w:top w:val="none" w:sz="0" w:space="0" w:color="auto"/>
                        <w:left w:val="none" w:sz="0" w:space="0" w:color="auto"/>
                        <w:bottom w:val="none" w:sz="0" w:space="0" w:color="auto"/>
                        <w:right w:val="none" w:sz="0" w:space="0" w:color="auto"/>
                      </w:divBdr>
                    </w:div>
                  </w:divsChild>
                </w:div>
                <w:div w:id="680400757">
                  <w:marLeft w:val="0"/>
                  <w:marRight w:val="0"/>
                  <w:marTop w:val="0"/>
                  <w:marBottom w:val="0"/>
                  <w:divBdr>
                    <w:top w:val="none" w:sz="0" w:space="0" w:color="auto"/>
                    <w:left w:val="none" w:sz="0" w:space="0" w:color="auto"/>
                    <w:bottom w:val="none" w:sz="0" w:space="0" w:color="auto"/>
                    <w:right w:val="none" w:sz="0" w:space="0" w:color="auto"/>
                  </w:divBdr>
                  <w:divsChild>
                    <w:div w:id="1483615486">
                      <w:marLeft w:val="0"/>
                      <w:marRight w:val="0"/>
                      <w:marTop w:val="0"/>
                      <w:marBottom w:val="0"/>
                      <w:divBdr>
                        <w:top w:val="none" w:sz="0" w:space="0" w:color="auto"/>
                        <w:left w:val="none" w:sz="0" w:space="0" w:color="auto"/>
                        <w:bottom w:val="none" w:sz="0" w:space="0" w:color="auto"/>
                        <w:right w:val="none" w:sz="0" w:space="0" w:color="auto"/>
                      </w:divBdr>
                    </w:div>
                  </w:divsChild>
                </w:div>
                <w:div w:id="757480116">
                  <w:marLeft w:val="0"/>
                  <w:marRight w:val="0"/>
                  <w:marTop w:val="0"/>
                  <w:marBottom w:val="0"/>
                  <w:divBdr>
                    <w:top w:val="none" w:sz="0" w:space="0" w:color="auto"/>
                    <w:left w:val="none" w:sz="0" w:space="0" w:color="auto"/>
                    <w:bottom w:val="none" w:sz="0" w:space="0" w:color="auto"/>
                    <w:right w:val="none" w:sz="0" w:space="0" w:color="auto"/>
                  </w:divBdr>
                  <w:divsChild>
                    <w:div w:id="890533217">
                      <w:marLeft w:val="0"/>
                      <w:marRight w:val="0"/>
                      <w:marTop w:val="0"/>
                      <w:marBottom w:val="0"/>
                      <w:divBdr>
                        <w:top w:val="none" w:sz="0" w:space="0" w:color="auto"/>
                        <w:left w:val="none" w:sz="0" w:space="0" w:color="auto"/>
                        <w:bottom w:val="none" w:sz="0" w:space="0" w:color="auto"/>
                        <w:right w:val="none" w:sz="0" w:space="0" w:color="auto"/>
                      </w:divBdr>
                    </w:div>
                  </w:divsChild>
                </w:div>
                <w:div w:id="965354847">
                  <w:marLeft w:val="0"/>
                  <w:marRight w:val="0"/>
                  <w:marTop w:val="0"/>
                  <w:marBottom w:val="0"/>
                  <w:divBdr>
                    <w:top w:val="none" w:sz="0" w:space="0" w:color="auto"/>
                    <w:left w:val="none" w:sz="0" w:space="0" w:color="auto"/>
                    <w:bottom w:val="none" w:sz="0" w:space="0" w:color="auto"/>
                    <w:right w:val="none" w:sz="0" w:space="0" w:color="auto"/>
                  </w:divBdr>
                  <w:divsChild>
                    <w:div w:id="2009287967">
                      <w:marLeft w:val="0"/>
                      <w:marRight w:val="0"/>
                      <w:marTop w:val="0"/>
                      <w:marBottom w:val="0"/>
                      <w:divBdr>
                        <w:top w:val="none" w:sz="0" w:space="0" w:color="auto"/>
                        <w:left w:val="none" w:sz="0" w:space="0" w:color="auto"/>
                        <w:bottom w:val="none" w:sz="0" w:space="0" w:color="auto"/>
                        <w:right w:val="none" w:sz="0" w:space="0" w:color="auto"/>
                      </w:divBdr>
                    </w:div>
                  </w:divsChild>
                </w:div>
                <w:div w:id="988946386">
                  <w:marLeft w:val="0"/>
                  <w:marRight w:val="0"/>
                  <w:marTop w:val="0"/>
                  <w:marBottom w:val="0"/>
                  <w:divBdr>
                    <w:top w:val="none" w:sz="0" w:space="0" w:color="auto"/>
                    <w:left w:val="none" w:sz="0" w:space="0" w:color="auto"/>
                    <w:bottom w:val="none" w:sz="0" w:space="0" w:color="auto"/>
                    <w:right w:val="none" w:sz="0" w:space="0" w:color="auto"/>
                  </w:divBdr>
                  <w:divsChild>
                    <w:div w:id="1783528521">
                      <w:marLeft w:val="0"/>
                      <w:marRight w:val="0"/>
                      <w:marTop w:val="0"/>
                      <w:marBottom w:val="0"/>
                      <w:divBdr>
                        <w:top w:val="none" w:sz="0" w:space="0" w:color="auto"/>
                        <w:left w:val="none" w:sz="0" w:space="0" w:color="auto"/>
                        <w:bottom w:val="none" w:sz="0" w:space="0" w:color="auto"/>
                        <w:right w:val="none" w:sz="0" w:space="0" w:color="auto"/>
                      </w:divBdr>
                    </w:div>
                  </w:divsChild>
                </w:div>
                <w:div w:id="1137793830">
                  <w:marLeft w:val="0"/>
                  <w:marRight w:val="0"/>
                  <w:marTop w:val="0"/>
                  <w:marBottom w:val="0"/>
                  <w:divBdr>
                    <w:top w:val="none" w:sz="0" w:space="0" w:color="auto"/>
                    <w:left w:val="none" w:sz="0" w:space="0" w:color="auto"/>
                    <w:bottom w:val="none" w:sz="0" w:space="0" w:color="auto"/>
                    <w:right w:val="none" w:sz="0" w:space="0" w:color="auto"/>
                  </w:divBdr>
                  <w:divsChild>
                    <w:div w:id="1609507761">
                      <w:marLeft w:val="0"/>
                      <w:marRight w:val="0"/>
                      <w:marTop w:val="0"/>
                      <w:marBottom w:val="0"/>
                      <w:divBdr>
                        <w:top w:val="none" w:sz="0" w:space="0" w:color="auto"/>
                        <w:left w:val="none" w:sz="0" w:space="0" w:color="auto"/>
                        <w:bottom w:val="none" w:sz="0" w:space="0" w:color="auto"/>
                        <w:right w:val="none" w:sz="0" w:space="0" w:color="auto"/>
                      </w:divBdr>
                    </w:div>
                  </w:divsChild>
                </w:div>
                <w:div w:id="1308780996">
                  <w:marLeft w:val="0"/>
                  <w:marRight w:val="0"/>
                  <w:marTop w:val="0"/>
                  <w:marBottom w:val="0"/>
                  <w:divBdr>
                    <w:top w:val="none" w:sz="0" w:space="0" w:color="auto"/>
                    <w:left w:val="none" w:sz="0" w:space="0" w:color="auto"/>
                    <w:bottom w:val="none" w:sz="0" w:space="0" w:color="auto"/>
                    <w:right w:val="none" w:sz="0" w:space="0" w:color="auto"/>
                  </w:divBdr>
                  <w:divsChild>
                    <w:div w:id="1887260032">
                      <w:marLeft w:val="0"/>
                      <w:marRight w:val="0"/>
                      <w:marTop w:val="0"/>
                      <w:marBottom w:val="0"/>
                      <w:divBdr>
                        <w:top w:val="none" w:sz="0" w:space="0" w:color="auto"/>
                        <w:left w:val="none" w:sz="0" w:space="0" w:color="auto"/>
                        <w:bottom w:val="none" w:sz="0" w:space="0" w:color="auto"/>
                        <w:right w:val="none" w:sz="0" w:space="0" w:color="auto"/>
                      </w:divBdr>
                    </w:div>
                  </w:divsChild>
                </w:div>
                <w:div w:id="1424648649">
                  <w:marLeft w:val="0"/>
                  <w:marRight w:val="0"/>
                  <w:marTop w:val="0"/>
                  <w:marBottom w:val="0"/>
                  <w:divBdr>
                    <w:top w:val="none" w:sz="0" w:space="0" w:color="auto"/>
                    <w:left w:val="none" w:sz="0" w:space="0" w:color="auto"/>
                    <w:bottom w:val="none" w:sz="0" w:space="0" w:color="auto"/>
                    <w:right w:val="none" w:sz="0" w:space="0" w:color="auto"/>
                  </w:divBdr>
                  <w:divsChild>
                    <w:div w:id="2059624510">
                      <w:marLeft w:val="0"/>
                      <w:marRight w:val="0"/>
                      <w:marTop w:val="0"/>
                      <w:marBottom w:val="0"/>
                      <w:divBdr>
                        <w:top w:val="none" w:sz="0" w:space="0" w:color="auto"/>
                        <w:left w:val="none" w:sz="0" w:space="0" w:color="auto"/>
                        <w:bottom w:val="none" w:sz="0" w:space="0" w:color="auto"/>
                        <w:right w:val="none" w:sz="0" w:space="0" w:color="auto"/>
                      </w:divBdr>
                    </w:div>
                  </w:divsChild>
                </w:div>
                <w:div w:id="1424766668">
                  <w:marLeft w:val="0"/>
                  <w:marRight w:val="0"/>
                  <w:marTop w:val="0"/>
                  <w:marBottom w:val="0"/>
                  <w:divBdr>
                    <w:top w:val="none" w:sz="0" w:space="0" w:color="auto"/>
                    <w:left w:val="none" w:sz="0" w:space="0" w:color="auto"/>
                    <w:bottom w:val="none" w:sz="0" w:space="0" w:color="auto"/>
                    <w:right w:val="none" w:sz="0" w:space="0" w:color="auto"/>
                  </w:divBdr>
                  <w:divsChild>
                    <w:div w:id="826703576">
                      <w:marLeft w:val="0"/>
                      <w:marRight w:val="0"/>
                      <w:marTop w:val="0"/>
                      <w:marBottom w:val="0"/>
                      <w:divBdr>
                        <w:top w:val="none" w:sz="0" w:space="0" w:color="auto"/>
                        <w:left w:val="none" w:sz="0" w:space="0" w:color="auto"/>
                        <w:bottom w:val="none" w:sz="0" w:space="0" w:color="auto"/>
                        <w:right w:val="none" w:sz="0" w:space="0" w:color="auto"/>
                      </w:divBdr>
                    </w:div>
                  </w:divsChild>
                </w:div>
                <w:div w:id="1471941035">
                  <w:marLeft w:val="0"/>
                  <w:marRight w:val="0"/>
                  <w:marTop w:val="0"/>
                  <w:marBottom w:val="0"/>
                  <w:divBdr>
                    <w:top w:val="none" w:sz="0" w:space="0" w:color="auto"/>
                    <w:left w:val="none" w:sz="0" w:space="0" w:color="auto"/>
                    <w:bottom w:val="none" w:sz="0" w:space="0" w:color="auto"/>
                    <w:right w:val="none" w:sz="0" w:space="0" w:color="auto"/>
                  </w:divBdr>
                  <w:divsChild>
                    <w:div w:id="1032417270">
                      <w:marLeft w:val="0"/>
                      <w:marRight w:val="0"/>
                      <w:marTop w:val="0"/>
                      <w:marBottom w:val="0"/>
                      <w:divBdr>
                        <w:top w:val="none" w:sz="0" w:space="0" w:color="auto"/>
                        <w:left w:val="none" w:sz="0" w:space="0" w:color="auto"/>
                        <w:bottom w:val="none" w:sz="0" w:space="0" w:color="auto"/>
                        <w:right w:val="none" w:sz="0" w:space="0" w:color="auto"/>
                      </w:divBdr>
                    </w:div>
                  </w:divsChild>
                </w:div>
                <w:div w:id="1523543777">
                  <w:marLeft w:val="0"/>
                  <w:marRight w:val="0"/>
                  <w:marTop w:val="0"/>
                  <w:marBottom w:val="0"/>
                  <w:divBdr>
                    <w:top w:val="none" w:sz="0" w:space="0" w:color="auto"/>
                    <w:left w:val="none" w:sz="0" w:space="0" w:color="auto"/>
                    <w:bottom w:val="none" w:sz="0" w:space="0" w:color="auto"/>
                    <w:right w:val="none" w:sz="0" w:space="0" w:color="auto"/>
                  </w:divBdr>
                  <w:divsChild>
                    <w:div w:id="1902983041">
                      <w:marLeft w:val="0"/>
                      <w:marRight w:val="0"/>
                      <w:marTop w:val="0"/>
                      <w:marBottom w:val="0"/>
                      <w:divBdr>
                        <w:top w:val="none" w:sz="0" w:space="0" w:color="auto"/>
                        <w:left w:val="none" w:sz="0" w:space="0" w:color="auto"/>
                        <w:bottom w:val="none" w:sz="0" w:space="0" w:color="auto"/>
                        <w:right w:val="none" w:sz="0" w:space="0" w:color="auto"/>
                      </w:divBdr>
                    </w:div>
                  </w:divsChild>
                </w:div>
                <w:div w:id="1571307487">
                  <w:marLeft w:val="0"/>
                  <w:marRight w:val="0"/>
                  <w:marTop w:val="0"/>
                  <w:marBottom w:val="0"/>
                  <w:divBdr>
                    <w:top w:val="none" w:sz="0" w:space="0" w:color="auto"/>
                    <w:left w:val="none" w:sz="0" w:space="0" w:color="auto"/>
                    <w:bottom w:val="none" w:sz="0" w:space="0" w:color="auto"/>
                    <w:right w:val="none" w:sz="0" w:space="0" w:color="auto"/>
                  </w:divBdr>
                  <w:divsChild>
                    <w:div w:id="1615598919">
                      <w:marLeft w:val="0"/>
                      <w:marRight w:val="0"/>
                      <w:marTop w:val="0"/>
                      <w:marBottom w:val="0"/>
                      <w:divBdr>
                        <w:top w:val="none" w:sz="0" w:space="0" w:color="auto"/>
                        <w:left w:val="none" w:sz="0" w:space="0" w:color="auto"/>
                        <w:bottom w:val="none" w:sz="0" w:space="0" w:color="auto"/>
                        <w:right w:val="none" w:sz="0" w:space="0" w:color="auto"/>
                      </w:divBdr>
                    </w:div>
                  </w:divsChild>
                </w:div>
                <w:div w:id="1584683943">
                  <w:marLeft w:val="0"/>
                  <w:marRight w:val="0"/>
                  <w:marTop w:val="0"/>
                  <w:marBottom w:val="0"/>
                  <w:divBdr>
                    <w:top w:val="none" w:sz="0" w:space="0" w:color="auto"/>
                    <w:left w:val="none" w:sz="0" w:space="0" w:color="auto"/>
                    <w:bottom w:val="none" w:sz="0" w:space="0" w:color="auto"/>
                    <w:right w:val="none" w:sz="0" w:space="0" w:color="auto"/>
                  </w:divBdr>
                  <w:divsChild>
                    <w:div w:id="1536192199">
                      <w:marLeft w:val="0"/>
                      <w:marRight w:val="0"/>
                      <w:marTop w:val="0"/>
                      <w:marBottom w:val="0"/>
                      <w:divBdr>
                        <w:top w:val="none" w:sz="0" w:space="0" w:color="auto"/>
                        <w:left w:val="none" w:sz="0" w:space="0" w:color="auto"/>
                        <w:bottom w:val="none" w:sz="0" w:space="0" w:color="auto"/>
                        <w:right w:val="none" w:sz="0" w:space="0" w:color="auto"/>
                      </w:divBdr>
                    </w:div>
                  </w:divsChild>
                </w:div>
                <w:div w:id="1586765191">
                  <w:marLeft w:val="0"/>
                  <w:marRight w:val="0"/>
                  <w:marTop w:val="0"/>
                  <w:marBottom w:val="0"/>
                  <w:divBdr>
                    <w:top w:val="none" w:sz="0" w:space="0" w:color="auto"/>
                    <w:left w:val="none" w:sz="0" w:space="0" w:color="auto"/>
                    <w:bottom w:val="none" w:sz="0" w:space="0" w:color="auto"/>
                    <w:right w:val="none" w:sz="0" w:space="0" w:color="auto"/>
                  </w:divBdr>
                  <w:divsChild>
                    <w:div w:id="392893751">
                      <w:marLeft w:val="0"/>
                      <w:marRight w:val="0"/>
                      <w:marTop w:val="0"/>
                      <w:marBottom w:val="0"/>
                      <w:divBdr>
                        <w:top w:val="none" w:sz="0" w:space="0" w:color="auto"/>
                        <w:left w:val="none" w:sz="0" w:space="0" w:color="auto"/>
                        <w:bottom w:val="none" w:sz="0" w:space="0" w:color="auto"/>
                        <w:right w:val="none" w:sz="0" w:space="0" w:color="auto"/>
                      </w:divBdr>
                    </w:div>
                  </w:divsChild>
                </w:div>
                <w:div w:id="1643123353">
                  <w:marLeft w:val="0"/>
                  <w:marRight w:val="0"/>
                  <w:marTop w:val="0"/>
                  <w:marBottom w:val="0"/>
                  <w:divBdr>
                    <w:top w:val="none" w:sz="0" w:space="0" w:color="auto"/>
                    <w:left w:val="none" w:sz="0" w:space="0" w:color="auto"/>
                    <w:bottom w:val="none" w:sz="0" w:space="0" w:color="auto"/>
                    <w:right w:val="none" w:sz="0" w:space="0" w:color="auto"/>
                  </w:divBdr>
                  <w:divsChild>
                    <w:div w:id="788167511">
                      <w:marLeft w:val="0"/>
                      <w:marRight w:val="0"/>
                      <w:marTop w:val="0"/>
                      <w:marBottom w:val="0"/>
                      <w:divBdr>
                        <w:top w:val="none" w:sz="0" w:space="0" w:color="auto"/>
                        <w:left w:val="none" w:sz="0" w:space="0" w:color="auto"/>
                        <w:bottom w:val="none" w:sz="0" w:space="0" w:color="auto"/>
                        <w:right w:val="none" w:sz="0" w:space="0" w:color="auto"/>
                      </w:divBdr>
                    </w:div>
                  </w:divsChild>
                </w:div>
                <w:div w:id="1775636268">
                  <w:marLeft w:val="0"/>
                  <w:marRight w:val="0"/>
                  <w:marTop w:val="0"/>
                  <w:marBottom w:val="0"/>
                  <w:divBdr>
                    <w:top w:val="none" w:sz="0" w:space="0" w:color="auto"/>
                    <w:left w:val="none" w:sz="0" w:space="0" w:color="auto"/>
                    <w:bottom w:val="none" w:sz="0" w:space="0" w:color="auto"/>
                    <w:right w:val="none" w:sz="0" w:space="0" w:color="auto"/>
                  </w:divBdr>
                  <w:divsChild>
                    <w:div w:id="2118329249">
                      <w:marLeft w:val="0"/>
                      <w:marRight w:val="0"/>
                      <w:marTop w:val="0"/>
                      <w:marBottom w:val="0"/>
                      <w:divBdr>
                        <w:top w:val="none" w:sz="0" w:space="0" w:color="auto"/>
                        <w:left w:val="none" w:sz="0" w:space="0" w:color="auto"/>
                        <w:bottom w:val="none" w:sz="0" w:space="0" w:color="auto"/>
                        <w:right w:val="none" w:sz="0" w:space="0" w:color="auto"/>
                      </w:divBdr>
                    </w:div>
                  </w:divsChild>
                </w:div>
                <w:div w:id="1908759961">
                  <w:marLeft w:val="0"/>
                  <w:marRight w:val="0"/>
                  <w:marTop w:val="0"/>
                  <w:marBottom w:val="0"/>
                  <w:divBdr>
                    <w:top w:val="none" w:sz="0" w:space="0" w:color="auto"/>
                    <w:left w:val="none" w:sz="0" w:space="0" w:color="auto"/>
                    <w:bottom w:val="none" w:sz="0" w:space="0" w:color="auto"/>
                    <w:right w:val="none" w:sz="0" w:space="0" w:color="auto"/>
                  </w:divBdr>
                  <w:divsChild>
                    <w:div w:id="768083584">
                      <w:marLeft w:val="0"/>
                      <w:marRight w:val="0"/>
                      <w:marTop w:val="0"/>
                      <w:marBottom w:val="0"/>
                      <w:divBdr>
                        <w:top w:val="none" w:sz="0" w:space="0" w:color="auto"/>
                        <w:left w:val="none" w:sz="0" w:space="0" w:color="auto"/>
                        <w:bottom w:val="none" w:sz="0" w:space="0" w:color="auto"/>
                        <w:right w:val="none" w:sz="0" w:space="0" w:color="auto"/>
                      </w:divBdr>
                    </w:div>
                  </w:divsChild>
                </w:div>
                <w:div w:id="2027711429">
                  <w:marLeft w:val="0"/>
                  <w:marRight w:val="0"/>
                  <w:marTop w:val="0"/>
                  <w:marBottom w:val="0"/>
                  <w:divBdr>
                    <w:top w:val="none" w:sz="0" w:space="0" w:color="auto"/>
                    <w:left w:val="none" w:sz="0" w:space="0" w:color="auto"/>
                    <w:bottom w:val="none" w:sz="0" w:space="0" w:color="auto"/>
                    <w:right w:val="none" w:sz="0" w:space="0" w:color="auto"/>
                  </w:divBdr>
                  <w:divsChild>
                    <w:div w:id="1542784914">
                      <w:marLeft w:val="0"/>
                      <w:marRight w:val="0"/>
                      <w:marTop w:val="0"/>
                      <w:marBottom w:val="0"/>
                      <w:divBdr>
                        <w:top w:val="none" w:sz="0" w:space="0" w:color="auto"/>
                        <w:left w:val="none" w:sz="0" w:space="0" w:color="auto"/>
                        <w:bottom w:val="none" w:sz="0" w:space="0" w:color="auto"/>
                        <w:right w:val="none" w:sz="0" w:space="0" w:color="auto"/>
                      </w:divBdr>
                    </w:div>
                  </w:divsChild>
                </w:div>
                <w:div w:id="2123455640">
                  <w:marLeft w:val="0"/>
                  <w:marRight w:val="0"/>
                  <w:marTop w:val="0"/>
                  <w:marBottom w:val="0"/>
                  <w:divBdr>
                    <w:top w:val="none" w:sz="0" w:space="0" w:color="auto"/>
                    <w:left w:val="none" w:sz="0" w:space="0" w:color="auto"/>
                    <w:bottom w:val="none" w:sz="0" w:space="0" w:color="auto"/>
                    <w:right w:val="none" w:sz="0" w:space="0" w:color="auto"/>
                  </w:divBdr>
                  <w:divsChild>
                    <w:div w:id="138406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129895">
          <w:marLeft w:val="0"/>
          <w:marRight w:val="0"/>
          <w:marTop w:val="0"/>
          <w:marBottom w:val="0"/>
          <w:divBdr>
            <w:top w:val="none" w:sz="0" w:space="0" w:color="auto"/>
            <w:left w:val="none" w:sz="0" w:space="0" w:color="auto"/>
            <w:bottom w:val="none" w:sz="0" w:space="0" w:color="auto"/>
            <w:right w:val="none" w:sz="0" w:space="0" w:color="auto"/>
          </w:divBdr>
          <w:divsChild>
            <w:div w:id="1566794904">
              <w:marLeft w:val="-75"/>
              <w:marRight w:val="0"/>
              <w:marTop w:val="30"/>
              <w:marBottom w:val="30"/>
              <w:divBdr>
                <w:top w:val="none" w:sz="0" w:space="0" w:color="auto"/>
                <w:left w:val="none" w:sz="0" w:space="0" w:color="auto"/>
                <w:bottom w:val="none" w:sz="0" w:space="0" w:color="auto"/>
                <w:right w:val="none" w:sz="0" w:space="0" w:color="auto"/>
              </w:divBdr>
              <w:divsChild>
                <w:div w:id="2899154">
                  <w:marLeft w:val="0"/>
                  <w:marRight w:val="0"/>
                  <w:marTop w:val="0"/>
                  <w:marBottom w:val="0"/>
                  <w:divBdr>
                    <w:top w:val="none" w:sz="0" w:space="0" w:color="auto"/>
                    <w:left w:val="none" w:sz="0" w:space="0" w:color="auto"/>
                    <w:bottom w:val="none" w:sz="0" w:space="0" w:color="auto"/>
                    <w:right w:val="none" w:sz="0" w:space="0" w:color="auto"/>
                  </w:divBdr>
                  <w:divsChild>
                    <w:div w:id="917248572">
                      <w:marLeft w:val="0"/>
                      <w:marRight w:val="0"/>
                      <w:marTop w:val="0"/>
                      <w:marBottom w:val="0"/>
                      <w:divBdr>
                        <w:top w:val="none" w:sz="0" w:space="0" w:color="auto"/>
                        <w:left w:val="none" w:sz="0" w:space="0" w:color="auto"/>
                        <w:bottom w:val="none" w:sz="0" w:space="0" w:color="auto"/>
                        <w:right w:val="none" w:sz="0" w:space="0" w:color="auto"/>
                      </w:divBdr>
                    </w:div>
                    <w:div w:id="946930102">
                      <w:marLeft w:val="0"/>
                      <w:marRight w:val="0"/>
                      <w:marTop w:val="0"/>
                      <w:marBottom w:val="0"/>
                      <w:divBdr>
                        <w:top w:val="none" w:sz="0" w:space="0" w:color="auto"/>
                        <w:left w:val="none" w:sz="0" w:space="0" w:color="auto"/>
                        <w:bottom w:val="none" w:sz="0" w:space="0" w:color="auto"/>
                        <w:right w:val="none" w:sz="0" w:space="0" w:color="auto"/>
                      </w:divBdr>
                    </w:div>
                  </w:divsChild>
                </w:div>
                <w:div w:id="44566180">
                  <w:marLeft w:val="0"/>
                  <w:marRight w:val="0"/>
                  <w:marTop w:val="0"/>
                  <w:marBottom w:val="0"/>
                  <w:divBdr>
                    <w:top w:val="none" w:sz="0" w:space="0" w:color="auto"/>
                    <w:left w:val="none" w:sz="0" w:space="0" w:color="auto"/>
                    <w:bottom w:val="none" w:sz="0" w:space="0" w:color="auto"/>
                    <w:right w:val="none" w:sz="0" w:space="0" w:color="auto"/>
                  </w:divBdr>
                  <w:divsChild>
                    <w:div w:id="1269002218">
                      <w:marLeft w:val="0"/>
                      <w:marRight w:val="0"/>
                      <w:marTop w:val="0"/>
                      <w:marBottom w:val="0"/>
                      <w:divBdr>
                        <w:top w:val="none" w:sz="0" w:space="0" w:color="auto"/>
                        <w:left w:val="none" w:sz="0" w:space="0" w:color="auto"/>
                        <w:bottom w:val="none" w:sz="0" w:space="0" w:color="auto"/>
                        <w:right w:val="none" w:sz="0" w:space="0" w:color="auto"/>
                      </w:divBdr>
                    </w:div>
                  </w:divsChild>
                </w:div>
                <w:div w:id="583610240">
                  <w:marLeft w:val="0"/>
                  <w:marRight w:val="0"/>
                  <w:marTop w:val="0"/>
                  <w:marBottom w:val="0"/>
                  <w:divBdr>
                    <w:top w:val="none" w:sz="0" w:space="0" w:color="auto"/>
                    <w:left w:val="none" w:sz="0" w:space="0" w:color="auto"/>
                    <w:bottom w:val="none" w:sz="0" w:space="0" w:color="auto"/>
                    <w:right w:val="none" w:sz="0" w:space="0" w:color="auto"/>
                  </w:divBdr>
                  <w:divsChild>
                    <w:div w:id="185218228">
                      <w:marLeft w:val="0"/>
                      <w:marRight w:val="0"/>
                      <w:marTop w:val="0"/>
                      <w:marBottom w:val="0"/>
                      <w:divBdr>
                        <w:top w:val="none" w:sz="0" w:space="0" w:color="auto"/>
                        <w:left w:val="none" w:sz="0" w:space="0" w:color="auto"/>
                        <w:bottom w:val="none" w:sz="0" w:space="0" w:color="auto"/>
                        <w:right w:val="none" w:sz="0" w:space="0" w:color="auto"/>
                      </w:divBdr>
                    </w:div>
                    <w:div w:id="1972588504">
                      <w:marLeft w:val="0"/>
                      <w:marRight w:val="0"/>
                      <w:marTop w:val="0"/>
                      <w:marBottom w:val="0"/>
                      <w:divBdr>
                        <w:top w:val="none" w:sz="0" w:space="0" w:color="auto"/>
                        <w:left w:val="none" w:sz="0" w:space="0" w:color="auto"/>
                        <w:bottom w:val="none" w:sz="0" w:space="0" w:color="auto"/>
                        <w:right w:val="none" w:sz="0" w:space="0" w:color="auto"/>
                      </w:divBdr>
                    </w:div>
                  </w:divsChild>
                </w:div>
                <w:div w:id="908004193">
                  <w:marLeft w:val="0"/>
                  <w:marRight w:val="0"/>
                  <w:marTop w:val="0"/>
                  <w:marBottom w:val="0"/>
                  <w:divBdr>
                    <w:top w:val="none" w:sz="0" w:space="0" w:color="auto"/>
                    <w:left w:val="none" w:sz="0" w:space="0" w:color="auto"/>
                    <w:bottom w:val="none" w:sz="0" w:space="0" w:color="auto"/>
                    <w:right w:val="none" w:sz="0" w:space="0" w:color="auto"/>
                  </w:divBdr>
                  <w:divsChild>
                    <w:div w:id="1482236005">
                      <w:marLeft w:val="0"/>
                      <w:marRight w:val="0"/>
                      <w:marTop w:val="0"/>
                      <w:marBottom w:val="0"/>
                      <w:divBdr>
                        <w:top w:val="none" w:sz="0" w:space="0" w:color="auto"/>
                        <w:left w:val="none" w:sz="0" w:space="0" w:color="auto"/>
                        <w:bottom w:val="none" w:sz="0" w:space="0" w:color="auto"/>
                        <w:right w:val="none" w:sz="0" w:space="0" w:color="auto"/>
                      </w:divBdr>
                    </w:div>
                    <w:div w:id="1557010742">
                      <w:marLeft w:val="0"/>
                      <w:marRight w:val="0"/>
                      <w:marTop w:val="0"/>
                      <w:marBottom w:val="0"/>
                      <w:divBdr>
                        <w:top w:val="none" w:sz="0" w:space="0" w:color="auto"/>
                        <w:left w:val="none" w:sz="0" w:space="0" w:color="auto"/>
                        <w:bottom w:val="none" w:sz="0" w:space="0" w:color="auto"/>
                        <w:right w:val="none" w:sz="0" w:space="0" w:color="auto"/>
                      </w:divBdr>
                    </w:div>
                  </w:divsChild>
                </w:div>
                <w:div w:id="1655404524">
                  <w:marLeft w:val="0"/>
                  <w:marRight w:val="0"/>
                  <w:marTop w:val="0"/>
                  <w:marBottom w:val="0"/>
                  <w:divBdr>
                    <w:top w:val="none" w:sz="0" w:space="0" w:color="auto"/>
                    <w:left w:val="none" w:sz="0" w:space="0" w:color="auto"/>
                    <w:bottom w:val="none" w:sz="0" w:space="0" w:color="auto"/>
                    <w:right w:val="none" w:sz="0" w:space="0" w:color="auto"/>
                  </w:divBdr>
                  <w:divsChild>
                    <w:div w:id="109663831">
                      <w:marLeft w:val="0"/>
                      <w:marRight w:val="0"/>
                      <w:marTop w:val="0"/>
                      <w:marBottom w:val="0"/>
                      <w:divBdr>
                        <w:top w:val="none" w:sz="0" w:space="0" w:color="auto"/>
                        <w:left w:val="none" w:sz="0" w:space="0" w:color="auto"/>
                        <w:bottom w:val="none" w:sz="0" w:space="0" w:color="auto"/>
                        <w:right w:val="none" w:sz="0" w:space="0" w:color="auto"/>
                      </w:divBdr>
                    </w:div>
                    <w:div w:id="1984114898">
                      <w:marLeft w:val="0"/>
                      <w:marRight w:val="0"/>
                      <w:marTop w:val="0"/>
                      <w:marBottom w:val="0"/>
                      <w:divBdr>
                        <w:top w:val="none" w:sz="0" w:space="0" w:color="auto"/>
                        <w:left w:val="none" w:sz="0" w:space="0" w:color="auto"/>
                        <w:bottom w:val="none" w:sz="0" w:space="0" w:color="auto"/>
                        <w:right w:val="none" w:sz="0" w:space="0" w:color="auto"/>
                      </w:divBdr>
                    </w:div>
                  </w:divsChild>
                </w:div>
                <w:div w:id="1970474549">
                  <w:marLeft w:val="0"/>
                  <w:marRight w:val="0"/>
                  <w:marTop w:val="0"/>
                  <w:marBottom w:val="0"/>
                  <w:divBdr>
                    <w:top w:val="none" w:sz="0" w:space="0" w:color="auto"/>
                    <w:left w:val="none" w:sz="0" w:space="0" w:color="auto"/>
                    <w:bottom w:val="none" w:sz="0" w:space="0" w:color="auto"/>
                    <w:right w:val="none" w:sz="0" w:space="0" w:color="auto"/>
                  </w:divBdr>
                  <w:divsChild>
                    <w:div w:id="274295032">
                      <w:marLeft w:val="0"/>
                      <w:marRight w:val="0"/>
                      <w:marTop w:val="0"/>
                      <w:marBottom w:val="0"/>
                      <w:divBdr>
                        <w:top w:val="none" w:sz="0" w:space="0" w:color="auto"/>
                        <w:left w:val="none" w:sz="0" w:space="0" w:color="auto"/>
                        <w:bottom w:val="none" w:sz="0" w:space="0" w:color="auto"/>
                        <w:right w:val="none" w:sz="0" w:space="0" w:color="auto"/>
                      </w:divBdr>
                    </w:div>
                    <w:div w:id="6601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537639">
          <w:marLeft w:val="0"/>
          <w:marRight w:val="0"/>
          <w:marTop w:val="0"/>
          <w:marBottom w:val="0"/>
          <w:divBdr>
            <w:top w:val="none" w:sz="0" w:space="0" w:color="auto"/>
            <w:left w:val="none" w:sz="0" w:space="0" w:color="auto"/>
            <w:bottom w:val="none" w:sz="0" w:space="0" w:color="auto"/>
            <w:right w:val="none" w:sz="0" w:space="0" w:color="auto"/>
          </w:divBdr>
        </w:div>
        <w:div w:id="1975022725">
          <w:marLeft w:val="0"/>
          <w:marRight w:val="0"/>
          <w:marTop w:val="0"/>
          <w:marBottom w:val="0"/>
          <w:divBdr>
            <w:top w:val="none" w:sz="0" w:space="0" w:color="auto"/>
            <w:left w:val="none" w:sz="0" w:space="0" w:color="auto"/>
            <w:bottom w:val="none" w:sz="0" w:space="0" w:color="auto"/>
            <w:right w:val="none" w:sz="0" w:space="0" w:color="auto"/>
          </w:divBdr>
        </w:div>
      </w:divsChild>
    </w:div>
    <w:div w:id="5597456">
      <w:bodyDiv w:val="1"/>
      <w:marLeft w:val="0"/>
      <w:marRight w:val="0"/>
      <w:marTop w:val="0"/>
      <w:marBottom w:val="0"/>
      <w:divBdr>
        <w:top w:val="none" w:sz="0" w:space="0" w:color="auto"/>
        <w:left w:val="none" w:sz="0" w:space="0" w:color="auto"/>
        <w:bottom w:val="none" w:sz="0" w:space="0" w:color="auto"/>
        <w:right w:val="none" w:sz="0" w:space="0" w:color="auto"/>
      </w:divBdr>
    </w:div>
    <w:div w:id="11609085">
      <w:bodyDiv w:val="1"/>
      <w:marLeft w:val="0"/>
      <w:marRight w:val="0"/>
      <w:marTop w:val="0"/>
      <w:marBottom w:val="0"/>
      <w:divBdr>
        <w:top w:val="none" w:sz="0" w:space="0" w:color="auto"/>
        <w:left w:val="none" w:sz="0" w:space="0" w:color="auto"/>
        <w:bottom w:val="none" w:sz="0" w:space="0" w:color="auto"/>
        <w:right w:val="none" w:sz="0" w:space="0" w:color="auto"/>
      </w:divBdr>
    </w:div>
    <w:div w:id="15273633">
      <w:bodyDiv w:val="1"/>
      <w:marLeft w:val="0"/>
      <w:marRight w:val="0"/>
      <w:marTop w:val="0"/>
      <w:marBottom w:val="0"/>
      <w:divBdr>
        <w:top w:val="none" w:sz="0" w:space="0" w:color="auto"/>
        <w:left w:val="none" w:sz="0" w:space="0" w:color="auto"/>
        <w:bottom w:val="none" w:sz="0" w:space="0" w:color="auto"/>
        <w:right w:val="none" w:sz="0" w:space="0" w:color="auto"/>
      </w:divBdr>
      <w:divsChild>
        <w:div w:id="846746313">
          <w:marLeft w:val="0"/>
          <w:marRight w:val="0"/>
          <w:marTop w:val="0"/>
          <w:marBottom w:val="0"/>
          <w:divBdr>
            <w:top w:val="none" w:sz="0" w:space="0" w:color="auto"/>
            <w:left w:val="none" w:sz="0" w:space="0" w:color="auto"/>
            <w:bottom w:val="none" w:sz="0" w:space="0" w:color="auto"/>
            <w:right w:val="none" w:sz="0" w:space="0" w:color="auto"/>
          </w:divBdr>
        </w:div>
      </w:divsChild>
    </w:div>
    <w:div w:id="26760677">
      <w:bodyDiv w:val="1"/>
      <w:marLeft w:val="0"/>
      <w:marRight w:val="0"/>
      <w:marTop w:val="0"/>
      <w:marBottom w:val="0"/>
      <w:divBdr>
        <w:top w:val="none" w:sz="0" w:space="0" w:color="auto"/>
        <w:left w:val="none" w:sz="0" w:space="0" w:color="auto"/>
        <w:bottom w:val="none" w:sz="0" w:space="0" w:color="auto"/>
        <w:right w:val="none" w:sz="0" w:space="0" w:color="auto"/>
      </w:divBdr>
      <w:divsChild>
        <w:div w:id="10642791">
          <w:marLeft w:val="0"/>
          <w:marRight w:val="0"/>
          <w:marTop w:val="0"/>
          <w:marBottom w:val="0"/>
          <w:divBdr>
            <w:top w:val="none" w:sz="0" w:space="0" w:color="auto"/>
            <w:left w:val="none" w:sz="0" w:space="0" w:color="auto"/>
            <w:bottom w:val="none" w:sz="0" w:space="0" w:color="auto"/>
            <w:right w:val="none" w:sz="0" w:space="0" w:color="auto"/>
          </w:divBdr>
          <w:divsChild>
            <w:div w:id="1779373698">
              <w:marLeft w:val="0"/>
              <w:marRight w:val="0"/>
              <w:marTop w:val="0"/>
              <w:marBottom w:val="0"/>
              <w:divBdr>
                <w:top w:val="none" w:sz="0" w:space="0" w:color="auto"/>
                <w:left w:val="none" w:sz="0" w:space="0" w:color="auto"/>
                <w:bottom w:val="none" w:sz="0" w:space="0" w:color="auto"/>
                <w:right w:val="none" w:sz="0" w:space="0" w:color="auto"/>
              </w:divBdr>
            </w:div>
          </w:divsChild>
        </w:div>
        <w:div w:id="13306960">
          <w:marLeft w:val="0"/>
          <w:marRight w:val="0"/>
          <w:marTop w:val="0"/>
          <w:marBottom w:val="0"/>
          <w:divBdr>
            <w:top w:val="none" w:sz="0" w:space="0" w:color="auto"/>
            <w:left w:val="none" w:sz="0" w:space="0" w:color="auto"/>
            <w:bottom w:val="none" w:sz="0" w:space="0" w:color="auto"/>
            <w:right w:val="none" w:sz="0" w:space="0" w:color="auto"/>
          </w:divBdr>
          <w:divsChild>
            <w:div w:id="1571034320">
              <w:marLeft w:val="0"/>
              <w:marRight w:val="0"/>
              <w:marTop w:val="0"/>
              <w:marBottom w:val="0"/>
              <w:divBdr>
                <w:top w:val="none" w:sz="0" w:space="0" w:color="auto"/>
                <w:left w:val="none" w:sz="0" w:space="0" w:color="auto"/>
                <w:bottom w:val="none" w:sz="0" w:space="0" w:color="auto"/>
                <w:right w:val="none" w:sz="0" w:space="0" w:color="auto"/>
              </w:divBdr>
            </w:div>
          </w:divsChild>
        </w:div>
        <w:div w:id="230577743">
          <w:marLeft w:val="0"/>
          <w:marRight w:val="0"/>
          <w:marTop w:val="0"/>
          <w:marBottom w:val="0"/>
          <w:divBdr>
            <w:top w:val="none" w:sz="0" w:space="0" w:color="auto"/>
            <w:left w:val="none" w:sz="0" w:space="0" w:color="auto"/>
            <w:bottom w:val="none" w:sz="0" w:space="0" w:color="auto"/>
            <w:right w:val="none" w:sz="0" w:space="0" w:color="auto"/>
          </w:divBdr>
          <w:divsChild>
            <w:div w:id="997348962">
              <w:marLeft w:val="0"/>
              <w:marRight w:val="0"/>
              <w:marTop w:val="0"/>
              <w:marBottom w:val="0"/>
              <w:divBdr>
                <w:top w:val="none" w:sz="0" w:space="0" w:color="auto"/>
                <w:left w:val="none" w:sz="0" w:space="0" w:color="auto"/>
                <w:bottom w:val="none" w:sz="0" w:space="0" w:color="auto"/>
                <w:right w:val="none" w:sz="0" w:space="0" w:color="auto"/>
              </w:divBdr>
            </w:div>
          </w:divsChild>
        </w:div>
        <w:div w:id="379982236">
          <w:marLeft w:val="0"/>
          <w:marRight w:val="0"/>
          <w:marTop w:val="0"/>
          <w:marBottom w:val="0"/>
          <w:divBdr>
            <w:top w:val="none" w:sz="0" w:space="0" w:color="auto"/>
            <w:left w:val="none" w:sz="0" w:space="0" w:color="auto"/>
            <w:bottom w:val="none" w:sz="0" w:space="0" w:color="auto"/>
            <w:right w:val="none" w:sz="0" w:space="0" w:color="auto"/>
          </w:divBdr>
          <w:divsChild>
            <w:div w:id="1902210063">
              <w:marLeft w:val="0"/>
              <w:marRight w:val="0"/>
              <w:marTop w:val="0"/>
              <w:marBottom w:val="0"/>
              <w:divBdr>
                <w:top w:val="none" w:sz="0" w:space="0" w:color="auto"/>
                <w:left w:val="none" w:sz="0" w:space="0" w:color="auto"/>
                <w:bottom w:val="none" w:sz="0" w:space="0" w:color="auto"/>
                <w:right w:val="none" w:sz="0" w:space="0" w:color="auto"/>
              </w:divBdr>
            </w:div>
          </w:divsChild>
        </w:div>
        <w:div w:id="455487167">
          <w:marLeft w:val="0"/>
          <w:marRight w:val="0"/>
          <w:marTop w:val="0"/>
          <w:marBottom w:val="0"/>
          <w:divBdr>
            <w:top w:val="none" w:sz="0" w:space="0" w:color="auto"/>
            <w:left w:val="none" w:sz="0" w:space="0" w:color="auto"/>
            <w:bottom w:val="none" w:sz="0" w:space="0" w:color="auto"/>
            <w:right w:val="none" w:sz="0" w:space="0" w:color="auto"/>
          </w:divBdr>
          <w:divsChild>
            <w:div w:id="1018773949">
              <w:marLeft w:val="0"/>
              <w:marRight w:val="0"/>
              <w:marTop w:val="0"/>
              <w:marBottom w:val="0"/>
              <w:divBdr>
                <w:top w:val="none" w:sz="0" w:space="0" w:color="auto"/>
                <w:left w:val="none" w:sz="0" w:space="0" w:color="auto"/>
                <w:bottom w:val="none" w:sz="0" w:space="0" w:color="auto"/>
                <w:right w:val="none" w:sz="0" w:space="0" w:color="auto"/>
              </w:divBdr>
            </w:div>
          </w:divsChild>
        </w:div>
        <w:div w:id="507906167">
          <w:marLeft w:val="0"/>
          <w:marRight w:val="0"/>
          <w:marTop w:val="0"/>
          <w:marBottom w:val="0"/>
          <w:divBdr>
            <w:top w:val="none" w:sz="0" w:space="0" w:color="auto"/>
            <w:left w:val="none" w:sz="0" w:space="0" w:color="auto"/>
            <w:bottom w:val="none" w:sz="0" w:space="0" w:color="auto"/>
            <w:right w:val="none" w:sz="0" w:space="0" w:color="auto"/>
          </w:divBdr>
          <w:divsChild>
            <w:div w:id="580331287">
              <w:marLeft w:val="0"/>
              <w:marRight w:val="0"/>
              <w:marTop w:val="0"/>
              <w:marBottom w:val="0"/>
              <w:divBdr>
                <w:top w:val="none" w:sz="0" w:space="0" w:color="auto"/>
                <w:left w:val="none" w:sz="0" w:space="0" w:color="auto"/>
                <w:bottom w:val="none" w:sz="0" w:space="0" w:color="auto"/>
                <w:right w:val="none" w:sz="0" w:space="0" w:color="auto"/>
              </w:divBdr>
            </w:div>
          </w:divsChild>
        </w:div>
        <w:div w:id="658116832">
          <w:marLeft w:val="0"/>
          <w:marRight w:val="0"/>
          <w:marTop w:val="0"/>
          <w:marBottom w:val="0"/>
          <w:divBdr>
            <w:top w:val="none" w:sz="0" w:space="0" w:color="auto"/>
            <w:left w:val="none" w:sz="0" w:space="0" w:color="auto"/>
            <w:bottom w:val="none" w:sz="0" w:space="0" w:color="auto"/>
            <w:right w:val="none" w:sz="0" w:space="0" w:color="auto"/>
          </w:divBdr>
          <w:divsChild>
            <w:div w:id="549078682">
              <w:marLeft w:val="0"/>
              <w:marRight w:val="0"/>
              <w:marTop w:val="0"/>
              <w:marBottom w:val="0"/>
              <w:divBdr>
                <w:top w:val="none" w:sz="0" w:space="0" w:color="auto"/>
                <w:left w:val="none" w:sz="0" w:space="0" w:color="auto"/>
                <w:bottom w:val="none" w:sz="0" w:space="0" w:color="auto"/>
                <w:right w:val="none" w:sz="0" w:space="0" w:color="auto"/>
              </w:divBdr>
            </w:div>
          </w:divsChild>
        </w:div>
        <w:div w:id="665862834">
          <w:marLeft w:val="0"/>
          <w:marRight w:val="0"/>
          <w:marTop w:val="0"/>
          <w:marBottom w:val="0"/>
          <w:divBdr>
            <w:top w:val="none" w:sz="0" w:space="0" w:color="auto"/>
            <w:left w:val="none" w:sz="0" w:space="0" w:color="auto"/>
            <w:bottom w:val="none" w:sz="0" w:space="0" w:color="auto"/>
            <w:right w:val="none" w:sz="0" w:space="0" w:color="auto"/>
          </w:divBdr>
          <w:divsChild>
            <w:div w:id="676810311">
              <w:marLeft w:val="0"/>
              <w:marRight w:val="0"/>
              <w:marTop w:val="0"/>
              <w:marBottom w:val="0"/>
              <w:divBdr>
                <w:top w:val="none" w:sz="0" w:space="0" w:color="auto"/>
                <w:left w:val="none" w:sz="0" w:space="0" w:color="auto"/>
                <w:bottom w:val="none" w:sz="0" w:space="0" w:color="auto"/>
                <w:right w:val="none" w:sz="0" w:space="0" w:color="auto"/>
              </w:divBdr>
            </w:div>
          </w:divsChild>
        </w:div>
        <w:div w:id="753166981">
          <w:marLeft w:val="0"/>
          <w:marRight w:val="0"/>
          <w:marTop w:val="0"/>
          <w:marBottom w:val="0"/>
          <w:divBdr>
            <w:top w:val="none" w:sz="0" w:space="0" w:color="auto"/>
            <w:left w:val="none" w:sz="0" w:space="0" w:color="auto"/>
            <w:bottom w:val="none" w:sz="0" w:space="0" w:color="auto"/>
            <w:right w:val="none" w:sz="0" w:space="0" w:color="auto"/>
          </w:divBdr>
          <w:divsChild>
            <w:div w:id="1149442668">
              <w:marLeft w:val="0"/>
              <w:marRight w:val="0"/>
              <w:marTop w:val="0"/>
              <w:marBottom w:val="0"/>
              <w:divBdr>
                <w:top w:val="none" w:sz="0" w:space="0" w:color="auto"/>
                <w:left w:val="none" w:sz="0" w:space="0" w:color="auto"/>
                <w:bottom w:val="none" w:sz="0" w:space="0" w:color="auto"/>
                <w:right w:val="none" w:sz="0" w:space="0" w:color="auto"/>
              </w:divBdr>
            </w:div>
          </w:divsChild>
        </w:div>
        <w:div w:id="903374785">
          <w:marLeft w:val="0"/>
          <w:marRight w:val="0"/>
          <w:marTop w:val="0"/>
          <w:marBottom w:val="0"/>
          <w:divBdr>
            <w:top w:val="none" w:sz="0" w:space="0" w:color="auto"/>
            <w:left w:val="none" w:sz="0" w:space="0" w:color="auto"/>
            <w:bottom w:val="none" w:sz="0" w:space="0" w:color="auto"/>
            <w:right w:val="none" w:sz="0" w:space="0" w:color="auto"/>
          </w:divBdr>
          <w:divsChild>
            <w:div w:id="410388869">
              <w:marLeft w:val="0"/>
              <w:marRight w:val="0"/>
              <w:marTop w:val="0"/>
              <w:marBottom w:val="0"/>
              <w:divBdr>
                <w:top w:val="none" w:sz="0" w:space="0" w:color="auto"/>
                <w:left w:val="none" w:sz="0" w:space="0" w:color="auto"/>
                <w:bottom w:val="none" w:sz="0" w:space="0" w:color="auto"/>
                <w:right w:val="none" w:sz="0" w:space="0" w:color="auto"/>
              </w:divBdr>
            </w:div>
          </w:divsChild>
        </w:div>
        <w:div w:id="1084499214">
          <w:marLeft w:val="0"/>
          <w:marRight w:val="0"/>
          <w:marTop w:val="0"/>
          <w:marBottom w:val="0"/>
          <w:divBdr>
            <w:top w:val="none" w:sz="0" w:space="0" w:color="auto"/>
            <w:left w:val="none" w:sz="0" w:space="0" w:color="auto"/>
            <w:bottom w:val="none" w:sz="0" w:space="0" w:color="auto"/>
            <w:right w:val="none" w:sz="0" w:space="0" w:color="auto"/>
          </w:divBdr>
          <w:divsChild>
            <w:div w:id="1140345135">
              <w:marLeft w:val="0"/>
              <w:marRight w:val="0"/>
              <w:marTop w:val="0"/>
              <w:marBottom w:val="0"/>
              <w:divBdr>
                <w:top w:val="none" w:sz="0" w:space="0" w:color="auto"/>
                <w:left w:val="none" w:sz="0" w:space="0" w:color="auto"/>
                <w:bottom w:val="none" w:sz="0" w:space="0" w:color="auto"/>
                <w:right w:val="none" w:sz="0" w:space="0" w:color="auto"/>
              </w:divBdr>
            </w:div>
          </w:divsChild>
        </w:div>
        <w:div w:id="1092355061">
          <w:marLeft w:val="0"/>
          <w:marRight w:val="0"/>
          <w:marTop w:val="0"/>
          <w:marBottom w:val="0"/>
          <w:divBdr>
            <w:top w:val="none" w:sz="0" w:space="0" w:color="auto"/>
            <w:left w:val="none" w:sz="0" w:space="0" w:color="auto"/>
            <w:bottom w:val="none" w:sz="0" w:space="0" w:color="auto"/>
            <w:right w:val="none" w:sz="0" w:space="0" w:color="auto"/>
          </w:divBdr>
          <w:divsChild>
            <w:div w:id="785347600">
              <w:marLeft w:val="0"/>
              <w:marRight w:val="0"/>
              <w:marTop w:val="0"/>
              <w:marBottom w:val="0"/>
              <w:divBdr>
                <w:top w:val="none" w:sz="0" w:space="0" w:color="auto"/>
                <w:left w:val="none" w:sz="0" w:space="0" w:color="auto"/>
                <w:bottom w:val="none" w:sz="0" w:space="0" w:color="auto"/>
                <w:right w:val="none" w:sz="0" w:space="0" w:color="auto"/>
              </w:divBdr>
            </w:div>
          </w:divsChild>
        </w:div>
        <w:div w:id="1281302988">
          <w:marLeft w:val="0"/>
          <w:marRight w:val="0"/>
          <w:marTop w:val="0"/>
          <w:marBottom w:val="0"/>
          <w:divBdr>
            <w:top w:val="none" w:sz="0" w:space="0" w:color="auto"/>
            <w:left w:val="none" w:sz="0" w:space="0" w:color="auto"/>
            <w:bottom w:val="none" w:sz="0" w:space="0" w:color="auto"/>
            <w:right w:val="none" w:sz="0" w:space="0" w:color="auto"/>
          </w:divBdr>
          <w:divsChild>
            <w:div w:id="967008191">
              <w:marLeft w:val="0"/>
              <w:marRight w:val="0"/>
              <w:marTop w:val="0"/>
              <w:marBottom w:val="0"/>
              <w:divBdr>
                <w:top w:val="none" w:sz="0" w:space="0" w:color="auto"/>
                <w:left w:val="none" w:sz="0" w:space="0" w:color="auto"/>
                <w:bottom w:val="none" w:sz="0" w:space="0" w:color="auto"/>
                <w:right w:val="none" w:sz="0" w:space="0" w:color="auto"/>
              </w:divBdr>
            </w:div>
          </w:divsChild>
        </w:div>
        <w:div w:id="1282106636">
          <w:marLeft w:val="0"/>
          <w:marRight w:val="0"/>
          <w:marTop w:val="0"/>
          <w:marBottom w:val="0"/>
          <w:divBdr>
            <w:top w:val="none" w:sz="0" w:space="0" w:color="auto"/>
            <w:left w:val="none" w:sz="0" w:space="0" w:color="auto"/>
            <w:bottom w:val="none" w:sz="0" w:space="0" w:color="auto"/>
            <w:right w:val="none" w:sz="0" w:space="0" w:color="auto"/>
          </w:divBdr>
          <w:divsChild>
            <w:div w:id="1395852006">
              <w:marLeft w:val="0"/>
              <w:marRight w:val="0"/>
              <w:marTop w:val="0"/>
              <w:marBottom w:val="0"/>
              <w:divBdr>
                <w:top w:val="none" w:sz="0" w:space="0" w:color="auto"/>
                <w:left w:val="none" w:sz="0" w:space="0" w:color="auto"/>
                <w:bottom w:val="none" w:sz="0" w:space="0" w:color="auto"/>
                <w:right w:val="none" w:sz="0" w:space="0" w:color="auto"/>
              </w:divBdr>
            </w:div>
          </w:divsChild>
        </w:div>
        <w:div w:id="1398555415">
          <w:marLeft w:val="0"/>
          <w:marRight w:val="0"/>
          <w:marTop w:val="0"/>
          <w:marBottom w:val="0"/>
          <w:divBdr>
            <w:top w:val="none" w:sz="0" w:space="0" w:color="auto"/>
            <w:left w:val="none" w:sz="0" w:space="0" w:color="auto"/>
            <w:bottom w:val="none" w:sz="0" w:space="0" w:color="auto"/>
            <w:right w:val="none" w:sz="0" w:space="0" w:color="auto"/>
          </w:divBdr>
          <w:divsChild>
            <w:div w:id="175048356">
              <w:marLeft w:val="0"/>
              <w:marRight w:val="0"/>
              <w:marTop w:val="0"/>
              <w:marBottom w:val="0"/>
              <w:divBdr>
                <w:top w:val="none" w:sz="0" w:space="0" w:color="auto"/>
                <w:left w:val="none" w:sz="0" w:space="0" w:color="auto"/>
                <w:bottom w:val="none" w:sz="0" w:space="0" w:color="auto"/>
                <w:right w:val="none" w:sz="0" w:space="0" w:color="auto"/>
              </w:divBdr>
            </w:div>
          </w:divsChild>
        </w:div>
        <w:div w:id="1592591378">
          <w:marLeft w:val="0"/>
          <w:marRight w:val="0"/>
          <w:marTop w:val="0"/>
          <w:marBottom w:val="0"/>
          <w:divBdr>
            <w:top w:val="none" w:sz="0" w:space="0" w:color="auto"/>
            <w:left w:val="none" w:sz="0" w:space="0" w:color="auto"/>
            <w:bottom w:val="none" w:sz="0" w:space="0" w:color="auto"/>
            <w:right w:val="none" w:sz="0" w:space="0" w:color="auto"/>
          </w:divBdr>
          <w:divsChild>
            <w:div w:id="2077044421">
              <w:marLeft w:val="0"/>
              <w:marRight w:val="0"/>
              <w:marTop w:val="0"/>
              <w:marBottom w:val="0"/>
              <w:divBdr>
                <w:top w:val="none" w:sz="0" w:space="0" w:color="auto"/>
                <w:left w:val="none" w:sz="0" w:space="0" w:color="auto"/>
                <w:bottom w:val="none" w:sz="0" w:space="0" w:color="auto"/>
                <w:right w:val="none" w:sz="0" w:space="0" w:color="auto"/>
              </w:divBdr>
            </w:div>
          </w:divsChild>
        </w:div>
        <w:div w:id="1701934718">
          <w:marLeft w:val="0"/>
          <w:marRight w:val="0"/>
          <w:marTop w:val="0"/>
          <w:marBottom w:val="0"/>
          <w:divBdr>
            <w:top w:val="none" w:sz="0" w:space="0" w:color="auto"/>
            <w:left w:val="none" w:sz="0" w:space="0" w:color="auto"/>
            <w:bottom w:val="none" w:sz="0" w:space="0" w:color="auto"/>
            <w:right w:val="none" w:sz="0" w:space="0" w:color="auto"/>
          </w:divBdr>
          <w:divsChild>
            <w:div w:id="305817156">
              <w:marLeft w:val="0"/>
              <w:marRight w:val="0"/>
              <w:marTop w:val="0"/>
              <w:marBottom w:val="0"/>
              <w:divBdr>
                <w:top w:val="none" w:sz="0" w:space="0" w:color="auto"/>
                <w:left w:val="none" w:sz="0" w:space="0" w:color="auto"/>
                <w:bottom w:val="none" w:sz="0" w:space="0" w:color="auto"/>
                <w:right w:val="none" w:sz="0" w:space="0" w:color="auto"/>
              </w:divBdr>
            </w:div>
          </w:divsChild>
        </w:div>
        <w:div w:id="1760830387">
          <w:marLeft w:val="0"/>
          <w:marRight w:val="0"/>
          <w:marTop w:val="0"/>
          <w:marBottom w:val="0"/>
          <w:divBdr>
            <w:top w:val="none" w:sz="0" w:space="0" w:color="auto"/>
            <w:left w:val="none" w:sz="0" w:space="0" w:color="auto"/>
            <w:bottom w:val="none" w:sz="0" w:space="0" w:color="auto"/>
            <w:right w:val="none" w:sz="0" w:space="0" w:color="auto"/>
          </w:divBdr>
          <w:divsChild>
            <w:div w:id="319044975">
              <w:marLeft w:val="0"/>
              <w:marRight w:val="0"/>
              <w:marTop w:val="0"/>
              <w:marBottom w:val="0"/>
              <w:divBdr>
                <w:top w:val="none" w:sz="0" w:space="0" w:color="auto"/>
                <w:left w:val="none" w:sz="0" w:space="0" w:color="auto"/>
                <w:bottom w:val="none" w:sz="0" w:space="0" w:color="auto"/>
                <w:right w:val="none" w:sz="0" w:space="0" w:color="auto"/>
              </w:divBdr>
            </w:div>
          </w:divsChild>
        </w:div>
        <w:div w:id="1935554272">
          <w:marLeft w:val="0"/>
          <w:marRight w:val="0"/>
          <w:marTop w:val="0"/>
          <w:marBottom w:val="0"/>
          <w:divBdr>
            <w:top w:val="none" w:sz="0" w:space="0" w:color="auto"/>
            <w:left w:val="none" w:sz="0" w:space="0" w:color="auto"/>
            <w:bottom w:val="none" w:sz="0" w:space="0" w:color="auto"/>
            <w:right w:val="none" w:sz="0" w:space="0" w:color="auto"/>
          </w:divBdr>
          <w:divsChild>
            <w:div w:id="1534077514">
              <w:marLeft w:val="0"/>
              <w:marRight w:val="0"/>
              <w:marTop w:val="0"/>
              <w:marBottom w:val="0"/>
              <w:divBdr>
                <w:top w:val="none" w:sz="0" w:space="0" w:color="auto"/>
                <w:left w:val="none" w:sz="0" w:space="0" w:color="auto"/>
                <w:bottom w:val="none" w:sz="0" w:space="0" w:color="auto"/>
                <w:right w:val="none" w:sz="0" w:space="0" w:color="auto"/>
              </w:divBdr>
            </w:div>
          </w:divsChild>
        </w:div>
        <w:div w:id="1988320074">
          <w:marLeft w:val="0"/>
          <w:marRight w:val="0"/>
          <w:marTop w:val="0"/>
          <w:marBottom w:val="0"/>
          <w:divBdr>
            <w:top w:val="none" w:sz="0" w:space="0" w:color="auto"/>
            <w:left w:val="none" w:sz="0" w:space="0" w:color="auto"/>
            <w:bottom w:val="none" w:sz="0" w:space="0" w:color="auto"/>
            <w:right w:val="none" w:sz="0" w:space="0" w:color="auto"/>
          </w:divBdr>
          <w:divsChild>
            <w:div w:id="17732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9798">
      <w:bodyDiv w:val="1"/>
      <w:marLeft w:val="0"/>
      <w:marRight w:val="0"/>
      <w:marTop w:val="0"/>
      <w:marBottom w:val="0"/>
      <w:divBdr>
        <w:top w:val="none" w:sz="0" w:space="0" w:color="auto"/>
        <w:left w:val="none" w:sz="0" w:space="0" w:color="auto"/>
        <w:bottom w:val="none" w:sz="0" w:space="0" w:color="auto"/>
        <w:right w:val="none" w:sz="0" w:space="0" w:color="auto"/>
      </w:divBdr>
    </w:div>
    <w:div w:id="60756218">
      <w:bodyDiv w:val="1"/>
      <w:marLeft w:val="0"/>
      <w:marRight w:val="0"/>
      <w:marTop w:val="0"/>
      <w:marBottom w:val="0"/>
      <w:divBdr>
        <w:top w:val="none" w:sz="0" w:space="0" w:color="auto"/>
        <w:left w:val="none" w:sz="0" w:space="0" w:color="auto"/>
        <w:bottom w:val="none" w:sz="0" w:space="0" w:color="auto"/>
        <w:right w:val="none" w:sz="0" w:space="0" w:color="auto"/>
      </w:divBdr>
    </w:div>
    <w:div w:id="67651020">
      <w:bodyDiv w:val="1"/>
      <w:marLeft w:val="0"/>
      <w:marRight w:val="0"/>
      <w:marTop w:val="0"/>
      <w:marBottom w:val="0"/>
      <w:divBdr>
        <w:top w:val="none" w:sz="0" w:space="0" w:color="auto"/>
        <w:left w:val="none" w:sz="0" w:space="0" w:color="auto"/>
        <w:bottom w:val="none" w:sz="0" w:space="0" w:color="auto"/>
        <w:right w:val="none" w:sz="0" w:space="0" w:color="auto"/>
      </w:divBdr>
    </w:div>
    <w:div w:id="69667586">
      <w:bodyDiv w:val="1"/>
      <w:marLeft w:val="0"/>
      <w:marRight w:val="0"/>
      <w:marTop w:val="0"/>
      <w:marBottom w:val="0"/>
      <w:divBdr>
        <w:top w:val="none" w:sz="0" w:space="0" w:color="auto"/>
        <w:left w:val="none" w:sz="0" w:space="0" w:color="auto"/>
        <w:bottom w:val="none" w:sz="0" w:space="0" w:color="auto"/>
        <w:right w:val="none" w:sz="0" w:space="0" w:color="auto"/>
      </w:divBdr>
      <w:divsChild>
        <w:div w:id="99565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317281">
      <w:bodyDiv w:val="1"/>
      <w:marLeft w:val="0"/>
      <w:marRight w:val="0"/>
      <w:marTop w:val="0"/>
      <w:marBottom w:val="0"/>
      <w:divBdr>
        <w:top w:val="none" w:sz="0" w:space="0" w:color="auto"/>
        <w:left w:val="none" w:sz="0" w:space="0" w:color="auto"/>
        <w:bottom w:val="none" w:sz="0" w:space="0" w:color="auto"/>
        <w:right w:val="none" w:sz="0" w:space="0" w:color="auto"/>
      </w:divBdr>
    </w:div>
    <w:div w:id="73213482">
      <w:bodyDiv w:val="1"/>
      <w:marLeft w:val="0"/>
      <w:marRight w:val="0"/>
      <w:marTop w:val="0"/>
      <w:marBottom w:val="0"/>
      <w:divBdr>
        <w:top w:val="none" w:sz="0" w:space="0" w:color="auto"/>
        <w:left w:val="none" w:sz="0" w:space="0" w:color="auto"/>
        <w:bottom w:val="none" w:sz="0" w:space="0" w:color="auto"/>
        <w:right w:val="none" w:sz="0" w:space="0" w:color="auto"/>
      </w:divBdr>
      <w:divsChild>
        <w:div w:id="509871887">
          <w:marLeft w:val="0"/>
          <w:marRight w:val="0"/>
          <w:marTop w:val="0"/>
          <w:marBottom w:val="0"/>
          <w:divBdr>
            <w:top w:val="none" w:sz="0" w:space="0" w:color="auto"/>
            <w:left w:val="none" w:sz="0" w:space="0" w:color="auto"/>
            <w:bottom w:val="none" w:sz="0" w:space="0" w:color="auto"/>
            <w:right w:val="none" w:sz="0" w:space="0" w:color="auto"/>
          </w:divBdr>
        </w:div>
        <w:div w:id="776025170">
          <w:marLeft w:val="0"/>
          <w:marRight w:val="0"/>
          <w:marTop w:val="0"/>
          <w:marBottom w:val="0"/>
          <w:divBdr>
            <w:top w:val="none" w:sz="0" w:space="0" w:color="auto"/>
            <w:left w:val="none" w:sz="0" w:space="0" w:color="auto"/>
            <w:bottom w:val="none" w:sz="0" w:space="0" w:color="auto"/>
            <w:right w:val="none" w:sz="0" w:space="0" w:color="auto"/>
          </w:divBdr>
          <w:divsChild>
            <w:div w:id="689572492">
              <w:marLeft w:val="-75"/>
              <w:marRight w:val="0"/>
              <w:marTop w:val="30"/>
              <w:marBottom w:val="30"/>
              <w:divBdr>
                <w:top w:val="none" w:sz="0" w:space="0" w:color="auto"/>
                <w:left w:val="none" w:sz="0" w:space="0" w:color="auto"/>
                <w:bottom w:val="none" w:sz="0" w:space="0" w:color="auto"/>
                <w:right w:val="none" w:sz="0" w:space="0" w:color="auto"/>
              </w:divBdr>
              <w:divsChild>
                <w:div w:id="129173726">
                  <w:marLeft w:val="0"/>
                  <w:marRight w:val="0"/>
                  <w:marTop w:val="0"/>
                  <w:marBottom w:val="0"/>
                  <w:divBdr>
                    <w:top w:val="none" w:sz="0" w:space="0" w:color="auto"/>
                    <w:left w:val="none" w:sz="0" w:space="0" w:color="auto"/>
                    <w:bottom w:val="none" w:sz="0" w:space="0" w:color="auto"/>
                    <w:right w:val="none" w:sz="0" w:space="0" w:color="auto"/>
                  </w:divBdr>
                  <w:divsChild>
                    <w:div w:id="1803036908">
                      <w:marLeft w:val="0"/>
                      <w:marRight w:val="0"/>
                      <w:marTop w:val="0"/>
                      <w:marBottom w:val="0"/>
                      <w:divBdr>
                        <w:top w:val="none" w:sz="0" w:space="0" w:color="auto"/>
                        <w:left w:val="none" w:sz="0" w:space="0" w:color="auto"/>
                        <w:bottom w:val="none" w:sz="0" w:space="0" w:color="auto"/>
                        <w:right w:val="none" w:sz="0" w:space="0" w:color="auto"/>
                      </w:divBdr>
                    </w:div>
                  </w:divsChild>
                </w:div>
                <w:div w:id="159276856">
                  <w:marLeft w:val="0"/>
                  <w:marRight w:val="0"/>
                  <w:marTop w:val="0"/>
                  <w:marBottom w:val="0"/>
                  <w:divBdr>
                    <w:top w:val="none" w:sz="0" w:space="0" w:color="auto"/>
                    <w:left w:val="none" w:sz="0" w:space="0" w:color="auto"/>
                    <w:bottom w:val="none" w:sz="0" w:space="0" w:color="auto"/>
                    <w:right w:val="none" w:sz="0" w:space="0" w:color="auto"/>
                  </w:divBdr>
                  <w:divsChild>
                    <w:div w:id="1083914651">
                      <w:marLeft w:val="0"/>
                      <w:marRight w:val="0"/>
                      <w:marTop w:val="0"/>
                      <w:marBottom w:val="0"/>
                      <w:divBdr>
                        <w:top w:val="none" w:sz="0" w:space="0" w:color="auto"/>
                        <w:left w:val="none" w:sz="0" w:space="0" w:color="auto"/>
                        <w:bottom w:val="none" w:sz="0" w:space="0" w:color="auto"/>
                        <w:right w:val="none" w:sz="0" w:space="0" w:color="auto"/>
                      </w:divBdr>
                    </w:div>
                  </w:divsChild>
                </w:div>
                <w:div w:id="236520434">
                  <w:marLeft w:val="0"/>
                  <w:marRight w:val="0"/>
                  <w:marTop w:val="0"/>
                  <w:marBottom w:val="0"/>
                  <w:divBdr>
                    <w:top w:val="none" w:sz="0" w:space="0" w:color="auto"/>
                    <w:left w:val="none" w:sz="0" w:space="0" w:color="auto"/>
                    <w:bottom w:val="none" w:sz="0" w:space="0" w:color="auto"/>
                    <w:right w:val="none" w:sz="0" w:space="0" w:color="auto"/>
                  </w:divBdr>
                  <w:divsChild>
                    <w:div w:id="672293512">
                      <w:marLeft w:val="0"/>
                      <w:marRight w:val="0"/>
                      <w:marTop w:val="0"/>
                      <w:marBottom w:val="0"/>
                      <w:divBdr>
                        <w:top w:val="none" w:sz="0" w:space="0" w:color="auto"/>
                        <w:left w:val="none" w:sz="0" w:space="0" w:color="auto"/>
                        <w:bottom w:val="none" w:sz="0" w:space="0" w:color="auto"/>
                        <w:right w:val="none" w:sz="0" w:space="0" w:color="auto"/>
                      </w:divBdr>
                    </w:div>
                  </w:divsChild>
                </w:div>
                <w:div w:id="279532510">
                  <w:marLeft w:val="0"/>
                  <w:marRight w:val="0"/>
                  <w:marTop w:val="0"/>
                  <w:marBottom w:val="0"/>
                  <w:divBdr>
                    <w:top w:val="none" w:sz="0" w:space="0" w:color="auto"/>
                    <w:left w:val="none" w:sz="0" w:space="0" w:color="auto"/>
                    <w:bottom w:val="none" w:sz="0" w:space="0" w:color="auto"/>
                    <w:right w:val="none" w:sz="0" w:space="0" w:color="auto"/>
                  </w:divBdr>
                  <w:divsChild>
                    <w:div w:id="216016295">
                      <w:marLeft w:val="0"/>
                      <w:marRight w:val="0"/>
                      <w:marTop w:val="0"/>
                      <w:marBottom w:val="0"/>
                      <w:divBdr>
                        <w:top w:val="none" w:sz="0" w:space="0" w:color="auto"/>
                        <w:left w:val="none" w:sz="0" w:space="0" w:color="auto"/>
                        <w:bottom w:val="none" w:sz="0" w:space="0" w:color="auto"/>
                        <w:right w:val="none" w:sz="0" w:space="0" w:color="auto"/>
                      </w:divBdr>
                    </w:div>
                  </w:divsChild>
                </w:div>
                <w:div w:id="511333842">
                  <w:marLeft w:val="0"/>
                  <w:marRight w:val="0"/>
                  <w:marTop w:val="0"/>
                  <w:marBottom w:val="0"/>
                  <w:divBdr>
                    <w:top w:val="none" w:sz="0" w:space="0" w:color="auto"/>
                    <w:left w:val="none" w:sz="0" w:space="0" w:color="auto"/>
                    <w:bottom w:val="none" w:sz="0" w:space="0" w:color="auto"/>
                    <w:right w:val="none" w:sz="0" w:space="0" w:color="auto"/>
                  </w:divBdr>
                  <w:divsChild>
                    <w:div w:id="200283575">
                      <w:marLeft w:val="0"/>
                      <w:marRight w:val="0"/>
                      <w:marTop w:val="0"/>
                      <w:marBottom w:val="0"/>
                      <w:divBdr>
                        <w:top w:val="none" w:sz="0" w:space="0" w:color="auto"/>
                        <w:left w:val="none" w:sz="0" w:space="0" w:color="auto"/>
                        <w:bottom w:val="none" w:sz="0" w:space="0" w:color="auto"/>
                        <w:right w:val="none" w:sz="0" w:space="0" w:color="auto"/>
                      </w:divBdr>
                    </w:div>
                  </w:divsChild>
                </w:div>
                <w:div w:id="569268935">
                  <w:marLeft w:val="0"/>
                  <w:marRight w:val="0"/>
                  <w:marTop w:val="0"/>
                  <w:marBottom w:val="0"/>
                  <w:divBdr>
                    <w:top w:val="none" w:sz="0" w:space="0" w:color="auto"/>
                    <w:left w:val="none" w:sz="0" w:space="0" w:color="auto"/>
                    <w:bottom w:val="none" w:sz="0" w:space="0" w:color="auto"/>
                    <w:right w:val="none" w:sz="0" w:space="0" w:color="auto"/>
                  </w:divBdr>
                  <w:divsChild>
                    <w:div w:id="888876646">
                      <w:marLeft w:val="0"/>
                      <w:marRight w:val="0"/>
                      <w:marTop w:val="0"/>
                      <w:marBottom w:val="0"/>
                      <w:divBdr>
                        <w:top w:val="none" w:sz="0" w:space="0" w:color="auto"/>
                        <w:left w:val="none" w:sz="0" w:space="0" w:color="auto"/>
                        <w:bottom w:val="none" w:sz="0" w:space="0" w:color="auto"/>
                        <w:right w:val="none" w:sz="0" w:space="0" w:color="auto"/>
                      </w:divBdr>
                    </w:div>
                  </w:divsChild>
                </w:div>
                <w:div w:id="665670261">
                  <w:marLeft w:val="0"/>
                  <w:marRight w:val="0"/>
                  <w:marTop w:val="0"/>
                  <w:marBottom w:val="0"/>
                  <w:divBdr>
                    <w:top w:val="none" w:sz="0" w:space="0" w:color="auto"/>
                    <w:left w:val="none" w:sz="0" w:space="0" w:color="auto"/>
                    <w:bottom w:val="none" w:sz="0" w:space="0" w:color="auto"/>
                    <w:right w:val="none" w:sz="0" w:space="0" w:color="auto"/>
                  </w:divBdr>
                  <w:divsChild>
                    <w:div w:id="304310831">
                      <w:marLeft w:val="0"/>
                      <w:marRight w:val="0"/>
                      <w:marTop w:val="0"/>
                      <w:marBottom w:val="0"/>
                      <w:divBdr>
                        <w:top w:val="none" w:sz="0" w:space="0" w:color="auto"/>
                        <w:left w:val="none" w:sz="0" w:space="0" w:color="auto"/>
                        <w:bottom w:val="none" w:sz="0" w:space="0" w:color="auto"/>
                        <w:right w:val="none" w:sz="0" w:space="0" w:color="auto"/>
                      </w:divBdr>
                    </w:div>
                  </w:divsChild>
                </w:div>
                <w:div w:id="737938456">
                  <w:marLeft w:val="0"/>
                  <w:marRight w:val="0"/>
                  <w:marTop w:val="0"/>
                  <w:marBottom w:val="0"/>
                  <w:divBdr>
                    <w:top w:val="none" w:sz="0" w:space="0" w:color="auto"/>
                    <w:left w:val="none" w:sz="0" w:space="0" w:color="auto"/>
                    <w:bottom w:val="none" w:sz="0" w:space="0" w:color="auto"/>
                    <w:right w:val="none" w:sz="0" w:space="0" w:color="auto"/>
                  </w:divBdr>
                  <w:divsChild>
                    <w:div w:id="508448888">
                      <w:marLeft w:val="0"/>
                      <w:marRight w:val="0"/>
                      <w:marTop w:val="0"/>
                      <w:marBottom w:val="0"/>
                      <w:divBdr>
                        <w:top w:val="none" w:sz="0" w:space="0" w:color="auto"/>
                        <w:left w:val="none" w:sz="0" w:space="0" w:color="auto"/>
                        <w:bottom w:val="none" w:sz="0" w:space="0" w:color="auto"/>
                        <w:right w:val="none" w:sz="0" w:space="0" w:color="auto"/>
                      </w:divBdr>
                    </w:div>
                  </w:divsChild>
                </w:div>
                <w:div w:id="809595266">
                  <w:marLeft w:val="0"/>
                  <w:marRight w:val="0"/>
                  <w:marTop w:val="0"/>
                  <w:marBottom w:val="0"/>
                  <w:divBdr>
                    <w:top w:val="none" w:sz="0" w:space="0" w:color="auto"/>
                    <w:left w:val="none" w:sz="0" w:space="0" w:color="auto"/>
                    <w:bottom w:val="none" w:sz="0" w:space="0" w:color="auto"/>
                    <w:right w:val="none" w:sz="0" w:space="0" w:color="auto"/>
                  </w:divBdr>
                  <w:divsChild>
                    <w:div w:id="996761121">
                      <w:marLeft w:val="0"/>
                      <w:marRight w:val="0"/>
                      <w:marTop w:val="0"/>
                      <w:marBottom w:val="0"/>
                      <w:divBdr>
                        <w:top w:val="none" w:sz="0" w:space="0" w:color="auto"/>
                        <w:left w:val="none" w:sz="0" w:space="0" w:color="auto"/>
                        <w:bottom w:val="none" w:sz="0" w:space="0" w:color="auto"/>
                        <w:right w:val="none" w:sz="0" w:space="0" w:color="auto"/>
                      </w:divBdr>
                    </w:div>
                  </w:divsChild>
                </w:div>
                <w:div w:id="847407947">
                  <w:marLeft w:val="0"/>
                  <w:marRight w:val="0"/>
                  <w:marTop w:val="0"/>
                  <w:marBottom w:val="0"/>
                  <w:divBdr>
                    <w:top w:val="none" w:sz="0" w:space="0" w:color="auto"/>
                    <w:left w:val="none" w:sz="0" w:space="0" w:color="auto"/>
                    <w:bottom w:val="none" w:sz="0" w:space="0" w:color="auto"/>
                    <w:right w:val="none" w:sz="0" w:space="0" w:color="auto"/>
                  </w:divBdr>
                  <w:divsChild>
                    <w:div w:id="284196090">
                      <w:marLeft w:val="0"/>
                      <w:marRight w:val="0"/>
                      <w:marTop w:val="0"/>
                      <w:marBottom w:val="0"/>
                      <w:divBdr>
                        <w:top w:val="none" w:sz="0" w:space="0" w:color="auto"/>
                        <w:left w:val="none" w:sz="0" w:space="0" w:color="auto"/>
                        <w:bottom w:val="none" w:sz="0" w:space="0" w:color="auto"/>
                        <w:right w:val="none" w:sz="0" w:space="0" w:color="auto"/>
                      </w:divBdr>
                    </w:div>
                  </w:divsChild>
                </w:div>
                <w:div w:id="938215955">
                  <w:marLeft w:val="0"/>
                  <w:marRight w:val="0"/>
                  <w:marTop w:val="0"/>
                  <w:marBottom w:val="0"/>
                  <w:divBdr>
                    <w:top w:val="none" w:sz="0" w:space="0" w:color="auto"/>
                    <w:left w:val="none" w:sz="0" w:space="0" w:color="auto"/>
                    <w:bottom w:val="none" w:sz="0" w:space="0" w:color="auto"/>
                    <w:right w:val="none" w:sz="0" w:space="0" w:color="auto"/>
                  </w:divBdr>
                  <w:divsChild>
                    <w:div w:id="936060308">
                      <w:marLeft w:val="0"/>
                      <w:marRight w:val="0"/>
                      <w:marTop w:val="0"/>
                      <w:marBottom w:val="0"/>
                      <w:divBdr>
                        <w:top w:val="none" w:sz="0" w:space="0" w:color="auto"/>
                        <w:left w:val="none" w:sz="0" w:space="0" w:color="auto"/>
                        <w:bottom w:val="none" w:sz="0" w:space="0" w:color="auto"/>
                        <w:right w:val="none" w:sz="0" w:space="0" w:color="auto"/>
                      </w:divBdr>
                    </w:div>
                  </w:divsChild>
                </w:div>
                <w:div w:id="1032532025">
                  <w:marLeft w:val="0"/>
                  <w:marRight w:val="0"/>
                  <w:marTop w:val="0"/>
                  <w:marBottom w:val="0"/>
                  <w:divBdr>
                    <w:top w:val="none" w:sz="0" w:space="0" w:color="auto"/>
                    <w:left w:val="none" w:sz="0" w:space="0" w:color="auto"/>
                    <w:bottom w:val="none" w:sz="0" w:space="0" w:color="auto"/>
                    <w:right w:val="none" w:sz="0" w:space="0" w:color="auto"/>
                  </w:divBdr>
                  <w:divsChild>
                    <w:div w:id="548415919">
                      <w:marLeft w:val="0"/>
                      <w:marRight w:val="0"/>
                      <w:marTop w:val="0"/>
                      <w:marBottom w:val="0"/>
                      <w:divBdr>
                        <w:top w:val="none" w:sz="0" w:space="0" w:color="auto"/>
                        <w:left w:val="none" w:sz="0" w:space="0" w:color="auto"/>
                        <w:bottom w:val="none" w:sz="0" w:space="0" w:color="auto"/>
                        <w:right w:val="none" w:sz="0" w:space="0" w:color="auto"/>
                      </w:divBdr>
                    </w:div>
                  </w:divsChild>
                </w:div>
                <w:div w:id="1035420924">
                  <w:marLeft w:val="0"/>
                  <w:marRight w:val="0"/>
                  <w:marTop w:val="0"/>
                  <w:marBottom w:val="0"/>
                  <w:divBdr>
                    <w:top w:val="none" w:sz="0" w:space="0" w:color="auto"/>
                    <w:left w:val="none" w:sz="0" w:space="0" w:color="auto"/>
                    <w:bottom w:val="none" w:sz="0" w:space="0" w:color="auto"/>
                    <w:right w:val="none" w:sz="0" w:space="0" w:color="auto"/>
                  </w:divBdr>
                  <w:divsChild>
                    <w:div w:id="1085108076">
                      <w:marLeft w:val="0"/>
                      <w:marRight w:val="0"/>
                      <w:marTop w:val="0"/>
                      <w:marBottom w:val="0"/>
                      <w:divBdr>
                        <w:top w:val="none" w:sz="0" w:space="0" w:color="auto"/>
                        <w:left w:val="none" w:sz="0" w:space="0" w:color="auto"/>
                        <w:bottom w:val="none" w:sz="0" w:space="0" w:color="auto"/>
                        <w:right w:val="none" w:sz="0" w:space="0" w:color="auto"/>
                      </w:divBdr>
                    </w:div>
                  </w:divsChild>
                </w:div>
                <w:div w:id="1093863778">
                  <w:marLeft w:val="0"/>
                  <w:marRight w:val="0"/>
                  <w:marTop w:val="0"/>
                  <w:marBottom w:val="0"/>
                  <w:divBdr>
                    <w:top w:val="none" w:sz="0" w:space="0" w:color="auto"/>
                    <w:left w:val="none" w:sz="0" w:space="0" w:color="auto"/>
                    <w:bottom w:val="none" w:sz="0" w:space="0" w:color="auto"/>
                    <w:right w:val="none" w:sz="0" w:space="0" w:color="auto"/>
                  </w:divBdr>
                  <w:divsChild>
                    <w:div w:id="971715316">
                      <w:marLeft w:val="0"/>
                      <w:marRight w:val="0"/>
                      <w:marTop w:val="0"/>
                      <w:marBottom w:val="0"/>
                      <w:divBdr>
                        <w:top w:val="none" w:sz="0" w:space="0" w:color="auto"/>
                        <w:left w:val="none" w:sz="0" w:space="0" w:color="auto"/>
                        <w:bottom w:val="none" w:sz="0" w:space="0" w:color="auto"/>
                        <w:right w:val="none" w:sz="0" w:space="0" w:color="auto"/>
                      </w:divBdr>
                    </w:div>
                  </w:divsChild>
                </w:div>
                <w:div w:id="1107388710">
                  <w:marLeft w:val="0"/>
                  <w:marRight w:val="0"/>
                  <w:marTop w:val="0"/>
                  <w:marBottom w:val="0"/>
                  <w:divBdr>
                    <w:top w:val="none" w:sz="0" w:space="0" w:color="auto"/>
                    <w:left w:val="none" w:sz="0" w:space="0" w:color="auto"/>
                    <w:bottom w:val="none" w:sz="0" w:space="0" w:color="auto"/>
                    <w:right w:val="none" w:sz="0" w:space="0" w:color="auto"/>
                  </w:divBdr>
                  <w:divsChild>
                    <w:div w:id="676273292">
                      <w:marLeft w:val="0"/>
                      <w:marRight w:val="0"/>
                      <w:marTop w:val="0"/>
                      <w:marBottom w:val="0"/>
                      <w:divBdr>
                        <w:top w:val="none" w:sz="0" w:space="0" w:color="auto"/>
                        <w:left w:val="none" w:sz="0" w:space="0" w:color="auto"/>
                        <w:bottom w:val="none" w:sz="0" w:space="0" w:color="auto"/>
                        <w:right w:val="none" w:sz="0" w:space="0" w:color="auto"/>
                      </w:divBdr>
                    </w:div>
                  </w:divsChild>
                </w:div>
                <w:div w:id="1121609609">
                  <w:marLeft w:val="0"/>
                  <w:marRight w:val="0"/>
                  <w:marTop w:val="0"/>
                  <w:marBottom w:val="0"/>
                  <w:divBdr>
                    <w:top w:val="none" w:sz="0" w:space="0" w:color="auto"/>
                    <w:left w:val="none" w:sz="0" w:space="0" w:color="auto"/>
                    <w:bottom w:val="none" w:sz="0" w:space="0" w:color="auto"/>
                    <w:right w:val="none" w:sz="0" w:space="0" w:color="auto"/>
                  </w:divBdr>
                  <w:divsChild>
                    <w:div w:id="2035839706">
                      <w:marLeft w:val="0"/>
                      <w:marRight w:val="0"/>
                      <w:marTop w:val="0"/>
                      <w:marBottom w:val="0"/>
                      <w:divBdr>
                        <w:top w:val="none" w:sz="0" w:space="0" w:color="auto"/>
                        <w:left w:val="none" w:sz="0" w:space="0" w:color="auto"/>
                        <w:bottom w:val="none" w:sz="0" w:space="0" w:color="auto"/>
                        <w:right w:val="none" w:sz="0" w:space="0" w:color="auto"/>
                      </w:divBdr>
                    </w:div>
                  </w:divsChild>
                </w:div>
                <w:div w:id="1208684569">
                  <w:marLeft w:val="0"/>
                  <w:marRight w:val="0"/>
                  <w:marTop w:val="0"/>
                  <w:marBottom w:val="0"/>
                  <w:divBdr>
                    <w:top w:val="none" w:sz="0" w:space="0" w:color="auto"/>
                    <w:left w:val="none" w:sz="0" w:space="0" w:color="auto"/>
                    <w:bottom w:val="none" w:sz="0" w:space="0" w:color="auto"/>
                    <w:right w:val="none" w:sz="0" w:space="0" w:color="auto"/>
                  </w:divBdr>
                  <w:divsChild>
                    <w:div w:id="926766451">
                      <w:marLeft w:val="0"/>
                      <w:marRight w:val="0"/>
                      <w:marTop w:val="0"/>
                      <w:marBottom w:val="0"/>
                      <w:divBdr>
                        <w:top w:val="none" w:sz="0" w:space="0" w:color="auto"/>
                        <w:left w:val="none" w:sz="0" w:space="0" w:color="auto"/>
                        <w:bottom w:val="none" w:sz="0" w:space="0" w:color="auto"/>
                        <w:right w:val="none" w:sz="0" w:space="0" w:color="auto"/>
                      </w:divBdr>
                    </w:div>
                  </w:divsChild>
                </w:div>
                <w:div w:id="1281885215">
                  <w:marLeft w:val="0"/>
                  <w:marRight w:val="0"/>
                  <w:marTop w:val="0"/>
                  <w:marBottom w:val="0"/>
                  <w:divBdr>
                    <w:top w:val="none" w:sz="0" w:space="0" w:color="auto"/>
                    <w:left w:val="none" w:sz="0" w:space="0" w:color="auto"/>
                    <w:bottom w:val="none" w:sz="0" w:space="0" w:color="auto"/>
                    <w:right w:val="none" w:sz="0" w:space="0" w:color="auto"/>
                  </w:divBdr>
                  <w:divsChild>
                    <w:div w:id="2092778803">
                      <w:marLeft w:val="0"/>
                      <w:marRight w:val="0"/>
                      <w:marTop w:val="0"/>
                      <w:marBottom w:val="0"/>
                      <w:divBdr>
                        <w:top w:val="none" w:sz="0" w:space="0" w:color="auto"/>
                        <w:left w:val="none" w:sz="0" w:space="0" w:color="auto"/>
                        <w:bottom w:val="none" w:sz="0" w:space="0" w:color="auto"/>
                        <w:right w:val="none" w:sz="0" w:space="0" w:color="auto"/>
                      </w:divBdr>
                    </w:div>
                  </w:divsChild>
                </w:div>
                <w:div w:id="1330018661">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
                  </w:divsChild>
                </w:div>
                <w:div w:id="1417288053">
                  <w:marLeft w:val="0"/>
                  <w:marRight w:val="0"/>
                  <w:marTop w:val="0"/>
                  <w:marBottom w:val="0"/>
                  <w:divBdr>
                    <w:top w:val="none" w:sz="0" w:space="0" w:color="auto"/>
                    <w:left w:val="none" w:sz="0" w:space="0" w:color="auto"/>
                    <w:bottom w:val="none" w:sz="0" w:space="0" w:color="auto"/>
                    <w:right w:val="none" w:sz="0" w:space="0" w:color="auto"/>
                  </w:divBdr>
                  <w:divsChild>
                    <w:div w:id="1482431712">
                      <w:marLeft w:val="0"/>
                      <w:marRight w:val="0"/>
                      <w:marTop w:val="0"/>
                      <w:marBottom w:val="0"/>
                      <w:divBdr>
                        <w:top w:val="none" w:sz="0" w:space="0" w:color="auto"/>
                        <w:left w:val="none" w:sz="0" w:space="0" w:color="auto"/>
                        <w:bottom w:val="none" w:sz="0" w:space="0" w:color="auto"/>
                        <w:right w:val="none" w:sz="0" w:space="0" w:color="auto"/>
                      </w:divBdr>
                    </w:div>
                  </w:divsChild>
                </w:div>
                <w:div w:id="1575894365">
                  <w:marLeft w:val="0"/>
                  <w:marRight w:val="0"/>
                  <w:marTop w:val="0"/>
                  <w:marBottom w:val="0"/>
                  <w:divBdr>
                    <w:top w:val="none" w:sz="0" w:space="0" w:color="auto"/>
                    <w:left w:val="none" w:sz="0" w:space="0" w:color="auto"/>
                    <w:bottom w:val="none" w:sz="0" w:space="0" w:color="auto"/>
                    <w:right w:val="none" w:sz="0" w:space="0" w:color="auto"/>
                  </w:divBdr>
                  <w:divsChild>
                    <w:div w:id="2035841582">
                      <w:marLeft w:val="0"/>
                      <w:marRight w:val="0"/>
                      <w:marTop w:val="0"/>
                      <w:marBottom w:val="0"/>
                      <w:divBdr>
                        <w:top w:val="none" w:sz="0" w:space="0" w:color="auto"/>
                        <w:left w:val="none" w:sz="0" w:space="0" w:color="auto"/>
                        <w:bottom w:val="none" w:sz="0" w:space="0" w:color="auto"/>
                        <w:right w:val="none" w:sz="0" w:space="0" w:color="auto"/>
                      </w:divBdr>
                    </w:div>
                  </w:divsChild>
                </w:div>
                <w:div w:id="1646277347">
                  <w:marLeft w:val="0"/>
                  <w:marRight w:val="0"/>
                  <w:marTop w:val="0"/>
                  <w:marBottom w:val="0"/>
                  <w:divBdr>
                    <w:top w:val="none" w:sz="0" w:space="0" w:color="auto"/>
                    <w:left w:val="none" w:sz="0" w:space="0" w:color="auto"/>
                    <w:bottom w:val="none" w:sz="0" w:space="0" w:color="auto"/>
                    <w:right w:val="none" w:sz="0" w:space="0" w:color="auto"/>
                  </w:divBdr>
                  <w:divsChild>
                    <w:div w:id="1229533433">
                      <w:marLeft w:val="0"/>
                      <w:marRight w:val="0"/>
                      <w:marTop w:val="0"/>
                      <w:marBottom w:val="0"/>
                      <w:divBdr>
                        <w:top w:val="none" w:sz="0" w:space="0" w:color="auto"/>
                        <w:left w:val="none" w:sz="0" w:space="0" w:color="auto"/>
                        <w:bottom w:val="none" w:sz="0" w:space="0" w:color="auto"/>
                        <w:right w:val="none" w:sz="0" w:space="0" w:color="auto"/>
                      </w:divBdr>
                    </w:div>
                  </w:divsChild>
                </w:div>
                <w:div w:id="1656643008">
                  <w:marLeft w:val="0"/>
                  <w:marRight w:val="0"/>
                  <w:marTop w:val="0"/>
                  <w:marBottom w:val="0"/>
                  <w:divBdr>
                    <w:top w:val="none" w:sz="0" w:space="0" w:color="auto"/>
                    <w:left w:val="none" w:sz="0" w:space="0" w:color="auto"/>
                    <w:bottom w:val="none" w:sz="0" w:space="0" w:color="auto"/>
                    <w:right w:val="none" w:sz="0" w:space="0" w:color="auto"/>
                  </w:divBdr>
                  <w:divsChild>
                    <w:div w:id="379670866">
                      <w:marLeft w:val="0"/>
                      <w:marRight w:val="0"/>
                      <w:marTop w:val="0"/>
                      <w:marBottom w:val="0"/>
                      <w:divBdr>
                        <w:top w:val="none" w:sz="0" w:space="0" w:color="auto"/>
                        <w:left w:val="none" w:sz="0" w:space="0" w:color="auto"/>
                        <w:bottom w:val="none" w:sz="0" w:space="0" w:color="auto"/>
                        <w:right w:val="none" w:sz="0" w:space="0" w:color="auto"/>
                      </w:divBdr>
                    </w:div>
                  </w:divsChild>
                </w:div>
                <w:div w:id="1886141983">
                  <w:marLeft w:val="0"/>
                  <w:marRight w:val="0"/>
                  <w:marTop w:val="0"/>
                  <w:marBottom w:val="0"/>
                  <w:divBdr>
                    <w:top w:val="none" w:sz="0" w:space="0" w:color="auto"/>
                    <w:left w:val="none" w:sz="0" w:space="0" w:color="auto"/>
                    <w:bottom w:val="none" w:sz="0" w:space="0" w:color="auto"/>
                    <w:right w:val="none" w:sz="0" w:space="0" w:color="auto"/>
                  </w:divBdr>
                  <w:divsChild>
                    <w:div w:id="5136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09848">
          <w:marLeft w:val="0"/>
          <w:marRight w:val="0"/>
          <w:marTop w:val="0"/>
          <w:marBottom w:val="0"/>
          <w:divBdr>
            <w:top w:val="none" w:sz="0" w:space="0" w:color="auto"/>
            <w:left w:val="none" w:sz="0" w:space="0" w:color="auto"/>
            <w:bottom w:val="none" w:sz="0" w:space="0" w:color="auto"/>
            <w:right w:val="none" w:sz="0" w:space="0" w:color="auto"/>
          </w:divBdr>
          <w:divsChild>
            <w:div w:id="112676330">
              <w:marLeft w:val="-75"/>
              <w:marRight w:val="0"/>
              <w:marTop w:val="30"/>
              <w:marBottom w:val="30"/>
              <w:divBdr>
                <w:top w:val="none" w:sz="0" w:space="0" w:color="auto"/>
                <w:left w:val="none" w:sz="0" w:space="0" w:color="auto"/>
                <w:bottom w:val="none" w:sz="0" w:space="0" w:color="auto"/>
                <w:right w:val="none" w:sz="0" w:space="0" w:color="auto"/>
              </w:divBdr>
              <w:divsChild>
                <w:div w:id="14894135">
                  <w:marLeft w:val="0"/>
                  <w:marRight w:val="0"/>
                  <w:marTop w:val="0"/>
                  <w:marBottom w:val="0"/>
                  <w:divBdr>
                    <w:top w:val="none" w:sz="0" w:space="0" w:color="auto"/>
                    <w:left w:val="none" w:sz="0" w:space="0" w:color="auto"/>
                    <w:bottom w:val="none" w:sz="0" w:space="0" w:color="auto"/>
                    <w:right w:val="none" w:sz="0" w:space="0" w:color="auto"/>
                  </w:divBdr>
                  <w:divsChild>
                    <w:div w:id="372731261">
                      <w:marLeft w:val="0"/>
                      <w:marRight w:val="0"/>
                      <w:marTop w:val="0"/>
                      <w:marBottom w:val="0"/>
                      <w:divBdr>
                        <w:top w:val="none" w:sz="0" w:space="0" w:color="auto"/>
                        <w:left w:val="none" w:sz="0" w:space="0" w:color="auto"/>
                        <w:bottom w:val="none" w:sz="0" w:space="0" w:color="auto"/>
                        <w:right w:val="none" w:sz="0" w:space="0" w:color="auto"/>
                      </w:divBdr>
                    </w:div>
                  </w:divsChild>
                </w:div>
                <w:div w:id="33626170">
                  <w:marLeft w:val="0"/>
                  <w:marRight w:val="0"/>
                  <w:marTop w:val="0"/>
                  <w:marBottom w:val="0"/>
                  <w:divBdr>
                    <w:top w:val="none" w:sz="0" w:space="0" w:color="auto"/>
                    <w:left w:val="none" w:sz="0" w:space="0" w:color="auto"/>
                    <w:bottom w:val="none" w:sz="0" w:space="0" w:color="auto"/>
                    <w:right w:val="none" w:sz="0" w:space="0" w:color="auto"/>
                  </w:divBdr>
                  <w:divsChild>
                    <w:div w:id="1549486399">
                      <w:marLeft w:val="0"/>
                      <w:marRight w:val="0"/>
                      <w:marTop w:val="0"/>
                      <w:marBottom w:val="0"/>
                      <w:divBdr>
                        <w:top w:val="none" w:sz="0" w:space="0" w:color="auto"/>
                        <w:left w:val="none" w:sz="0" w:space="0" w:color="auto"/>
                        <w:bottom w:val="none" w:sz="0" w:space="0" w:color="auto"/>
                        <w:right w:val="none" w:sz="0" w:space="0" w:color="auto"/>
                      </w:divBdr>
                    </w:div>
                  </w:divsChild>
                </w:div>
                <w:div w:id="89397947">
                  <w:marLeft w:val="0"/>
                  <w:marRight w:val="0"/>
                  <w:marTop w:val="0"/>
                  <w:marBottom w:val="0"/>
                  <w:divBdr>
                    <w:top w:val="none" w:sz="0" w:space="0" w:color="auto"/>
                    <w:left w:val="none" w:sz="0" w:space="0" w:color="auto"/>
                    <w:bottom w:val="none" w:sz="0" w:space="0" w:color="auto"/>
                    <w:right w:val="none" w:sz="0" w:space="0" w:color="auto"/>
                  </w:divBdr>
                  <w:divsChild>
                    <w:div w:id="826824787">
                      <w:marLeft w:val="0"/>
                      <w:marRight w:val="0"/>
                      <w:marTop w:val="0"/>
                      <w:marBottom w:val="0"/>
                      <w:divBdr>
                        <w:top w:val="none" w:sz="0" w:space="0" w:color="auto"/>
                        <w:left w:val="none" w:sz="0" w:space="0" w:color="auto"/>
                        <w:bottom w:val="none" w:sz="0" w:space="0" w:color="auto"/>
                        <w:right w:val="none" w:sz="0" w:space="0" w:color="auto"/>
                      </w:divBdr>
                    </w:div>
                  </w:divsChild>
                </w:div>
                <w:div w:id="98187444">
                  <w:marLeft w:val="0"/>
                  <w:marRight w:val="0"/>
                  <w:marTop w:val="0"/>
                  <w:marBottom w:val="0"/>
                  <w:divBdr>
                    <w:top w:val="none" w:sz="0" w:space="0" w:color="auto"/>
                    <w:left w:val="none" w:sz="0" w:space="0" w:color="auto"/>
                    <w:bottom w:val="none" w:sz="0" w:space="0" w:color="auto"/>
                    <w:right w:val="none" w:sz="0" w:space="0" w:color="auto"/>
                  </w:divBdr>
                  <w:divsChild>
                    <w:div w:id="1520965440">
                      <w:marLeft w:val="0"/>
                      <w:marRight w:val="0"/>
                      <w:marTop w:val="0"/>
                      <w:marBottom w:val="0"/>
                      <w:divBdr>
                        <w:top w:val="none" w:sz="0" w:space="0" w:color="auto"/>
                        <w:left w:val="none" w:sz="0" w:space="0" w:color="auto"/>
                        <w:bottom w:val="none" w:sz="0" w:space="0" w:color="auto"/>
                        <w:right w:val="none" w:sz="0" w:space="0" w:color="auto"/>
                      </w:divBdr>
                    </w:div>
                  </w:divsChild>
                </w:div>
                <w:div w:id="99880032">
                  <w:marLeft w:val="0"/>
                  <w:marRight w:val="0"/>
                  <w:marTop w:val="0"/>
                  <w:marBottom w:val="0"/>
                  <w:divBdr>
                    <w:top w:val="none" w:sz="0" w:space="0" w:color="auto"/>
                    <w:left w:val="none" w:sz="0" w:space="0" w:color="auto"/>
                    <w:bottom w:val="none" w:sz="0" w:space="0" w:color="auto"/>
                    <w:right w:val="none" w:sz="0" w:space="0" w:color="auto"/>
                  </w:divBdr>
                  <w:divsChild>
                    <w:div w:id="745298403">
                      <w:marLeft w:val="0"/>
                      <w:marRight w:val="0"/>
                      <w:marTop w:val="0"/>
                      <w:marBottom w:val="0"/>
                      <w:divBdr>
                        <w:top w:val="none" w:sz="0" w:space="0" w:color="auto"/>
                        <w:left w:val="none" w:sz="0" w:space="0" w:color="auto"/>
                        <w:bottom w:val="none" w:sz="0" w:space="0" w:color="auto"/>
                        <w:right w:val="none" w:sz="0" w:space="0" w:color="auto"/>
                      </w:divBdr>
                    </w:div>
                  </w:divsChild>
                </w:div>
                <w:div w:id="358363132">
                  <w:marLeft w:val="0"/>
                  <w:marRight w:val="0"/>
                  <w:marTop w:val="0"/>
                  <w:marBottom w:val="0"/>
                  <w:divBdr>
                    <w:top w:val="none" w:sz="0" w:space="0" w:color="auto"/>
                    <w:left w:val="none" w:sz="0" w:space="0" w:color="auto"/>
                    <w:bottom w:val="none" w:sz="0" w:space="0" w:color="auto"/>
                    <w:right w:val="none" w:sz="0" w:space="0" w:color="auto"/>
                  </w:divBdr>
                  <w:divsChild>
                    <w:div w:id="367344124">
                      <w:marLeft w:val="0"/>
                      <w:marRight w:val="0"/>
                      <w:marTop w:val="0"/>
                      <w:marBottom w:val="0"/>
                      <w:divBdr>
                        <w:top w:val="none" w:sz="0" w:space="0" w:color="auto"/>
                        <w:left w:val="none" w:sz="0" w:space="0" w:color="auto"/>
                        <w:bottom w:val="none" w:sz="0" w:space="0" w:color="auto"/>
                        <w:right w:val="none" w:sz="0" w:space="0" w:color="auto"/>
                      </w:divBdr>
                    </w:div>
                  </w:divsChild>
                </w:div>
                <w:div w:id="365297750">
                  <w:marLeft w:val="0"/>
                  <w:marRight w:val="0"/>
                  <w:marTop w:val="0"/>
                  <w:marBottom w:val="0"/>
                  <w:divBdr>
                    <w:top w:val="none" w:sz="0" w:space="0" w:color="auto"/>
                    <w:left w:val="none" w:sz="0" w:space="0" w:color="auto"/>
                    <w:bottom w:val="none" w:sz="0" w:space="0" w:color="auto"/>
                    <w:right w:val="none" w:sz="0" w:space="0" w:color="auto"/>
                  </w:divBdr>
                  <w:divsChild>
                    <w:div w:id="2033531932">
                      <w:marLeft w:val="0"/>
                      <w:marRight w:val="0"/>
                      <w:marTop w:val="0"/>
                      <w:marBottom w:val="0"/>
                      <w:divBdr>
                        <w:top w:val="none" w:sz="0" w:space="0" w:color="auto"/>
                        <w:left w:val="none" w:sz="0" w:space="0" w:color="auto"/>
                        <w:bottom w:val="none" w:sz="0" w:space="0" w:color="auto"/>
                        <w:right w:val="none" w:sz="0" w:space="0" w:color="auto"/>
                      </w:divBdr>
                    </w:div>
                  </w:divsChild>
                </w:div>
                <w:div w:id="425344269">
                  <w:marLeft w:val="0"/>
                  <w:marRight w:val="0"/>
                  <w:marTop w:val="0"/>
                  <w:marBottom w:val="0"/>
                  <w:divBdr>
                    <w:top w:val="none" w:sz="0" w:space="0" w:color="auto"/>
                    <w:left w:val="none" w:sz="0" w:space="0" w:color="auto"/>
                    <w:bottom w:val="none" w:sz="0" w:space="0" w:color="auto"/>
                    <w:right w:val="none" w:sz="0" w:space="0" w:color="auto"/>
                  </w:divBdr>
                  <w:divsChild>
                    <w:div w:id="588738158">
                      <w:marLeft w:val="0"/>
                      <w:marRight w:val="0"/>
                      <w:marTop w:val="0"/>
                      <w:marBottom w:val="0"/>
                      <w:divBdr>
                        <w:top w:val="none" w:sz="0" w:space="0" w:color="auto"/>
                        <w:left w:val="none" w:sz="0" w:space="0" w:color="auto"/>
                        <w:bottom w:val="none" w:sz="0" w:space="0" w:color="auto"/>
                        <w:right w:val="none" w:sz="0" w:space="0" w:color="auto"/>
                      </w:divBdr>
                    </w:div>
                  </w:divsChild>
                </w:div>
                <w:div w:id="462961104">
                  <w:marLeft w:val="0"/>
                  <w:marRight w:val="0"/>
                  <w:marTop w:val="0"/>
                  <w:marBottom w:val="0"/>
                  <w:divBdr>
                    <w:top w:val="none" w:sz="0" w:space="0" w:color="auto"/>
                    <w:left w:val="none" w:sz="0" w:space="0" w:color="auto"/>
                    <w:bottom w:val="none" w:sz="0" w:space="0" w:color="auto"/>
                    <w:right w:val="none" w:sz="0" w:space="0" w:color="auto"/>
                  </w:divBdr>
                  <w:divsChild>
                    <w:div w:id="827595859">
                      <w:marLeft w:val="0"/>
                      <w:marRight w:val="0"/>
                      <w:marTop w:val="0"/>
                      <w:marBottom w:val="0"/>
                      <w:divBdr>
                        <w:top w:val="none" w:sz="0" w:space="0" w:color="auto"/>
                        <w:left w:val="none" w:sz="0" w:space="0" w:color="auto"/>
                        <w:bottom w:val="none" w:sz="0" w:space="0" w:color="auto"/>
                        <w:right w:val="none" w:sz="0" w:space="0" w:color="auto"/>
                      </w:divBdr>
                    </w:div>
                  </w:divsChild>
                </w:div>
                <w:div w:id="579098901">
                  <w:marLeft w:val="0"/>
                  <w:marRight w:val="0"/>
                  <w:marTop w:val="0"/>
                  <w:marBottom w:val="0"/>
                  <w:divBdr>
                    <w:top w:val="none" w:sz="0" w:space="0" w:color="auto"/>
                    <w:left w:val="none" w:sz="0" w:space="0" w:color="auto"/>
                    <w:bottom w:val="none" w:sz="0" w:space="0" w:color="auto"/>
                    <w:right w:val="none" w:sz="0" w:space="0" w:color="auto"/>
                  </w:divBdr>
                  <w:divsChild>
                    <w:div w:id="1054279428">
                      <w:marLeft w:val="0"/>
                      <w:marRight w:val="0"/>
                      <w:marTop w:val="0"/>
                      <w:marBottom w:val="0"/>
                      <w:divBdr>
                        <w:top w:val="none" w:sz="0" w:space="0" w:color="auto"/>
                        <w:left w:val="none" w:sz="0" w:space="0" w:color="auto"/>
                        <w:bottom w:val="none" w:sz="0" w:space="0" w:color="auto"/>
                        <w:right w:val="none" w:sz="0" w:space="0" w:color="auto"/>
                      </w:divBdr>
                    </w:div>
                  </w:divsChild>
                </w:div>
                <w:div w:id="683214170">
                  <w:marLeft w:val="0"/>
                  <w:marRight w:val="0"/>
                  <w:marTop w:val="0"/>
                  <w:marBottom w:val="0"/>
                  <w:divBdr>
                    <w:top w:val="none" w:sz="0" w:space="0" w:color="auto"/>
                    <w:left w:val="none" w:sz="0" w:space="0" w:color="auto"/>
                    <w:bottom w:val="none" w:sz="0" w:space="0" w:color="auto"/>
                    <w:right w:val="none" w:sz="0" w:space="0" w:color="auto"/>
                  </w:divBdr>
                  <w:divsChild>
                    <w:div w:id="1389037553">
                      <w:marLeft w:val="0"/>
                      <w:marRight w:val="0"/>
                      <w:marTop w:val="0"/>
                      <w:marBottom w:val="0"/>
                      <w:divBdr>
                        <w:top w:val="none" w:sz="0" w:space="0" w:color="auto"/>
                        <w:left w:val="none" w:sz="0" w:space="0" w:color="auto"/>
                        <w:bottom w:val="none" w:sz="0" w:space="0" w:color="auto"/>
                        <w:right w:val="none" w:sz="0" w:space="0" w:color="auto"/>
                      </w:divBdr>
                    </w:div>
                  </w:divsChild>
                </w:div>
                <w:div w:id="722487845">
                  <w:marLeft w:val="0"/>
                  <w:marRight w:val="0"/>
                  <w:marTop w:val="0"/>
                  <w:marBottom w:val="0"/>
                  <w:divBdr>
                    <w:top w:val="none" w:sz="0" w:space="0" w:color="auto"/>
                    <w:left w:val="none" w:sz="0" w:space="0" w:color="auto"/>
                    <w:bottom w:val="none" w:sz="0" w:space="0" w:color="auto"/>
                    <w:right w:val="none" w:sz="0" w:space="0" w:color="auto"/>
                  </w:divBdr>
                  <w:divsChild>
                    <w:div w:id="1763986402">
                      <w:marLeft w:val="0"/>
                      <w:marRight w:val="0"/>
                      <w:marTop w:val="0"/>
                      <w:marBottom w:val="0"/>
                      <w:divBdr>
                        <w:top w:val="none" w:sz="0" w:space="0" w:color="auto"/>
                        <w:left w:val="none" w:sz="0" w:space="0" w:color="auto"/>
                        <w:bottom w:val="none" w:sz="0" w:space="0" w:color="auto"/>
                        <w:right w:val="none" w:sz="0" w:space="0" w:color="auto"/>
                      </w:divBdr>
                    </w:div>
                  </w:divsChild>
                </w:div>
                <w:div w:id="773982453">
                  <w:marLeft w:val="0"/>
                  <w:marRight w:val="0"/>
                  <w:marTop w:val="0"/>
                  <w:marBottom w:val="0"/>
                  <w:divBdr>
                    <w:top w:val="none" w:sz="0" w:space="0" w:color="auto"/>
                    <w:left w:val="none" w:sz="0" w:space="0" w:color="auto"/>
                    <w:bottom w:val="none" w:sz="0" w:space="0" w:color="auto"/>
                    <w:right w:val="none" w:sz="0" w:space="0" w:color="auto"/>
                  </w:divBdr>
                  <w:divsChild>
                    <w:div w:id="47650849">
                      <w:marLeft w:val="0"/>
                      <w:marRight w:val="0"/>
                      <w:marTop w:val="0"/>
                      <w:marBottom w:val="0"/>
                      <w:divBdr>
                        <w:top w:val="none" w:sz="0" w:space="0" w:color="auto"/>
                        <w:left w:val="none" w:sz="0" w:space="0" w:color="auto"/>
                        <w:bottom w:val="none" w:sz="0" w:space="0" w:color="auto"/>
                        <w:right w:val="none" w:sz="0" w:space="0" w:color="auto"/>
                      </w:divBdr>
                    </w:div>
                  </w:divsChild>
                </w:div>
                <w:div w:id="796877030">
                  <w:marLeft w:val="0"/>
                  <w:marRight w:val="0"/>
                  <w:marTop w:val="0"/>
                  <w:marBottom w:val="0"/>
                  <w:divBdr>
                    <w:top w:val="none" w:sz="0" w:space="0" w:color="auto"/>
                    <w:left w:val="none" w:sz="0" w:space="0" w:color="auto"/>
                    <w:bottom w:val="none" w:sz="0" w:space="0" w:color="auto"/>
                    <w:right w:val="none" w:sz="0" w:space="0" w:color="auto"/>
                  </w:divBdr>
                  <w:divsChild>
                    <w:div w:id="922832956">
                      <w:marLeft w:val="0"/>
                      <w:marRight w:val="0"/>
                      <w:marTop w:val="0"/>
                      <w:marBottom w:val="0"/>
                      <w:divBdr>
                        <w:top w:val="none" w:sz="0" w:space="0" w:color="auto"/>
                        <w:left w:val="none" w:sz="0" w:space="0" w:color="auto"/>
                        <w:bottom w:val="none" w:sz="0" w:space="0" w:color="auto"/>
                        <w:right w:val="none" w:sz="0" w:space="0" w:color="auto"/>
                      </w:divBdr>
                    </w:div>
                  </w:divsChild>
                </w:div>
                <w:div w:id="960306076">
                  <w:marLeft w:val="0"/>
                  <w:marRight w:val="0"/>
                  <w:marTop w:val="0"/>
                  <w:marBottom w:val="0"/>
                  <w:divBdr>
                    <w:top w:val="none" w:sz="0" w:space="0" w:color="auto"/>
                    <w:left w:val="none" w:sz="0" w:space="0" w:color="auto"/>
                    <w:bottom w:val="none" w:sz="0" w:space="0" w:color="auto"/>
                    <w:right w:val="none" w:sz="0" w:space="0" w:color="auto"/>
                  </w:divBdr>
                  <w:divsChild>
                    <w:div w:id="1052467215">
                      <w:marLeft w:val="0"/>
                      <w:marRight w:val="0"/>
                      <w:marTop w:val="0"/>
                      <w:marBottom w:val="0"/>
                      <w:divBdr>
                        <w:top w:val="none" w:sz="0" w:space="0" w:color="auto"/>
                        <w:left w:val="none" w:sz="0" w:space="0" w:color="auto"/>
                        <w:bottom w:val="none" w:sz="0" w:space="0" w:color="auto"/>
                        <w:right w:val="none" w:sz="0" w:space="0" w:color="auto"/>
                      </w:divBdr>
                    </w:div>
                  </w:divsChild>
                </w:div>
                <w:div w:id="994526154">
                  <w:marLeft w:val="0"/>
                  <w:marRight w:val="0"/>
                  <w:marTop w:val="0"/>
                  <w:marBottom w:val="0"/>
                  <w:divBdr>
                    <w:top w:val="none" w:sz="0" w:space="0" w:color="auto"/>
                    <w:left w:val="none" w:sz="0" w:space="0" w:color="auto"/>
                    <w:bottom w:val="none" w:sz="0" w:space="0" w:color="auto"/>
                    <w:right w:val="none" w:sz="0" w:space="0" w:color="auto"/>
                  </w:divBdr>
                  <w:divsChild>
                    <w:div w:id="1050231857">
                      <w:marLeft w:val="0"/>
                      <w:marRight w:val="0"/>
                      <w:marTop w:val="0"/>
                      <w:marBottom w:val="0"/>
                      <w:divBdr>
                        <w:top w:val="none" w:sz="0" w:space="0" w:color="auto"/>
                        <w:left w:val="none" w:sz="0" w:space="0" w:color="auto"/>
                        <w:bottom w:val="none" w:sz="0" w:space="0" w:color="auto"/>
                        <w:right w:val="none" w:sz="0" w:space="0" w:color="auto"/>
                      </w:divBdr>
                    </w:div>
                  </w:divsChild>
                </w:div>
                <w:div w:id="1030453501">
                  <w:marLeft w:val="0"/>
                  <w:marRight w:val="0"/>
                  <w:marTop w:val="0"/>
                  <w:marBottom w:val="0"/>
                  <w:divBdr>
                    <w:top w:val="none" w:sz="0" w:space="0" w:color="auto"/>
                    <w:left w:val="none" w:sz="0" w:space="0" w:color="auto"/>
                    <w:bottom w:val="none" w:sz="0" w:space="0" w:color="auto"/>
                    <w:right w:val="none" w:sz="0" w:space="0" w:color="auto"/>
                  </w:divBdr>
                  <w:divsChild>
                    <w:div w:id="1492090834">
                      <w:marLeft w:val="0"/>
                      <w:marRight w:val="0"/>
                      <w:marTop w:val="0"/>
                      <w:marBottom w:val="0"/>
                      <w:divBdr>
                        <w:top w:val="none" w:sz="0" w:space="0" w:color="auto"/>
                        <w:left w:val="none" w:sz="0" w:space="0" w:color="auto"/>
                        <w:bottom w:val="none" w:sz="0" w:space="0" w:color="auto"/>
                        <w:right w:val="none" w:sz="0" w:space="0" w:color="auto"/>
                      </w:divBdr>
                    </w:div>
                  </w:divsChild>
                </w:div>
                <w:div w:id="1209534278">
                  <w:marLeft w:val="0"/>
                  <w:marRight w:val="0"/>
                  <w:marTop w:val="0"/>
                  <w:marBottom w:val="0"/>
                  <w:divBdr>
                    <w:top w:val="none" w:sz="0" w:space="0" w:color="auto"/>
                    <w:left w:val="none" w:sz="0" w:space="0" w:color="auto"/>
                    <w:bottom w:val="none" w:sz="0" w:space="0" w:color="auto"/>
                    <w:right w:val="none" w:sz="0" w:space="0" w:color="auto"/>
                  </w:divBdr>
                  <w:divsChild>
                    <w:div w:id="1252737017">
                      <w:marLeft w:val="0"/>
                      <w:marRight w:val="0"/>
                      <w:marTop w:val="0"/>
                      <w:marBottom w:val="0"/>
                      <w:divBdr>
                        <w:top w:val="none" w:sz="0" w:space="0" w:color="auto"/>
                        <w:left w:val="none" w:sz="0" w:space="0" w:color="auto"/>
                        <w:bottom w:val="none" w:sz="0" w:space="0" w:color="auto"/>
                        <w:right w:val="none" w:sz="0" w:space="0" w:color="auto"/>
                      </w:divBdr>
                    </w:div>
                  </w:divsChild>
                </w:div>
                <w:div w:id="1290013081">
                  <w:marLeft w:val="0"/>
                  <w:marRight w:val="0"/>
                  <w:marTop w:val="0"/>
                  <w:marBottom w:val="0"/>
                  <w:divBdr>
                    <w:top w:val="none" w:sz="0" w:space="0" w:color="auto"/>
                    <w:left w:val="none" w:sz="0" w:space="0" w:color="auto"/>
                    <w:bottom w:val="none" w:sz="0" w:space="0" w:color="auto"/>
                    <w:right w:val="none" w:sz="0" w:space="0" w:color="auto"/>
                  </w:divBdr>
                  <w:divsChild>
                    <w:div w:id="2062050106">
                      <w:marLeft w:val="0"/>
                      <w:marRight w:val="0"/>
                      <w:marTop w:val="0"/>
                      <w:marBottom w:val="0"/>
                      <w:divBdr>
                        <w:top w:val="none" w:sz="0" w:space="0" w:color="auto"/>
                        <w:left w:val="none" w:sz="0" w:space="0" w:color="auto"/>
                        <w:bottom w:val="none" w:sz="0" w:space="0" w:color="auto"/>
                        <w:right w:val="none" w:sz="0" w:space="0" w:color="auto"/>
                      </w:divBdr>
                    </w:div>
                  </w:divsChild>
                </w:div>
                <w:div w:id="1354572340">
                  <w:marLeft w:val="0"/>
                  <w:marRight w:val="0"/>
                  <w:marTop w:val="0"/>
                  <w:marBottom w:val="0"/>
                  <w:divBdr>
                    <w:top w:val="none" w:sz="0" w:space="0" w:color="auto"/>
                    <w:left w:val="none" w:sz="0" w:space="0" w:color="auto"/>
                    <w:bottom w:val="none" w:sz="0" w:space="0" w:color="auto"/>
                    <w:right w:val="none" w:sz="0" w:space="0" w:color="auto"/>
                  </w:divBdr>
                  <w:divsChild>
                    <w:div w:id="585114865">
                      <w:marLeft w:val="0"/>
                      <w:marRight w:val="0"/>
                      <w:marTop w:val="0"/>
                      <w:marBottom w:val="0"/>
                      <w:divBdr>
                        <w:top w:val="none" w:sz="0" w:space="0" w:color="auto"/>
                        <w:left w:val="none" w:sz="0" w:space="0" w:color="auto"/>
                        <w:bottom w:val="none" w:sz="0" w:space="0" w:color="auto"/>
                        <w:right w:val="none" w:sz="0" w:space="0" w:color="auto"/>
                      </w:divBdr>
                    </w:div>
                  </w:divsChild>
                </w:div>
                <w:div w:id="1657105644">
                  <w:marLeft w:val="0"/>
                  <w:marRight w:val="0"/>
                  <w:marTop w:val="0"/>
                  <w:marBottom w:val="0"/>
                  <w:divBdr>
                    <w:top w:val="none" w:sz="0" w:space="0" w:color="auto"/>
                    <w:left w:val="none" w:sz="0" w:space="0" w:color="auto"/>
                    <w:bottom w:val="none" w:sz="0" w:space="0" w:color="auto"/>
                    <w:right w:val="none" w:sz="0" w:space="0" w:color="auto"/>
                  </w:divBdr>
                  <w:divsChild>
                    <w:div w:id="1600988532">
                      <w:marLeft w:val="0"/>
                      <w:marRight w:val="0"/>
                      <w:marTop w:val="0"/>
                      <w:marBottom w:val="0"/>
                      <w:divBdr>
                        <w:top w:val="none" w:sz="0" w:space="0" w:color="auto"/>
                        <w:left w:val="none" w:sz="0" w:space="0" w:color="auto"/>
                        <w:bottom w:val="none" w:sz="0" w:space="0" w:color="auto"/>
                        <w:right w:val="none" w:sz="0" w:space="0" w:color="auto"/>
                      </w:divBdr>
                    </w:div>
                  </w:divsChild>
                </w:div>
                <w:div w:id="1898273687">
                  <w:marLeft w:val="0"/>
                  <w:marRight w:val="0"/>
                  <w:marTop w:val="0"/>
                  <w:marBottom w:val="0"/>
                  <w:divBdr>
                    <w:top w:val="none" w:sz="0" w:space="0" w:color="auto"/>
                    <w:left w:val="none" w:sz="0" w:space="0" w:color="auto"/>
                    <w:bottom w:val="none" w:sz="0" w:space="0" w:color="auto"/>
                    <w:right w:val="none" w:sz="0" w:space="0" w:color="auto"/>
                  </w:divBdr>
                  <w:divsChild>
                    <w:div w:id="914170922">
                      <w:marLeft w:val="0"/>
                      <w:marRight w:val="0"/>
                      <w:marTop w:val="0"/>
                      <w:marBottom w:val="0"/>
                      <w:divBdr>
                        <w:top w:val="none" w:sz="0" w:space="0" w:color="auto"/>
                        <w:left w:val="none" w:sz="0" w:space="0" w:color="auto"/>
                        <w:bottom w:val="none" w:sz="0" w:space="0" w:color="auto"/>
                        <w:right w:val="none" w:sz="0" w:space="0" w:color="auto"/>
                      </w:divBdr>
                    </w:div>
                  </w:divsChild>
                </w:div>
                <w:div w:id="2118520957">
                  <w:marLeft w:val="0"/>
                  <w:marRight w:val="0"/>
                  <w:marTop w:val="0"/>
                  <w:marBottom w:val="0"/>
                  <w:divBdr>
                    <w:top w:val="none" w:sz="0" w:space="0" w:color="auto"/>
                    <w:left w:val="none" w:sz="0" w:space="0" w:color="auto"/>
                    <w:bottom w:val="none" w:sz="0" w:space="0" w:color="auto"/>
                    <w:right w:val="none" w:sz="0" w:space="0" w:color="auto"/>
                  </w:divBdr>
                  <w:divsChild>
                    <w:div w:id="740715337">
                      <w:marLeft w:val="0"/>
                      <w:marRight w:val="0"/>
                      <w:marTop w:val="0"/>
                      <w:marBottom w:val="0"/>
                      <w:divBdr>
                        <w:top w:val="none" w:sz="0" w:space="0" w:color="auto"/>
                        <w:left w:val="none" w:sz="0" w:space="0" w:color="auto"/>
                        <w:bottom w:val="none" w:sz="0" w:space="0" w:color="auto"/>
                        <w:right w:val="none" w:sz="0" w:space="0" w:color="auto"/>
                      </w:divBdr>
                    </w:div>
                  </w:divsChild>
                </w:div>
                <w:div w:id="2139495280">
                  <w:marLeft w:val="0"/>
                  <w:marRight w:val="0"/>
                  <w:marTop w:val="0"/>
                  <w:marBottom w:val="0"/>
                  <w:divBdr>
                    <w:top w:val="none" w:sz="0" w:space="0" w:color="auto"/>
                    <w:left w:val="none" w:sz="0" w:space="0" w:color="auto"/>
                    <w:bottom w:val="none" w:sz="0" w:space="0" w:color="auto"/>
                    <w:right w:val="none" w:sz="0" w:space="0" w:color="auto"/>
                  </w:divBdr>
                  <w:divsChild>
                    <w:div w:id="4096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22945">
          <w:marLeft w:val="0"/>
          <w:marRight w:val="0"/>
          <w:marTop w:val="0"/>
          <w:marBottom w:val="0"/>
          <w:divBdr>
            <w:top w:val="none" w:sz="0" w:space="0" w:color="auto"/>
            <w:left w:val="none" w:sz="0" w:space="0" w:color="auto"/>
            <w:bottom w:val="none" w:sz="0" w:space="0" w:color="auto"/>
            <w:right w:val="none" w:sz="0" w:space="0" w:color="auto"/>
          </w:divBdr>
        </w:div>
        <w:div w:id="1353341727">
          <w:marLeft w:val="0"/>
          <w:marRight w:val="0"/>
          <w:marTop w:val="0"/>
          <w:marBottom w:val="0"/>
          <w:divBdr>
            <w:top w:val="none" w:sz="0" w:space="0" w:color="auto"/>
            <w:left w:val="none" w:sz="0" w:space="0" w:color="auto"/>
            <w:bottom w:val="none" w:sz="0" w:space="0" w:color="auto"/>
            <w:right w:val="none" w:sz="0" w:space="0" w:color="auto"/>
          </w:divBdr>
        </w:div>
        <w:div w:id="1425764065">
          <w:marLeft w:val="0"/>
          <w:marRight w:val="0"/>
          <w:marTop w:val="0"/>
          <w:marBottom w:val="0"/>
          <w:divBdr>
            <w:top w:val="none" w:sz="0" w:space="0" w:color="auto"/>
            <w:left w:val="none" w:sz="0" w:space="0" w:color="auto"/>
            <w:bottom w:val="none" w:sz="0" w:space="0" w:color="auto"/>
            <w:right w:val="none" w:sz="0" w:space="0" w:color="auto"/>
          </w:divBdr>
          <w:divsChild>
            <w:div w:id="1320037915">
              <w:marLeft w:val="-75"/>
              <w:marRight w:val="0"/>
              <w:marTop w:val="30"/>
              <w:marBottom w:val="30"/>
              <w:divBdr>
                <w:top w:val="none" w:sz="0" w:space="0" w:color="auto"/>
                <w:left w:val="none" w:sz="0" w:space="0" w:color="auto"/>
                <w:bottom w:val="none" w:sz="0" w:space="0" w:color="auto"/>
                <w:right w:val="none" w:sz="0" w:space="0" w:color="auto"/>
              </w:divBdr>
              <w:divsChild>
                <w:div w:id="637301242">
                  <w:marLeft w:val="0"/>
                  <w:marRight w:val="0"/>
                  <w:marTop w:val="0"/>
                  <w:marBottom w:val="0"/>
                  <w:divBdr>
                    <w:top w:val="none" w:sz="0" w:space="0" w:color="auto"/>
                    <w:left w:val="none" w:sz="0" w:space="0" w:color="auto"/>
                    <w:bottom w:val="none" w:sz="0" w:space="0" w:color="auto"/>
                    <w:right w:val="none" w:sz="0" w:space="0" w:color="auto"/>
                  </w:divBdr>
                  <w:divsChild>
                    <w:div w:id="1422875834">
                      <w:marLeft w:val="0"/>
                      <w:marRight w:val="0"/>
                      <w:marTop w:val="0"/>
                      <w:marBottom w:val="0"/>
                      <w:divBdr>
                        <w:top w:val="none" w:sz="0" w:space="0" w:color="auto"/>
                        <w:left w:val="none" w:sz="0" w:space="0" w:color="auto"/>
                        <w:bottom w:val="none" w:sz="0" w:space="0" w:color="auto"/>
                        <w:right w:val="none" w:sz="0" w:space="0" w:color="auto"/>
                      </w:divBdr>
                    </w:div>
                    <w:div w:id="2043357505">
                      <w:marLeft w:val="0"/>
                      <w:marRight w:val="0"/>
                      <w:marTop w:val="0"/>
                      <w:marBottom w:val="0"/>
                      <w:divBdr>
                        <w:top w:val="none" w:sz="0" w:space="0" w:color="auto"/>
                        <w:left w:val="none" w:sz="0" w:space="0" w:color="auto"/>
                        <w:bottom w:val="none" w:sz="0" w:space="0" w:color="auto"/>
                        <w:right w:val="none" w:sz="0" w:space="0" w:color="auto"/>
                      </w:divBdr>
                    </w:div>
                  </w:divsChild>
                </w:div>
                <w:div w:id="712005386">
                  <w:marLeft w:val="0"/>
                  <w:marRight w:val="0"/>
                  <w:marTop w:val="0"/>
                  <w:marBottom w:val="0"/>
                  <w:divBdr>
                    <w:top w:val="none" w:sz="0" w:space="0" w:color="auto"/>
                    <w:left w:val="none" w:sz="0" w:space="0" w:color="auto"/>
                    <w:bottom w:val="none" w:sz="0" w:space="0" w:color="auto"/>
                    <w:right w:val="none" w:sz="0" w:space="0" w:color="auto"/>
                  </w:divBdr>
                  <w:divsChild>
                    <w:div w:id="1004360237">
                      <w:marLeft w:val="0"/>
                      <w:marRight w:val="0"/>
                      <w:marTop w:val="0"/>
                      <w:marBottom w:val="0"/>
                      <w:divBdr>
                        <w:top w:val="none" w:sz="0" w:space="0" w:color="auto"/>
                        <w:left w:val="none" w:sz="0" w:space="0" w:color="auto"/>
                        <w:bottom w:val="none" w:sz="0" w:space="0" w:color="auto"/>
                        <w:right w:val="none" w:sz="0" w:space="0" w:color="auto"/>
                      </w:divBdr>
                    </w:div>
                  </w:divsChild>
                </w:div>
                <w:div w:id="769009513">
                  <w:marLeft w:val="0"/>
                  <w:marRight w:val="0"/>
                  <w:marTop w:val="0"/>
                  <w:marBottom w:val="0"/>
                  <w:divBdr>
                    <w:top w:val="none" w:sz="0" w:space="0" w:color="auto"/>
                    <w:left w:val="none" w:sz="0" w:space="0" w:color="auto"/>
                    <w:bottom w:val="none" w:sz="0" w:space="0" w:color="auto"/>
                    <w:right w:val="none" w:sz="0" w:space="0" w:color="auto"/>
                  </w:divBdr>
                  <w:divsChild>
                    <w:div w:id="25640328">
                      <w:marLeft w:val="0"/>
                      <w:marRight w:val="0"/>
                      <w:marTop w:val="0"/>
                      <w:marBottom w:val="0"/>
                      <w:divBdr>
                        <w:top w:val="none" w:sz="0" w:space="0" w:color="auto"/>
                        <w:left w:val="none" w:sz="0" w:space="0" w:color="auto"/>
                        <w:bottom w:val="none" w:sz="0" w:space="0" w:color="auto"/>
                        <w:right w:val="none" w:sz="0" w:space="0" w:color="auto"/>
                      </w:divBdr>
                    </w:div>
                    <w:div w:id="819464936">
                      <w:marLeft w:val="0"/>
                      <w:marRight w:val="0"/>
                      <w:marTop w:val="0"/>
                      <w:marBottom w:val="0"/>
                      <w:divBdr>
                        <w:top w:val="none" w:sz="0" w:space="0" w:color="auto"/>
                        <w:left w:val="none" w:sz="0" w:space="0" w:color="auto"/>
                        <w:bottom w:val="none" w:sz="0" w:space="0" w:color="auto"/>
                        <w:right w:val="none" w:sz="0" w:space="0" w:color="auto"/>
                      </w:divBdr>
                    </w:div>
                  </w:divsChild>
                </w:div>
                <w:div w:id="1388071797">
                  <w:marLeft w:val="0"/>
                  <w:marRight w:val="0"/>
                  <w:marTop w:val="0"/>
                  <w:marBottom w:val="0"/>
                  <w:divBdr>
                    <w:top w:val="none" w:sz="0" w:space="0" w:color="auto"/>
                    <w:left w:val="none" w:sz="0" w:space="0" w:color="auto"/>
                    <w:bottom w:val="none" w:sz="0" w:space="0" w:color="auto"/>
                    <w:right w:val="none" w:sz="0" w:space="0" w:color="auto"/>
                  </w:divBdr>
                  <w:divsChild>
                    <w:div w:id="43413096">
                      <w:marLeft w:val="0"/>
                      <w:marRight w:val="0"/>
                      <w:marTop w:val="0"/>
                      <w:marBottom w:val="0"/>
                      <w:divBdr>
                        <w:top w:val="none" w:sz="0" w:space="0" w:color="auto"/>
                        <w:left w:val="none" w:sz="0" w:space="0" w:color="auto"/>
                        <w:bottom w:val="none" w:sz="0" w:space="0" w:color="auto"/>
                        <w:right w:val="none" w:sz="0" w:space="0" w:color="auto"/>
                      </w:divBdr>
                    </w:div>
                    <w:div w:id="570890544">
                      <w:marLeft w:val="0"/>
                      <w:marRight w:val="0"/>
                      <w:marTop w:val="0"/>
                      <w:marBottom w:val="0"/>
                      <w:divBdr>
                        <w:top w:val="none" w:sz="0" w:space="0" w:color="auto"/>
                        <w:left w:val="none" w:sz="0" w:space="0" w:color="auto"/>
                        <w:bottom w:val="none" w:sz="0" w:space="0" w:color="auto"/>
                        <w:right w:val="none" w:sz="0" w:space="0" w:color="auto"/>
                      </w:divBdr>
                    </w:div>
                  </w:divsChild>
                </w:div>
                <w:div w:id="1685668186">
                  <w:marLeft w:val="0"/>
                  <w:marRight w:val="0"/>
                  <w:marTop w:val="0"/>
                  <w:marBottom w:val="0"/>
                  <w:divBdr>
                    <w:top w:val="none" w:sz="0" w:space="0" w:color="auto"/>
                    <w:left w:val="none" w:sz="0" w:space="0" w:color="auto"/>
                    <w:bottom w:val="none" w:sz="0" w:space="0" w:color="auto"/>
                    <w:right w:val="none" w:sz="0" w:space="0" w:color="auto"/>
                  </w:divBdr>
                  <w:divsChild>
                    <w:div w:id="82340897">
                      <w:marLeft w:val="0"/>
                      <w:marRight w:val="0"/>
                      <w:marTop w:val="0"/>
                      <w:marBottom w:val="0"/>
                      <w:divBdr>
                        <w:top w:val="none" w:sz="0" w:space="0" w:color="auto"/>
                        <w:left w:val="none" w:sz="0" w:space="0" w:color="auto"/>
                        <w:bottom w:val="none" w:sz="0" w:space="0" w:color="auto"/>
                        <w:right w:val="none" w:sz="0" w:space="0" w:color="auto"/>
                      </w:divBdr>
                    </w:div>
                    <w:div w:id="871654587">
                      <w:marLeft w:val="0"/>
                      <w:marRight w:val="0"/>
                      <w:marTop w:val="0"/>
                      <w:marBottom w:val="0"/>
                      <w:divBdr>
                        <w:top w:val="none" w:sz="0" w:space="0" w:color="auto"/>
                        <w:left w:val="none" w:sz="0" w:space="0" w:color="auto"/>
                        <w:bottom w:val="none" w:sz="0" w:space="0" w:color="auto"/>
                        <w:right w:val="none" w:sz="0" w:space="0" w:color="auto"/>
                      </w:divBdr>
                    </w:div>
                  </w:divsChild>
                </w:div>
                <w:div w:id="2044937522">
                  <w:marLeft w:val="0"/>
                  <w:marRight w:val="0"/>
                  <w:marTop w:val="0"/>
                  <w:marBottom w:val="0"/>
                  <w:divBdr>
                    <w:top w:val="none" w:sz="0" w:space="0" w:color="auto"/>
                    <w:left w:val="none" w:sz="0" w:space="0" w:color="auto"/>
                    <w:bottom w:val="none" w:sz="0" w:space="0" w:color="auto"/>
                    <w:right w:val="none" w:sz="0" w:space="0" w:color="auto"/>
                  </w:divBdr>
                  <w:divsChild>
                    <w:div w:id="1626302918">
                      <w:marLeft w:val="0"/>
                      <w:marRight w:val="0"/>
                      <w:marTop w:val="0"/>
                      <w:marBottom w:val="0"/>
                      <w:divBdr>
                        <w:top w:val="none" w:sz="0" w:space="0" w:color="auto"/>
                        <w:left w:val="none" w:sz="0" w:space="0" w:color="auto"/>
                        <w:bottom w:val="none" w:sz="0" w:space="0" w:color="auto"/>
                        <w:right w:val="none" w:sz="0" w:space="0" w:color="auto"/>
                      </w:divBdr>
                    </w:div>
                    <w:div w:id="192788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878310">
          <w:marLeft w:val="0"/>
          <w:marRight w:val="0"/>
          <w:marTop w:val="0"/>
          <w:marBottom w:val="0"/>
          <w:divBdr>
            <w:top w:val="none" w:sz="0" w:space="0" w:color="auto"/>
            <w:left w:val="none" w:sz="0" w:space="0" w:color="auto"/>
            <w:bottom w:val="none" w:sz="0" w:space="0" w:color="auto"/>
            <w:right w:val="none" w:sz="0" w:space="0" w:color="auto"/>
          </w:divBdr>
        </w:div>
        <w:div w:id="1572349418">
          <w:marLeft w:val="0"/>
          <w:marRight w:val="0"/>
          <w:marTop w:val="0"/>
          <w:marBottom w:val="0"/>
          <w:divBdr>
            <w:top w:val="none" w:sz="0" w:space="0" w:color="auto"/>
            <w:left w:val="none" w:sz="0" w:space="0" w:color="auto"/>
            <w:bottom w:val="none" w:sz="0" w:space="0" w:color="auto"/>
            <w:right w:val="none" w:sz="0" w:space="0" w:color="auto"/>
          </w:divBdr>
        </w:div>
        <w:div w:id="1981882124">
          <w:marLeft w:val="0"/>
          <w:marRight w:val="0"/>
          <w:marTop w:val="0"/>
          <w:marBottom w:val="0"/>
          <w:divBdr>
            <w:top w:val="none" w:sz="0" w:space="0" w:color="auto"/>
            <w:left w:val="none" w:sz="0" w:space="0" w:color="auto"/>
            <w:bottom w:val="none" w:sz="0" w:space="0" w:color="auto"/>
            <w:right w:val="none" w:sz="0" w:space="0" w:color="auto"/>
          </w:divBdr>
        </w:div>
      </w:divsChild>
    </w:div>
    <w:div w:id="105927768">
      <w:bodyDiv w:val="1"/>
      <w:marLeft w:val="0"/>
      <w:marRight w:val="0"/>
      <w:marTop w:val="0"/>
      <w:marBottom w:val="0"/>
      <w:divBdr>
        <w:top w:val="none" w:sz="0" w:space="0" w:color="auto"/>
        <w:left w:val="none" w:sz="0" w:space="0" w:color="auto"/>
        <w:bottom w:val="none" w:sz="0" w:space="0" w:color="auto"/>
        <w:right w:val="none" w:sz="0" w:space="0" w:color="auto"/>
      </w:divBdr>
      <w:divsChild>
        <w:div w:id="16665829">
          <w:marLeft w:val="0"/>
          <w:marRight w:val="0"/>
          <w:marTop w:val="0"/>
          <w:marBottom w:val="0"/>
          <w:divBdr>
            <w:top w:val="none" w:sz="0" w:space="0" w:color="auto"/>
            <w:left w:val="none" w:sz="0" w:space="0" w:color="auto"/>
            <w:bottom w:val="none" w:sz="0" w:space="0" w:color="auto"/>
            <w:right w:val="none" w:sz="0" w:space="0" w:color="auto"/>
          </w:divBdr>
          <w:divsChild>
            <w:div w:id="450518526">
              <w:marLeft w:val="-75"/>
              <w:marRight w:val="0"/>
              <w:marTop w:val="30"/>
              <w:marBottom w:val="30"/>
              <w:divBdr>
                <w:top w:val="none" w:sz="0" w:space="0" w:color="auto"/>
                <w:left w:val="none" w:sz="0" w:space="0" w:color="auto"/>
                <w:bottom w:val="none" w:sz="0" w:space="0" w:color="auto"/>
                <w:right w:val="none" w:sz="0" w:space="0" w:color="auto"/>
              </w:divBdr>
              <w:divsChild>
                <w:div w:id="43994192">
                  <w:marLeft w:val="0"/>
                  <w:marRight w:val="0"/>
                  <w:marTop w:val="0"/>
                  <w:marBottom w:val="0"/>
                  <w:divBdr>
                    <w:top w:val="none" w:sz="0" w:space="0" w:color="auto"/>
                    <w:left w:val="none" w:sz="0" w:space="0" w:color="auto"/>
                    <w:bottom w:val="none" w:sz="0" w:space="0" w:color="auto"/>
                    <w:right w:val="none" w:sz="0" w:space="0" w:color="auto"/>
                  </w:divBdr>
                  <w:divsChild>
                    <w:div w:id="1708605217">
                      <w:marLeft w:val="0"/>
                      <w:marRight w:val="0"/>
                      <w:marTop w:val="0"/>
                      <w:marBottom w:val="0"/>
                      <w:divBdr>
                        <w:top w:val="none" w:sz="0" w:space="0" w:color="auto"/>
                        <w:left w:val="none" w:sz="0" w:space="0" w:color="auto"/>
                        <w:bottom w:val="none" w:sz="0" w:space="0" w:color="auto"/>
                        <w:right w:val="none" w:sz="0" w:space="0" w:color="auto"/>
                      </w:divBdr>
                    </w:div>
                  </w:divsChild>
                </w:div>
                <w:div w:id="46532874">
                  <w:marLeft w:val="0"/>
                  <w:marRight w:val="0"/>
                  <w:marTop w:val="0"/>
                  <w:marBottom w:val="0"/>
                  <w:divBdr>
                    <w:top w:val="none" w:sz="0" w:space="0" w:color="auto"/>
                    <w:left w:val="none" w:sz="0" w:space="0" w:color="auto"/>
                    <w:bottom w:val="none" w:sz="0" w:space="0" w:color="auto"/>
                    <w:right w:val="none" w:sz="0" w:space="0" w:color="auto"/>
                  </w:divBdr>
                  <w:divsChild>
                    <w:div w:id="942301835">
                      <w:marLeft w:val="0"/>
                      <w:marRight w:val="0"/>
                      <w:marTop w:val="0"/>
                      <w:marBottom w:val="0"/>
                      <w:divBdr>
                        <w:top w:val="none" w:sz="0" w:space="0" w:color="auto"/>
                        <w:left w:val="none" w:sz="0" w:space="0" w:color="auto"/>
                        <w:bottom w:val="none" w:sz="0" w:space="0" w:color="auto"/>
                        <w:right w:val="none" w:sz="0" w:space="0" w:color="auto"/>
                      </w:divBdr>
                    </w:div>
                  </w:divsChild>
                </w:div>
                <w:div w:id="107235882">
                  <w:marLeft w:val="0"/>
                  <w:marRight w:val="0"/>
                  <w:marTop w:val="0"/>
                  <w:marBottom w:val="0"/>
                  <w:divBdr>
                    <w:top w:val="none" w:sz="0" w:space="0" w:color="auto"/>
                    <w:left w:val="none" w:sz="0" w:space="0" w:color="auto"/>
                    <w:bottom w:val="none" w:sz="0" w:space="0" w:color="auto"/>
                    <w:right w:val="none" w:sz="0" w:space="0" w:color="auto"/>
                  </w:divBdr>
                  <w:divsChild>
                    <w:div w:id="1160655052">
                      <w:marLeft w:val="0"/>
                      <w:marRight w:val="0"/>
                      <w:marTop w:val="0"/>
                      <w:marBottom w:val="0"/>
                      <w:divBdr>
                        <w:top w:val="none" w:sz="0" w:space="0" w:color="auto"/>
                        <w:left w:val="none" w:sz="0" w:space="0" w:color="auto"/>
                        <w:bottom w:val="none" w:sz="0" w:space="0" w:color="auto"/>
                        <w:right w:val="none" w:sz="0" w:space="0" w:color="auto"/>
                      </w:divBdr>
                    </w:div>
                  </w:divsChild>
                </w:div>
                <w:div w:id="190726739">
                  <w:marLeft w:val="0"/>
                  <w:marRight w:val="0"/>
                  <w:marTop w:val="0"/>
                  <w:marBottom w:val="0"/>
                  <w:divBdr>
                    <w:top w:val="none" w:sz="0" w:space="0" w:color="auto"/>
                    <w:left w:val="none" w:sz="0" w:space="0" w:color="auto"/>
                    <w:bottom w:val="none" w:sz="0" w:space="0" w:color="auto"/>
                    <w:right w:val="none" w:sz="0" w:space="0" w:color="auto"/>
                  </w:divBdr>
                  <w:divsChild>
                    <w:div w:id="1122261829">
                      <w:marLeft w:val="0"/>
                      <w:marRight w:val="0"/>
                      <w:marTop w:val="0"/>
                      <w:marBottom w:val="0"/>
                      <w:divBdr>
                        <w:top w:val="none" w:sz="0" w:space="0" w:color="auto"/>
                        <w:left w:val="none" w:sz="0" w:space="0" w:color="auto"/>
                        <w:bottom w:val="none" w:sz="0" w:space="0" w:color="auto"/>
                        <w:right w:val="none" w:sz="0" w:space="0" w:color="auto"/>
                      </w:divBdr>
                    </w:div>
                  </w:divsChild>
                </w:div>
                <w:div w:id="234779256">
                  <w:marLeft w:val="0"/>
                  <w:marRight w:val="0"/>
                  <w:marTop w:val="0"/>
                  <w:marBottom w:val="0"/>
                  <w:divBdr>
                    <w:top w:val="none" w:sz="0" w:space="0" w:color="auto"/>
                    <w:left w:val="none" w:sz="0" w:space="0" w:color="auto"/>
                    <w:bottom w:val="none" w:sz="0" w:space="0" w:color="auto"/>
                    <w:right w:val="none" w:sz="0" w:space="0" w:color="auto"/>
                  </w:divBdr>
                  <w:divsChild>
                    <w:div w:id="504826397">
                      <w:marLeft w:val="0"/>
                      <w:marRight w:val="0"/>
                      <w:marTop w:val="0"/>
                      <w:marBottom w:val="0"/>
                      <w:divBdr>
                        <w:top w:val="none" w:sz="0" w:space="0" w:color="auto"/>
                        <w:left w:val="none" w:sz="0" w:space="0" w:color="auto"/>
                        <w:bottom w:val="none" w:sz="0" w:space="0" w:color="auto"/>
                        <w:right w:val="none" w:sz="0" w:space="0" w:color="auto"/>
                      </w:divBdr>
                    </w:div>
                  </w:divsChild>
                </w:div>
                <w:div w:id="244192639">
                  <w:marLeft w:val="0"/>
                  <w:marRight w:val="0"/>
                  <w:marTop w:val="0"/>
                  <w:marBottom w:val="0"/>
                  <w:divBdr>
                    <w:top w:val="none" w:sz="0" w:space="0" w:color="auto"/>
                    <w:left w:val="none" w:sz="0" w:space="0" w:color="auto"/>
                    <w:bottom w:val="none" w:sz="0" w:space="0" w:color="auto"/>
                    <w:right w:val="none" w:sz="0" w:space="0" w:color="auto"/>
                  </w:divBdr>
                  <w:divsChild>
                    <w:div w:id="1933464342">
                      <w:marLeft w:val="0"/>
                      <w:marRight w:val="0"/>
                      <w:marTop w:val="0"/>
                      <w:marBottom w:val="0"/>
                      <w:divBdr>
                        <w:top w:val="none" w:sz="0" w:space="0" w:color="auto"/>
                        <w:left w:val="none" w:sz="0" w:space="0" w:color="auto"/>
                        <w:bottom w:val="none" w:sz="0" w:space="0" w:color="auto"/>
                        <w:right w:val="none" w:sz="0" w:space="0" w:color="auto"/>
                      </w:divBdr>
                    </w:div>
                  </w:divsChild>
                </w:div>
                <w:div w:id="451098811">
                  <w:marLeft w:val="0"/>
                  <w:marRight w:val="0"/>
                  <w:marTop w:val="0"/>
                  <w:marBottom w:val="0"/>
                  <w:divBdr>
                    <w:top w:val="none" w:sz="0" w:space="0" w:color="auto"/>
                    <w:left w:val="none" w:sz="0" w:space="0" w:color="auto"/>
                    <w:bottom w:val="none" w:sz="0" w:space="0" w:color="auto"/>
                    <w:right w:val="none" w:sz="0" w:space="0" w:color="auto"/>
                  </w:divBdr>
                  <w:divsChild>
                    <w:div w:id="1482769253">
                      <w:marLeft w:val="0"/>
                      <w:marRight w:val="0"/>
                      <w:marTop w:val="0"/>
                      <w:marBottom w:val="0"/>
                      <w:divBdr>
                        <w:top w:val="none" w:sz="0" w:space="0" w:color="auto"/>
                        <w:left w:val="none" w:sz="0" w:space="0" w:color="auto"/>
                        <w:bottom w:val="none" w:sz="0" w:space="0" w:color="auto"/>
                        <w:right w:val="none" w:sz="0" w:space="0" w:color="auto"/>
                      </w:divBdr>
                    </w:div>
                  </w:divsChild>
                </w:div>
                <w:div w:id="459540494">
                  <w:marLeft w:val="0"/>
                  <w:marRight w:val="0"/>
                  <w:marTop w:val="0"/>
                  <w:marBottom w:val="0"/>
                  <w:divBdr>
                    <w:top w:val="none" w:sz="0" w:space="0" w:color="auto"/>
                    <w:left w:val="none" w:sz="0" w:space="0" w:color="auto"/>
                    <w:bottom w:val="none" w:sz="0" w:space="0" w:color="auto"/>
                    <w:right w:val="none" w:sz="0" w:space="0" w:color="auto"/>
                  </w:divBdr>
                  <w:divsChild>
                    <w:div w:id="562910024">
                      <w:marLeft w:val="0"/>
                      <w:marRight w:val="0"/>
                      <w:marTop w:val="0"/>
                      <w:marBottom w:val="0"/>
                      <w:divBdr>
                        <w:top w:val="none" w:sz="0" w:space="0" w:color="auto"/>
                        <w:left w:val="none" w:sz="0" w:space="0" w:color="auto"/>
                        <w:bottom w:val="none" w:sz="0" w:space="0" w:color="auto"/>
                        <w:right w:val="none" w:sz="0" w:space="0" w:color="auto"/>
                      </w:divBdr>
                    </w:div>
                  </w:divsChild>
                </w:div>
                <w:div w:id="522135631">
                  <w:marLeft w:val="0"/>
                  <w:marRight w:val="0"/>
                  <w:marTop w:val="0"/>
                  <w:marBottom w:val="0"/>
                  <w:divBdr>
                    <w:top w:val="none" w:sz="0" w:space="0" w:color="auto"/>
                    <w:left w:val="none" w:sz="0" w:space="0" w:color="auto"/>
                    <w:bottom w:val="none" w:sz="0" w:space="0" w:color="auto"/>
                    <w:right w:val="none" w:sz="0" w:space="0" w:color="auto"/>
                  </w:divBdr>
                  <w:divsChild>
                    <w:div w:id="1525559303">
                      <w:marLeft w:val="0"/>
                      <w:marRight w:val="0"/>
                      <w:marTop w:val="0"/>
                      <w:marBottom w:val="0"/>
                      <w:divBdr>
                        <w:top w:val="none" w:sz="0" w:space="0" w:color="auto"/>
                        <w:left w:val="none" w:sz="0" w:space="0" w:color="auto"/>
                        <w:bottom w:val="none" w:sz="0" w:space="0" w:color="auto"/>
                        <w:right w:val="none" w:sz="0" w:space="0" w:color="auto"/>
                      </w:divBdr>
                    </w:div>
                  </w:divsChild>
                </w:div>
                <w:div w:id="655569222">
                  <w:marLeft w:val="0"/>
                  <w:marRight w:val="0"/>
                  <w:marTop w:val="0"/>
                  <w:marBottom w:val="0"/>
                  <w:divBdr>
                    <w:top w:val="none" w:sz="0" w:space="0" w:color="auto"/>
                    <w:left w:val="none" w:sz="0" w:space="0" w:color="auto"/>
                    <w:bottom w:val="none" w:sz="0" w:space="0" w:color="auto"/>
                    <w:right w:val="none" w:sz="0" w:space="0" w:color="auto"/>
                  </w:divBdr>
                  <w:divsChild>
                    <w:div w:id="725569562">
                      <w:marLeft w:val="0"/>
                      <w:marRight w:val="0"/>
                      <w:marTop w:val="0"/>
                      <w:marBottom w:val="0"/>
                      <w:divBdr>
                        <w:top w:val="none" w:sz="0" w:space="0" w:color="auto"/>
                        <w:left w:val="none" w:sz="0" w:space="0" w:color="auto"/>
                        <w:bottom w:val="none" w:sz="0" w:space="0" w:color="auto"/>
                        <w:right w:val="none" w:sz="0" w:space="0" w:color="auto"/>
                      </w:divBdr>
                    </w:div>
                  </w:divsChild>
                </w:div>
                <w:div w:id="676078284">
                  <w:marLeft w:val="0"/>
                  <w:marRight w:val="0"/>
                  <w:marTop w:val="0"/>
                  <w:marBottom w:val="0"/>
                  <w:divBdr>
                    <w:top w:val="none" w:sz="0" w:space="0" w:color="auto"/>
                    <w:left w:val="none" w:sz="0" w:space="0" w:color="auto"/>
                    <w:bottom w:val="none" w:sz="0" w:space="0" w:color="auto"/>
                    <w:right w:val="none" w:sz="0" w:space="0" w:color="auto"/>
                  </w:divBdr>
                  <w:divsChild>
                    <w:div w:id="810244870">
                      <w:marLeft w:val="0"/>
                      <w:marRight w:val="0"/>
                      <w:marTop w:val="0"/>
                      <w:marBottom w:val="0"/>
                      <w:divBdr>
                        <w:top w:val="none" w:sz="0" w:space="0" w:color="auto"/>
                        <w:left w:val="none" w:sz="0" w:space="0" w:color="auto"/>
                        <w:bottom w:val="none" w:sz="0" w:space="0" w:color="auto"/>
                        <w:right w:val="none" w:sz="0" w:space="0" w:color="auto"/>
                      </w:divBdr>
                    </w:div>
                  </w:divsChild>
                </w:div>
                <w:div w:id="758067455">
                  <w:marLeft w:val="0"/>
                  <w:marRight w:val="0"/>
                  <w:marTop w:val="0"/>
                  <w:marBottom w:val="0"/>
                  <w:divBdr>
                    <w:top w:val="none" w:sz="0" w:space="0" w:color="auto"/>
                    <w:left w:val="none" w:sz="0" w:space="0" w:color="auto"/>
                    <w:bottom w:val="none" w:sz="0" w:space="0" w:color="auto"/>
                    <w:right w:val="none" w:sz="0" w:space="0" w:color="auto"/>
                  </w:divBdr>
                  <w:divsChild>
                    <w:div w:id="1777406775">
                      <w:marLeft w:val="0"/>
                      <w:marRight w:val="0"/>
                      <w:marTop w:val="0"/>
                      <w:marBottom w:val="0"/>
                      <w:divBdr>
                        <w:top w:val="none" w:sz="0" w:space="0" w:color="auto"/>
                        <w:left w:val="none" w:sz="0" w:space="0" w:color="auto"/>
                        <w:bottom w:val="none" w:sz="0" w:space="0" w:color="auto"/>
                        <w:right w:val="none" w:sz="0" w:space="0" w:color="auto"/>
                      </w:divBdr>
                    </w:div>
                  </w:divsChild>
                </w:div>
                <w:div w:id="880286989">
                  <w:marLeft w:val="0"/>
                  <w:marRight w:val="0"/>
                  <w:marTop w:val="0"/>
                  <w:marBottom w:val="0"/>
                  <w:divBdr>
                    <w:top w:val="none" w:sz="0" w:space="0" w:color="auto"/>
                    <w:left w:val="none" w:sz="0" w:space="0" w:color="auto"/>
                    <w:bottom w:val="none" w:sz="0" w:space="0" w:color="auto"/>
                    <w:right w:val="none" w:sz="0" w:space="0" w:color="auto"/>
                  </w:divBdr>
                  <w:divsChild>
                    <w:div w:id="274480457">
                      <w:marLeft w:val="0"/>
                      <w:marRight w:val="0"/>
                      <w:marTop w:val="0"/>
                      <w:marBottom w:val="0"/>
                      <w:divBdr>
                        <w:top w:val="none" w:sz="0" w:space="0" w:color="auto"/>
                        <w:left w:val="none" w:sz="0" w:space="0" w:color="auto"/>
                        <w:bottom w:val="none" w:sz="0" w:space="0" w:color="auto"/>
                        <w:right w:val="none" w:sz="0" w:space="0" w:color="auto"/>
                      </w:divBdr>
                    </w:div>
                  </w:divsChild>
                </w:div>
                <w:div w:id="954942947">
                  <w:marLeft w:val="0"/>
                  <w:marRight w:val="0"/>
                  <w:marTop w:val="0"/>
                  <w:marBottom w:val="0"/>
                  <w:divBdr>
                    <w:top w:val="none" w:sz="0" w:space="0" w:color="auto"/>
                    <w:left w:val="none" w:sz="0" w:space="0" w:color="auto"/>
                    <w:bottom w:val="none" w:sz="0" w:space="0" w:color="auto"/>
                    <w:right w:val="none" w:sz="0" w:space="0" w:color="auto"/>
                  </w:divBdr>
                  <w:divsChild>
                    <w:div w:id="1805924971">
                      <w:marLeft w:val="0"/>
                      <w:marRight w:val="0"/>
                      <w:marTop w:val="0"/>
                      <w:marBottom w:val="0"/>
                      <w:divBdr>
                        <w:top w:val="none" w:sz="0" w:space="0" w:color="auto"/>
                        <w:left w:val="none" w:sz="0" w:space="0" w:color="auto"/>
                        <w:bottom w:val="none" w:sz="0" w:space="0" w:color="auto"/>
                        <w:right w:val="none" w:sz="0" w:space="0" w:color="auto"/>
                      </w:divBdr>
                    </w:div>
                  </w:divsChild>
                </w:div>
                <w:div w:id="1208177823">
                  <w:marLeft w:val="0"/>
                  <w:marRight w:val="0"/>
                  <w:marTop w:val="0"/>
                  <w:marBottom w:val="0"/>
                  <w:divBdr>
                    <w:top w:val="none" w:sz="0" w:space="0" w:color="auto"/>
                    <w:left w:val="none" w:sz="0" w:space="0" w:color="auto"/>
                    <w:bottom w:val="none" w:sz="0" w:space="0" w:color="auto"/>
                    <w:right w:val="none" w:sz="0" w:space="0" w:color="auto"/>
                  </w:divBdr>
                  <w:divsChild>
                    <w:div w:id="410272394">
                      <w:marLeft w:val="0"/>
                      <w:marRight w:val="0"/>
                      <w:marTop w:val="0"/>
                      <w:marBottom w:val="0"/>
                      <w:divBdr>
                        <w:top w:val="none" w:sz="0" w:space="0" w:color="auto"/>
                        <w:left w:val="none" w:sz="0" w:space="0" w:color="auto"/>
                        <w:bottom w:val="none" w:sz="0" w:space="0" w:color="auto"/>
                        <w:right w:val="none" w:sz="0" w:space="0" w:color="auto"/>
                      </w:divBdr>
                    </w:div>
                  </w:divsChild>
                </w:div>
                <w:div w:id="1298292665">
                  <w:marLeft w:val="0"/>
                  <w:marRight w:val="0"/>
                  <w:marTop w:val="0"/>
                  <w:marBottom w:val="0"/>
                  <w:divBdr>
                    <w:top w:val="none" w:sz="0" w:space="0" w:color="auto"/>
                    <w:left w:val="none" w:sz="0" w:space="0" w:color="auto"/>
                    <w:bottom w:val="none" w:sz="0" w:space="0" w:color="auto"/>
                    <w:right w:val="none" w:sz="0" w:space="0" w:color="auto"/>
                  </w:divBdr>
                  <w:divsChild>
                    <w:div w:id="927009064">
                      <w:marLeft w:val="0"/>
                      <w:marRight w:val="0"/>
                      <w:marTop w:val="0"/>
                      <w:marBottom w:val="0"/>
                      <w:divBdr>
                        <w:top w:val="none" w:sz="0" w:space="0" w:color="auto"/>
                        <w:left w:val="none" w:sz="0" w:space="0" w:color="auto"/>
                        <w:bottom w:val="none" w:sz="0" w:space="0" w:color="auto"/>
                        <w:right w:val="none" w:sz="0" w:space="0" w:color="auto"/>
                      </w:divBdr>
                    </w:div>
                  </w:divsChild>
                </w:div>
                <w:div w:id="1352103637">
                  <w:marLeft w:val="0"/>
                  <w:marRight w:val="0"/>
                  <w:marTop w:val="0"/>
                  <w:marBottom w:val="0"/>
                  <w:divBdr>
                    <w:top w:val="none" w:sz="0" w:space="0" w:color="auto"/>
                    <w:left w:val="none" w:sz="0" w:space="0" w:color="auto"/>
                    <w:bottom w:val="none" w:sz="0" w:space="0" w:color="auto"/>
                    <w:right w:val="none" w:sz="0" w:space="0" w:color="auto"/>
                  </w:divBdr>
                  <w:divsChild>
                    <w:div w:id="2029984341">
                      <w:marLeft w:val="0"/>
                      <w:marRight w:val="0"/>
                      <w:marTop w:val="0"/>
                      <w:marBottom w:val="0"/>
                      <w:divBdr>
                        <w:top w:val="none" w:sz="0" w:space="0" w:color="auto"/>
                        <w:left w:val="none" w:sz="0" w:space="0" w:color="auto"/>
                        <w:bottom w:val="none" w:sz="0" w:space="0" w:color="auto"/>
                        <w:right w:val="none" w:sz="0" w:space="0" w:color="auto"/>
                      </w:divBdr>
                    </w:div>
                  </w:divsChild>
                </w:div>
                <w:div w:id="1795324292">
                  <w:marLeft w:val="0"/>
                  <w:marRight w:val="0"/>
                  <w:marTop w:val="0"/>
                  <w:marBottom w:val="0"/>
                  <w:divBdr>
                    <w:top w:val="none" w:sz="0" w:space="0" w:color="auto"/>
                    <w:left w:val="none" w:sz="0" w:space="0" w:color="auto"/>
                    <w:bottom w:val="none" w:sz="0" w:space="0" w:color="auto"/>
                    <w:right w:val="none" w:sz="0" w:space="0" w:color="auto"/>
                  </w:divBdr>
                  <w:divsChild>
                    <w:div w:id="1035692886">
                      <w:marLeft w:val="0"/>
                      <w:marRight w:val="0"/>
                      <w:marTop w:val="0"/>
                      <w:marBottom w:val="0"/>
                      <w:divBdr>
                        <w:top w:val="none" w:sz="0" w:space="0" w:color="auto"/>
                        <w:left w:val="none" w:sz="0" w:space="0" w:color="auto"/>
                        <w:bottom w:val="none" w:sz="0" w:space="0" w:color="auto"/>
                        <w:right w:val="none" w:sz="0" w:space="0" w:color="auto"/>
                      </w:divBdr>
                    </w:div>
                  </w:divsChild>
                </w:div>
                <w:div w:id="1798403358">
                  <w:marLeft w:val="0"/>
                  <w:marRight w:val="0"/>
                  <w:marTop w:val="0"/>
                  <w:marBottom w:val="0"/>
                  <w:divBdr>
                    <w:top w:val="none" w:sz="0" w:space="0" w:color="auto"/>
                    <w:left w:val="none" w:sz="0" w:space="0" w:color="auto"/>
                    <w:bottom w:val="none" w:sz="0" w:space="0" w:color="auto"/>
                    <w:right w:val="none" w:sz="0" w:space="0" w:color="auto"/>
                  </w:divBdr>
                  <w:divsChild>
                    <w:div w:id="1565141378">
                      <w:marLeft w:val="0"/>
                      <w:marRight w:val="0"/>
                      <w:marTop w:val="0"/>
                      <w:marBottom w:val="0"/>
                      <w:divBdr>
                        <w:top w:val="none" w:sz="0" w:space="0" w:color="auto"/>
                        <w:left w:val="none" w:sz="0" w:space="0" w:color="auto"/>
                        <w:bottom w:val="none" w:sz="0" w:space="0" w:color="auto"/>
                        <w:right w:val="none" w:sz="0" w:space="0" w:color="auto"/>
                      </w:divBdr>
                    </w:div>
                  </w:divsChild>
                </w:div>
                <w:div w:id="1816296275">
                  <w:marLeft w:val="0"/>
                  <w:marRight w:val="0"/>
                  <w:marTop w:val="0"/>
                  <w:marBottom w:val="0"/>
                  <w:divBdr>
                    <w:top w:val="none" w:sz="0" w:space="0" w:color="auto"/>
                    <w:left w:val="none" w:sz="0" w:space="0" w:color="auto"/>
                    <w:bottom w:val="none" w:sz="0" w:space="0" w:color="auto"/>
                    <w:right w:val="none" w:sz="0" w:space="0" w:color="auto"/>
                  </w:divBdr>
                  <w:divsChild>
                    <w:div w:id="1248151213">
                      <w:marLeft w:val="0"/>
                      <w:marRight w:val="0"/>
                      <w:marTop w:val="0"/>
                      <w:marBottom w:val="0"/>
                      <w:divBdr>
                        <w:top w:val="none" w:sz="0" w:space="0" w:color="auto"/>
                        <w:left w:val="none" w:sz="0" w:space="0" w:color="auto"/>
                        <w:bottom w:val="none" w:sz="0" w:space="0" w:color="auto"/>
                        <w:right w:val="none" w:sz="0" w:space="0" w:color="auto"/>
                      </w:divBdr>
                    </w:div>
                  </w:divsChild>
                </w:div>
                <w:div w:id="1825319191">
                  <w:marLeft w:val="0"/>
                  <w:marRight w:val="0"/>
                  <w:marTop w:val="0"/>
                  <w:marBottom w:val="0"/>
                  <w:divBdr>
                    <w:top w:val="none" w:sz="0" w:space="0" w:color="auto"/>
                    <w:left w:val="none" w:sz="0" w:space="0" w:color="auto"/>
                    <w:bottom w:val="none" w:sz="0" w:space="0" w:color="auto"/>
                    <w:right w:val="none" w:sz="0" w:space="0" w:color="auto"/>
                  </w:divBdr>
                  <w:divsChild>
                    <w:div w:id="1916278194">
                      <w:marLeft w:val="0"/>
                      <w:marRight w:val="0"/>
                      <w:marTop w:val="0"/>
                      <w:marBottom w:val="0"/>
                      <w:divBdr>
                        <w:top w:val="none" w:sz="0" w:space="0" w:color="auto"/>
                        <w:left w:val="none" w:sz="0" w:space="0" w:color="auto"/>
                        <w:bottom w:val="none" w:sz="0" w:space="0" w:color="auto"/>
                        <w:right w:val="none" w:sz="0" w:space="0" w:color="auto"/>
                      </w:divBdr>
                    </w:div>
                  </w:divsChild>
                </w:div>
                <w:div w:id="1904294329">
                  <w:marLeft w:val="0"/>
                  <w:marRight w:val="0"/>
                  <w:marTop w:val="0"/>
                  <w:marBottom w:val="0"/>
                  <w:divBdr>
                    <w:top w:val="none" w:sz="0" w:space="0" w:color="auto"/>
                    <w:left w:val="none" w:sz="0" w:space="0" w:color="auto"/>
                    <w:bottom w:val="none" w:sz="0" w:space="0" w:color="auto"/>
                    <w:right w:val="none" w:sz="0" w:space="0" w:color="auto"/>
                  </w:divBdr>
                  <w:divsChild>
                    <w:div w:id="351541102">
                      <w:marLeft w:val="0"/>
                      <w:marRight w:val="0"/>
                      <w:marTop w:val="0"/>
                      <w:marBottom w:val="0"/>
                      <w:divBdr>
                        <w:top w:val="none" w:sz="0" w:space="0" w:color="auto"/>
                        <w:left w:val="none" w:sz="0" w:space="0" w:color="auto"/>
                        <w:bottom w:val="none" w:sz="0" w:space="0" w:color="auto"/>
                        <w:right w:val="none" w:sz="0" w:space="0" w:color="auto"/>
                      </w:divBdr>
                    </w:div>
                  </w:divsChild>
                </w:div>
                <w:div w:id="2032948364">
                  <w:marLeft w:val="0"/>
                  <w:marRight w:val="0"/>
                  <w:marTop w:val="0"/>
                  <w:marBottom w:val="0"/>
                  <w:divBdr>
                    <w:top w:val="none" w:sz="0" w:space="0" w:color="auto"/>
                    <w:left w:val="none" w:sz="0" w:space="0" w:color="auto"/>
                    <w:bottom w:val="none" w:sz="0" w:space="0" w:color="auto"/>
                    <w:right w:val="none" w:sz="0" w:space="0" w:color="auto"/>
                  </w:divBdr>
                  <w:divsChild>
                    <w:div w:id="400757481">
                      <w:marLeft w:val="0"/>
                      <w:marRight w:val="0"/>
                      <w:marTop w:val="0"/>
                      <w:marBottom w:val="0"/>
                      <w:divBdr>
                        <w:top w:val="none" w:sz="0" w:space="0" w:color="auto"/>
                        <w:left w:val="none" w:sz="0" w:space="0" w:color="auto"/>
                        <w:bottom w:val="none" w:sz="0" w:space="0" w:color="auto"/>
                        <w:right w:val="none" w:sz="0" w:space="0" w:color="auto"/>
                      </w:divBdr>
                    </w:div>
                  </w:divsChild>
                </w:div>
                <w:div w:id="2062360076">
                  <w:marLeft w:val="0"/>
                  <w:marRight w:val="0"/>
                  <w:marTop w:val="0"/>
                  <w:marBottom w:val="0"/>
                  <w:divBdr>
                    <w:top w:val="none" w:sz="0" w:space="0" w:color="auto"/>
                    <w:left w:val="none" w:sz="0" w:space="0" w:color="auto"/>
                    <w:bottom w:val="none" w:sz="0" w:space="0" w:color="auto"/>
                    <w:right w:val="none" w:sz="0" w:space="0" w:color="auto"/>
                  </w:divBdr>
                  <w:divsChild>
                    <w:div w:id="7958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45448">
          <w:marLeft w:val="0"/>
          <w:marRight w:val="0"/>
          <w:marTop w:val="0"/>
          <w:marBottom w:val="0"/>
          <w:divBdr>
            <w:top w:val="none" w:sz="0" w:space="0" w:color="auto"/>
            <w:left w:val="none" w:sz="0" w:space="0" w:color="auto"/>
            <w:bottom w:val="none" w:sz="0" w:space="0" w:color="auto"/>
            <w:right w:val="none" w:sz="0" w:space="0" w:color="auto"/>
          </w:divBdr>
        </w:div>
      </w:divsChild>
    </w:div>
    <w:div w:id="106313660">
      <w:bodyDiv w:val="1"/>
      <w:marLeft w:val="0"/>
      <w:marRight w:val="0"/>
      <w:marTop w:val="0"/>
      <w:marBottom w:val="0"/>
      <w:divBdr>
        <w:top w:val="none" w:sz="0" w:space="0" w:color="auto"/>
        <w:left w:val="none" w:sz="0" w:space="0" w:color="auto"/>
        <w:bottom w:val="none" w:sz="0" w:space="0" w:color="auto"/>
        <w:right w:val="none" w:sz="0" w:space="0" w:color="auto"/>
      </w:divBdr>
    </w:div>
    <w:div w:id="114107740">
      <w:bodyDiv w:val="1"/>
      <w:marLeft w:val="0"/>
      <w:marRight w:val="0"/>
      <w:marTop w:val="0"/>
      <w:marBottom w:val="0"/>
      <w:divBdr>
        <w:top w:val="none" w:sz="0" w:space="0" w:color="auto"/>
        <w:left w:val="none" w:sz="0" w:space="0" w:color="auto"/>
        <w:bottom w:val="none" w:sz="0" w:space="0" w:color="auto"/>
        <w:right w:val="none" w:sz="0" w:space="0" w:color="auto"/>
      </w:divBdr>
    </w:div>
    <w:div w:id="133328062">
      <w:bodyDiv w:val="1"/>
      <w:marLeft w:val="0"/>
      <w:marRight w:val="0"/>
      <w:marTop w:val="0"/>
      <w:marBottom w:val="0"/>
      <w:divBdr>
        <w:top w:val="none" w:sz="0" w:space="0" w:color="auto"/>
        <w:left w:val="none" w:sz="0" w:space="0" w:color="auto"/>
        <w:bottom w:val="none" w:sz="0" w:space="0" w:color="auto"/>
        <w:right w:val="none" w:sz="0" w:space="0" w:color="auto"/>
      </w:divBdr>
    </w:div>
    <w:div w:id="135027769">
      <w:bodyDiv w:val="1"/>
      <w:marLeft w:val="0"/>
      <w:marRight w:val="0"/>
      <w:marTop w:val="0"/>
      <w:marBottom w:val="0"/>
      <w:divBdr>
        <w:top w:val="none" w:sz="0" w:space="0" w:color="auto"/>
        <w:left w:val="none" w:sz="0" w:space="0" w:color="auto"/>
        <w:bottom w:val="none" w:sz="0" w:space="0" w:color="auto"/>
        <w:right w:val="none" w:sz="0" w:space="0" w:color="auto"/>
      </w:divBdr>
    </w:div>
    <w:div w:id="148177957">
      <w:bodyDiv w:val="1"/>
      <w:marLeft w:val="0"/>
      <w:marRight w:val="0"/>
      <w:marTop w:val="0"/>
      <w:marBottom w:val="0"/>
      <w:divBdr>
        <w:top w:val="none" w:sz="0" w:space="0" w:color="auto"/>
        <w:left w:val="none" w:sz="0" w:space="0" w:color="auto"/>
        <w:bottom w:val="none" w:sz="0" w:space="0" w:color="auto"/>
        <w:right w:val="none" w:sz="0" w:space="0" w:color="auto"/>
      </w:divBdr>
    </w:div>
    <w:div w:id="150633647">
      <w:bodyDiv w:val="1"/>
      <w:marLeft w:val="0"/>
      <w:marRight w:val="0"/>
      <w:marTop w:val="0"/>
      <w:marBottom w:val="0"/>
      <w:divBdr>
        <w:top w:val="none" w:sz="0" w:space="0" w:color="auto"/>
        <w:left w:val="none" w:sz="0" w:space="0" w:color="auto"/>
        <w:bottom w:val="none" w:sz="0" w:space="0" w:color="auto"/>
        <w:right w:val="none" w:sz="0" w:space="0" w:color="auto"/>
      </w:divBdr>
    </w:div>
    <w:div w:id="150684094">
      <w:bodyDiv w:val="1"/>
      <w:marLeft w:val="0"/>
      <w:marRight w:val="0"/>
      <w:marTop w:val="0"/>
      <w:marBottom w:val="0"/>
      <w:divBdr>
        <w:top w:val="none" w:sz="0" w:space="0" w:color="auto"/>
        <w:left w:val="none" w:sz="0" w:space="0" w:color="auto"/>
        <w:bottom w:val="none" w:sz="0" w:space="0" w:color="auto"/>
        <w:right w:val="none" w:sz="0" w:space="0" w:color="auto"/>
      </w:divBdr>
    </w:div>
    <w:div w:id="166988902">
      <w:bodyDiv w:val="1"/>
      <w:marLeft w:val="0"/>
      <w:marRight w:val="0"/>
      <w:marTop w:val="0"/>
      <w:marBottom w:val="0"/>
      <w:divBdr>
        <w:top w:val="none" w:sz="0" w:space="0" w:color="auto"/>
        <w:left w:val="none" w:sz="0" w:space="0" w:color="auto"/>
        <w:bottom w:val="none" w:sz="0" w:space="0" w:color="auto"/>
        <w:right w:val="none" w:sz="0" w:space="0" w:color="auto"/>
      </w:divBdr>
    </w:div>
    <w:div w:id="168839060">
      <w:bodyDiv w:val="1"/>
      <w:marLeft w:val="0"/>
      <w:marRight w:val="0"/>
      <w:marTop w:val="0"/>
      <w:marBottom w:val="0"/>
      <w:divBdr>
        <w:top w:val="none" w:sz="0" w:space="0" w:color="auto"/>
        <w:left w:val="none" w:sz="0" w:space="0" w:color="auto"/>
        <w:bottom w:val="none" w:sz="0" w:space="0" w:color="auto"/>
        <w:right w:val="none" w:sz="0" w:space="0" w:color="auto"/>
      </w:divBdr>
      <w:divsChild>
        <w:div w:id="273907201">
          <w:marLeft w:val="0"/>
          <w:marRight w:val="0"/>
          <w:marTop w:val="0"/>
          <w:marBottom w:val="0"/>
          <w:divBdr>
            <w:top w:val="none" w:sz="0" w:space="0" w:color="auto"/>
            <w:left w:val="none" w:sz="0" w:space="0" w:color="auto"/>
            <w:bottom w:val="none" w:sz="0" w:space="0" w:color="auto"/>
            <w:right w:val="none" w:sz="0" w:space="0" w:color="auto"/>
          </w:divBdr>
        </w:div>
        <w:div w:id="856506152">
          <w:marLeft w:val="0"/>
          <w:marRight w:val="0"/>
          <w:marTop w:val="0"/>
          <w:marBottom w:val="0"/>
          <w:divBdr>
            <w:top w:val="none" w:sz="0" w:space="0" w:color="auto"/>
            <w:left w:val="none" w:sz="0" w:space="0" w:color="auto"/>
            <w:bottom w:val="none" w:sz="0" w:space="0" w:color="auto"/>
            <w:right w:val="none" w:sz="0" w:space="0" w:color="auto"/>
          </w:divBdr>
          <w:divsChild>
            <w:div w:id="1155757592">
              <w:marLeft w:val="-75"/>
              <w:marRight w:val="0"/>
              <w:marTop w:val="30"/>
              <w:marBottom w:val="30"/>
              <w:divBdr>
                <w:top w:val="none" w:sz="0" w:space="0" w:color="auto"/>
                <w:left w:val="none" w:sz="0" w:space="0" w:color="auto"/>
                <w:bottom w:val="none" w:sz="0" w:space="0" w:color="auto"/>
                <w:right w:val="none" w:sz="0" w:space="0" w:color="auto"/>
              </w:divBdr>
              <w:divsChild>
                <w:div w:id="54281947">
                  <w:marLeft w:val="0"/>
                  <w:marRight w:val="0"/>
                  <w:marTop w:val="0"/>
                  <w:marBottom w:val="0"/>
                  <w:divBdr>
                    <w:top w:val="none" w:sz="0" w:space="0" w:color="auto"/>
                    <w:left w:val="none" w:sz="0" w:space="0" w:color="auto"/>
                    <w:bottom w:val="none" w:sz="0" w:space="0" w:color="auto"/>
                    <w:right w:val="none" w:sz="0" w:space="0" w:color="auto"/>
                  </w:divBdr>
                  <w:divsChild>
                    <w:div w:id="1585800209">
                      <w:marLeft w:val="0"/>
                      <w:marRight w:val="0"/>
                      <w:marTop w:val="0"/>
                      <w:marBottom w:val="0"/>
                      <w:divBdr>
                        <w:top w:val="none" w:sz="0" w:space="0" w:color="auto"/>
                        <w:left w:val="none" w:sz="0" w:space="0" w:color="auto"/>
                        <w:bottom w:val="none" w:sz="0" w:space="0" w:color="auto"/>
                        <w:right w:val="none" w:sz="0" w:space="0" w:color="auto"/>
                      </w:divBdr>
                    </w:div>
                  </w:divsChild>
                </w:div>
                <w:div w:id="84035050">
                  <w:marLeft w:val="0"/>
                  <w:marRight w:val="0"/>
                  <w:marTop w:val="0"/>
                  <w:marBottom w:val="0"/>
                  <w:divBdr>
                    <w:top w:val="none" w:sz="0" w:space="0" w:color="auto"/>
                    <w:left w:val="none" w:sz="0" w:space="0" w:color="auto"/>
                    <w:bottom w:val="none" w:sz="0" w:space="0" w:color="auto"/>
                    <w:right w:val="none" w:sz="0" w:space="0" w:color="auto"/>
                  </w:divBdr>
                  <w:divsChild>
                    <w:div w:id="1888101055">
                      <w:marLeft w:val="0"/>
                      <w:marRight w:val="0"/>
                      <w:marTop w:val="0"/>
                      <w:marBottom w:val="0"/>
                      <w:divBdr>
                        <w:top w:val="none" w:sz="0" w:space="0" w:color="auto"/>
                        <w:left w:val="none" w:sz="0" w:space="0" w:color="auto"/>
                        <w:bottom w:val="none" w:sz="0" w:space="0" w:color="auto"/>
                        <w:right w:val="none" w:sz="0" w:space="0" w:color="auto"/>
                      </w:divBdr>
                    </w:div>
                  </w:divsChild>
                </w:div>
                <w:div w:id="241378175">
                  <w:marLeft w:val="0"/>
                  <w:marRight w:val="0"/>
                  <w:marTop w:val="0"/>
                  <w:marBottom w:val="0"/>
                  <w:divBdr>
                    <w:top w:val="none" w:sz="0" w:space="0" w:color="auto"/>
                    <w:left w:val="none" w:sz="0" w:space="0" w:color="auto"/>
                    <w:bottom w:val="none" w:sz="0" w:space="0" w:color="auto"/>
                    <w:right w:val="none" w:sz="0" w:space="0" w:color="auto"/>
                  </w:divBdr>
                  <w:divsChild>
                    <w:div w:id="519897175">
                      <w:marLeft w:val="0"/>
                      <w:marRight w:val="0"/>
                      <w:marTop w:val="0"/>
                      <w:marBottom w:val="0"/>
                      <w:divBdr>
                        <w:top w:val="none" w:sz="0" w:space="0" w:color="auto"/>
                        <w:left w:val="none" w:sz="0" w:space="0" w:color="auto"/>
                        <w:bottom w:val="none" w:sz="0" w:space="0" w:color="auto"/>
                        <w:right w:val="none" w:sz="0" w:space="0" w:color="auto"/>
                      </w:divBdr>
                    </w:div>
                  </w:divsChild>
                </w:div>
                <w:div w:id="276330628">
                  <w:marLeft w:val="0"/>
                  <w:marRight w:val="0"/>
                  <w:marTop w:val="0"/>
                  <w:marBottom w:val="0"/>
                  <w:divBdr>
                    <w:top w:val="none" w:sz="0" w:space="0" w:color="auto"/>
                    <w:left w:val="none" w:sz="0" w:space="0" w:color="auto"/>
                    <w:bottom w:val="none" w:sz="0" w:space="0" w:color="auto"/>
                    <w:right w:val="none" w:sz="0" w:space="0" w:color="auto"/>
                  </w:divBdr>
                  <w:divsChild>
                    <w:div w:id="491530417">
                      <w:marLeft w:val="0"/>
                      <w:marRight w:val="0"/>
                      <w:marTop w:val="0"/>
                      <w:marBottom w:val="0"/>
                      <w:divBdr>
                        <w:top w:val="none" w:sz="0" w:space="0" w:color="auto"/>
                        <w:left w:val="none" w:sz="0" w:space="0" w:color="auto"/>
                        <w:bottom w:val="none" w:sz="0" w:space="0" w:color="auto"/>
                        <w:right w:val="none" w:sz="0" w:space="0" w:color="auto"/>
                      </w:divBdr>
                    </w:div>
                  </w:divsChild>
                </w:div>
                <w:div w:id="548566112">
                  <w:marLeft w:val="0"/>
                  <w:marRight w:val="0"/>
                  <w:marTop w:val="0"/>
                  <w:marBottom w:val="0"/>
                  <w:divBdr>
                    <w:top w:val="none" w:sz="0" w:space="0" w:color="auto"/>
                    <w:left w:val="none" w:sz="0" w:space="0" w:color="auto"/>
                    <w:bottom w:val="none" w:sz="0" w:space="0" w:color="auto"/>
                    <w:right w:val="none" w:sz="0" w:space="0" w:color="auto"/>
                  </w:divBdr>
                  <w:divsChild>
                    <w:div w:id="1302812532">
                      <w:marLeft w:val="0"/>
                      <w:marRight w:val="0"/>
                      <w:marTop w:val="0"/>
                      <w:marBottom w:val="0"/>
                      <w:divBdr>
                        <w:top w:val="none" w:sz="0" w:space="0" w:color="auto"/>
                        <w:left w:val="none" w:sz="0" w:space="0" w:color="auto"/>
                        <w:bottom w:val="none" w:sz="0" w:space="0" w:color="auto"/>
                        <w:right w:val="none" w:sz="0" w:space="0" w:color="auto"/>
                      </w:divBdr>
                    </w:div>
                  </w:divsChild>
                </w:div>
                <w:div w:id="631399834">
                  <w:marLeft w:val="0"/>
                  <w:marRight w:val="0"/>
                  <w:marTop w:val="0"/>
                  <w:marBottom w:val="0"/>
                  <w:divBdr>
                    <w:top w:val="none" w:sz="0" w:space="0" w:color="auto"/>
                    <w:left w:val="none" w:sz="0" w:space="0" w:color="auto"/>
                    <w:bottom w:val="none" w:sz="0" w:space="0" w:color="auto"/>
                    <w:right w:val="none" w:sz="0" w:space="0" w:color="auto"/>
                  </w:divBdr>
                  <w:divsChild>
                    <w:div w:id="289669141">
                      <w:marLeft w:val="0"/>
                      <w:marRight w:val="0"/>
                      <w:marTop w:val="0"/>
                      <w:marBottom w:val="0"/>
                      <w:divBdr>
                        <w:top w:val="none" w:sz="0" w:space="0" w:color="auto"/>
                        <w:left w:val="none" w:sz="0" w:space="0" w:color="auto"/>
                        <w:bottom w:val="none" w:sz="0" w:space="0" w:color="auto"/>
                        <w:right w:val="none" w:sz="0" w:space="0" w:color="auto"/>
                      </w:divBdr>
                    </w:div>
                  </w:divsChild>
                </w:div>
                <w:div w:id="919364084">
                  <w:marLeft w:val="0"/>
                  <w:marRight w:val="0"/>
                  <w:marTop w:val="0"/>
                  <w:marBottom w:val="0"/>
                  <w:divBdr>
                    <w:top w:val="none" w:sz="0" w:space="0" w:color="auto"/>
                    <w:left w:val="none" w:sz="0" w:space="0" w:color="auto"/>
                    <w:bottom w:val="none" w:sz="0" w:space="0" w:color="auto"/>
                    <w:right w:val="none" w:sz="0" w:space="0" w:color="auto"/>
                  </w:divBdr>
                  <w:divsChild>
                    <w:div w:id="1302150503">
                      <w:marLeft w:val="0"/>
                      <w:marRight w:val="0"/>
                      <w:marTop w:val="0"/>
                      <w:marBottom w:val="0"/>
                      <w:divBdr>
                        <w:top w:val="none" w:sz="0" w:space="0" w:color="auto"/>
                        <w:left w:val="none" w:sz="0" w:space="0" w:color="auto"/>
                        <w:bottom w:val="none" w:sz="0" w:space="0" w:color="auto"/>
                        <w:right w:val="none" w:sz="0" w:space="0" w:color="auto"/>
                      </w:divBdr>
                    </w:div>
                  </w:divsChild>
                </w:div>
                <w:div w:id="988094053">
                  <w:marLeft w:val="0"/>
                  <w:marRight w:val="0"/>
                  <w:marTop w:val="0"/>
                  <w:marBottom w:val="0"/>
                  <w:divBdr>
                    <w:top w:val="none" w:sz="0" w:space="0" w:color="auto"/>
                    <w:left w:val="none" w:sz="0" w:space="0" w:color="auto"/>
                    <w:bottom w:val="none" w:sz="0" w:space="0" w:color="auto"/>
                    <w:right w:val="none" w:sz="0" w:space="0" w:color="auto"/>
                  </w:divBdr>
                  <w:divsChild>
                    <w:div w:id="1986814674">
                      <w:marLeft w:val="0"/>
                      <w:marRight w:val="0"/>
                      <w:marTop w:val="0"/>
                      <w:marBottom w:val="0"/>
                      <w:divBdr>
                        <w:top w:val="none" w:sz="0" w:space="0" w:color="auto"/>
                        <w:left w:val="none" w:sz="0" w:space="0" w:color="auto"/>
                        <w:bottom w:val="none" w:sz="0" w:space="0" w:color="auto"/>
                        <w:right w:val="none" w:sz="0" w:space="0" w:color="auto"/>
                      </w:divBdr>
                    </w:div>
                  </w:divsChild>
                </w:div>
                <w:div w:id="999770971">
                  <w:marLeft w:val="0"/>
                  <w:marRight w:val="0"/>
                  <w:marTop w:val="0"/>
                  <w:marBottom w:val="0"/>
                  <w:divBdr>
                    <w:top w:val="none" w:sz="0" w:space="0" w:color="auto"/>
                    <w:left w:val="none" w:sz="0" w:space="0" w:color="auto"/>
                    <w:bottom w:val="none" w:sz="0" w:space="0" w:color="auto"/>
                    <w:right w:val="none" w:sz="0" w:space="0" w:color="auto"/>
                  </w:divBdr>
                  <w:divsChild>
                    <w:div w:id="1155219912">
                      <w:marLeft w:val="0"/>
                      <w:marRight w:val="0"/>
                      <w:marTop w:val="0"/>
                      <w:marBottom w:val="0"/>
                      <w:divBdr>
                        <w:top w:val="none" w:sz="0" w:space="0" w:color="auto"/>
                        <w:left w:val="none" w:sz="0" w:space="0" w:color="auto"/>
                        <w:bottom w:val="none" w:sz="0" w:space="0" w:color="auto"/>
                        <w:right w:val="none" w:sz="0" w:space="0" w:color="auto"/>
                      </w:divBdr>
                    </w:div>
                  </w:divsChild>
                </w:div>
                <w:div w:id="1006858954">
                  <w:marLeft w:val="0"/>
                  <w:marRight w:val="0"/>
                  <w:marTop w:val="0"/>
                  <w:marBottom w:val="0"/>
                  <w:divBdr>
                    <w:top w:val="none" w:sz="0" w:space="0" w:color="auto"/>
                    <w:left w:val="none" w:sz="0" w:space="0" w:color="auto"/>
                    <w:bottom w:val="none" w:sz="0" w:space="0" w:color="auto"/>
                    <w:right w:val="none" w:sz="0" w:space="0" w:color="auto"/>
                  </w:divBdr>
                  <w:divsChild>
                    <w:div w:id="463472899">
                      <w:marLeft w:val="0"/>
                      <w:marRight w:val="0"/>
                      <w:marTop w:val="0"/>
                      <w:marBottom w:val="0"/>
                      <w:divBdr>
                        <w:top w:val="none" w:sz="0" w:space="0" w:color="auto"/>
                        <w:left w:val="none" w:sz="0" w:space="0" w:color="auto"/>
                        <w:bottom w:val="none" w:sz="0" w:space="0" w:color="auto"/>
                        <w:right w:val="none" w:sz="0" w:space="0" w:color="auto"/>
                      </w:divBdr>
                    </w:div>
                  </w:divsChild>
                </w:div>
                <w:div w:id="1042821748">
                  <w:marLeft w:val="0"/>
                  <w:marRight w:val="0"/>
                  <w:marTop w:val="0"/>
                  <w:marBottom w:val="0"/>
                  <w:divBdr>
                    <w:top w:val="none" w:sz="0" w:space="0" w:color="auto"/>
                    <w:left w:val="none" w:sz="0" w:space="0" w:color="auto"/>
                    <w:bottom w:val="none" w:sz="0" w:space="0" w:color="auto"/>
                    <w:right w:val="none" w:sz="0" w:space="0" w:color="auto"/>
                  </w:divBdr>
                  <w:divsChild>
                    <w:div w:id="357969965">
                      <w:marLeft w:val="0"/>
                      <w:marRight w:val="0"/>
                      <w:marTop w:val="0"/>
                      <w:marBottom w:val="0"/>
                      <w:divBdr>
                        <w:top w:val="none" w:sz="0" w:space="0" w:color="auto"/>
                        <w:left w:val="none" w:sz="0" w:space="0" w:color="auto"/>
                        <w:bottom w:val="none" w:sz="0" w:space="0" w:color="auto"/>
                        <w:right w:val="none" w:sz="0" w:space="0" w:color="auto"/>
                      </w:divBdr>
                    </w:div>
                  </w:divsChild>
                </w:div>
                <w:div w:id="1172793535">
                  <w:marLeft w:val="0"/>
                  <w:marRight w:val="0"/>
                  <w:marTop w:val="0"/>
                  <w:marBottom w:val="0"/>
                  <w:divBdr>
                    <w:top w:val="none" w:sz="0" w:space="0" w:color="auto"/>
                    <w:left w:val="none" w:sz="0" w:space="0" w:color="auto"/>
                    <w:bottom w:val="none" w:sz="0" w:space="0" w:color="auto"/>
                    <w:right w:val="none" w:sz="0" w:space="0" w:color="auto"/>
                  </w:divBdr>
                  <w:divsChild>
                    <w:div w:id="1894536713">
                      <w:marLeft w:val="0"/>
                      <w:marRight w:val="0"/>
                      <w:marTop w:val="0"/>
                      <w:marBottom w:val="0"/>
                      <w:divBdr>
                        <w:top w:val="none" w:sz="0" w:space="0" w:color="auto"/>
                        <w:left w:val="none" w:sz="0" w:space="0" w:color="auto"/>
                        <w:bottom w:val="none" w:sz="0" w:space="0" w:color="auto"/>
                        <w:right w:val="none" w:sz="0" w:space="0" w:color="auto"/>
                      </w:divBdr>
                    </w:div>
                  </w:divsChild>
                </w:div>
                <w:div w:id="1303118763">
                  <w:marLeft w:val="0"/>
                  <w:marRight w:val="0"/>
                  <w:marTop w:val="0"/>
                  <w:marBottom w:val="0"/>
                  <w:divBdr>
                    <w:top w:val="none" w:sz="0" w:space="0" w:color="auto"/>
                    <w:left w:val="none" w:sz="0" w:space="0" w:color="auto"/>
                    <w:bottom w:val="none" w:sz="0" w:space="0" w:color="auto"/>
                    <w:right w:val="none" w:sz="0" w:space="0" w:color="auto"/>
                  </w:divBdr>
                  <w:divsChild>
                    <w:div w:id="242692018">
                      <w:marLeft w:val="0"/>
                      <w:marRight w:val="0"/>
                      <w:marTop w:val="0"/>
                      <w:marBottom w:val="0"/>
                      <w:divBdr>
                        <w:top w:val="none" w:sz="0" w:space="0" w:color="auto"/>
                        <w:left w:val="none" w:sz="0" w:space="0" w:color="auto"/>
                        <w:bottom w:val="none" w:sz="0" w:space="0" w:color="auto"/>
                        <w:right w:val="none" w:sz="0" w:space="0" w:color="auto"/>
                      </w:divBdr>
                    </w:div>
                  </w:divsChild>
                </w:div>
                <w:div w:id="1309282110">
                  <w:marLeft w:val="0"/>
                  <w:marRight w:val="0"/>
                  <w:marTop w:val="0"/>
                  <w:marBottom w:val="0"/>
                  <w:divBdr>
                    <w:top w:val="none" w:sz="0" w:space="0" w:color="auto"/>
                    <w:left w:val="none" w:sz="0" w:space="0" w:color="auto"/>
                    <w:bottom w:val="none" w:sz="0" w:space="0" w:color="auto"/>
                    <w:right w:val="none" w:sz="0" w:space="0" w:color="auto"/>
                  </w:divBdr>
                  <w:divsChild>
                    <w:div w:id="1488278035">
                      <w:marLeft w:val="0"/>
                      <w:marRight w:val="0"/>
                      <w:marTop w:val="0"/>
                      <w:marBottom w:val="0"/>
                      <w:divBdr>
                        <w:top w:val="none" w:sz="0" w:space="0" w:color="auto"/>
                        <w:left w:val="none" w:sz="0" w:space="0" w:color="auto"/>
                        <w:bottom w:val="none" w:sz="0" w:space="0" w:color="auto"/>
                        <w:right w:val="none" w:sz="0" w:space="0" w:color="auto"/>
                      </w:divBdr>
                    </w:div>
                  </w:divsChild>
                </w:div>
                <w:div w:id="1339699136">
                  <w:marLeft w:val="0"/>
                  <w:marRight w:val="0"/>
                  <w:marTop w:val="0"/>
                  <w:marBottom w:val="0"/>
                  <w:divBdr>
                    <w:top w:val="none" w:sz="0" w:space="0" w:color="auto"/>
                    <w:left w:val="none" w:sz="0" w:space="0" w:color="auto"/>
                    <w:bottom w:val="none" w:sz="0" w:space="0" w:color="auto"/>
                    <w:right w:val="none" w:sz="0" w:space="0" w:color="auto"/>
                  </w:divBdr>
                  <w:divsChild>
                    <w:div w:id="472872874">
                      <w:marLeft w:val="0"/>
                      <w:marRight w:val="0"/>
                      <w:marTop w:val="0"/>
                      <w:marBottom w:val="0"/>
                      <w:divBdr>
                        <w:top w:val="none" w:sz="0" w:space="0" w:color="auto"/>
                        <w:left w:val="none" w:sz="0" w:space="0" w:color="auto"/>
                        <w:bottom w:val="none" w:sz="0" w:space="0" w:color="auto"/>
                        <w:right w:val="none" w:sz="0" w:space="0" w:color="auto"/>
                      </w:divBdr>
                    </w:div>
                  </w:divsChild>
                </w:div>
                <w:div w:id="1341395510">
                  <w:marLeft w:val="0"/>
                  <w:marRight w:val="0"/>
                  <w:marTop w:val="0"/>
                  <w:marBottom w:val="0"/>
                  <w:divBdr>
                    <w:top w:val="none" w:sz="0" w:space="0" w:color="auto"/>
                    <w:left w:val="none" w:sz="0" w:space="0" w:color="auto"/>
                    <w:bottom w:val="none" w:sz="0" w:space="0" w:color="auto"/>
                    <w:right w:val="none" w:sz="0" w:space="0" w:color="auto"/>
                  </w:divBdr>
                  <w:divsChild>
                    <w:div w:id="1812015606">
                      <w:marLeft w:val="0"/>
                      <w:marRight w:val="0"/>
                      <w:marTop w:val="0"/>
                      <w:marBottom w:val="0"/>
                      <w:divBdr>
                        <w:top w:val="none" w:sz="0" w:space="0" w:color="auto"/>
                        <w:left w:val="none" w:sz="0" w:space="0" w:color="auto"/>
                        <w:bottom w:val="none" w:sz="0" w:space="0" w:color="auto"/>
                        <w:right w:val="none" w:sz="0" w:space="0" w:color="auto"/>
                      </w:divBdr>
                    </w:div>
                  </w:divsChild>
                </w:div>
                <w:div w:id="1401908663">
                  <w:marLeft w:val="0"/>
                  <w:marRight w:val="0"/>
                  <w:marTop w:val="0"/>
                  <w:marBottom w:val="0"/>
                  <w:divBdr>
                    <w:top w:val="none" w:sz="0" w:space="0" w:color="auto"/>
                    <w:left w:val="none" w:sz="0" w:space="0" w:color="auto"/>
                    <w:bottom w:val="none" w:sz="0" w:space="0" w:color="auto"/>
                    <w:right w:val="none" w:sz="0" w:space="0" w:color="auto"/>
                  </w:divBdr>
                  <w:divsChild>
                    <w:div w:id="36508849">
                      <w:marLeft w:val="0"/>
                      <w:marRight w:val="0"/>
                      <w:marTop w:val="0"/>
                      <w:marBottom w:val="0"/>
                      <w:divBdr>
                        <w:top w:val="none" w:sz="0" w:space="0" w:color="auto"/>
                        <w:left w:val="none" w:sz="0" w:space="0" w:color="auto"/>
                        <w:bottom w:val="none" w:sz="0" w:space="0" w:color="auto"/>
                        <w:right w:val="none" w:sz="0" w:space="0" w:color="auto"/>
                      </w:divBdr>
                    </w:div>
                  </w:divsChild>
                </w:div>
                <w:div w:id="1501192588">
                  <w:marLeft w:val="0"/>
                  <w:marRight w:val="0"/>
                  <w:marTop w:val="0"/>
                  <w:marBottom w:val="0"/>
                  <w:divBdr>
                    <w:top w:val="none" w:sz="0" w:space="0" w:color="auto"/>
                    <w:left w:val="none" w:sz="0" w:space="0" w:color="auto"/>
                    <w:bottom w:val="none" w:sz="0" w:space="0" w:color="auto"/>
                    <w:right w:val="none" w:sz="0" w:space="0" w:color="auto"/>
                  </w:divBdr>
                  <w:divsChild>
                    <w:div w:id="1288925795">
                      <w:marLeft w:val="0"/>
                      <w:marRight w:val="0"/>
                      <w:marTop w:val="0"/>
                      <w:marBottom w:val="0"/>
                      <w:divBdr>
                        <w:top w:val="none" w:sz="0" w:space="0" w:color="auto"/>
                        <w:left w:val="none" w:sz="0" w:space="0" w:color="auto"/>
                        <w:bottom w:val="none" w:sz="0" w:space="0" w:color="auto"/>
                        <w:right w:val="none" w:sz="0" w:space="0" w:color="auto"/>
                      </w:divBdr>
                    </w:div>
                  </w:divsChild>
                </w:div>
                <w:div w:id="1644460560">
                  <w:marLeft w:val="0"/>
                  <w:marRight w:val="0"/>
                  <w:marTop w:val="0"/>
                  <w:marBottom w:val="0"/>
                  <w:divBdr>
                    <w:top w:val="none" w:sz="0" w:space="0" w:color="auto"/>
                    <w:left w:val="none" w:sz="0" w:space="0" w:color="auto"/>
                    <w:bottom w:val="none" w:sz="0" w:space="0" w:color="auto"/>
                    <w:right w:val="none" w:sz="0" w:space="0" w:color="auto"/>
                  </w:divBdr>
                  <w:divsChild>
                    <w:div w:id="292561705">
                      <w:marLeft w:val="0"/>
                      <w:marRight w:val="0"/>
                      <w:marTop w:val="0"/>
                      <w:marBottom w:val="0"/>
                      <w:divBdr>
                        <w:top w:val="none" w:sz="0" w:space="0" w:color="auto"/>
                        <w:left w:val="none" w:sz="0" w:space="0" w:color="auto"/>
                        <w:bottom w:val="none" w:sz="0" w:space="0" w:color="auto"/>
                        <w:right w:val="none" w:sz="0" w:space="0" w:color="auto"/>
                      </w:divBdr>
                    </w:div>
                  </w:divsChild>
                </w:div>
                <w:div w:id="1840386350">
                  <w:marLeft w:val="0"/>
                  <w:marRight w:val="0"/>
                  <w:marTop w:val="0"/>
                  <w:marBottom w:val="0"/>
                  <w:divBdr>
                    <w:top w:val="none" w:sz="0" w:space="0" w:color="auto"/>
                    <w:left w:val="none" w:sz="0" w:space="0" w:color="auto"/>
                    <w:bottom w:val="none" w:sz="0" w:space="0" w:color="auto"/>
                    <w:right w:val="none" w:sz="0" w:space="0" w:color="auto"/>
                  </w:divBdr>
                  <w:divsChild>
                    <w:div w:id="924000815">
                      <w:marLeft w:val="0"/>
                      <w:marRight w:val="0"/>
                      <w:marTop w:val="0"/>
                      <w:marBottom w:val="0"/>
                      <w:divBdr>
                        <w:top w:val="none" w:sz="0" w:space="0" w:color="auto"/>
                        <w:left w:val="none" w:sz="0" w:space="0" w:color="auto"/>
                        <w:bottom w:val="none" w:sz="0" w:space="0" w:color="auto"/>
                        <w:right w:val="none" w:sz="0" w:space="0" w:color="auto"/>
                      </w:divBdr>
                    </w:div>
                  </w:divsChild>
                </w:div>
                <w:div w:id="1947030934">
                  <w:marLeft w:val="0"/>
                  <w:marRight w:val="0"/>
                  <w:marTop w:val="0"/>
                  <w:marBottom w:val="0"/>
                  <w:divBdr>
                    <w:top w:val="none" w:sz="0" w:space="0" w:color="auto"/>
                    <w:left w:val="none" w:sz="0" w:space="0" w:color="auto"/>
                    <w:bottom w:val="none" w:sz="0" w:space="0" w:color="auto"/>
                    <w:right w:val="none" w:sz="0" w:space="0" w:color="auto"/>
                  </w:divBdr>
                  <w:divsChild>
                    <w:div w:id="575552959">
                      <w:marLeft w:val="0"/>
                      <w:marRight w:val="0"/>
                      <w:marTop w:val="0"/>
                      <w:marBottom w:val="0"/>
                      <w:divBdr>
                        <w:top w:val="none" w:sz="0" w:space="0" w:color="auto"/>
                        <w:left w:val="none" w:sz="0" w:space="0" w:color="auto"/>
                        <w:bottom w:val="none" w:sz="0" w:space="0" w:color="auto"/>
                        <w:right w:val="none" w:sz="0" w:space="0" w:color="auto"/>
                      </w:divBdr>
                    </w:div>
                  </w:divsChild>
                </w:div>
                <w:div w:id="2016806365">
                  <w:marLeft w:val="0"/>
                  <w:marRight w:val="0"/>
                  <w:marTop w:val="0"/>
                  <w:marBottom w:val="0"/>
                  <w:divBdr>
                    <w:top w:val="none" w:sz="0" w:space="0" w:color="auto"/>
                    <w:left w:val="none" w:sz="0" w:space="0" w:color="auto"/>
                    <w:bottom w:val="none" w:sz="0" w:space="0" w:color="auto"/>
                    <w:right w:val="none" w:sz="0" w:space="0" w:color="auto"/>
                  </w:divBdr>
                  <w:divsChild>
                    <w:div w:id="414279353">
                      <w:marLeft w:val="0"/>
                      <w:marRight w:val="0"/>
                      <w:marTop w:val="0"/>
                      <w:marBottom w:val="0"/>
                      <w:divBdr>
                        <w:top w:val="none" w:sz="0" w:space="0" w:color="auto"/>
                        <w:left w:val="none" w:sz="0" w:space="0" w:color="auto"/>
                        <w:bottom w:val="none" w:sz="0" w:space="0" w:color="auto"/>
                        <w:right w:val="none" w:sz="0" w:space="0" w:color="auto"/>
                      </w:divBdr>
                    </w:div>
                  </w:divsChild>
                </w:div>
                <w:div w:id="2028628499">
                  <w:marLeft w:val="0"/>
                  <w:marRight w:val="0"/>
                  <w:marTop w:val="0"/>
                  <w:marBottom w:val="0"/>
                  <w:divBdr>
                    <w:top w:val="none" w:sz="0" w:space="0" w:color="auto"/>
                    <w:left w:val="none" w:sz="0" w:space="0" w:color="auto"/>
                    <w:bottom w:val="none" w:sz="0" w:space="0" w:color="auto"/>
                    <w:right w:val="none" w:sz="0" w:space="0" w:color="auto"/>
                  </w:divBdr>
                  <w:divsChild>
                    <w:div w:id="1098522372">
                      <w:marLeft w:val="0"/>
                      <w:marRight w:val="0"/>
                      <w:marTop w:val="0"/>
                      <w:marBottom w:val="0"/>
                      <w:divBdr>
                        <w:top w:val="none" w:sz="0" w:space="0" w:color="auto"/>
                        <w:left w:val="none" w:sz="0" w:space="0" w:color="auto"/>
                        <w:bottom w:val="none" w:sz="0" w:space="0" w:color="auto"/>
                        <w:right w:val="none" w:sz="0" w:space="0" w:color="auto"/>
                      </w:divBdr>
                    </w:div>
                  </w:divsChild>
                </w:div>
                <w:div w:id="2060125765">
                  <w:marLeft w:val="0"/>
                  <w:marRight w:val="0"/>
                  <w:marTop w:val="0"/>
                  <w:marBottom w:val="0"/>
                  <w:divBdr>
                    <w:top w:val="none" w:sz="0" w:space="0" w:color="auto"/>
                    <w:left w:val="none" w:sz="0" w:space="0" w:color="auto"/>
                    <w:bottom w:val="none" w:sz="0" w:space="0" w:color="auto"/>
                    <w:right w:val="none" w:sz="0" w:space="0" w:color="auto"/>
                  </w:divBdr>
                  <w:divsChild>
                    <w:div w:id="14133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17253">
      <w:bodyDiv w:val="1"/>
      <w:marLeft w:val="0"/>
      <w:marRight w:val="0"/>
      <w:marTop w:val="0"/>
      <w:marBottom w:val="0"/>
      <w:divBdr>
        <w:top w:val="none" w:sz="0" w:space="0" w:color="auto"/>
        <w:left w:val="none" w:sz="0" w:space="0" w:color="auto"/>
        <w:bottom w:val="none" w:sz="0" w:space="0" w:color="auto"/>
        <w:right w:val="none" w:sz="0" w:space="0" w:color="auto"/>
      </w:divBdr>
    </w:div>
    <w:div w:id="200678570">
      <w:bodyDiv w:val="1"/>
      <w:marLeft w:val="0"/>
      <w:marRight w:val="0"/>
      <w:marTop w:val="0"/>
      <w:marBottom w:val="0"/>
      <w:divBdr>
        <w:top w:val="none" w:sz="0" w:space="0" w:color="auto"/>
        <w:left w:val="none" w:sz="0" w:space="0" w:color="auto"/>
        <w:bottom w:val="none" w:sz="0" w:space="0" w:color="auto"/>
        <w:right w:val="none" w:sz="0" w:space="0" w:color="auto"/>
      </w:divBdr>
    </w:div>
    <w:div w:id="202987053">
      <w:bodyDiv w:val="1"/>
      <w:marLeft w:val="0"/>
      <w:marRight w:val="0"/>
      <w:marTop w:val="0"/>
      <w:marBottom w:val="0"/>
      <w:divBdr>
        <w:top w:val="none" w:sz="0" w:space="0" w:color="auto"/>
        <w:left w:val="none" w:sz="0" w:space="0" w:color="auto"/>
        <w:bottom w:val="none" w:sz="0" w:space="0" w:color="auto"/>
        <w:right w:val="none" w:sz="0" w:space="0" w:color="auto"/>
      </w:divBdr>
    </w:div>
    <w:div w:id="205870700">
      <w:bodyDiv w:val="1"/>
      <w:marLeft w:val="0"/>
      <w:marRight w:val="0"/>
      <w:marTop w:val="0"/>
      <w:marBottom w:val="0"/>
      <w:divBdr>
        <w:top w:val="none" w:sz="0" w:space="0" w:color="auto"/>
        <w:left w:val="none" w:sz="0" w:space="0" w:color="auto"/>
        <w:bottom w:val="none" w:sz="0" w:space="0" w:color="auto"/>
        <w:right w:val="none" w:sz="0" w:space="0" w:color="auto"/>
      </w:divBdr>
      <w:divsChild>
        <w:div w:id="1836267063">
          <w:marLeft w:val="0"/>
          <w:marRight w:val="0"/>
          <w:marTop w:val="0"/>
          <w:marBottom w:val="0"/>
          <w:divBdr>
            <w:top w:val="none" w:sz="0" w:space="0" w:color="auto"/>
            <w:left w:val="none" w:sz="0" w:space="0" w:color="auto"/>
            <w:bottom w:val="none" w:sz="0" w:space="0" w:color="auto"/>
            <w:right w:val="none" w:sz="0" w:space="0" w:color="auto"/>
          </w:divBdr>
        </w:div>
        <w:div w:id="2117675101">
          <w:marLeft w:val="0"/>
          <w:marRight w:val="0"/>
          <w:marTop w:val="0"/>
          <w:marBottom w:val="0"/>
          <w:divBdr>
            <w:top w:val="none" w:sz="0" w:space="0" w:color="auto"/>
            <w:left w:val="none" w:sz="0" w:space="0" w:color="auto"/>
            <w:bottom w:val="none" w:sz="0" w:space="0" w:color="auto"/>
            <w:right w:val="none" w:sz="0" w:space="0" w:color="auto"/>
          </w:divBdr>
        </w:div>
      </w:divsChild>
    </w:div>
    <w:div w:id="231044750">
      <w:bodyDiv w:val="1"/>
      <w:marLeft w:val="0"/>
      <w:marRight w:val="0"/>
      <w:marTop w:val="0"/>
      <w:marBottom w:val="0"/>
      <w:divBdr>
        <w:top w:val="none" w:sz="0" w:space="0" w:color="auto"/>
        <w:left w:val="none" w:sz="0" w:space="0" w:color="auto"/>
        <w:bottom w:val="none" w:sz="0" w:space="0" w:color="auto"/>
        <w:right w:val="none" w:sz="0" w:space="0" w:color="auto"/>
      </w:divBdr>
    </w:div>
    <w:div w:id="270817030">
      <w:bodyDiv w:val="1"/>
      <w:marLeft w:val="0"/>
      <w:marRight w:val="0"/>
      <w:marTop w:val="0"/>
      <w:marBottom w:val="0"/>
      <w:divBdr>
        <w:top w:val="none" w:sz="0" w:space="0" w:color="auto"/>
        <w:left w:val="none" w:sz="0" w:space="0" w:color="auto"/>
        <w:bottom w:val="none" w:sz="0" w:space="0" w:color="auto"/>
        <w:right w:val="none" w:sz="0" w:space="0" w:color="auto"/>
      </w:divBdr>
    </w:div>
    <w:div w:id="280042571">
      <w:bodyDiv w:val="1"/>
      <w:marLeft w:val="0"/>
      <w:marRight w:val="0"/>
      <w:marTop w:val="0"/>
      <w:marBottom w:val="0"/>
      <w:divBdr>
        <w:top w:val="none" w:sz="0" w:space="0" w:color="auto"/>
        <w:left w:val="none" w:sz="0" w:space="0" w:color="auto"/>
        <w:bottom w:val="none" w:sz="0" w:space="0" w:color="auto"/>
        <w:right w:val="none" w:sz="0" w:space="0" w:color="auto"/>
      </w:divBdr>
    </w:div>
    <w:div w:id="282923787">
      <w:bodyDiv w:val="1"/>
      <w:marLeft w:val="0"/>
      <w:marRight w:val="0"/>
      <w:marTop w:val="0"/>
      <w:marBottom w:val="0"/>
      <w:divBdr>
        <w:top w:val="none" w:sz="0" w:space="0" w:color="auto"/>
        <w:left w:val="none" w:sz="0" w:space="0" w:color="auto"/>
        <w:bottom w:val="none" w:sz="0" w:space="0" w:color="auto"/>
        <w:right w:val="none" w:sz="0" w:space="0" w:color="auto"/>
      </w:divBdr>
    </w:div>
    <w:div w:id="298926131">
      <w:bodyDiv w:val="1"/>
      <w:marLeft w:val="0"/>
      <w:marRight w:val="0"/>
      <w:marTop w:val="0"/>
      <w:marBottom w:val="0"/>
      <w:divBdr>
        <w:top w:val="none" w:sz="0" w:space="0" w:color="auto"/>
        <w:left w:val="none" w:sz="0" w:space="0" w:color="auto"/>
        <w:bottom w:val="none" w:sz="0" w:space="0" w:color="auto"/>
        <w:right w:val="none" w:sz="0" w:space="0" w:color="auto"/>
      </w:divBdr>
      <w:divsChild>
        <w:div w:id="593369208">
          <w:marLeft w:val="0"/>
          <w:marRight w:val="0"/>
          <w:marTop w:val="0"/>
          <w:marBottom w:val="0"/>
          <w:divBdr>
            <w:top w:val="none" w:sz="0" w:space="0" w:color="auto"/>
            <w:left w:val="none" w:sz="0" w:space="0" w:color="auto"/>
            <w:bottom w:val="none" w:sz="0" w:space="0" w:color="auto"/>
            <w:right w:val="none" w:sz="0" w:space="0" w:color="auto"/>
          </w:divBdr>
        </w:div>
        <w:div w:id="1095638085">
          <w:marLeft w:val="0"/>
          <w:marRight w:val="0"/>
          <w:marTop w:val="0"/>
          <w:marBottom w:val="0"/>
          <w:divBdr>
            <w:top w:val="none" w:sz="0" w:space="0" w:color="auto"/>
            <w:left w:val="none" w:sz="0" w:space="0" w:color="auto"/>
            <w:bottom w:val="none" w:sz="0" w:space="0" w:color="auto"/>
            <w:right w:val="none" w:sz="0" w:space="0" w:color="auto"/>
          </w:divBdr>
        </w:div>
        <w:div w:id="1372150465">
          <w:marLeft w:val="0"/>
          <w:marRight w:val="0"/>
          <w:marTop w:val="0"/>
          <w:marBottom w:val="0"/>
          <w:divBdr>
            <w:top w:val="none" w:sz="0" w:space="0" w:color="auto"/>
            <w:left w:val="none" w:sz="0" w:space="0" w:color="auto"/>
            <w:bottom w:val="none" w:sz="0" w:space="0" w:color="auto"/>
            <w:right w:val="none" w:sz="0" w:space="0" w:color="auto"/>
          </w:divBdr>
        </w:div>
      </w:divsChild>
    </w:div>
    <w:div w:id="316963436">
      <w:bodyDiv w:val="1"/>
      <w:marLeft w:val="0"/>
      <w:marRight w:val="0"/>
      <w:marTop w:val="0"/>
      <w:marBottom w:val="0"/>
      <w:divBdr>
        <w:top w:val="none" w:sz="0" w:space="0" w:color="auto"/>
        <w:left w:val="none" w:sz="0" w:space="0" w:color="auto"/>
        <w:bottom w:val="none" w:sz="0" w:space="0" w:color="auto"/>
        <w:right w:val="none" w:sz="0" w:space="0" w:color="auto"/>
      </w:divBdr>
      <w:divsChild>
        <w:div w:id="1586569982">
          <w:marLeft w:val="0"/>
          <w:marRight w:val="0"/>
          <w:marTop w:val="0"/>
          <w:marBottom w:val="0"/>
          <w:divBdr>
            <w:top w:val="none" w:sz="0" w:space="0" w:color="auto"/>
            <w:left w:val="none" w:sz="0" w:space="0" w:color="auto"/>
            <w:bottom w:val="none" w:sz="0" w:space="0" w:color="auto"/>
            <w:right w:val="none" w:sz="0" w:space="0" w:color="auto"/>
          </w:divBdr>
        </w:div>
      </w:divsChild>
    </w:div>
    <w:div w:id="318536469">
      <w:bodyDiv w:val="1"/>
      <w:marLeft w:val="0"/>
      <w:marRight w:val="0"/>
      <w:marTop w:val="0"/>
      <w:marBottom w:val="0"/>
      <w:divBdr>
        <w:top w:val="none" w:sz="0" w:space="0" w:color="auto"/>
        <w:left w:val="none" w:sz="0" w:space="0" w:color="auto"/>
        <w:bottom w:val="none" w:sz="0" w:space="0" w:color="auto"/>
        <w:right w:val="none" w:sz="0" w:space="0" w:color="auto"/>
      </w:divBdr>
    </w:div>
    <w:div w:id="319041387">
      <w:bodyDiv w:val="1"/>
      <w:marLeft w:val="0"/>
      <w:marRight w:val="0"/>
      <w:marTop w:val="0"/>
      <w:marBottom w:val="0"/>
      <w:divBdr>
        <w:top w:val="none" w:sz="0" w:space="0" w:color="auto"/>
        <w:left w:val="none" w:sz="0" w:space="0" w:color="auto"/>
        <w:bottom w:val="none" w:sz="0" w:space="0" w:color="auto"/>
        <w:right w:val="none" w:sz="0" w:space="0" w:color="auto"/>
      </w:divBdr>
    </w:div>
    <w:div w:id="319700774">
      <w:bodyDiv w:val="1"/>
      <w:marLeft w:val="0"/>
      <w:marRight w:val="0"/>
      <w:marTop w:val="0"/>
      <w:marBottom w:val="0"/>
      <w:divBdr>
        <w:top w:val="none" w:sz="0" w:space="0" w:color="auto"/>
        <w:left w:val="none" w:sz="0" w:space="0" w:color="auto"/>
        <w:bottom w:val="none" w:sz="0" w:space="0" w:color="auto"/>
        <w:right w:val="none" w:sz="0" w:space="0" w:color="auto"/>
      </w:divBdr>
    </w:div>
    <w:div w:id="320428515">
      <w:bodyDiv w:val="1"/>
      <w:marLeft w:val="0"/>
      <w:marRight w:val="0"/>
      <w:marTop w:val="0"/>
      <w:marBottom w:val="0"/>
      <w:divBdr>
        <w:top w:val="none" w:sz="0" w:space="0" w:color="auto"/>
        <w:left w:val="none" w:sz="0" w:space="0" w:color="auto"/>
        <w:bottom w:val="none" w:sz="0" w:space="0" w:color="auto"/>
        <w:right w:val="none" w:sz="0" w:space="0" w:color="auto"/>
      </w:divBdr>
    </w:div>
    <w:div w:id="321541624">
      <w:bodyDiv w:val="1"/>
      <w:marLeft w:val="0"/>
      <w:marRight w:val="0"/>
      <w:marTop w:val="0"/>
      <w:marBottom w:val="0"/>
      <w:divBdr>
        <w:top w:val="none" w:sz="0" w:space="0" w:color="auto"/>
        <w:left w:val="none" w:sz="0" w:space="0" w:color="auto"/>
        <w:bottom w:val="none" w:sz="0" w:space="0" w:color="auto"/>
        <w:right w:val="none" w:sz="0" w:space="0" w:color="auto"/>
      </w:divBdr>
    </w:div>
    <w:div w:id="326249652">
      <w:bodyDiv w:val="1"/>
      <w:marLeft w:val="0"/>
      <w:marRight w:val="0"/>
      <w:marTop w:val="0"/>
      <w:marBottom w:val="0"/>
      <w:divBdr>
        <w:top w:val="none" w:sz="0" w:space="0" w:color="auto"/>
        <w:left w:val="none" w:sz="0" w:space="0" w:color="auto"/>
        <w:bottom w:val="none" w:sz="0" w:space="0" w:color="auto"/>
        <w:right w:val="none" w:sz="0" w:space="0" w:color="auto"/>
      </w:divBdr>
    </w:div>
    <w:div w:id="339700578">
      <w:bodyDiv w:val="1"/>
      <w:marLeft w:val="0"/>
      <w:marRight w:val="0"/>
      <w:marTop w:val="0"/>
      <w:marBottom w:val="0"/>
      <w:divBdr>
        <w:top w:val="none" w:sz="0" w:space="0" w:color="auto"/>
        <w:left w:val="none" w:sz="0" w:space="0" w:color="auto"/>
        <w:bottom w:val="none" w:sz="0" w:space="0" w:color="auto"/>
        <w:right w:val="none" w:sz="0" w:space="0" w:color="auto"/>
      </w:divBdr>
    </w:div>
    <w:div w:id="342824015">
      <w:bodyDiv w:val="1"/>
      <w:marLeft w:val="0"/>
      <w:marRight w:val="0"/>
      <w:marTop w:val="0"/>
      <w:marBottom w:val="0"/>
      <w:divBdr>
        <w:top w:val="none" w:sz="0" w:space="0" w:color="auto"/>
        <w:left w:val="none" w:sz="0" w:space="0" w:color="auto"/>
        <w:bottom w:val="none" w:sz="0" w:space="0" w:color="auto"/>
        <w:right w:val="none" w:sz="0" w:space="0" w:color="auto"/>
      </w:divBdr>
    </w:div>
    <w:div w:id="353465098">
      <w:bodyDiv w:val="1"/>
      <w:marLeft w:val="0"/>
      <w:marRight w:val="0"/>
      <w:marTop w:val="0"/>
      <w:marBottom w:val="0"/>
      <w:divBdr>
        <w:top w:val="none" w:sz="0" w:space="0" w:color="auto"/>
        <w:left w:val="none" w:sz="0" w:space="0" w:color="auto"/>
        <w:bottom w:val="none" w:sz="0" w:space="0" w:color="auto"/>
        <w:right w:val="none" w:sz="0" w:space="0" w:color="auto"/>
      </w:divBdr>
      <w:divsChild>
        <w:div w:id="489372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8359773">
      <w:bodyDiv w:val="1"/>
      <w:marLeft w:val="0"/>
      <w:marRight w:val="0"/>
      <w:marTop w:val="0"/>
      <w:marBottom w:val="0"/>
      <w:divBdr>
        <w:top w:val="none" w:sz="0" w:space="0" w:color="auto"/>
        <w:left w:val="none" w:sz="0" w:space="0" w:color="auto"/>
        <w:bottom w:val="none" w:sz="0" w:space="0" w:color="auto"/>
        <w:right w:val="none" w:sz="0" w:space="0" w:color="auto"/>
      </w:divBdr>
    </w:div>
    <w:div w:id="365253379">
      <w:bodyDiv w:val="1"/>
      <w:marLeft w:val="0"/>
      <w:marRight w:val="0"/>
      <w:marTop w:val="0"/>
      <w:marBottom w:val="0"/>
      <w:divBdr>
        <w:top w:val="none" w:sz="0" w:space="0" w:color="auto"/>
        <w:left w:val="none" w:sz="0" w:space="0" w:color="auto"/>
        <w:bottom w:val="none" w:sz="0" w:space="0" w:color="auto"/>
        <w:right w:val="none" w:sz="0" w:space="0" w:color="auto"/>
      </w:divBdr>
    </w:div>
    <w:div w:id="373969570">
      <w:bodyDiv w:val="1"/>
      <w:marLeft w:val="0"/>
      <w:marRight w:val="0"/>
      <w:marTop w:val="0"/>
      <w:marBottom w:val="0"/>
      <w:divBdr>
        <w:top w:val="none" w:sz="0" w:space="0" w:color="auto"/>
        <w:left w:val="none" w:sz="0" w:space="0" w:color="auto"/>
        <w:bottom w:val="none" w:sz="0" w:space="0" w:color="auto"/>
        <w:right w:val="none" w:sz="0" w:space="0" w:color="auto"/>
      </w:divBdr>
    </w:div>
    <w:div w:id="383724521">
      <w:bodyDiv w:val="1"/>
      <w:marLeft w:val="0"/>
      <w:marRight w:val="0"/>
      <w:marTop w:val="0"/>
      <w:marBottom w:val="0"/>
      <w:divBdr>
        <w:top w:val="none" w:sz="0" w:space="0" w:color="auto"/>
        <w:left w:val="none" w:sz="0" w:space="0" w:color="auto"/>
        <w:bottom w:val="none" w:sz="0" w:space="0" w:color="auto"/>
        <w:right w:val="none" w:sz="0" w:space="0" w:color="auto"/>
      </w:divBdr>
    </w:div>
    <w:div w:id="399638622">
      <w:bodyDiv w:val="1"/>
      <w:marLeft w:val="0"/>
      <w:marRight w:val="0"/>
      <w:marTop w:val="0"/>
      <w:marBottom w:val="0"/>
      <w:divBdr>
        <w:top w:val="none" w:sz="0" w:space="0" w:color="auto"/>
        <w:left w:val="none" w:sz="0" w:space="0" w:color="auto"/>
        <w:bottom w:val="none" w:sz="0" w:space="0" w:color="auto"/>
        <w:right w:val="none" w:sz="0" w:space="0" w:color="auto"/>
      </w:divBdr>
    </w:div>
    <w:div w:id="402874770">
      <w:bodyDiv w:val="1"/>
      <w:marLeft w:val="0"/>
      <w:marRight w:val="0"/>
      <w:marTop w:val="0"/>
      <w:marBottom w:val="0"/>
      <w:divBdr>
        <w:top w:val="none" w:sz="0" w:space="0" w:color="auto"/>
        <w:left w:val="none" w:sz="0" w:space="0" w:color="auto"/>
        <w:bottom w:val="none" w:sz="0" w:space="0" w:color="auto"/>
        <w:right w:val="none" w:sz="0" w:space="0" w:color="auto"/>
      </w:divBdr>
    </w:div>
    <w:div w:id="424887834">
      <w:bodyDiv w:val="1"/>
      <w:marLeft w:val="0"/>
      <w:marRight w:val="0"/>
      <w:marTop w:val="0"/>
      <w:marBottom w:val="0"/>
      <w:divBdr>
        <w:top w:val="none" w:sz="0" w:space="0" w:color="auto"/>
        <w:left w:val="none" w:sz="0" w:space="0" w:color="auto"/>
        <w:bottom w:val="none" w:sz="0" w:space="0" w:color="auto"/>
        <w:right w:val="none" w:sz="0" w:space="0" w:color="auto"/>
      </w:divBdr>
    </w:div>
    <w:div w:id="449861858">
      <w:bodyDiv w:val="1"/>
      <w:marLeft w:val="0"/>
      <w:marRight w:val="0"/>
      <w:marTop w:val="0"/>
      <w:marBottom w:val="0"/>
      <w:divBdr>
        <w:top w:val="none" w:sz="0" w:space="0" w:color="auto"/>
        <w:left w:val="none" w:sz="0" w:space="0" w:color="auto"/>
        <w:bottom w:val="none" w:sz="0" w:space="0" w:color="auto"/>
        <w:right w:val="none" w:sz="0" w:space="0" w:color="auto"/>
      </w:divBdr>
      <w:divsChild>
        <w:div w:id="190382271">
          <w:marLeft w:val="0"/>
          <w:marRight w:val="0"/>
          <w:marTop w:val="0"/>
          <w:marBottom w:val="0"/>
          <w:divBdr>
            <w:top w:val="none" w:sz="0" w:space="0" w:color="auto"/>
            <w:left w:val="none" w:sz="0" w:space="0" w:color="auto"/>
            <w:bottom w:val="none" w:sz="0" w:space="0" w:color="auto"/>
            <w:right w:val="none" w:sz="0" w:space="0" w:color="auto"/>
          </w:divBdr>
        </w:div>
      </w:divsChild>
    </w:div>
    <w:div w:id="452940851">
      <w:bodyDiv w:val="1"/>
      <w:marLeft w:val="0"/>
      <w:marRight w:val="0"/>
      <w:marTop w:val="0"/>
      <w:marBottom w:val="0"/>
      <w:divBdr>
        <w:top w:val="none" w:sz="0" w:space="0" w:color="auto"/>
        <w:left w:val="none" w:sz="0" w:space="0" w:color="auto"/>
        <w:bottom w:val="none" w:sz="0" w:space="0" w:color="auto"/>
        <w:right w:val="none" w:sz="0" w:space="0" w:color="auto"/>
      </w:divBdr>
    </w:div>
    <w:div w:id="453407554">
      <w:bodyDiv w:val="1"/>
      <w:marLeft w:val="0"/>
      <w:marRight w:val="0"/>
      <w:marTop w:val="0"/>
      <w:marBottom w:val="0"/>
      <w:divBdr>
        <w:top w:val="none" w:sz="0" w:space="0" w:color="auto"/>
        <w:left w:val="none" w:sz="0" w:space="0" w:color="auto"/>
        <w:bottom w:val="none" w:sz="0" w:space="0" w:color="auto"/>
        <w:right w:val="none" w:sz="0" w:space="0" w:color="auto"/>
      </w:divBdr>
    </w:div>
    <w:div w:id="460460569">
      <w:bodyDiv w:val="1"/>
      <w:marLeft w:val="0"/>
      <w:marRight w:val="0"/>
      <w:marTop w:val="0"/>
      <w:marBottom w:val="0"/>
      <w:divBdr>
        <w:top w:val="none" w:sz="0" w:space="0" w:color="auto"/>
        <w:left w:val="none" w:sz="0" w:space="0" w:color="auto"/>
        <w:bottom w:val="none" w:sz="0" w:space="0" w:color="auto"/>
        <w:right w:val="none" w:sz="0" w:space="0" w:color="auto"/>
      </w:divBdr>
    </w:div>
    <w:div w:id="471598574">
      <w:bodyDiv w:val="1"/>
      <w:marLeft w:val="0"/>
      <w:marRight w:val="0"/>
      <w:marTop w:val="0"/>
      <w:marBottom w:val="0"/>
      <w:divBdr>
        <w:top w:val="none" w:sz="0" w:space="0" w:color="auto"/>
        <w:left w:val="none" w:sz="0" w:space="0" w:color="auto"/>
        <w:bottom w:val="none" w:sz="0" w:space="0" w:color="auto"/>
        <w:right w:val="none" w:sz="0" w:space="0" w:color="auto"/>
      </w:divBdr>
    </w:div>
    <w:div w:id="473063878">
      <w:bodyDiv w:val="1"/>
      <w:marLeft w:val="0"/>
      <w:marRight w:val="0"/>
      <w:marTop w:val="0"/>
      <w:marBottom w:val="0"/>
      <w:divBdr>
        <w:top w:val="none" w:sz="0" w:space="0" w:color="auto"/>
        <w:left w:val="none" w:sz="0" w:space="0" w:color="auto"/>
        <w:bottom w:val="none" w:sz="0" w:space="0" w:color="auto"/>
        <w:right w:val="none" w:sz="0" w:space="0" w:color="auto"/>
      </w:divBdr>
    </w:div>
    <w:div w:id="478308539">
      <w:bodyDiv w:val="1"/>
      <w:marLeft w:val="0"/>
      <w:marRight w:val="0"/>
      <w:marTop w:val="0"/>
      <w:marBottom w:val="0"/>
      <w:divBdr>
        <w:top w:val="none" w:sz="0" w:space="0" w:color="auto"/>
        <w:left w:val="none" w:sz="0" w:space="0" w:color="auto"/>
        <w:bottom w:val="none" w:sz="0" w:space="0" w:color="auto"/>
        <w:right w:val="none" w:sz="0" w:space="0" w:color="auto"/>
      </w:divBdr>
    </w:div>
    <w:div w:id="480970651">
      <w:bodyDiv w:val="1"/>
      <w:marLeft w:val="0"/>
      <w:marRight w:val="0"/>
      <w:marTop w:val="0"/>
      <w:marBottom w:val="0"/>
      <w:divBdr>
        <w:top w:val="none" w:sz="0" w:space="0" w:color="auto"/>
        <w:left w:val="none" w:sz="0" w:space="0" w:color="auto"/>
        <w:bottom w:val="none" w:sz="0" w:space="0" w:color="auto"/>
        <w:right w:val="none" w:sz="0" w:space="0" w:color="auto"/>
      </w:divBdr>
    </w:div>
    <w:div w:id="481459772">
      <w:bodyDiv w:val="1"/>
      <w:marLeft w:val="0"/>
      <w:marRight w:val="0"/>
      <w:marTop w:val="0"/>
      <w:marBottom w:val="0"/>
      <w:divBdr>
        <w:top w:val="none" w:sz="0" w:space="0" w:color="auto"/>
        <w:left w:val="none" w:sz="0" w:space="0" w:color="auto"/>
        <w:bottom w:val="none" w:sz="0" w:space="0" w:color="auto"/>
        <w:right w:val="none" w:sz="0" w:space="0" w:color="auto"/>
      </w:divBdr>
    </w:div>
    <w:div w:id="483938955">
      <w:bodyDiv w:val="1"/>
      <w:marLeft w:val="0"/>
      <w:marRight w:val="0"/>
      <w:marTop w:val="0"/>
      <w:marBottom w:val="0"/>
      <w:divBdr>
        <w:top w:val="none" w:sz="0" w:space="0" w:color="auto"/>
        <w:left w:val="none" w:sz="0" w:space="0" w:color="auto"/>
        <w:bottom w:val="none" w:sz="0" w:space="0" w:color="auto"/>
        <w:right w:val="none" w:sz="0" w:space="0" w:color="auto"/>
      </w:divBdr>
    </w:div>
    <w:div w:id="487789271">
      <w:bodyDiv w:val="1"/>
      <w:marLeft w:val="0"/>
      <w:marRight w:val="0"/>
      <w:marTop w:val="0"/>
      <w:marBottom w:val="0"/>
      <w:divBdr>
        <w:top w:val="none" w:sz="0" w:space="0" w:color="auto"/>
        <w:left w:val="none" w:sz="0" w:space="0" w:color="auto"/>
        <w:bottom w:val="none" w:sz="0" w:space="0" w:color="auto"/>
        <w:right w:val="none" w:sz="0" w:space="0" w:color="auto"/>
      </w:divBdr>
    </w:div>
    <w:div w:id="495657405">
      <w:bodyDiv w:val="1"/>
      <w:marLeft w:val="0"/>
      <w:marRight w:val="0"/>
      <w:marTop w:val="0"/>
      <w:marBottom w:val="0"/>
      <w:divBdr>
        <w:top w:val="none" w:sz="0" w:space="0" w:color="auto"/>
        <w:left w:val="none" w:sz="0" w:space="0" w:color="auto"/>
        <w:bottom w:val="none" w:sz="0" w:space="0" w:color="auto"/>
        <w:right w:val="none" w:sz="0" w:space="0" w:color="auto"/>
      </w:divBdr>
    </w:div>
    <w:div w:id="499467568">
      <w:bodyDiv w:val="1"/>
      <w:marLeft w:val="0"/>
      <w:marRight w:val="0"/>
      <w:marTop w:val="0"/>
      <w:marBottom w:val="0"/>
      <w:divBdr>
        <w:top w:val="none" w:sz="0" w:space="0" w:color="auto"/>
        <w:left w:val="none" w:sz="0" w:space="0" w:color="auto"/>
        <w:bottom w:val="none" w:sz="0" w:space="0" w:color="auto"/>
        <w:right w:val="none" w:sz="0" w:space="0" w:color="auto"/>
      </w:divBdr>
    </w:div>
    <w:div w:id="512039944">
      <w:bodyDiv w:val="1"/>
      <w:marLeft w:val="0"/>
      <w:marRight w:val="0"/>
      <w:marTop w:val="0"/>
      <w:marBottom w:val="0"/>
      <w:divBdr>
        <w:top w:val="none" w:sz="0" w:space="0" w:color="auto"/>
        <w:left w:val="none" w:sz="0" w:space="0" w:color="auto"/>
        <w:bottom w:val="none" w:sz="0" w:space="0" w:color="auto"/>
        <w:right w:val="none" w:sz="0" w:space="0" w:color="auto"/>
      </w:divBdr>
      <w:divsChild>
        <w:div w:id="5637564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004090">
      <w:bodyDiv w:val="1"/>
      <w:marLeft w:val="0"/>
      <w:marRight w:val="0"/>
      <w:marTop w:val="0"/>
      <w:marBottom w:val="0"/>
      <w:divBdr>
        <w:top w:val="none" w:sz="0" w:space="0" w:color="auto"/>
        <w:left w:val="none" w:sz="0" w:space="0" w:color="auto"/>
        <w:bottom w:val="none" w:sz="0" w:space="0" w:color="auto"/>
        <w:right w:val="none" w:sz="0" w:space="0" w:color="auto"/>
      </w:divBdr>
    </w:div>
    <w:div w:id="549464898">
      <w:bodyDiv w:val="1"/>
      <w:marLeft w:val="0"/>
      <w:marRight w:val="0"/>
      <w:marTop w:val="0"/>
      <w:marBottom w:val="0"/>
      <w:divBdr>
        <w:top w:val="none" w:sz="0" w:space="0" w:color="auto"/>
        <w:left w:val="none" w:sz="0" w:space="0" w:color="auto"/>
        <w:bottom w:val="none" w:sz="0" w:space="0" w:color="auto"/>
        <w:right w:val="none" w:sz="0" w:space="0" w:color="auto"/>
      </w:divBdr>
    </w:div>
    <w:div w:id="552280084">
      <w:bodyDiv w:val="1"/>
      <w:marLeft w:val="0"/>
      <w:marRight w:val="0"/>
      <w:marTop w:val="0"/>
      <w:marBottom w:val="0"/>
      <w:divBdr>
        <w:top w:val="none" w:sz="0" w:space="0" w:color="auto"/>
        <w:left w:val="none" w:sz="0" w:space="0" w:color="auto"/>
        <w:bottom w:val="none" w:sz="0" w:space="0" w:color="auto"/>
        <w:right w:val="none" w:sz="0" w:space="0" w:color="auto"/>
      </w:divBdr>
    </w:div>
    <w:div w:id="553740383">
      <w:bodyDiv w:val="1"/>
      <w:marLeft w:val="0"/>
      <w:marRight w:val="0"/>
      <w:marTop w:val="0"/>
      <w:marBottom w:val="0"/>
      <w:divBdr>
        <w:top w:val="none" w:sz="0" w:space="0" w:color="auto"/>
        <w:left w:val="none" w:sz="0" w:space="0" w:color="auto"/>
        <w:bottom w:val="none" w:sz="0" w:space="0" w:color="auto"/>
        <w:right w:val="none" w:sz="0" w:space="0" w:color="auto"/>
      </w:divBdr>
    </w:div>
    <w:div w:id="577402123">
      <w:bodyDiv w:val="1"/>
      <w:marLeft w:val="0"/>
      <w:marRight w:val="0"/>
      <w:marTop w:val="0"/>
      <w:marBottom w:val="0"/>
      <w:divBdr>
        <w:top w:val="none" w:sz="0" w:space="0" w:color="auto"/>
        <w:left w:val="none" w:sz="0" w:space="0" w:color="auto"/>
        <w:bottom w:val="none" w:sz="0" w:space="0" w:color="auto"/>
        <w:right w:val="none" w:sz="0" w:space="0" w:color="auto"/>
      </w:divBdr>
    </w:div>
    <w:div w:id="593704497">
      <w:bodyDiv w:val="1"/>
      <w:marLeft w:val="0"/>
      <w:marRight w:val="0"/>
      <w:marTop w:val="0"/>
      <w:marBottom w:val="0"/>
      <w:divBdr>
        <w:top w:val="none" w:sz="0" w:space="0" w:color="auto"/>
        <w:left w:val="none" w:sz="0" w:space="0" w:color="auto"/>
        <w:bottom w:val="none" w:sz="0" w:space="0" w:color="auto"/>
        <w:right w:val="none" w:sz="0" w:space="0" w:color="auto"/>
      </w:divBdr>
    </w:div>
    <w:div w:id="607129761">
      <w:bodyDiv w:val="1"/>
      <w:marLeft w:val="0"/>
      <w:marRight w:val="0"/>
      <w:marTop w:val="0"/>
      <w:marBottom w:val="0"/>
      <w:divBdr>
        <w:top w:val="none" w:sz="0" w:space="0" w:color="auto"/>
        <w:left w:val="none" w:sz="0" w:space="0" w:color="auto"/>
        <w:bottom w:val="none" w:sz="0" w:space="0" w:color="auto"/>
        <w:right w:val="none" w:sz="0" w:space="0" w:color="auto"/>
      </w:divBdr>
    </w:div>
    <w:div w:id="620308585">
      <w:bodyDiv w:val="1"/>
      <w:marLeft w:val="0"/>
      <w:marRight w:val="0"/>
      <w:marTop w:val="0"/>
      <w:marBottom w:val="0"/>
      <w:divBdr>
        <w:top w:val="none" w:sz="0" w:space="0" w:color="auto"/>
        <w:left w:val="none" w:sz="0" w:space="0" w:color="auto"/>
        <w:bottom w:val="none" w:sz="0" w:space="0" w:color="auto"/>
        <w:right w:val="none" w:sz="0" w:space="0" w:color="auto"/>
      </w:divBdr>
      <w:divsChild>
        <w:div w:id="60640996">
          <w:marLeft w:val="0"/>
          <w:marRight w:val="0"/>
          <w:marTop w:val="0"/>
          <w:marBottom w:val="0"/>
          <w:divBdr>
            <w:top w:val="none" w:sz="0" w:space="0" w:color="auto"/>
            <w:left w:val="none" w:sz="0" w:space="0" w:color="auto"/>
            <w:bottom w:val="none" w:sz="0" w:space="0" w:color="auto"/>
            <w:right w:val="none" w:sz="0" w:space="0" w:color="auto"/>
          </w:divBdr>
          <w:divsChild>
            <w:div w:id="475607337">
              <w:marLeft w:val="0"/>
              <w:marRight w:val="0"/>
              <w:marTop w:val="0"/>
              <w:marBottom w:val="0"/>
              <w:divBdr>
                <w:top w:val="none" w:sz="0" w:space="0" w:color="auto"/>
                <w:left w:val="none" w:sz="0" w:space="0" w:color="auto"/>
                <w:bottom w:val="none" w:sz="0" w:space="0" w:color="auto"/>
                <w:right w:val="none" w:sz="0" w:space="0" w:color="auto"/>
              </w:divBdr>
            </w:div>
          </w:divsChild>
        </w:div>
        <w:div w:id="78060842">
          <w:marLeft w:val="0"/>
          <w:marRight w:val="0"/>
          <w:marTop w:val="0"/>
          <w:marBottom w:val="0"/>
          <w:divBdr>
            <w:top w:val="none" w:sz="0" w:space="0" w:color="auto"/>
            <w:left w:val="none" w:sz="0" w:space="0" w:color="auto"/>
            <w:bottom w:val="none" w:sz="0" w:space="0" w:color="auto"/>
            <w:right w:val="none" w:sz="0" w:space="0" w:color="auto"/>
          </w:divBdr>
          <w:divsChild>
            <w:div w:id="3944725">
              <w:marLeft w:val="0"/>
              <w:marRight w:val="0"/>
              <w:marTop w:val="0"/>
              <w:marBottom w:val="0"/>
              <w:divBdr>
                <w:top w:val="none" w:sz="0" w:space="0" w:color="auto"/>
                <w:left w:val="none" w:sz="0" w:space="0" w:color="auto"/>
                <w:bottom w:val="none" w:sz="0" w:space="0" w:color="auto"/>
                <w:right w:val="none" w:sz="0" w:space="0" w:color="auto"/>
              </w:divBdr>
            </w:div>
          </w:divsChild>
        </w:div>
        <w:div w:id="322658794">
          <w:marLeft w:val="0"/>
          <w:marRight w:val="0"/>
          <w:marTop w:val="0"/>
          <w:marBottom w:val="0"/>
          <w:divBdr>
            <w:top w:val="none" w:sz="0" w:space="0" w:color="auto"/>
            <w:left w:val="none" w:sz="0" w:space="0" w:color="auto"/>
            <w:bottom w:val="none" w:sz="0" w:space="0" w:color="auto"/>
            <w:right w:val="none" w:sz="0" w:space="0" w:color="auto"/>
          </w:divBdr>
          <w:divsChild>
            <w:div w:id="892429463">
              <w:marLeft w:val="0"/>
              <w:marRight w:val="0"/>
              <w:marTop w:val="0"/>
              <w:marBottom w:val="0"/>
              <w:divBdr>
                <w:top w:val="none" w:sz="0" w:space="0" w:color="auto"/>
                <w:left w:val="none" w:sz="0" w:space="0" w:color="auto"/>
                <w:bottom w:val="none" w:sz="0" w:space="0" w:color="auto"/>
                <w:right w:val="none" w:sz="0" w:space="0" w:color="auto"/>
              </w:divBdr>
            </w:div>
          </w:divsChild>
        </w:div>
        <w:div w:id="333000190">
          <w:marLeft w:val="0"/>
          <w:marRight w:val="0"/>
          <w:marTop w:val="0"/>
          <w:marBottom w:val="0"/>
          <w:divBdr>
            <w:top w:val="none" w:sz="0" w:space="0" w:color="auto"/>
            <w:left w:val="none" w:sz="0" w:space="0" w:color="auto"/>
            <w:bottom w:val="none" w:sz="0" w:space="0" w:color="auto"/>
            <w:right w:val="none" w:sz="0" w:space="0" w:color="auto"/>
          </w:divBdr>
          <w:divsChild>
            <w:div w:id="1319649365">
              <w:marLeft w:val="0"/>
              <w:marRight w:val="0"/>
              <w:marTop w:val="0"/>
              <w:marBottom w:val="0"/>
              <w:divBdr>
                <w:top w:val="none" w:sz="0" w:space="0" w:color="auto"/>
                <w:left w:val="none" w:sz="0" w:space="0" w:color="auto"/>
                <w:bottom w:val="none" w:sz="0" w:space="0" w:color="auto"/>
                <w:right w:val="none" w:sz="0" w:space="0" w:color="auto"/>
              </w:divBdr>
            </w:div>
          </w:divsChild>
        </w:div>
        <w:div w:id="617567210">
          <w:marLeft w:val="0"/>
          <w:marRight w:val="0"/>
          <w:marTop w:val="0"/>
          <w:marBottom w:val="0"/>
          <w:divBdr>
            <w:top w:val="none" w:sz="0" w:space="0" w:color="auto"/>
            <w:left w:val="none" w:sz="0" w:space="0" w:color="auto"/>
            <w:bottom w:val="none" w:sz="0" w:space="0" w:color="auto"/>
            <w:right w:val="none" w:sz="0" w:space="0" w:color="auto"/>
          </w:divBdr>
          <w:divsChild>
            <w:div w:id="261686453">
              <w:marLeft w:val="0"/>
              <w:marRight w:val="0"/>
              <w:marTop w:val="0"/>
              <w:marBottom w:val="0"/>
              <w:divBdr>
                <w:top w:val="none" w:sz="0" w:space="0" w:color="auto"/>
                <w:left w:val="none" w:sz="0" w:space="0" w:color="auto"/>
                <w:bottom w:val="none" w:sz="0" w:space="0" w:color="auto"/>
                <w:right w:val="none" w:sz="0" w:space="0" w:color="auto"/>
              </w:divBdr>
            </w:div>
          </w:divsChild>
        </w:div>
        <w:div w:id="773289172">
          <w:marLeft w:val="0"/>
          <w:marRight w:val="0"/>
          <w:marTop w:val="0"/>
          <w:marBottom w:val="0"/>
          <w:divBdr>
            <w:top w:val="none" w:sz="0" w:space="0" w:color="auto"/>
            <w:left w:val="none" w:sz="0" w:space="0" w:color="auto"/>
            <w:bottom w:val="none" w:sz="0" w:space="0" w:color="auto"/>
            <w:right w:val="none" w:sz="0" w:space="0" w:color="auto"/>
          </w:divBdr>
          <w:divsChild>
            <w:div w:id="409616293">
              <w:marLeft w:val="0"/>
              <w:marRight w:val="0"/>
              <w:marTop w:val="0"/>
              <w:marBottom w:val="0"/>
              <w:divBdr>
                <w:top w:val="none" w:sz="0" w:space="0" w:color="auto"/>
                <w:left w:val="none" w:sz="0" w:space="0" w:color="auto"/>
                <w:bottom w:val="none" w:sz="0" w:space="0" w:color="auto"/>
                <w:right w:val="none" w:sz="0" w:space="0" w:color="auto"/>
              </w:divBdr>
            </w:div>
          </w:divsChild>
        </w:div>
        <w:div w:id="825786098">
          <w:marLeft w:val="0"/>
          <w:marRight w:val="0"/>
          <w:marTop w:val="0"/>
          <w:marBottom w:val="0"/>
          <w:divBdr>
            <w:top w:val="none" w:sz="0" w:space="0" w:color="auto"/>
            <w:left w:val="none" w:sz="0" w:space="0" w:color="auto"/>
            <w:bottom w:val="none" w:sz="0" w:space="0" w:color="auto"/>
            <w:right w:val="none" w:sz="0" w:space="0" w:color="auto"/>
          </w:divBdr>
          <w:divsChild>
            <w:div w:id="438572268">
              <w:marLeft w:val="0"/>
              <w:marRight w:val="0"/>
              <w:marTop w:val="0"/>
              <w:marBottom w:val="0"/>
              <w:divBdr>
                <w:top w:val="none" w:sz="0" w:space="0" w:color="auto"/>
                <w:left w:val="none" w:sz="0" w:space="0" w:color="auto"/>
                <w:bottom w:val="none" w:sz="0" w:space="0" w:color="auto"/>
                <w:right w:val="none" w:sz="0" w:space="0" w:color="auto"/>
              </w:divBdr>
            </w:div>
          </w:divsChild>
        </w:div>
        <w:div w:id="973217691">
          <w:marLeft w:val="0"/>
          <w:marRight w:val="0"/>
          <w:marTop w:val="0"/>
          <w:marBottom w:val="0"/>
          <w:divBdr>
            <w:top w:val="none" w:sz="0" w:space="0" w:color="auto"/>
            <w:left w:val="none" w:sz="0" w:space="0" w:color="auto"/>
            <w:bottom w:val="none" w:sz="0" w:space="0" w:color="auto"/>
            <w:right w:val="none" w:sz="0" w:space="0" w:color="auto"/>
          </w:divBdr>
          <w:divsChild>
            <w:div w:id="1043560274">
              <w:marLeft w:val="0"/>
              <w:marRight w:val="0"/>
              <w:marTop w:val="0"/>
              <w:marBottom w:val="0"/>
              <w:divBdr>
                <w:top w:val="none" w:sz="0" w:space="0" w:color="auto"/>
                <w:left w:val="none" w:sz="0" w:space="0" w:color="auto"/>
                <w:bottom w:val="none" w:sz="0" w:space="0" w:color="auto"/>
                <w:right w:val="none" w:sz="0" w:space="0" w:color="auto"/>
              </w:divBdr>
            </w:div>
          </w:divsChild>
        </w:div>
        <w:div w:id="1150365068">
          <w:marLeft w:val="0"/>
          <w:marRight w:val="0"/>
          <w:marTop w:val="0"/>
          <w:marBottom w:val="0"/>
          <w:divBdr>
            <w:top w:val="none" w:sz="0" w:space="0" w:color="auto"/>
            <w:left w:val="none" w:sz="0" w:space="0" w:color="auto"/>
            <w:bottom w:val="none" w:sz="0" w:space="0" w:color="auto"/>
            <w:right w:val="none" w:sz="0" w:space="0" w:color="auto"/>
          </w:divBdr>
          <w:divsChild>
            <w:div w:id="1786077953">
              <w:marLeft w:val="0"/>
              <w:marRight w:val="0"/>
              <w:marTop w:val="0"/>
              <w:marBottom w:val="0"/>
              <w:divBdr>
                <w:top w:val="none" w:sz="0" w:space="0" w:color="auto"/>
                <w:left w:val="none" w:sz="0" w:space="0" w:color="auto"/>
                <w:bottom w:val="none" w:sz="0" w:space="0" w:color="auto"/>
                <w:right w:val="none" w:sz="0" w:space="0" w:color="auto"/>
              </w:divBdr>
            </w:div>
          </w:divsChild>
        </w:div>
        <w:div w:id="1187596023">
          <w:marLeft w:val="0"/>
          <w:marRight w:val="0"/>
          <w:marTop w:val="0"/>
          <w:marBottom w:val="0"/>
          <w:divBdr>
            <w:top w:val="none" w:sz="0" w:space="0" w:color="auto"/>
            <w:left w:val="none" w:sz="0" w:space="0" w:color="auto"/>
            <w:bottom w:val="none" w:sz="0" w:space="0" w:color="auto"/>
            <w:right w:val="none" w:sz="0" w:space="0" w:color="auto"/>
          </w:divBdr>
          <w:divsChild>
            <w:div w:id="289475443">
              <w:marLeft w:val="0"/>
              <w:marRight w:val="0"/>
              <w:marTop w:val="0"/>
              <w:marBottom w:val="0"/>
              <w:divBdr>
                <w:top w:val="none" w:sz="0" w:space="0" w:color="auto"/>
                <w:left w:val="none" w:sz="0" w:space="0" w:color="auto"/>
                <w:bottom w:val="none" w:sz="0" w:space="0" w:color="auto"/>
                <w:right w:val="none" w:sz="0" w:space="0" w:color="auto"/>
              </w:divBdr>
            </w:div>
          </w:divsChild>
        </w:div>
        <w:div w:id="1281491528">
          <w:marLeft w:val="0"/>
          <w:marRight w:val="0"/>
          <w:marTop w:val="0"/>
          <w:marBottom w:val="0"/>
          <w:divBdr>
            <w:top w:val="none" w:sz="0" w:space="0" w:color="auto"/>
            <w:left w:val="none" w:sz="0" w:space="0" w:color="auto"/>
            <w:bottom w:val="none" w:sz="0" w:space="0" w:color="auto"/>
            <w:right w:val="none" w:sz="0" w:space="0" w:color="auto"/>
          </w:divBdr>
          <w:divsChild>
            <w:div w:id="1857301682">
              <w:marLeft w:val="0"/>
              <w:marRight w:val="0"/>
              <w:marTop w:val="0"/>
              <w:marBottom w:val="0"/>
              <w:divBdr>
                <w:top w:val="none" w:sz="0" w:space="0" w:color="auto"/>
                <w:left w:val="none" w:sz="0" w:space="0" w:color="auto"/>
                <w:bottom w:val="none" w:sz="0" w:space="0" w:color="auto"/>
                <w:right w:val="none" w:sz="0" w:space="0" w:color="auto"/>
              </w:divBdr>
            </w:div>
          </w:divsChild>
        </w:div>
        <w:div w:id="1412701463">
          <w:marLeft w:val="0"/>
          <w:marRight w:val="0"/>
          <w:marTop w:val="0"/>
          <w:marBottom w:val="0"/>
          <w:divBdr>
            <w:top w:val="none" w:sz="0" w:space="0" w:color="auto"/>
            <w:left w:val="none" w:sz="0" w:space="0" w:color="auto"/>
            <w:bottom w:val="none" w:sz="0" w:space="0" w:color="auto"/>
            <w:right w:val="none" w:sz="0" w:space="0" w:color="auto"/>
          </w:divBdr>
          <w:divsChild>
            <w:div w:id="1574272905">
              <w:marLeft w:val="0"/>
              <w:marRight w:val="0"/>
              <w:marTop w:val="0"/>
              <w:marBottom w:val="0"/>
              <w:divBdr>
                <w:top w:val="none" w:sz="0" w:space="0" w:color="auto"/>
                <w:left w:val="none" w:sz="0" w:space="0" w:color="auto"/>
                <w:bottom w:val="none" w:sz="0" w:space="0" w:color="auto"/>
                <w:right w:val="none" w:sz="0" w:space="0" w:color="auto"/>
              </w:divBdr>
            </w:div>
          </w:divsChild>
        </w:div>
        <w:div w:id="1569221558">
          <w:marLeft w:val="0"/>
          <w:marRight w:val="0"/>
          <w:marTop w:val="0"/>
          <w:marBottom w:val="0"/>
          <w:divBdr>
            <w:top w:val="none" w:sz="0" w:space="0" w:color="auto"/>
            <w:left w:val="none" w:sz="0" w:space="0" w:color="auto"/>
            <w:bottom w:val="none" w:sz="0" w:space="0" w:color="auto"/>
            <w:right w:val="none" w:sz="0" w:space="0" w:color="auto"/>
          </w:divBdr>
          <w:divsChild>
            <w:div w:id="614602679">
              <w:marLeft w:val="0"/>
              <w:marRight w:val="0"/>
              <w:marTop w:val="0"/>
              <w:marBottom w:val="0"/>
              <w:divBdr>
                <w:top w:val="none" w:sz="0" w:space="0" w:color="auto"/>
                <w:left w:val="none" w:sz="0" w:space="0" w:color="auto"/>
                <w:bottom w:val="none" w:sz="0" w:space="0" w:color="auto"/>
                <w:right w:val="none" w:sz="0" w:space="0" w:color="auto"/>
              </w:divBdr>
            </w:div>
          </w:divsChild>
        </w:div>
        <w:div w:id="1622154680">
          <w:marLeft w:val="0"/>
          <w:marRight w:val="0"/>
          <w:marTop w:val="0"/>
          <w:marBottom w:val="0"/>
          <w:divBdr>
            <w:top w:val="none" w:sz="0" w:space="0" w:color="auto"/>
            <w:left w:val="none" w:sz="0" w:space="0" w:color="auto"/>
            <w:bottom w:val="none" w:sz="0" w:space="0" w:color="auto"/>
            <w:right w:val="none" w:sz="0" w:space="0" w:color="auto"/>
          </w:divBdr>
          <w:divsChild>
            <w:div w:id="1119375188">
              <w:marLeft w:val="0"/>
              <w:marRight w:val="0"/>
              <w:marTop w:val="0"/>
              <w:marBottom w:val="0"/>
              <w:divBdr>
                <w:top w:val="none" w:sz="0" w:space="0" w:color="auto"/>
                <w:left w:val="none" w:sz="0" w:space="0" w:color="auto"/>
                <w:bottom w:val="none" w:sz="0" w:space="0" w:color="auto"/>
                <w:right w:val="none" w:sz="0" w:space="0" w:color="auto"/>
              </w:divBdr>
            </w:div>
          </w:divsChild>
        </w:div>
        <w:div w:id="1686788074">
          <w:marLeft w:val="0"/>
          <w:marRight w:val="0"/>
          <w:marTop w:val="0"/>
          <w:marBottom w:val="0"/>
          <w:divBdr>
            <w:top w:val="none" w:sz="0" w:space="0" w:color="auto"/>
            <w:left w:val="none" w:sz="0" w:space="0" w:color="auto"/>
            <w:bottom w:val="none" w:sz="0" w:space="0" w:color="auto"/>
            <w:right w:val="none" w:sz="0" w:space="0" w:color="auto"/>
          </w:divBdr>
          <w:divsChild>
            <w:div w:id="2000888086">
              <w:marLeft w:val="0"/>
              <w:marRight w:val="0"/>
              <w:marTop w:val="0"/>
              <w:marBottom w:val="0"/>
              <w:divBdr>
                <w:top w:val="none" w:sz="0" w:space="0" w:color="auto"/>
                <w:left w:val="none" w:sz="0" w:space="0" w:color="auto"/>
                <w:bottom w:val="none" w:sz="0" w:space="0" w:color="auto"/>
                <w:right w:val="none" w:sz="0" w:space="0" w:color="auto"/>
              </w:divBdr>
            </w:div>
          </w:divsChild>
        </w:div>
        <w:div w:id="1733194434">
          <w:marLeft w:val="0"/>
          <w:marRight w:val="0"/>
          <w:marTop w:val="0"/>
          <w:marBottom w:val="0"/>
          <w:divBdr>
            <w:top w:val="none" w:sz="0" w:space="0" w:color="auto"/>
            <w:left w:val="none" w:sz="0" w:space="0" w:color="auto"/>
            <w:bottom w:val="none" w:sz="0" w:space="0" w:color="auto"/>
            <w:right w:val="none" w:sz="0" w:space="0" w:color="auto"/>
          </w:divBdr>
          <w:divsChild>
            <w:div w:id="1076440313">
              <w:marLeft w:val="0"/>
              <w:marRight w:val="0"/>
              <w:marTop w:val="0"/>
              <w:marBottom w:val="0"/>
              <w:divBdr>
                <w:top w:val="none" w:sz="0" w:space="0" w:color="auto"/>
                <w:left w:val="none" w:sz="0" w:space="0" w:color="auto"/>
                <w:bottom w:val="none" w:sz="0" w:space="0" w:color="auto"/>
                <w:right w:val="none" w:sz="0" w:space="0" w:color="auto"/>
              </w:divBdr>
            </w:div>
          </w:divsChild>
        </w:div>
        <w:div w:id="1800610863">
          <w:marLeft w:val="0"/>
          <w:marRight w:val="0"/>
          <w:marTop w:val="0"/>
          <w:marBottom w:val="0"/>
          <w:divBdr>
            <w:top w:val="none" w:sz="0" w:space="0" w:color="auto"/>
            <w:left w:val="none" w:sz="0" w:space="0" w:color="auto"/>
            <w:bottom w:val="none" w:sz="0" w:space="0" w:color="auto"/>
            <w:right w:val="none" w:sz="0" w:space="0" w:color="auto"/>
          </w:divBdr>
          <w:divsChild>
            <w:div w:id="1109659645">
              <w:marLeft w:val="0"/>
              <w:marRight w:val="0"/>
              <w:marTop w:val="0"/>
              <w:marBottom w:val="0"/>
              <w:divBdr>
                <w:top w:val="none" w:sz="0" w:space="0" w:color="auto"/>
                <w:left w:val="none" w:sz="0" w:space="0" w:color="auto"/>
                <w:bottom w:val="none" w:sz="0" w:space="0" w:color="auto"/>
                <w:right w:val="none" w:sz="0" w:space="0" w:color="auto"/>
              </w:divBdr>
            </w:div>
          </w:divsChild>
        </w:div>
        <w:div w:id="1815680695">
          <w:marLeft w:val="0"/>
          <w:marRight w:val="0"/>
          <w:marTop w:val="0"/>
          <w:marBottom w:val="0"/>
          <w:divBdr>
            <w:top w:val="none" w:sz="0" w:space="0" w:color="auto"/>
            <w:left w:val="none" w:sz="0" w:space="0" w:color="auto"/>
            <w:bottom w:val="none" w:sz="0" w:space="0" w:color="auto"/>
            <w:right w:val="none" w:sz="0" w:space="0" w:color="auto"/>
          </w:divBdr>
          <w:divsChild>
            <w:div w:id="172766558">
              <w:marLeft w:val="0"/>
              <w:marRight w:val="0"/>
              <w:marTop w:val="0"/>
              <w:marBottom w:val="0"/>
              <w:divBdr>
                <w:top w:val="none" w:sz="0" w:space="0" w:color="auto"/>
                <w:left w:val="none" w:sz="0" w:space="0" w:color="auto"/>
                <w:bottom w:val="none" w:sz="0" w:space="0" w:color="auto"/>
                <w:right w:val="none" w:sz="0" w:space="0" w:color="auto"/>
              </w:divBdr>
            </w:div>
          </w:divsChild>
        </w:div>
        <w:div w:id="2093891769">
          <w:marLeft w:val="0"/>
          <w:marRight w:val="0"/>
          <w:marTop w:val="0"/>
          <w:marBottom w:val="0"/>
          <w:divBdr>
            <w:top w:val="none" w:sz="0" w:space="0" w:color="auto"/>
            <w:left w:val="none" w:sz="0" w:space="0" w:color="auto"/>
            <w:bottom w:val="none" w:sz="0" w:space="0" w:color="auto"/>
            <w:right w:val="none" w:sz="0" w:space="0" w:color="auto"/>
          </w:divBdr>
          <w:divsChild>
            <w:div w:id="388462977">
              <w:marLeft w:val="0"/>
              <w:marRight w:val="0"/>
              <w:marTop w:val="0"/>
              <w:marBottom w:val="0"/>
              <w:divBdr>
                <w:top w:val="none" w:sz="0" w:space="0" w:color="auto"/>
                <w:left w:val="none" w:sz="0" w:space="0" w:color="auto"/>
                <w:bottom w:val="none" w:sz="0" w:space="0" w:color="auto"/>
                <w:right w:val="none" w:sz="0" w:space="0" w:color="auto"/>
              </w:divBdr>
            </w:div>
          </w:divsChild>
        </w:div>
        <w:div w:id="2138600588">
          <w:marLeft w:val="0"/>
          <w:marRight w:val="0"/>
          <w:marTop w:val="0"/>
          <w:marBottom w:val="0"/>
          <w:divBdr>
            <w:top w:val="none" w:sz="0" w:space="0" w:color="auto"/>
            <w:left w:val="none" w:sz="0" w:space="0" w:color="auto"/>
            <w:bottom w:val="none" w:sz="0" w:space="0" w:color="auto"/>
            <w:right w:val="none" w:sz="0" w:space="0" w:color="auto"/>
          </w:divBdr>
          <w:divsChild>
            <w:div w:id="5555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9720">
      <w:bodyDiv w:val="1"/>
      <w:marLeft w:val="0"/>
      <w:marRight w:val="0"/>
      <w:marTop w:val="0"/>
      <w:marBottom w:val="0"/>
      <w:divBdr>
        <w:top w:val="none" w:sz="0" w:space="0" w:color="auto"/>
        <w:left w:val="none" w:sz="0" w:space="0" w:color="auto"/>
        <w:bottom w:val="none" w:sz="0" w:space="0" w:color="auto"/>
        <w:right w:val="none" w:sz="0" w:space="0" w:color="auto"/>
      </w:divBdr>
    </w:div>
    <w:div w:id="643193264">
      <w:bodyDiv w:val="1"/>
      <w:marLeft w:val="0"/>
      <w:marRight w:val="0"/>
      <w:marTop w:val="0"/>
      <w:marBottom w:val="0"/>
      <w:divBdr>
        <w:top w:val="none" w:sz="0" w:space="0" w:color="auto"/>
        <w:left w:val="none" w:sz="0" w:space="0" w:color="auto"/>
        <w:bottom w:val="none" w:sz="0" w:space="0" w:color="auto"/>
        <w:right w:val="none" w:sz="0" w:space="0" w:color="auto"/>
      </w:divBdr>
    </w:div>
    <w:div w:id="643703762">
      <w:bodyDiv w:val="1"/>
      <w:marLeft w:val="0"/>
      <w:marRight w:val="0"/>
      <w:marTop w:val="0"/>
      <w:marBottom w:val="0"/>
      <w:divBdr>
        <w:top w:val="none" w:sz="0" w:space="0" w:color="auto"/>
        <w:left w:val="none" w:sz="0" w:space="0" w:color="auto"/>
        <w:bottom w:val="none" w:sz="0" w:space="0" w:color="auto"/>
        <w:right w:val="none" w:sz="0" w:space="0" w:color="auto"/>
      </w:divBdr>
    </w:div>
    <w:div w:id="648746712">
      <w:bodyDiv w:val="1"/>
      <w:marLeft w:val="0"/>
      <w:marRight w:val="0"/>
      <w:marTop w:val="0"/>
      <w:marBottom w:val="0"/>
      <w:divBdr>
        <w:top w:val="none" w:sz="0" w:space="0" w:color="auto"/>
        <w:left w:val="none" w:sz="0" w:space="0" w:color="auto"/>
        <w:bottom w:val="none" w:sz="0" w:space="0" w:color="auto"/>
        <w:right w:val="none" w:sz="0" w:space="0" w:color="auto"/>
      </w:divBdr>
    </w:div>
    <w:div w:id="652954774">
      <w:bodyDiv w:val="1"/>
      <w:marLeft w:val="0"/>
      <w:marRight w:val="0"/>
      <w:marTop w:val="0"/>
      <w:marBottom w:val="0"/>
      <w:divBdr>
        <w:top w:val="none" w:sz="0" w:space="0" w:color="auto"/>
        <w:left w:val="none" w:sz="0" w:space="0" w:color="auto"/>
        <w:bottom w:val="none" w:sz="0" w:space="0" w:color="auto"/>
        <w:right w:val="none" w:sz="0" w:space="0" w:color="auto"/>
      </w:divBdr>
    </w:div>
    <w:div w:id="655232617">
      <w:bodyDiv w:val="1"/>
      <w:marLeft w:val="0"/>
      <w:marRight w:val="0"/>
      <w:marTop w:val="0"/>
      <w:marBottom w:val="0"/>
      <w:divBdr>
        <w:top w:val="none" w:sz="0" w:space="0" w:color="auto"/>
        <w:left w:val="none" w:sz="0" w:space="0" w:color="auto"/>
        <w:bottom w:val="none" w:sz="0" w:space="0" w:color="auto"/>
        <w:right w:val="none" w:sz="0" w:space="0" w:color="auto"/>
      </w:divBdr>
    </w:div>
    <w:div w:id="673650166">
      <w:bodyDiv w:val="1"/>
      <w:marLeft w:val="0"/>
      <w:marRight w:val="0"/>
      <w:marTop w:val="0"/>
      <w:marBottom w:val="0"/>
      <w:divBdr>
        <w:top w:val="none" w:sz="0" w:space="0" w:color="auto"/>
        <w:left w:val="none" w:sz="0" w:space="0" w:color="auto"/>
        <w:bottom w:val="none" w:sz="0" w:space="0" w:color="auto"/>
        <w:right w:val="none" w:sz="0" w:space="0" w:color="auto"/>
      </w:divBdr>
      <w:divsChild>
        <w:div w:id="1368793101">
          <w:marLeft w:val="0"/>
          <w:marRight w:val="0"/>
          <w:marTop w:val="0"/>
          <w:marBottom w:val="0"/>
          <w:divBdr>
            <w:top w:val="none" w:sz="0" w:space="0" w:color="auto"/>
            <w:left w:val="none" w:sz="0" w:space="0" w:color="auto"/>
            <w:bottom w:val="none" w:sz="0" w:space="0" w:color="auto"/>
            <w:right w:val="none" w:sz="0" w:space="0" w:color="auto"/>
          </w:divBdr>
        </w:div>
      </w:divsChild>
    </w:div>
    <w:div w:id="674573623">
      <w:bodyDiv w:val="1"/>
      <w:marLeft w:val="0"/>
      <w:marRight w:val="0"/>
      <w:marTop w:val="0"/>
      <w:marBottom w:val="0"/>
      <w:divBdr>
        <w:top w:val="none" w:sz="0" w:space="0" w:color="auto"/>
        <w:left w:val="none" w:sz="0" w:space="0" w:color="auto"/>
        <w:bottom w:val="none" w:sz="0" w:space="0" w:color="auto"/>
        <w:right w:val="none" w:sz="0" w:space="0" w:color="auto"/>
      </w:divBdr>
    </w:div>
    <w:div w:id="676539203">
      <w:bodyDiv w:val="1"/>
      <w:marLeft w:val="0"/>
      <w:marRight w:val="0"/>
      <w:marTop w:val="0"/>
      <w:marBottom w:val="0"/>
      <w:divBdr>
        <w:top w:val="none" w:sz="0" w:space="0" w:color="auto"/>
        <w:left w:val="none" w:sz="0" w:space="0" w:color="auto"/>
        <w:bottom w:val="none" w:sz="0" w:space="0" w:color="auto"/>
        <w:right w:val="none" w:sz="0" w:space="0" w:color="auto"/>
      </w:divBdr>
    </w:div>
    <w:div w:id="679741368">
      <w:bodyDiv w:val="1"/>
      <w:marLeft w:val="0"/>
      <w:marRight w:val="0"/>
      <w:marTop w:val="0"/>
      <w:marBottom w:val="0"/>
      <w:divBdr>
        <w:top w:val="none" w:sz="0" w:space="0" w:color="auto"/>
        <w:left w:val="none" w:sz="0" w:space="0" w:color="auto"/>
        <w:bottom w:val="none" w:sz="0" w:space="0" w:color="auto"/>
        <w:right w:val="none" w:sz="0" w:space="0" w:color="auto"/>
      </w:divBdr>
    </w:div>
    <w:div w:id="686906197">
      <w:bodyDiv w:val="1"/>
      <w:marLeft w:val="0"/>
      <w:marRight w:val="0"/>
      <w:marTop w:val="0"/>
      <w:marBottom w:val="0"/>
      <w:divBdr>
        <w:top w:val="none" w:sz="0" w:space="0" w:color="auto"/>
        <w:left w:val="none" w:sz="0" w:space="0" w:color="auto"/>
        <w:bottom w:val="none" w:sz="0" w:space="0" w:color="auto"/>
        <w:right w:val="none" w:sz="0" w:space="0" w:color="auto"/>
      </w:divBdr>
    </w:div>
    <w:div w:id="699285822">
      <w:bodyDiv w:val="1"/>
      <w:marLeft w:val="0"/>
      <w:marRight w:val="0"/>
      <w:marTop w:val="0"/>
      <w:marBottom w:val="0"/>
      <w:divBdr>
        <w:top w:val="none" w:sz="0" w:space="0" w:color="auto"/>
        <w:left w:val="none" w:sz="0" w:space="0" w:color="auto"/>
        <w:bottom w:val="none" w:sz="0" w:space="0" w:color="auto"/>
        <w:right w:val="none" w:sz="0" w:space="0" w:color="auto"/>
      </w:divBdr>
    </w:div>
    <w:div w:id="700056873">
      <w:bodyDiv w:val="1"/>
      <w:marLeft w:val="0"/>
      <w:marRight w:val="0"/>
      <w:marTop w:val="0"/>
      <w:marBottom w:val="0"/>
      <w:divBdr>
        <w:top w:val="none" w:sz="0" w:space="0" w:color="auto"/>
        <w:left w:val="none" w:sz="0" w:space="0" w:color="auto"/>
        <w:bottom w:val="none" w:sz="0" w:space="0" w:color="auto"/>
        <w:right w:val="none" w:sz="0" w:space="0" w:color="auto"/>
      </w:divBdr>
      <w:divsChild>
        <w:div w:id="869680471">
          <w:marLeft w:val="0"/>
          <w:marRight w:val="0"/>
          <w:marTop w:val="0"/>
          <w:marBottom w:val="0"/>
          <w:divBdr>
            <w:top w:val="none" w:sz="0" w:space="0" w:color="auto"/>
            <w:left w:val="none" w:sz="0" w:space="0" w:color="auto"/>
            <w:bottom w:val="none" w:sz="0" w:space="0" w:color="auto"/>
            <w:right w:val="none" w:sz="0" w:space="0" w:color="auto"/>
          </w:divBdr>
        </w:div>
      </w:divsChild>
    </w:div>
    <w:div w:id="710880922">
      <w:bodyDiv w:val="1"/>
      <w:marLeft w:val="0"/>
      <w:marRight w:val="0"/>
      <w:marTop w:val="0"/>
      <w:marBottom w:val="0"/>
      <w:divBdr>
        <w:top w:val="none" w:sz="0" w:space="0" w:color="auto"/>
        <w:left w:val="none" w:sz="0" w:space="0" w:color="auto"/>
        <w:bottom w:val="none" w:sz="0" w:space="0" w:color="auto"/>
        <w:right w:val="none" w:sz="0" w:space="0" w:color="auto"/>
      </w:divBdr>
      <w:divsChild>
        <w:div w:id="9529066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5281406">
      <w:bodyDiv w:val="1"/>
      <w:marLeft w:val="0"/>
      <w:marRight w:val="0"/>
      <w:marTop w:val="0"/>
      <w:marBottom w:val="0"/>
      <w:divBdr>
        <w:top w:val="none" w:sz="0" w:space="0" w:color="auto"/>
        <w:left w:val="none" w:sz="0" w:space="0" w:color="auto"/>
        <w:bottom w:val="none" w:sz="0" w:space="0" w:color="auto"/>
        <w:right w:val="none" w:sz="0" w:space="0" w:color="auto"/>
      </w:divBdr>
    </w:div>
    <w:div w:id="723916356">
      <w:bodyDiv w:val="1"/>
      <w:marLeft w:val="0"/>
      <w:marRight w:val="0"/>
      <w:marTop w:val="0"/>
      <w:marBottom w:val="0"/>
      <w:divBdr>
        <w:top w:val="none" w:sz="0" w:space="0" w:color="auto"/>
        <w:left w:val="none" w:sz="0" w:space="0" w:color="auto"/>
        <w:bottom w:val="none" w:sz="0" w:space="0" w:color="auto"/>
        <w:right w:val="none" w:sz="0" w:space="0" w:color="auto"/>
      </w:divBdr>
    </w:div>
    <w:div w:id="725303639">
      <w:bodyDiv w:val="1"/>
      <w:marLeft w:val="0"/>
      <w:marRight w:val="0"/>
      <w:marTop w:val="0"/>
      <w:marBottom w:val="0"/>
      <w:divBdr>
        <w:top w:val="none" w:sz="0" w:space="0" w:color="auto"/>
        <w:left w:val="none" w:sz="0" w:space="0" w:color="auto"/>
        <w:bottom w:val="none" w:sz="0" w:space="0" w:color="auto"/>
        <w:right w:val="none" w:sz="0" w:space="0" w:color="auto"/>
      </w:divBdr>
    </w:div>
    <w:div w:id="765225349">
      <w:bodyDiv w:val="1"/>
      <w:marLeft w:val="0"/>
      <w:marRight w:val="0"/>
      <w:marTop w:val="0"/>
      <w:marBottom w:val="0"/>
      <w:divBdr>
        <w:top w:val="none" w:sz="0" w:space="0" w:color="auto"/>
        <w:left w:val="none" w:sz="0" w:space="0" w:color="auto"/>
        <w:bottom w:val="none" w:sz="0" w:space="0" w:color="auto"/>
        <w:right w:val="none" w:sz="0" w:space="0" w:color="auto"/>
      </w:divBdr>
      <w:divsChild>
        <w:div w:id="1401252844">
          <w:marLeft w:val="0"/>
          <w:marRight w:val="0"/>
          <w:marTop w:val="0"/>
          <w:marBottom w:val="0"/>
          <w:divBdr>
            <w:top w:val="none" w:sz="0" w:space="0" w:color="auto"/>
            <w:left w:val="none" w:sz="0" w:space="0" w:color="auto"/>
            <w:bottom w:val="none" w:sz="0" w:space="0" w:color="auto"/>
            <w:right w:val="none" w:sz="0" w:space="0" w:color="auto"/>
          </w:divBdr>
        </w:div>
        <w:div w:id="1635988521">
          <w:marLeft w:val="0"/>
          <w:marRight w:val="0"/>
          <w:marTop w:val="0"/>
          <w:marBottom w:val="0"/>
          <w:divBdr>
            <w:top w:val="none" w:sz="0" w:space="0" w:color="auto"/>
            <w:left w:val="none" w:sz="0" w:space="0" w:color="auto"/>
            <w:bottom w:val="none" w:sz="0" w:space="0" w:color="auto"/>
            <w:right w:val="none" w:sz="0" w:space="0" w:color="auto"/>
          </w:divBdr>
        </w:div>
      </w:divsChild>
    </w:div>
    <w:div w:id="783382939">
      <w:bodyDiv w:val="1"/>
      <w:marLeft w:val="0"/>
      <w:marRight w:val="0"/>
      <w:marTop w:val="0"/>
      <w:marBottom w:val="0"/>
      <w:divBdr>
        <w:top w:val="none" w:sz="0" w:space="0" w:color="auto"/>
        <w:left w:val="none" w:sz="0" w:space="0" w:color="auto"/>
        <w:bottom w:val="none" w:sz="0" w:space="0" w:color="auto"/>
        <w:right w:val="none" w:sz="0" w:space="0" w:color="auto"/>
      </w:divBdr>
    </w:div>
    <w:div w:id="786434810">
      <w:bodyDiv w:val="1"/>
      <w:marLeft w:val="0"/>
      <w:marRight w:val="0"/>
      <w:marTop w:val="0"/>
      <w:marBottom w:val="0"/>
      <w:divBdr>
        <w:top w:val="none" w:sz="0" w:space="0" w:color="auto"/>
        <w:left w:val="none" w:sz="0" w:space="0" w:color="auto"/>
        <w:bottom w:val="none" w:sz="0" w:space="0" w:color="auto"/>
        <w:right w:val="none" w:sz="0" w:space="0" w:color="auto"/>
      </w:divBdr>
    </w:div>
    <w:div w:id="787704363">
      <w:bodyDiv w:val="1"/>
      <w:marLeft w:val="0"/>
      <w:marRight w:val="0"/>
      <w:marTop w:val="0"/>
      <w:marBottom w:val="0"/>
      <w:divBdr>
        <w:top w:val="none" w:sz="0" w:space="0" w:color="auto"/>
        <w:left w:val="none" w:sz="0" w:space="0" w:color="auto"/>
        <w:bottom w:val="none" w:sz="0" w:space="0" w:color="auto"/>
        <w:right w:val="none" w:sz="0" w:space="0" w:color="auto"/>
      </w:divBdr>
    </w:div>
    <w:div w:id="814879586">
      <w:bodyDiv w:val="1"/>
      <w:marLeft w:val="0"/>
      <w:marRight w:val="0"/>
      <w:marTop w:val="0"/>
      <w:marBottom w:val="0"/>
      <w:divBdr>
        <w:top w:val="none" w:sz="0" w:space="0" w:color="auto"/>
        <w:left w:val="none" w:sz="0" w:space="0" w:color="auto"/>
        <w:bottom w:val="none" w:sz="0" w:space="0" w:color="auto"/>
        <w:right w:val="none" w:sz="0" w:space="0" w:color="auto"/>
      </w:divBdr>
    </w:div>
    <w:div w:id="828134938">
      <w:bodyDiv w:val="1"/>
      <w:marLeft w:val="0"/>
      <w:marRight w:val="0"/>
      <w:marTop w:val="0"/>
      <w:marBottom w:val="0"/>
      <w:divBdr>
        <w:top w:val="none" w:sz="0" w:space="0" w:color="auto"/>
        <w:left w:val="none" w:sz="0" w:space="0" w:color="auto"/>
        <w:bottom w:val="none" w:sz="0" w:space="0" w:color="auto"/>
        <w:right w:val="none" w:sz="0" w:space="0" w:color="auto"/>
      </w:divBdr>
    </w:div>
    <w:div w:id="830831557">
      <w:bodyDiv w:val="1"/>
      <w:marLeft w:val="0"/>
      <w:marRight w:val="0"/>
      <w:marTop w:val="0"/>
      <w:marBottom w:val="0"/>
      <w:divBdr>
        <w:top w:val="none" w:sz="0" w:space="0" w:color="auto"/>
        <w:left w:val="none" w:sz="0" w:space="0" w:color="auto"/>
        <w:bottom w:val="none" w:sz="0" w:space="0" w:color="auto"/>
        <w:right w:val="none" w:sz="0" w:space="0" w:color="auto"/>
      </w:divBdr>
      <w:divsChild>
        <w:div w:id="10427066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4542807">
      <w:bodyDiv w:val="1"/>
      <w:marLeft w:val="0"/>
      <w:marRight w:val="0"/>
      <w:marTop w:val="0"/>
      <w:marBottom w:val="0"/>
      <w:divBdr>
        <w:top w:val="none" w:sz="0" w:space="0" w:color="auto"/>
        <w:left w:val="none" w:sz="0" w:space="0" w:color="auto"/>
        <w:bottom w:val="none" w:sz="0" w:space="0" w:color="auto"/>
        <w:right w:val="none" w:sz="0" w:space="0" w:color="auto"/>
      </w:divBdr>
      <w:divsChild>
        <w:div w:id="1254974205">
          <w:marLeft w:val="0"/>
          <w:marRight w:val="0"/>
          <w:marTop w:val="0"/>
          <w:marBottom w:val="0"/>
          <w:divBdr>
            <w:top w:val="none" w:sz="0" w:space="0" w:color="auto"/>
            <w:left w:val="none" w:sz="0" w:space="0" w:color="auto"/>
            <w:bottom w:val="none" w:sz="0" w:space="0" w:color="auto"/>
            <w:right w:val="none" w:sz="0" w:space="0" w:color="auto"/>
          </w:divBdr>
        </w:div>
      </w:divsChild>
    </w:div>
    <w:div w:id="866260824">
      <w:bodyDiv w:val="1"/>
      <w:marLeft w:val="0"/>
      <w:marRight w:val="0"/>
      <w:marTop w:val="0"/>
      <w:marBottom w:val="0"/>
      <w:divBdr>
        <w:top w:val="none" w:sz="0" w:space="0" w:color="auto"/>
        <w:left w:val="none" w:sz="0" w:space="0" w:color="auto"/>
        <w:bottom w:val="none" w:sz="0" w:space="0" w:color="auto"/>
        <w:right w:val="none" w:sz="0" w:space="0" w:color="auto"/>
      </w:divBdr>
    </w:div>
    <w:div w:id="870654649">
      <w:bodyDiv w:val="1"/>
      <w:marLeft w:val="0"/>
      <w:marRight w:val="0"/>
      <w:marTop w:val="0"/>
      <w:marBottom w:val="0"/>
      <w:divBdr>
        <w:top w:val="none" w:sz="0" w:space="0" w:color="auto"/>
        <w:left w:val="none" w:sz="0" w:space="0" w:color="auto"/>
        <w:bottom w:val="none" w:sz="0" w:space="0" w:color="auto"/>
        <w:right w:val="none" w:sz="0" w:space="0" w:color="auto"/>
      </w:divBdr>
    </w:div>
    <w:div w:id="891815885">
      <w:bodyDiv w:val="1"/>
      <w:marLeft w:val="0"/>
      <w:marRight w:val="0"/>
      <w:marTop w:val="0"/>
      <w:marBottom w:val="0"/>
      <w:divBdr>
        <w:top w:val="none" w:sz="0" w:space="0" w:color="auto"/>
        <w:left w:val="none" w:sz="0" w:space="0" w:color="auto"/>
        <w:bottom w:val="none" w:sz="0" w:space="0" w:color="auto"/>
        <w:right w:val="none" w:sz="0" w:space="0" w:color="auto"/>
      </w:divBdr>
    </w:div>
    <w:div w:id="897085223">
      <w:bodyDiv w:val="1"/>
      <w:marLeft w:val="0"/>
      <w:marRight w:val="0"/>
      <w:marTop w:val="0"/>
      <w:marBottom w:val="0"/>
      <w:divBdr>
        <w:top w:val="none" w:sz="0" w:space="0" w:color="auto"/>
        <w:left w:val="none" w:sz="0" w:space="0" w:color="auto"/>
        <w:bottom w:val="none" w:sz="0" w:space="0" w:color="auto"/>
        <w:right w:val="none" w:sz="0" w:space="0" w:color="auto"/>
      </w:divBdr>
      <w:divsChild>
        <w:div w:id="1657297691">
          <w:marLeft w:val="0"/>
          <w:marRight w:val="0"/>
          <w:marTop w:val="0"/>
          <w:marBottom w:val="0"/>
          <w:divBdr>
            <w:top w:val="none" w:sz="0" w:space="0" w:color="auto"/>
            <w:left w:val="none" w:sz="0" w:space="0" w:color="auto"/>
            <w:bottom w:val="none" w:sz="0" w:space="0" w:color="auto"/>
            <w:right w:val="none" w:sz="0" w:space="0" w:color="auto"/>
          </w:divBdr>
        </w:div>
      </w:divsChild>
    </w:div>
    <w:div w:id="919143458">
      <w:bodyDiv w:val="1"/>
      <w:marLeft w:val="0"/>
      <w:marRight w:val="0"/>
      <w:marTop w:val="0"/>
      <w:marBottom w:val="0"/>
      <w:divBdr>
        <w:top w:val="none" w:sz="0" w:space="0" w:color="auto"/>
        <w:left w:val="none" w:sz="0" w:space="0" w:color="auto"/>
        <w:bottom w:val="none" w:sz="0" w:space="0" w:color="auto"/>
        <w:right w:val="none" w:sz="0" w:space="0" w:color="auto"/>
      </w:divBdr>
    </w:div>
    <w:div w:id="924849722">
      <w:bodyDiv w:val="1"/>
      <w:marLeft w:val="0"/>
      <w:marRight w:val="0"/>
      <w:marTop w:val="0"/>
      <w:marBottom w:val="0"/>
      <w:divBdr>
        <w:top w:val="none" w:sz="0" w:space="0" w:color="auto"/>
        <w:left w:val="none" w:sz="0" w:space="0" w:color="auto"/>
        <w:bottom w:val="none" w:sz="0" w:space="0" w:color="auto"/>
        <w:right w:val="none" w:sz="0" w:space="0" w:color="auto"/>
      </w:divBdr>
    </w:div>
    <w:div w:id="933824288">
      <w:bodyDiv w:val="1"/>
      <w:marLeft w:val="0"/>
      <w:marRight w:val="0"/>
      <w:marTop w:val="0"/>
      <w:marBottom w:val="0"/>
      <w:divBdr>
        <w:top w:val="none" w:sz="0" w:space="0" w:color="auto"/>
        <w:left w:val="none" w:sz="0" w:space="0" w:color="auto"/>
        <w:bottom w:val="none" w:sz="0" w:space="0" w:color="auto"/>
        <w:right w:val="none" w:sz="0" w:space="0" w:color="auto"/>
      </w:divBdr>
    </w:div>
    <w:div w:id="944507378">
      <w:bodyDiv w:val="1"/>
      <w:marLeft w:val="0"/>
      <w:marRight w:val="0"/>
      <w:marTop w:val="0"/>
      <w:marBottom w:val="0"/>
      <w:divBdr>
        <w:top w:val="none" w:sz="0" w:space="0" w:color="auto"/>
        <w:left w:val="none" w:sz="0" w:space="0" w:color="auto"/>
        <w:bottom w:val="none" w:sz="0" w:space="0" w:color="auto"/>
        <w:right w:val="none" w:sz="0" w:space="0" w:color="auto"/>
      </w:divBdr>
      <w:divsChild>
        <w:div w:id="1007444321">
          <w:marLeft w:val="0"/>
          <w:marRight w:val="0"/>
          <w:marTop w:val="0"/>
          <w:marBottom w:val="0"/>
          <w:divBdr>
            <w:top w:val="none" w:sz="0" w:space="0" w:color="auto"/>
            <w:left w:val="none" w:sz="0" w:space="0" w:color="auto"/>
            <w:bottom w:val="none" w:sz="0" w:space="0" w:color="auto"/>
            <w:right w:val="none" w:sz="0" w:space="0" w:color="auto"/>
          </w:divBdr>
        </w:div>
        <w:div w:id="1428307497">
          <w:marLeft w:val="0"/>
          <w:marRight w:val="0"/>
          <w:marTop w:val="0"/>
          <w:marBottom w:val="0"/>
          <w:divBdr>
            <w:top w:val="none" w:sz="0" w:space="0" w:color="auto"/>
            <w:left w:val="none" w:sz="0" w:space="0" w:color="auto"/>
            <w:bottom w:val="none" w:sz="0" w:space="0" w:color="auto"/>
            <w:right w:val="none" w:sz="0" w:space="0" w:color="auto"/>
          </w:divBdr>
        </w:div>
        <w:div w:id="1542858657">
          <w:marLeft w:val="0"/>
          <w:marRight w:val="0"/>
          <w:marTop w:val="0"/>
          <w:marBottom w:val="0"/>
          <w:divBdr>
            <w:top w:val="none" w:sz="0" w:space="0" w:color="auto"/>
            <w:left w:val="none" w:sz="0" w:space="0" w:color="auto"/>
            <w:bottom w:val="none" w:sz="0" w:space="0" w:color="auto"/>
            <w:right w:val="none" w:sz="0" w:space="0" w:color="auto"/>
          </w:divBdr>
        </w:div>
      </w:divsChild>
    </w:div>
    <w:div w:id="960300574">
      <w:bodyDiv w:val="1"/>
      <w:marLeft w:val="0"/>
      <w:marRight w:val="0"/>
      <w:marTop w:val="0"/>
      <w:marBottom w:val="0"/>
      <w:divBdr>
        <w:top w:val="none" w:sz="0" w:space="0" w:color="auto"/>
        <w:left w:val="none" w:sz="0" w:space="0" w:color="auto"/>
        <w:bottom w:val="none" w:sz="0" w:space="0" w:color="auto"/>
        <w:right w:val="none" w:sz="0" w:space="0" w:color="auto"/>
      </w:divBdr>
    </w:div>
    <w:div w:id="966543847">
      <w:bodyDiv w:val="1"/>
      <w:marLeft w:val="0"/>
      <w:marRight w:val="0"/>
      <w:marTop w:val="0"/>
      <w:marBottom w:val="0"/>
      <w:divBdr>
        <w:top w:val="none" w:sz="0" w:space="0" w:color="auto"/>
        <w:left w:val="none" w:sz="0" w:space="0" w:color="auto"/>
        <w:bottom w:val="none" w:sz="0" w:space="0" w:color="auto"/>
        <w:right w:val="none" w:sz="0" w:space="0" w:color="auto"/>
      </w:divBdr>
    </w:div>
    <w:div w:id="978388173">
      <w:bodyDiv w:val="1"/>
      <w:marLeft w:val="0"/>
      <w:marRight w:val="0"/>
      <w:marTop w:val="0"/>
      <w:marBottom w:val="0"/>
      <w:divBdr>
        <w:top w:val="none" w:sz="0" w:space="0" w:color="auto"/>
        <w:left w:val="none" w:sz="0" w:space="0" w:color="auto"/>
        <w:bottom w:val="none" w:sz="0" w:space="0" w:color="auto"/>
        <w:right w:val="none" w:sz="0" w:space="0" w:color="auto"/>
      </w:divBdr>
    </w:div>
    <w:div w:id="997617346">
      <w:bodyDiv w:val="1"/>
      <w:marLeft w:val="0"/>
      <w:marRight w:val="0"/>
      <w:marTop w:val="0"/>
      <w:marBottom w:val="0"/>
      <w:divBdr>
        <w:top w:val="none" w:sz="0" w:space="0" w:color="auto"/>
        <w:left w:val="none" w:sz="0" w:space="0" w:color="auto"/>
        <w:bottom w:val="none" w:sz="0" w:space="0" w:color="auto"/>
        <w:right w:val="none" w:sz="0" w:space="0" w:color="auto"/>
      </w:divBdr>
      <w:divsChild>
        <w:div w:id="1981306350">
          <w:marLeft w:val="0"/>
          <w:marRight w:val="0"/>
          <w:marTop w:val="0"/>
          <w:marBottom w:val="0"/>
          <w:divBdr>
            <w:top w:val="none" w:sz="0" w:space="0" w:color="auto"/>
            <w:left w:val="none" w:sz="0" w:space="0" w:color="auto"/>
            <w:bottom w:val="none" w:sz="0" w:space="0" w:color="auto"/>
            <w:right w:val="none" w:sz="0" w:space="0" w:color="auto"/>
          </w:divBdr>
        </w:div>
      </w:divsChild>
    </w:div>
    <w:div w:id="1008823128">
      <w:bodyDiv w:val="1"/>
      <w:marLeft w:val="0"/>
      <w:marRight w:val="0"/>
      <w:marTop w:val="0"/>
      <w:marBottom w:val="0"/>
      <w:divBdr>
        <w:top w:val="none" w:sz="0" w:space="0" w:color="auto"/>
        <w:left w:val="none" w:sz="0" w:space="0" w:color="auto"/>
        <w:bottom w:val="none" w:sz="0" w:space="0" w:color="auto"/>
        <w:right w:val="none" w:sz="0" w:space="0" w:color="auto"/>
      </w:divBdr>
    </w:div>
    <w:div w:id="1009023326">
      <w:bodyDiv w:val="1"/>
      <w:marLeft w:val="0"/>
      <w:marRight w:val="0"/>
      <w:marTop w:val="0"/>
      <w:marBottom w:val="0"/>
      <w:divBdr>
        <w:top w:val="none" w:sz="0" w:space="0" w:color="auto"/>
        <w:left w:val="none" w:sz="0" w:space="0" w:color="auto"/>
        <w:bottom w:val="none" w:sz="0" w:space="0" w:color="auto"/>
        <w:right w:val="none" w:sz="0" w:space="0" w:color="auto"/>
      </w:divBdr>
    </w:div>
    <w:div w:id="1019043957">
      <w:bodyDiv w:val="1"/>
      <w:marLeft w:val="0"/>
      <w:marRight w:val="0"/>
      <w:marTop w:val="0"/>
      <w:marBottom w:val="0"/>
      <w:divBdr>
        <w:top w:val="none" w:sz="0" w:space="0" w:color="auto"/>
        <w:left w:val="none" w:sz="0" w:space="0" w:color="auto"/>
        <w:bottom w:val="none" w:sz="0" w:space="0" w:color="auto"/>
        <w:right w:val="none" w:sz="0" w:space="0" w:color="auto"/>
      </w:divBdr>
    </w:div>
    <w:div w:id="1020351869">
      <w:bodyDiv w:val="1"/>
      <w:marLeft w:val="0"/>
      <w:marRight w:val="0"/>
      <w:marTop w:val="0"/>
      <w:marBottom w:val="0"/>
      <w:divBdr>
        <w:top w:val="none" w:sz="0" w:space="0" w:color="auto"/>
        <w:left w:val="none" w:sz="0" w:space="0" w:color="auto"/>
        <w:bottom w:val="none" w:sz="0" w:space="0" w:color="auto"/>
        <w:right w:val="none" w:sz="0" w:space="0" w:color="auto"/>
      </w:divBdr>
    </w:div>
    <w:div w:id="1036152964">
      <w:bodyDiv w:val="1"/>
      <w:marLeft w:val="0"/>
      <w:marRight w:val="0"/>
      <w:marTop w:val="0"/>
      <w:marBottom w:val="0"/>
      <w:divBdr>
        <w:top w:val="none" w:sz="0" w:space="0" w:color="auto"/>
        <w:left w:val="none" w:sz="0" w:space="0" w:color="auto"/>
        <w:bottom w:val="none" w:sz="0" w:space="0" w:color="auto"/>
        <w:right w:val="none" w:sz="0" w:space="0" w:color="auto"/>
      </w:divBdr>
    </w:div>
    <w:div w:id="1047145659">
      <w:bodyDiv w:val="1"/>
      <w:marLeft w:val="0"/>
      <w:marRight w:val="0"/>
      <w:marTop w:val="0"/>
      <w:marBottom w:val="0"/>
      <w:divBdr>
        <w:top w:val="none" w:sz="0" w:space="0" w:color="auto"/>
        <w:left w:val="none" w:sz="0" w:space="0" w:color="auto"/>
        <w:bottom w:val="none" w:sz="0" w:space="0" w:color="auto"/>
        <w:right w:val="none" w:sz="0" w:space="0" w:color="auto"/>
      </w:divBdr>
    </w:div>
    <w:div w:id="1049455353">
      <w:bodyDiv w:val="1"/>
      <w:marLeft w:val="0"/>
      <w:marRight w:val="0"/>
      <w:marTop w:val="0"/>
      <w:marBottom w:val="0"/>
      <w:divBdr>
        <w:top w:val="none" w:sz="0" w:space="0" w:color="auto"/>
        <w:left w:val="none" w:sz="0" w:space="0" w:color="auto"/>
        <w:bottom w:val="none" w:sz="0" w:space="0" w:color="auto"/>
        <w:right w:val="none" w:sz="0" w:space="0" w:color="auto"/>
      </w:divBdr>
    </w:div>
    <w:div w:id="1050688260">
      <w:bodyDiv w:val="1"/>
      <w:marLeft w:val="0"/>
      <w:marRight w:val="0"/>
      <w:marTop w:val="0"/>
      <w:marBottom w:val="0"/>
      <w:divBdr>
        <w:top w:val="none" w:sz="0" w:space="0" w:color="auto"/>
        <w:left w:val="none" w:sz="0" w:space="0" w:color="auto"/>
        <w:bottom w:val="none" w:sz="0" w:space="0" w:color="auto"/>
        <w:right w:val="none" w:sz="0" w:space="0" w:color="auto"/>
      </w:divBdr>
    </w:div>
    <w:div w:id="1090392314">
      <w:bodyDiv w:val="1"/>
      <w:marLeft w:val="0"/>
      <w:marRight w:val="0"/>
      <w:marTop w:val="0"/>
      <w:marBottom w:val="0"/>
      <w:divBdr>
        <w:top w:val="none" w:sz="0" w:space="0" w:color="auto"/>
        <w:left w:val="none" w:sz="0" w:space="0" w:color="auto"/>
        <w:bottom w:val="none" w:sz="0" w:space="0" w:color="auto"/>
        <w:right w:val="none" w:sz="0" w:space="0" w:color="auto"/>
      </w:divBdr>
    </w:div>
    <w:div w:id="1098716045">
      <w:bodyDiv w:val="1"/>
      <w:marLeft w:val="0"/>
      <w:marRight w:val="0"/>
      <w:marTop w:val="0"/>
      <w:marBottom w:val="0"/>
      <w:divBdr>
        <w:top w:val="none" w:sz="0" w:space="0" w:color="auto"/>
        <w:left w:val="none" w:sz="0" w:space="0" w:color="auto"/>
        <w:bottom w:val="none" w:sz="0" w:space="0" w:color="auto"/>
        <w:right w:val="none" w:sz="0" w:space="0" w:color="auto"/>
      </w:divBdr>
    </w:div>
    <w:div w:id="1103305435">
      <w:bodyDiv w:val="1"/>
      <w:marLeft w:val="0"/>
      <w:marRight w:val="0"/>
      <w:marTop w:val="0"/>
      <w:marBottom w:val="0"/>
      <w:divBdr>
        <w:top w:val="none" w:sz="0" w:space="0" w:color="auto"/>
        <w:left w:val="none" w:sz="0" w:space="0" w:color="auto"/>
        <w:bottom w:val="none" w:sz="0" w:space="0" w:color="auto"/>
        <w:right w:val="none" w:sz="0" w:space="0" w:color="auto"/>
      </w:divBdr>
      <w:divsChild>
        <w:div w:id="693844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3744256">
      <w:bodyDiv w:val="1"/>
      <w:marLeft w:val="0"/>
      <w:marRight w:val="0"/>
      <w:marTop w:val="0"/>
      <w:marBottom w:val="0"/>
      <w:divBdr>
        <w:top w:val="none" w:sz="0" w:space="0" w:color="auto"/>
        <w:left w:val="none" w:sz="0" w:space="0" w:color="auto"/>
        <w:bottom w:val="none" w:sz="0" w:space="0" w:color="auto"/>
        <w:right w:val="none" w:sz="0" w:space="0" w:color="auto"/>
      </w:divBdr>
    </w:div>
    <w:div w:id="1115097251">
      <w:bodyDiv w:val="1"/>
      <w:marLeft w:val="0"/>
      <w:marRight w:val="0"/>
      <w:marTop w:val="0"/>
      <w:marBottom w:val="0"/>
      <w:divBdr>
        <w:top w:val="none" w:sz="0" w:space="0" w:color="auto"/>
        <w:left w:val="none" w:sz="0" w:space="0" w:color="auto"/>
        <w:bottom w:val="none" w:sz="0" w:space="0" w:color="auto"/>
        <w:right w:val="none" w:sz="0" w:space="0" w:color="auto"/>
      </w:divBdr>
    </w:div>
    <w:div w:id="1119835120">
      <w:bodyDiv w:val="1"/>
      <w:marLeft w:val="0"/>
      <w:marRight w:val="0"/>
      <w:marTop w:val="0"/>
      <w:marBottom w:val="0"/>
      <w:divBdr>
        <w:top w:val="none" w:sz="0" w:space="0" w:color="auto"/>
        <w:left w:val="none" w:sz="0" w:space="0" w:color="auto"/>
        <w:bottom w:val="none" w:sz="0" w:space="0" w:color="auto"/>
        <w:right w:val="none" w:sz="0" w:space="0" w:color="auto"/>
      </w:divBdr>
      <w:divsChild>
        <w:div w:id="500894762">
          <w:marLeft w:val="0"/>
          <w:marRight w:val="0"/>
          <w:marTop w:val="0"/>
          <w:marBottom w:val="0"/>
          <w:divBdr>
            <w:top w:val="none" w:sz="0" w:space="0" w:color="auto"/>
            <w:left w:val="none" w:sz="0" w:space="0" w:color="auto"/>
            <w:bottom w:val="none" w:sz="0" w:space="0" w:color="auto"/>
            <w:right w:val="none" w:sz="0" w:space="0" w:color="auto"/>
          </w:divBdr>
        </w:div>
        <w:div w:id="1916938897">
          <w:marLeft w:val="0"/>
          <w:marRight w:val="0"/>
          <w:marTop w:val="0"/>
          <w:marBottom w:val="0"/>
          <w:divBdr>
            <w:top w:val="none" w:sz="0" w:space="0" w:color="auto"/>
            <w:left w:val="none" w:sz="0" w:space="0" w:color="auto"/>
            <w:bottom w:val="none" w:sz="0" w:space="0" w:color="auto"/>
            <w:right w:val="none" w:sz="0" w:space="0" w:color="auto"/>
          </w:divBdr>
        </w:div>
      </w:divsChild>
    </w:div>
    <w:div w:id="1138379969">
      <w:bodyDiv w:val="1"/>
      <w:marLeft w:val="0"/>
      <w:marRight w:val="0"/>
      <w:marTop w:val="0"/>
      <w:marBottom w:val="0"/>
      <w:divBdr>
        <w:top w:val="none" w:sz="0" w:space="0" w:color="auto"/>
        <w:left w:val="none" w:sz="0" w:space="0" w:color="auto"/>
        <w:bottom w:val="none" w:sz="0" w:space="0" w:color="auto"/>
        <w:right w:val="none" w:sz="0" w:space="0" w:color="auto"/>
      </w:divBdr>
    </w:div>
    <w:div w:id="1141506669">
      <w:bodyDiv w:val="1"/>
      <w:marLeft w:val="0"/>
      <w:marRight w:val="0"/>
      <w:marTop w:val="0"/>
      <w:marBottom w:val="0"/>
      <w:divBdr>
        <w:top w:val="none" w:sz="0" w:space="0" w:color="auto"/>
        <w:left w:val="none" w:sz="0" w:space="0" w:color="auto"/>
        <w:bottom w:val="none" w:sz="0" w:space="0" w:color="auto"/>
        <w:right w:val="none" w:sz="0" w:space="0" w:color="auto"/>
      </w:divBdr>
      <w:divsChild>
        <w:div w:id="2121609131">
          <w:marLeft w:val="0"/>
          <w:marRight w:val="0"/>
          <w:marTop w:val="0"/>
          <w:marBottom w:val="0"/>
          <w:divBdr>
            <w:top w:val="none" w:sz="0" w:space="0" w:color="auto"/>
            <w:left w:val="none" w:sz="0" w:space="0" w:color="auto"/>
            <w:bottom w:val="none" w:sz="0" w:space="0" w:color="auto"/>
            <w:right w:val="none" w:sz="0" w:space="0" w:color="auto"/>
          </w:divBdr>
        </w:div>
      </w:divsChild>
    </w:div>
    <w:div w:id="1145779604">
      <w:bodyDiv w:val="1"/>
      <w:marLeft w:val="0"/>
      <w:marRight w:val="0"/>
      <w:marTop w:val="0"/>
      <w:marBottom w:val="0"/>
      <w:divBdr>
        <w:top w:val="none" w:sz="0" w:space="0" w:color="auto"/>
        <w:left w:val="none" w:sz="0" w:space="0" w:color="auto"/>
        <w:bottom w:val="none" w:sz="0" w:space="0" w:color="auto"/>
        <w:right w:val="none" w:sz="0" w:space="0" w:color="auto"/>
      </w:divBdr>
    </w:div>
    <w:div w:id="1158694889">
      <w:bodyDiv w:val="1"/>
      <w:marLeft w:val="0"/>
      <w:marRight w:val="0"/>
      <w:marTop w:val="0"/>
      <w:marBottom w:val="0"/>
      <w:divBdr>
        <w:top w:val="none" w:sz="0" w:space="0" w:color="auto"/>
        <w:left w:val="none" w:sz="0" w:space="0" w:color="auto"/>
        <w:bottom w:val="none" w:sz="0" w:space="0" w:color="auto"/>
        <w:right w:val="none" w:sz="0" w:space="0" w:color="auto"/>
      </w:divBdr>
    </w:div>
    <w:div w:id="1168980759">
      <w:bodyDiv w:val="1"/>
      <w:marLeft w:val="0"/>
      <w:marRight w:val="0"/>
      <w:marTop w:val="0"/>
      <w:marBottom w:val="0"/>
      <w:divBdr>
        <w:top w:val="none" w:sz="0" w:space="0" w:color="auto"/>
        <w:left w:val="none" w:sz="0" w:space="0" w:color="auto"/>
        <w:bottom w:val="none" w:sz="0" w:space="0" w:color="auto"/>
        <w:right w:val="none" w:sz="0" w:space="0" w:color="auto"/>
      </w:divBdr>
    </w:div>
    <w:div w:id="1171406935">
      <w:bodyDiv w:val="1"/>
      <w:marLeft w:val="0"/>
      <w:marRight w:val="0"/>
      <w:marTop w:val="0"/>
      <w:marBottom w:val="0"/>
      <w:divBdr>
        <w:top w:val="none" w:sz="0" w:space="0" w:color="auto"/>
        <w:left w:val="none" w:sz="0" w:space="0" w:color="auto"/>
        <w:bottom w:val="none" w:sz="0" w:space="0" w:color="auto"/>
        <w:right w:val="none" w:sz="0" w:space="0" w:color="auto"/>
      </w:divBdr>
    </w:div>
    <w:div w:id="1175732300">
      <w:bodyDiv w:val="1"/>
      <w:marLeft w:val="0"/>
      <w:marRight w:val="0"/>
      <w:marTop w:val="0"/>
      <w:marBottom w:val="0"/>
      <w:divBdr>
        <w:top w:val="none" w:sz="0" w:space="0" w:color="auto"/>
        <w:left w:val="none" w:sz="0" w:space="0" w:color="auto"/>
        <w:bottom w:val="none" w:sz="0" w:space="0" w:color="auto"/>
        <w:right w:val="none" w:sz="0" w:space="0" w:color="auto"/>
      </w:divBdr>
      <w:divsChild>
        <w:div w:id="189072893">
          <w:marLeft w:val="0"/>
          <w:marRight w:val="0"/>
          <w:marTop w:val="0"/>
          <w:marBottom w:val="0"/>
          <w:divBdr>
            <w:top w:val="none" w:sz="0" w:space="0" w:color="auto"/>
            <w:left w:val="none" w:sz="0" w:space="0" w:color="auto"/>
            <w:bottom w:val="none" w:sz="0" w:space="0" w:color="auto"/>
            <w:right w:val="none" w:sz="0" w:space="0" w:color="auto"/>
          </w:divBdr>
        </w:div>
      </w:divsChild>
    </w:div>
    <w:div w:id="1192956359">
      <w:bodyDiv w:val="1"/>
      <w:marLeft w:val="0"/>
      <w:marRight w:val="0"/>
      <w:marTop w:val="0"/>
      <w:marBottom w:val="0"/>
      <w:divBdr>
        <w:top w:val="none" w:sz="0" w:space="0" w:color="auto"/>
        <w:left w:val="none" w:sz="0" w:space="0" w:color="auto"/>
        <w:bottom w:val="none" w:sz="0" w:space="0" w:color="auto"/>
        <w:right w:val="none" w:sz="0" w:space="0" w:color="auto"/>
      </w:divBdr>
    </w:div>
    <w:div w:id="1206142754">
      <w:bodyDiv w:val="1"/>
      <w:marLeft w:val="0"/>
      <w:marRight w:val="0"/>
      <w:marTop w:val="0"/>
      <w:marBottom w:val="0"/>
      <w:divBdr>
        <w:top w:val="none" w:sz="0" w:space="0" w:color="auto"/>
        <w:left w:val="none" w:sz="0" w:space="0" w:color="auto"/>
        <w:bottom w:val="none" w:sz="0" w:space="0" w:color="auto"/>
        <w:right w:val="none" w:sz="0" w:space="0" w:color="auto"/>
      </w:divBdr>
      <w:divsChild>
        <w:div w:id="163013702">
          <w:marLeft w:val="0"/>
          <w:marRight w:val="0"/>
          <w:marTop w:val="0"/>
          <w:marBottom w:val="0"/>
          <w:divBdr>
            <w:top w:val="none" w:sz="0" w:space="0" w:color="auto"/>
            <w:left w:val="none" w:sz="0" w:space="0" w:color="auto"/>
            <w:bottom w:val="none" w:sz="0" w:space="0" w:color="auto"/>
            <w:right w:val="none" w:sz="0" w:space="0" w:color="auto"/>
          </w:divBdr>
        </w:div>
        <w:div w:id="396246487">
          <w:marLeft w:val="0"/>
          <w:marRight w:val="0"/>
          <w:marTop w:val="0"/>
          <w:marBottom w:val="0"/>
          <w:divBdr>
            <w:top w:val="none" w:sz="0" w:space="0" w:color="auto"/>
            <w:left w:val="none" w:sz="0" w:space="0" w:color="auto"/>
            <w:bottom w:val="none" w:sz="0" w:space="0" w:color="auto"/>
            <w:right w:val="none" w:sz="0" w:space="0" w:color="auto"/>
          </w:divBdr>
        </w:div>
        <w:div w:id="723607182">
          <w:marLeft w:val="0"/>
          <w:marRight w:val="0"/>
          <w:marTop w:val="0"/>
          <w:marBottom w:val="0"/>
          <w:divBdr>
            <w:top w:val="none" w:sz="0" w:space="0" w:color="auto"/>
            <w:left w:val="none" w:sz="0" w:space="0" w:color="auto"/>
            <w:bottom w:val="none" w:sz="0" w:space="0" w:color="auto"/>
            <w:right w:val="none" w:sz="0" w:space="0" w:color="auto"/>
          </w:divBdr>
        </w:div>
        <w:div w:id="1155727974">
          <w:marLeft w:val="0"/>
          <w:marRight w:val="0"/>
          <w:marTop w:val="0"/>
          <w:marBottom w:val="0"/>
          <w:divBdr>
            <w:top w:val="none" w:sz="0" w:space="0" w:color="auto"/>
            <w:left w:val="none" w:sz="0" w:space="0" w:color="auto"/>
            <w:bottom w:val="none" w:sz="0" w:space="0" w:color="auto"/>
            <w:right w:val="none" w:sz="0" w:space="0" w:color="auto"/>
          </w:divBdr>
        </w:div>
        <w:div w:id="1444881066">
          <w:marLeft w:val="0"/>
          <w:marRight w:val="0"/>
          <w:marTop w:val="0"/>
          <w:marBottom w:val="0"/>
          <w:divBdr>
            <w:top w:val="none" w:sz="0" w:space="0" w:color="auto"/>
            <w:left w:val="none" w:sz="0" w:space="0" w:color="auto"/>
            <w:bottom w:val="none" w:sz="0" w:space="0" w:color="auto"/>
            <w:right w:val="none" w:sz="0" w:space="0" w:color="auto"/>
          </w:divBdr>
        </w:div>
        <w:div w:id="1607227658">
          <w:marLeft w:val="0"/>
          <w:marRight w:val="0"/>
          <w:marTop w:val="0"/>
          <w:marBottom w:val="0"/>
          <w:divBdr>
            <w:top w:val="none" w:sz="0" w:space="0" w:color="auto"/>
            <w:left w:val="none" w:sz="0" w:space="0" w:color="auto"/>
            <w:bottom w:val="none" w:sz="0" w:space="0" w:color="auto"/>
            <w:right w:val="none" w:sz="0" w:space="0" w:color="auto"/>
          </w:divBdr>
        </w:div>
        <w:div w:id="1706825673">
          <w:marLeft w:val="0"/>
          <w:marRight w:val="0"/>
          <w:marTop w:val="0"/>
          <w:marBottom w:val="0"/>
          <w:divBdr>
            <w:top w:val="none" w:sz="0" w:space="0" w:color="auto"/>
            <w:left w:val="none" w:sz="0" w:space="0" w:color="auto"/>
            <w:bottom w:val="none" w:sz="0" w:space="0" w:color="auto"/>
            <w:right w:val="none" w:sz="0" w:space="0" w:color="auto"/>
          </w:divBdr>
        </w:div>
        <w:div w:id="1732074592">
          <w:marLeft w:val="0"/>
          <w:marRight w:val="0"/>
          <w:marTop w:val="0"/>
          <w:marBottom w:val="0"/>
          <w:divBdr>
            <w:top w:val="none" w:sz="0" w:space="0" w:color="auto"/>
            <w:left w:val="none" w:sz="0" w:space="0" w:color="auto"/>
            <w:bottom w:val="none" w:sz="0" w:space="0" w:color="auto"/>
            <w:right w:val="none" w:sz="0" w:space="0" w:color="auto"/>
          </w:divBdr>
        </w:div>
        <w:div w:id="1757700915">
          <w:marLeft w:val="0"/>
          <w:marRight w:val="0"/>
          <w:marTop w:val="0"/>
          <w:marBottom w:val="0"/>
          <w:divBdr>
            <w:top w:val="none" w:sz="0" w:space="0" w:color="auto"/>
            <w:left w:val="none" w:sz="0" w:space="0" w:color="auto"/>
            <w:bottom w:val="none" w:sz="0" w:space="0" w:color="auto"/>
            <w:right w:val="none" w:sz="0" w:space="0" w:color="auto"/>
          </w:divBdr>
        </w:div>
        <w:div w:id="1776248474">
          <w:marLeft w:val="0"/>
          <w:marRight w:val="0"/>
          <w:marTop w:val="0"/>
          <w:marBottom w:val="0"/>
          <w:divBdr>
            <w:top w:val="none" w:sz="0" w:space="0" w:color="auto"/>
            <w:left w:val="none" w:sz="0" w:space="0" w:color="auto"/>
            <w:bottom w:val="none" w:sz="0" w:space="0" w:color="auto"/>
            <w:right w:val="none" w:sz="0" w:space="0" w:color="auto"/>
          </w:divBdr>
        </w:div>
        <w:div w:id="1890915128">
          <w:marLeft w:val="0"/>
          <w:marRight w:val="0"/>
          <w:marTop w:val="0"/>
          <w:marBottom w:val="0"/>
          <w:divBdr>
            <w:top w:val="none" w:sz="0" w:space="0" w:color="auto"/>
            <w:left w:val="none" w:sz="0" w:space="0" w:color="auto"/>
            <w:bottom w:val="none" w:sz="0" w:space="0" w:color="auto"/>
            <w:right w:val="none" w:sz="0" w:space="0" w:color="auto"/>
          </w:divBdr>
        </w:div>
        <w:div w:id="1935435673">
          <w:marLeft w:val="0"/>
          <w:marRight w:val="0"/>
          <w:marTop w:val="0"/>
          <w:marBottom w:val="0"/>
          <w:divBdr>
            <w:top w:val="none" w:sz="0" w:space="0" w:color="auto"/>
            <w:left w:val="none" w:sz="0" w:space="0" w:color="auto"/>
            <w:bottom w:val="none" w:sz="0" w:space="0" w:color="auto"/>
            <w:right w:val="none" w:sz="0" w:space="0" w:color="auto"/>
          </w:divBdr>
        </w:div>
      </w:divsChild>
    </w:div>
    <w:div w:id="1217544964">
      <w:bodyDiv w:val="1"/>
      <w:marLeft w:val="0"/>
      <w:marRight w:val="0"/>
      <w:marTop w:val="0"/>
      <w:marBottom w:val="0"/>
      <w:divBdr>
        <w:top w:val="none" w:sz="0" w:space="0" w:color="auto"/>
        <w:left w:val="none" w:sz="0" w:space="0" w:color="auto"/>
        <w:bottom w:val="none" w:sz="0" w:space="0" w:color="auto"/>
        <w:right w:val="none" w:sz="0" w:space="0" w:color="auto"/>
      </w:divBdr>
    </w:div>
    <w:div w:id="1232889950">
      <w:bodyDiv w:val="1"/>
      <w:marLeft w:val="0"/>
      <w:marRight w:val="0"/>
      <w:marTop w:val="0"/>
      <w:marBottom w:val="0"/>
      <w:divBdr>
        <w:top w:val="none" w:sz="0" w:space="0" w:color="auto"/>
        <w:left w:val="none" w:sz="0" w:space="0" w:color="auto"/>
        <w:bottom w:val="none" w:sz="0" w:space="0" w:color="auto"/>
        <w:right w:val="none" w:sz="0" w:space="0" w:color="auto"/>
      </w:divBdr>
    </w:div>
    <w:div w:id="1234009433">
      <w:bodyDiv w:val="1"/>
      <w:marLeft w:val="0"/>
      <w:marRight w:val="0"/>
      <w:marTop w:val="0"/>
      <w:marBottom w:val="0"/>
      <w:divBdr>
        <w:top w:val="none" w:sz="0" w:space="0" w:color="auto"/>
        <w:left w:val="none" w:sz="0" w:space="0" w:color="auto"/>
        <w:bottom w:val="none" w:sz="0" w:space="0" w:color="auto"/>
        <w:right w:val="none" w:sz="0" w:space="0" w:color="auto"/>
      </w:divBdr>
    </w:div>
    <w:div w:id="1237128127">
      <w:bodyDiv w:val="1"/>
      <w:marLeft w:val="0"/>
      <w:marRight w:val="0"/>
      <w:marTop w:val="0"/>
      <w:marBottom w:val="0"/>
      <w:divBdr>
        <w:top w:val="none" w:sz="0" w:space="0" w:color="auto"/>
        <w:left w:val="none" w:sz="0" w:space="0" w:color="auto"/>
        <w:bottom w:val="none" w:sz="0" w:space="0" w:color="auto"/>
        <w:right w:val="none" w:sz="0" w:space="0" w:color="auto"/>
      </w:divBdr>
    </w:div>
    <w:div w:id="1241410537">
      <w:bodyDiv w:val="1"/>
      <w:marLeft w:val="0"/>
      <w:marRight w:val="0"/>
      <w:marTop w:val="0"/>
      <w:marBottom w:val="0"/>
      <w:divBdr>
        <w:top w:val="none" w:sz="0" w:space="0" w:color="auto"/>
        <w:left w:val="none" w:sz="0" w:space="0" w:color="auto"/>
        <w:bottom w:val="none" w:sz="0" w:space="0" w:color="auto"/>
        <w:right w:val="none" w:sz="0" w:space="0" w:color="auto"/>
      </w:divBdr>
    </w:div>
    <w:div w:id="1248076067">
      <w:bodyDiv w:val="1"/>
      <w:marLeft w:val="0"/>
      <w:marRight w:val="0"/>
      <w:marTop w:val="0"/>
      <w:marBottom w:val="0"/>
      <w:divBdr>
        <w:top w:val="none" w:sz="0" w:space="0" w:color="auto"/>
        <w:left w:val="none" w:sz="0" w:space="0" w:color="auto"/>
        <w:bottom w:val="none" w:sz="0" w:space="0" w:color="auto"/>
        <w:right w:val="none" w:sz="0" w:space="0" w:color="auto"/>
      </w:divBdr>
    </w:div>
    <w:div w:id="1250577732">
      <w:bodyDiv w:val="1"/>
      <w:marLeft w:val="0"/>
      <w:marRight w:val="0"/>
      <w:marTop w:val="0"/>
      <w:marBottom w:val="0"/>
      <w:divBdr>
        <w:top w:val="none" w:sz="0" w:space="0" w:color="auto"/>
        <w:left w:val="none" w:sz="0" w:space="0" w:color="auto"/>
        <w:bottom w:val="none" w:sz="0" w:space="0" w:color="auto"/>
        <w:right w:val="none" w:sz="0" w:space="0" w:color="auto"/>
      </w:divBdr>
      <w:divsChild>
        <w:div w:id="1937712746">
          <w:marLeft w:val="0"/>
          <w:marRight w:val="0"/>
          <w:marTop w:val="0"/>
          <w:marBottom w:val="0"/>
          <w:divBdr>
            <w:top w:val="none" w:sz="0" w:space="0" w:color="auto"/>
            <w:left w:val="none" w:sz="0" w:space="0" w:color="auto"/>
            <w:bottom w:val="none" w:sz="0" w:space="0" w:color="auto"/>
            <w:right w:val="none" w:sz="0" w:space="0" w:color="auto"/>
          </w:divBdr>
        </w:div>
      </w:divsChild>
    </w:div>
    <w:div w:id="1254127873">
      <w:bodyDiv w:val="1"/>
      <w:marLeft w:val="0"/>
      <w:marRight w:val="0"/>
      <w:marTop w:val="0"/>
      <w:marBottom w:val="0"/>
      <w:divBdr>
        <w:top w:val="none" w:sz="0" w:space="0" w:color="auto"/>
        <w:left w:val="none" w:sz="0" w:space="0" w:color="auto"/>
        <w:bottom w:val="none" w:sz="0" w:space="0" w:color="auto"/>
        <w:right w:val="none" w:sz="0" w:space="0" w:color="auto"/>
      </w:divBdr>
    </w:div>
    <w:div w:id="1261451355">
      <w:bodyDiv w:val="1"/>
      <w:marLeft w:val="0"/>
      <w:marRight w:val="0"/>
      <w:marTop w:val="0"/>
      <w:marBottom w:val="0"/>
      <w:divBdr>
        <w:top w:val="none" w:sz="0" w:space="0" w:color="auto"/>
        <w:left w:val="none" w:sz="0" w:space="0" w:color="auto"/>
        <w:bottom w:val="none" w:sz="0" w:space="0" w:color="auto"/>
        <w:right w:val="none" w:sz="0" w:space="0" w:color="auto"/>
      </w:divBdr>
    </w:div>
    <w:div w:id="1267037935">
      <w:bodyDiv w:val="1"/>
      <w:marLeft w:val="0"/>
      <w:marRight w:val="0"/>
      <w:marTop w:val="0"/>
      <w:marBottom w:val="0"/>
      <w:divBdr>
        <w:top w:val="none" w:sz="0" w:space="0" w:color="auto"/>
        <w:left w:val="none" w:sz="0" w:space="0" w:color="auto"/>
        <w:bottom w:val="none" w:sz="0" w:space="0" w:color="auto"/>
        <w:right w:val="none" w:sz="0" w:space="0" w:color="auto"/>
      </w:divBdr>
    </w:div>
    <w:div w:id="1271550718">
      <w:bodyDiv w:val="1"/>
      <w:marLeft w:val="0"/>
      <w:marRight w:val="0"/>
      <w:marTop w:val="0"/>
      <w:marBottom w:val="0"/>
      <w:divBdr>
        <w:top w:val="none" w:sz="0" w:space="0" w:color="auto"/>
        <w:left w:val="none" w:sz="0" w:space="0" w:color="auto"/>
        <w:bottom w:val="none" w:sz="0" w:space="0" w:color="auto"/>
        <w:right w:val="none" w:sz="0" w:space="0" w:color="auto"/>
      </w:divBdr>
      <w:divsChild>
        <w:div w:id="1925455369">
          <w:marLeft w:val="0"/>
          <w:marRight w:val="0"/>
          <w:marTop w:val="0"/>
          <w:marBottom w:val="0"/>
          <w:divBdr>
            <w:top w:val="none" w:sz="0" w:space="0" w:color="auto"/>
            <w:left w:val="none" w:sz="0" w:space="0" w:color="auto"/>
            <w:bottom w:val="none" w:sz="0" w:space="0" w:color="auto"/>
            <w:right w:val="none" w:sz="0" w:space="0" w:color="auto"/>
          </w:divBdr>
        </w:div>
      </w:divsChild>
    </w:div>
    <w:div w:id="1277757010">
      <w:bodyDiv w:val="1"/>
      <w:marLeft w:val="0"/>
      <w:marRight w:val="0"/>
      <w:marTop w:val="0"/>
      <w:marBottom w:val="0"/>
      <w:divBdr>
        <w:top w:val="none" w:sz="0" w:space="0" w:color="auto"/>
        <w:left w:val="none" w:sz="0" w:space="0" w:color="auto"/>
        <w:bottom w:val="none" w:sz="0" w:space="0" w:color="auto"/>
        <w:right w:val="none" w:sz="0" w:space="0" w:color="auto"/>
      </w:divBdr>
      <w:divsChild>
        <w:div w:id="1584947854">
          <w:marLeft w:val="0"/>
          <w:marRight w:val="0"/>
          <w:marTop w:val="0"/>
          <w:marBottom w:val="0"/>
          <w:divBdr>
            <w:top w:val="none" w:sz="0" w:space="0" w:color="auto"/>
            <w:left w:val="none" w:sz="0" w:space="0" w:color="auto"/>
            <w:bottom w:val="none" w:sz="0" w:space="0" w:color="auto"/>
            <w:right w:val="none" w:sz="0" w:space="0" w:color="auto"/>
          </w:divBdr>
        </w:div>
      </w:divsChild>
    </w:div>
    <w:div w:id="1305237962">
      <w:bodyDiv w:val="1"/>
      <w:marLeft w:val="0"/>
      <w:marRight w:val="0"/>
      <w:marTop w:val="0"/>
      <w:marBottom w:val="0"/>
      <w:divBdr>
        <w:top w:val="none" w:sz="0" w:space="0" w:color="auto"/>
        <w:left w:val="none" w:sz="0" w:space="0" w:color="auto"/>
        <w:bottom w:val="none" w:sz="0" w:space="0" w:color="auto"/>
        <w:right w:val="none" w:sz="0" w:space="0" w:color="auto"/>
      </w:divBdr>
    </w:div>
    <w:div w:id="1311328449">
      <w:bodyDiv w:val="1"/>
      <w:marLeft w:val="0"/>
      <w:marRight w:val="0"/>
      <w:marTop w:val="0"/>
      <w:marBottom w:val="0"/>
      <w:divBdr>
        <w:top w:val="none" w:sz="0" w:space="0" w:color="auto"/>
        <w:left w:val="none" w:sz="0" w:space="0" w:color="auto"/>
        <w:bottom w:val="none" w:sz="0" w:space="0" w:color="auto"/>
        <w:right w:val="none" w:sz="0" w:space="0" w:color="auto"/>
      </w:divBdr>
    </w:div>
    <w:div w:id="1315909327">
      <w:bodyDiv w:val="1"/>
      <w:marLeft w:val="0"/>
      <w:marRight w:val="0"/>
      <w:marTop w:val="0"/>
      <w:marBottom w:val="0"/>
      <w:divBdr>
        <w:top w:val="none" w:sz="0" w:space="0" w:color="auto"/>
        <w:left w:val="none" w:sz="0" w:space="0" w:color="auto"/>
        <w:bottom w:val="none" w:sz="0" w:space="0" w:color="auto"/>
        <w:right w:val="none" w:sz="0" w:space="0" w:color="auto"/>
      </w:divBdr>
    </w:div>
    <w:div w:id="1325551460">
      <w:bodyDiv w:val="1"/>
      <w:marLeft w:val="0"/>
      <w:marRight w:val="0"/>
      <w:marTop w:val="0"/>
      <w:marBottom w:val="0"/>
      <w:divBdr>
        <w:top w:val="none" w:sz="0" w:space="0" w:color="auto"/>
        <w:left w:val="none" w:sz="0" w:space="0" w:color="auto"/>
        <w:bottom w:val="none" w:sz="0" w:space="0" w:color="auto"/>
        <w:right w:val="none" w:sz="0" w:space="0" w:color="auto"/>
      </w:divBdr>
      <w:divsChild>
        <w:div w:id="1956135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220286">
      <w:bodyDiv w:val="1"/>
      <w:marLeft w:val="0"/>
      <w:marRight w:val="0"/>
      <w:marTop w:val="0"/>
      <w:marBottom w:val="0"/>
      <w:divBdr>
        <w:top w:val="none" w:sz="0" w:space="0" w:color="auto"/>
        <w:left w:val="none" w:sz="0" w:space="0" w:color="auto"/>
        <w:bottom w:val="none" w:sz="0" w:space="0" w:color="auto"/>
        <w:right w:val="none" w:sz="0" w:space="0" w:color="auto"/>
      </w:divBdr>
    </w:div>
    <w:div w:id="1351296744">
      <w:bodyDiv w:val="1"/>
      <w:marLeft w:val="0"/>
      <w:marRight w:val="0"/>
      <w:marTop w:val="0"/>
      <w:marBottom w:val="0"/>
      <w:divBdr>
        <w:top w:val="none" w:sz="0" w:space="0" w:color="auto"/>
        <w:left w:val="none" w:sz="0" w:space="0" w:color="auto"/>
        <w:bottom w:val="none" w:sz="0" w:space="0" w:color="auto"/>
        <w:right w:val="none" w:sz="0" w:space="0" w:color="auto"/>
      </w:divBdr>
    </w:div>
    <w:div w:id="1357002133">
      <w:bodyDiv w:val="1"/>
      <w:marLeft w:val="0"/>
      <w:marRight w:val="0"/>
      <w:marTop w:val="0"/>
      <w:marBottom w:val="0"/>
      <w:divBdr>
        <w:top w:val="none" w:sz="0" w:space="0" w:color="auto"/>
        <w:left w:val="none" w:sz="0" w:space="0" w:color="auto"/>
        <w:bottom w:val="none" w:sz="0" w:space="0" w:color="auto"/>
        <w:right w:val="none" w:sz="0" w:space="0" w:color="auto"/>
      </w:divBdr>
    </w:div>
    <w:div w:id="1361009977">
      <w:bodyDiv w:val="1"/>
      <w:marLeft w:val="0"/>
      <w:marRight w:val="0"/>
      <w:marTop w:val="0"/>
      <w:marBottom w:val="0"/>
      <w:divBdr>
        <w:top w:val="none" w:sz="0" w:space="0" w:color="auto"/>
        <w:left w:val="none" w:sz="0" w:space="0" w:color="auto"/>
        <w:bottom w:val="none" w:sz="0" w:space="0" w:color="auto"/>
        <w:right w:val="none" w:sz="0" w:space="0" w:color="auto"/>
      </w:divBdr>
    </w:div>
    <w:div w:id="1371492566">
      <w:bodyDiv w:val="1"/>
      <w:marLeft w:val="0"/>
      <w:marRight w:val="0"/>
      <w:marTop w:val="0"/>
      <w:marBottom w:val="0"/>
      <w:divBdr>
        <w:top w:val="none" w:sz="0" w:space="0" w:color="auto"/>
        <w:left w:val="none" w:sz="0" w:space="0" w:color="auto"/>
        <w:bottom w:val="none" w:sz="0" w:space="0" w:color="auto"/>
        <w:right w:val="none" w:sz="0" w:space="0" w:color="auto"/>
      </w:divBdr>
    </w:div>
    <w:div w:id="1374774136">
      <w:bodyDiv w:val="1"/>
      <w:marLeft w:val="0"/>
      <w:marRight w:val="0"/>
      <w:marTop w:val="0"/>
      <w:marBottom w:val="0"/>
      <w:divBdr>
        <w:top w:val="none" w:sz="0" w:space="0" w:color="auto"/>
        <w:left w:val="none" w:sz="0" w:space="0" w:color="auto"/>
        <w:bottom w:val="none" w:sz="0" w:space="0" w:color="auto"/>
        <w:right w:val="none" w:sz="0" w:space="0" w:color="auto"/>
      </w:divBdr>
    </w:div>
    <w:div w:id="1379427796">
      <w:bodyDiv w:val="1"/>
      <w:marLeft w:val="0"/>
      <w:marRight w:val="0"/>
      <w:marTop w:val="0"/>
      <w:marBottom w:val="0"/>
      <w:divBdr>
        <w:top w:val="none" w:sz="0" w:space="0" w:color="auto"/>
        <w:left w:val="none" w:sz="0" w:space="0" w:color="auto"/>
        <w:bottom w:val="none" w:sz="0" w:space="0" w:color="auto"/>
        <w:right w:val="none" w:sz="0" w:space="0" w:color="auto"/>
      </w:divBdr>
    </w:div>
    <w:div w:id="1403913865">
      <w:bodyDiv w:val="1"/>
      <w:marLeft w:val="0"/>
      <w:marRight w:val="0"/>
      <w:marTop w:val="0"/>
      <w:marBottom w:val="0"/>
      <w:divBdr>
        <w:top w:val="none" w:sz="0" w:space="0" w:color="auto"/>
        <w:left w:val="none" w:sz="0" w:space="0" w:color="auto"/>
        <w:bottom w:val="none" w:sz="0" w:space="0" w:color="auto"/>
        <w:right w:val="none" w:sz="0" w:space="0" w:color="auto"/>
      </w:divBdr>
    </w:div>
    <w:div w:id="1419670022">
      <w:bodyDiv w:val="1"/>
      <w:marLeft w:val="0"/>
      <w:marRight w:val="0"/>
      <w:marTop w:val="0"/>
      <w:marBottom w:val="0"/>
      <w:divBdr>
        <w:top w:val="none" w:sz="0" w:space="0" w:color="auto"/>
        <w:left w:val="none" w:sz="0" w:space="0" w:color="auto"/>
        <w:bottom w:val="none" w:sz="0" w:space="0" w:color="auto"/>
        <w:right w:val="none" w:sz="0" w:space="0" w:color="auto"/>
      </w:divBdr>
      <w:divsChild>
        <w:div w:id="503454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0519644">
      <w:bodyDiv w:val="1"/>
      <w:marLeft w:val="0"/>
      <w:marRight w:val="0"/>
      <w:marTop w:val="0"/>
      <w:marBottom w:val="0"/>
      <w:divBdr>
        <w:top w:val="none" w:sz="0" w:space="0" w:color="auto"/>
        <w:left w:val="none" w:sz="0" w:space="0" w:color="auto"/>
        <w:bottom w:val="none" w:sz="0" w:space="0" w:color="auto"/>
        <w:right w:val="none" w:sz="0" w:space="0" w:color="auto"/>
      </w:divBdr>
    </w:div>
    <w:div w:id="1433163412">
      <w:bodyDiv w:val="1"/>
      <w:marLeft w:val="0"/>
      <w:marRight w:val="0"/>
      <w:marTop w:val="0"/>
      <w:marBottom w:val="0"/>
      <w:divBdr>
        <w:top w:val="none" w:sz="0" w:space="0" w:color="auto"/>
        <w:left w:val="none" w:sz="0" w:space="0" w:color="auto"/>
        <w:bottom w:val="none" w:sz="0" w:space="0" w:color="auto"/>
        <w:right w:val="none" w:sz="0" w:space="0" w:color="auto"/>
      </w:divBdr>
    </w:div>
    <w:div w:id="1434670365">
      <w:bodyDiv w:val="1"/>
      <w:marLeft w:val="0"/>
      <w:marRight w:val="0"/>
      <w:marTop w:val="0"/>
      <w:marBottom w:val="0"/>
      <w:divBdr>
        <w:top w:val="none" w:sz="0" w:space="0" w:color="auto"/>
        <w:left w:val="none" w:sz="0" w:space="0" w:color="auto"/>
        <w:bottom w:val="none" w:sz="0" w:space="0" w:color="auto"/>
        <w:right w:val="none" w:sz="0" w:space="0" w:color="auto"/>
      </w:divBdr>
    </w:div>
    <w:div w:id="1437480441">
      <w:bodyDiv w:val="1"/>
      <w:marLeft w:val="0"/>
      <w:marRight w:val="0"/>
      <w:marTop w:val="0"/>
      <w:marBottom w:val="0"/>
      <w:divBdr>
        <w:top w:val="none" w:sz="0" w:space="0" w:color="auto"/>
        <w:left w:val="none" w:sz="0" w:space="0" w:color="auto"/>
        <w:bottom w:val="none" w:sz="0" w:space="0" w:color="auto"/>
        <w:right w:val="none" w:sz="0" w:space="0" w:color="auto"/>
      </w:divBdr>
    </w:div>
    <w:div w:id="1449934244">
      <w:bodyDiv w:val="1"/>
      <w:marLeft w:val="0"/>
      <w:marRight w:val="0"/>
      <w:marTop w:val="0"/>
      <w:marBottom w:val="0"/>
      <w:divBdr>
        <w:top w:val="none" w:sz="0" w:space="0" w:color="auto"/>
        <w:left w:val="none" w:sz="0" w:space="0" w:color="auto"/>
        <w:bottom w:val="none" w:sz="0" w:space="0" w:color="auto"/>
        <w:right w:val="none" w:sz="0" w:space="0" w:color="auto"/>
      </w:divBdr>
    </w:div>
    <w:div w:id="1471633651">
      <w:bodyDiv w:val="1"/>
      <w:marLeft w:val="0"/>
      <w:marRight w:val="0"/>
      <w:marTop w:val="0"/>
      <w:marBottom w:val="0"/>
      <w:divBdr>
        <w:top w:val="none" w:sz="0" w:space="0" w:color="auto"/>
        <w:left w:val="none" w:sz="0" w:space="0" w:color="auto"/>
        <w:bottom w:val="none" w:sz="0" w:space="0" w:color="auto"/>
        <w:right w:val="none" w:sz="0" w:space="0" w:color="auto"/>
      </w:divBdr>
    </w:div>
    <w:div w:id="1488090985">
      <w:bodyDiv w:val="1"/>
      <w:marLeft w:val="0"/>
      <w:marRight w:val="0"/>
      <w:marTop w:val="0"/>
      <w:marBottom w:val="0"/>
      <w:divBdr>
        <w:top w:val="none" w:sz="0" w:space="0" w:color="auto"/>
        <w:left w:val="none" w:sz="0" w:space="0" w:color="auto"/>
        <w:bottom w:val="none" w:sz="0" w:space="0" w:color="auto"/>
        <w:right w:val="none" w:sz="0" w:space="0" w:color="auto"/>
      </w:divBdr>
    </w:div>
    <w:div w:id="1488743950">
      <w:bodyDiv w:val="1"/>
      <w:marLeft w:val="0"/>
      <w:marRight w:val="0"/>
      <w:marTop w:val="0"/>
      <w:marBottom w:val="0"/>
      <w:divBdr>
        <w:top w:val="none" w:sz="0" w:space="0" w:color="auto"/>
        <w:left w:val="none" w:sz="0" w:space="0" w:color="auto"/>
        <w:bottom w:val="none" w:sz="0" w:space="0" w:color="auto"/>
        <w:right w:val="none" w:sz="0" w:space="0" w:color="auto"/>
      </w:divBdr>
    </w:div>
    <w:div w:id="1518622267">
      <w:bodyDiv w:val="1"/>
      <w:marLeft w:val="0"/>
      <w:marRight w:val="0"/>
      <w:marTop w:val="0"/>
      <w:marBottom w:val="0"/>
      <w:divBdr>
        <w:top w:val="none" w:sz="0" w:space="0" w:color="auto"/>
        <w:left w:val="none" w:sz="0" w:space="0" w:color="auto"/>
        <w:bottom w:val="none" w:sz="0" w:space="0" w:color="auto"/>
        <w:right w:val="none" w:sz="0" w:space="0" w:color="auto"/>
      </w:divBdr>
    </w:div>
    <w:div w:id="1537891671">
      <w:bodyDiv w:val="1"/>
      <w:marLeft w:val="0"/>
      <w:marRight w:val="0"/>
      <w:marTop w:val="0"/>
      <w:marBottom w:val="0"/>
      <w:divBdr>
        <w:top w:val="none" w:sz="0" w:space="0" w:color="auto"/>
        <w:left w:val="none" w:sz="0" w:space="0" w:color="auto"/>
        <w:bottom w:val="none" w:sz="0" w:space="0" w:color="auto"/>
        <w:right w:val="none" w:sz="0" w:space="0" w:color="auto"/>
      </w:divBdr>
    </w:div>
    <w:div w:id="1539466590">
      <w:bodyDiv w:val="1"/>
      <w:marLeft w:val="0"/>
      <w:marRight w:val="0"/>
      <w:marTop w:val="0"/>
      <w:marBottom w:val="0"/>
      <w:divBdr>
        <w:top w:val="none" w:sz="0" w:space="0" w:color="auto"/>
        <w:left w:val="none" w:sz="0" w:space="0" w:color="auto"/>
        <w:bottom w:val="none" w:sz="0" w:space="0" w:color="auto"/>
        <w:right w:val="none" w:sz="0" w:space="0" w:color="auto"/>
      </w:divBdr>
    </w:div>
    <w:div w:id="1539583204">
      <w:bodyDiv w:val="1"/>
      <w:marLeft w:val="0"/>
      <w:marRight w:val="0"/>
      <w:marTop w:val="0"/>
      <w:marBottom w:val="0"/>
      <w:divBdr>
        <w:top w:val="none" w:sz="0" w:space="0" w:color="auto"/>
        <w:left w:val="none" w:sz="0" w:space="0" w:color="auto"/>
        <w:bottom w:val="none" w:sz="0" w:space="0" w:color="auto"/>
        <w:right w:val="none" w:sz="0" w:space="0" w:color="auto"/>
      </w:divBdr>
    </w:div>
    <w:div w:id="1545563138">
      <w:bodyDiv w:val="1"/>
      <w:marLeft w:val="0"/>
      <w:marRight w:val="0"/>
      <w:marTop w:val="0"/>
      <w:marBottom w:val="0"/>
      <w:divBdr>
        <w:top w:val="none" w:sz="0" w:space="0" w:color="auto"/>
        <w:left w:val="none" w:sz="0" w:space="0" w:color="auto"/>
        <w:bottom w:val="none" w:sz="0" w:space="0" w:color="auto"/>
        <w:right w:val="none" w:sz="0" w:space="0" w:color="auto"/>
      </w:divBdr>
    </w:div>
    <w:div w:id="1549101534">
      <w:bodyDiv w:val="1"/>
      <w:marLeft w:val="0"/>
      <w:marRight w:val="0"/>
      <w:marTop w:val="0"/>
      <w:marBottom w:val="0"/>
      <w:divBdr>
        <w:top w:val="none" w:sz="0" w:space="0" w:color="auto"/>
        <w:left w:val="none" w:sz="0" w:space="0" w:color="auto"/>
        <w:bottom w:val="none" w:sz="0" w:space="0" w:color="auto"/>
        <w:right w:val="none" w:sz="0" w:space="0" w:color="auto"/>
      </w:divBdr>
      <w:divsChild>
        <w:div w:id="131874471">
          <w:marLeft w:val="0"/>
          <w:marRight w:val="0"/>
          <w:marTop w:val="0"/>
          <w:marBottom w:val="0"/>
          <w:divBdr>
            <w:top w:val="none" w:sz="0" w:space="0" w:color="auto"/>
            <w:left w:val="none" w:sz="0" w:space="0" w:color="auto"/>
            <w:bottom w:val="none" w:sz="0" w:space="0" w:color="auto"/>
            <w:right w:val="none" w:sz="0" w:space="0" w:color="auto"/>
          </w:divBdr>
        </w:div>
        <w:div w:id="262298367">
          <w:marLeft w:val="0"/>
          <w:marRight w:val="0"/>
          <w:marTop w:val="0"/>
          <w:marBottom w:val="0"/>
          <w:divBdr>
            <w:top w:val="none" w:sz="0" w:space="0" w:color="auto"/>
            <w:left w:val="none" w:sz="0" w:space="0" w:color="auto"/>
            <w:bottom w:val="none" w:sz="0" w:space="0" w:color="auto"/>
            <w:right w:val="none" w:sz="0" w:space="0" w:color="auto"/>
          </w:divBdr>
        </w:div>
        <w:div w:id="355933954">
          <w:marLeft w:val="0"/>
          <w:marRight w:val="0"/>
          <w:marTop w:val="0"/>
          <w:marBottom w:val="0"/>
          <w:divBdr>
            <w:top w:val="none" w:sz="0" w:space="0" w:color="auto"/>
            <w:left w:val="none" w:sz="0" w:space="0" w:color="auto"/>
            <w:bottom w:val="none" w:sz="0" w:space="0" w:color="auto"/>
            <w:right w:val="none" w:sz="0" w:space="0" w:color="auto"/>
          </w:divBdr>
        </w:div>
        <w:div w:id="561602437">
          <w:marLeft w:val="0"/>
          <w:marRight w:val="0"/>
          <w:marTop w:val="0"/>
          <w:marBottom w:val="0"/>
          <w:divBdr>
            <w:top w:val="none" w:sz="0" w:space="0" w:color="auto"/>
            <w:left w:val="none" w:sz="0" w:space="0" w:color="auto"/>
            <w:bottom w:val="none" w:sz="0" w:space="0" w:color="auto"/>
            <w:right w:val="none" w:sz="0" w:space="0" w:color="auto"/>
          </w:divBdr>
        </w:div>
        <w:div w:id="573779360">
          <w:marLeft w:val="0"/>
          <w:marRight w:val="0"/>
          <w:marTop w:val="0"/>
          <w:marBottom w:val="0"/>
          <w:divBdr>
            <w:top w:val="none" w:sz="0" w:space="0" w:color="auto"/>
            <w:left w:val="none" w:sz="0" w:space="0" w:color="auto"/>
            <w:bottom w:val="none" w:sz="0" w:space="0" w:color="auto"/>
            <w:right w:val="none" w:sz="0" w:space="0" w:color="auto"/>
          </w:divBdr>
        </w:div>
        <w:div w:id="715079371">
          <w:marLeft w:val="0"/>
          <w:marRight w:val="0"/>
          <w:marTop w:val="0"/>
          <w:marBottom w:val="0"/>
          <w:divBdr>
            <w:top w:val="none" w:sz="0" w:space="0" w:color="auto"/>
            <w:left w:val="none" w:sz="0" w:space="0" w:color="auto"/>
            <w:bottom w:val="none" w:sz="0" w:space="0" w:color="auto"/>
            <w:right w:val="none" w:sz="0" w:space="0" w:color="auto"/>
          </w:divBdr>
        </w:div>
        <w:div w:id="871915444">
          <w:marLeft w:val="0"/>
          <w:marRight w:val="0"/>
          <w:marTop w:val="0"/>
          <w:marBottom w:val="0"/>
          <w:divBdr>
            <w:top w:val="none" w:sz="0" w:space="0" w:color="auto"/>
            <w:left w:val="none" w:sz="0" w:space="0" w:color="auto"/>
            <w:bottom w:val="none" w:sz="0" w:space="0" w:color="auto"/>
            <w:right w:val="none" w:sz="0" w:space="0" w:color="auto"/>
          </w:divBdr>
        </w:div>
        <w:div w:id="993728525">
          <w:marLeft w:val="0"/>
          <w:marRight w:val="0"/>
          <w:marTop w:val="0"/>
          <w:marBottom w:val="0"/>
          <w:divBdr>
            <w:top w:val="none" w:sz="0" w:space="0" w:color="auto"/>
            <w:left w:val="none" w:sz="0" w:space="0" w:color="auto"/>
            <w:bottom w:val="none" w:sz="0" w:space="0" w:color="auto"/>
            <w:right w:val="none" w:sz="0" w:space="0" w:color="auto"/>
          </w:divBdr>
        </w:div>
        <w:div w:id="1306667435">
          <w:marLeft w:val="0"/>
          <w:marRight w:val="0"/>
          <w:marTop w:val="0"/>
          <w:marBottom w:val="0"/>
          <w:divBdr>
            <w:top w:val="none" w:sz="0" w:space="0" w:color="auto"/>
            <w:left w:val="none" w:sz="0" w:space="0" w:color="auto"/>
            <w:bottom w:val="none" w:sz="0" w:space="0" w:color="auto"/>
            <w:right w:val="none" w:sz="0" w:space="0" w:color="auto"/>
          </w:divBdr>
        </w:div>
        <w:div w:id="1506214594">
          <w:marLeft w:val="0"/>
          <w:marRight w:val="0"/>
          <w:marTop w:val="0"/>
          <w:marBottom w:val="0"/>
          <w:divBdr>
            <w:top w:val="none" w:sz="0" w:space="0" w:color="auto"/>
            <w:left w:val="none" w:sz="0" w:space="0" w:color="auto"/>
            <w:bottom w:val="none" w:sz="0" w:space="0" w:color="auto"/>
            <w:right w:val="none" w:sz="0" w:space="0" w:color="auto"/>
          </w:divBdr>
        </w:div>
        <w:div w:id="1618023991">
          <w:marLeft w:val="0"/>
          <w:marRight w:val="0"/>
          <w:marTop w:val="0"/>
          <w:marBottom w:val="0"/>
          <w:divBdr>
            <w:top w:val="none" w:sz="0" w:space="0" w:color="auto"/>
            <w:left w:val="none" w:sz="0" w:space="0" w:color="auto"/>
            <w:bottom w:val="none" w:sz="0" w:space="0" w:color="auto"/>
            <w:right w:val="none" w:sz="0" w:space="0" w:color="auto"/>
          </w:divBdr>
        </w:div>
        <w:div w:id="1766729229">
          <w:marLeft w:val="0"/>
          <w:marRight w:val="0"/>
          <w:marTop w:val="0"/>
          <w:marBottom w:val="0"/>
          <w:divBdr>
            <w:top w:val="none" w:sz="0" w:space="0" w:color="auto"/>
            <w:left w:val="none" w:sz="0" w:space="0" w:color="auto"/>
            <w:bottom w:val="none" w:sz="0" w:space="0" w:color="auto"/>
            <w:right w:val="none" w:sz="0" w:space="0" w:color="auto"/>
          </w:divBdr>
        </w:div>
      </w:divsChild>
    </w:div>
    <w:div w:id="1557549056">
      <w:bodyDiv w:val="1"/>
      <w:marLeft w:val="0"/>
      <w:marRight w:val="0"/>
      <w:marTop w:val="0"/>
      <w:marBottom w:val="0"/>
      <w:divBdr>
        <w:top w:val="none" w:sz="0" w:space="0" w:color="auto"/>
        <w:left w:val="none" w:sz="0" w:space="0" w:color="auto"/>
        <w:bottom w:val="none" w:sz="0" w:space="0" w:color="auto"/>
        <w:right w:val="none" w:sz="0" w:space="0" w:color="auto"/>
      </w:divBdr>
    </w:div>
    <w:div w:id="1562595125">
      <w:bodyDiv w:val="1"/>
      <w:marLeft w:val="0"/>
      <w:marRight w:val="0"/>
      <w:marTop w:val="0"/>
      <w:marBottom w:val="0"/>
      <w:divBdr>
        <w:top w:val="none" w:sz="0" w:space="0" w:color="auto"/>
        <w:left w:val="none" w:sz="0" w:space="0" w:color="auto"/>
        <w:bottom w:val="none" w:sz="0" w:space="0" w:color="auto"/>
        <w:right w:val="none" w:sz="0" w:space="0" w:color="auto"/>
      </w:divBdr>
    </w:div>
    <w:div w:id="1567836803">
      <w:bodyDiv w:val="1"/>
      <w:marLeft w:val="0"/>
      <w:marRight w:val="0"/>
      <w:marTop w:val="0"/>
      <w:marBottom w:val="0"/>
      <w:divBdr>
        <w:top w:val="none" w:sz="0" w:space="0" w:color="auto"/>
        <w:left w:val="none" w:sz="0" w:space="0" w:color="auto"/>
        <w:bottom w:val="none" w:sz="0" w:space="0" w:color="auto"/>
        <w:right w:val="none" w:sz="0" w:space="0" w:color="auto"/>
      </w:divBdr>
    </w:div>
    <w:div w:id="1569994682">
      <w:bodyDiv w:val="1"/>
      <w:marLeft w:val="0"/>
      <w:marRight w:val="0"/>
      <w:marTop w:val="0"/>
      <w:marBottom w:val="0"/>
      <w:divBdr>
        <w:top w:val="none" w:sz="0" w:space="0" w:color="auto"/>
        <w:left w:val="none" w:sz="0" w:space="0" w:color="auto"/>
        <w:bottom w:val="none" w:sz="0" w:space="0" w:color="auto"/>
        <w:right w:val="none" w:sz="0" w:space="0" w:color="auto"/>
      </w:divBdr>
    </w:div>
    <w:div w:id="1572930763">
      <w:bodyDiv w:val="1"/>
      <w:marLeft w:val="0"/>
      <w:marRight w:val="0"/>
      <w:marTop w:val="0"/>
      <w:marBottom w:val="0"/>
      <w:divBdr>
        <w:top w:val="none" w:sz="0" w:space="0" w:color="auto"/>
        <w:left w:val="none" w:sz="0" w:space="0" w:color="auto"/>
        <w:bottom w:val="none" w:sz="0" w:space="0" w:color="auto"/>
        <w:right w:val="none" w:sz="0" w:space="0" w:color="auto"/>
      </w:divBdr>
    </w:div>
    <w:div w:id="1580405855">
      <w:bodyDiv w:val="1"/>
      <w:marLeft w:val="0"/>
      <w:marRight w:val="0"/>
      <w:marTop w:val="0"/>
      <w:marBottom w:val="0"/>
      <w:divBdr>
        <w:top w:val="none" w:sz="0" w:space="0" w:color="auto"/>
        <w:left w:val="none" w:sz="0" w:space="0" w:color="auto"/>
        <w:bottom w:val="none" w:sz="0" w:space="0" w:color="auto"/>
        <w:right w:val="none" w:sz="0" w:space="0" w:color="auto"/>
      </w:divBdr>
    </w:div>
    <w:div w:id="1584680599">
      <w:bodyDiv w:val="1"/>
      <w:marLeft w:val="0"/>
      <w:marRight w:val="0"/>
      <w:marTop w:val="0"/>
      <w:marBottom w:val="0"/>
      <w:divBdr>
        <w:top w:val="none" w:sz="0" w:space="0" w:color="auto"/>
        <w:left w:val="none" w:sz="0" w:space="0" w:color="auto"/>
        <w:bottom w:val="none" w:sz="0" w:space="0" w:color="auto"/>
        <w:right w:val="none" w:sz="0" w:space="0" w:color="auto"/>
      </w:divBdr>
    </w:div>
    <w:div w:id="1593004622">
      <w:bodyDiv w:val="1"/>
      <w:marLeft w:val="0"/>
      <w:marRight w:val="0"/>
      <w:marTop w:val="0"/>
      <w:marBottom w:val="0"/>
      <w:divBdr>
        <w:top w:val="none" w:sz="0" w:space="0" w:color="auto"/>
        <w:left w:val="none" w:sz="0" w:space="0" w:color="auto"/>
        <w:bottom w:val="none" w:sz="0" w:space="0" w:color="auto"/>
        <w:right w:val="none" w:sz="0" w:space="0" w:color="auto"/>
      </w:divBdr>
    </w:div>
    <w:div w:id="1597521431">
      <w:bodyDiv w:val="1"/>
      <w:marLeft w:val="0"/>
      <w:marRight w:val="0"/>
      <w:marTop w:val="0"/>
      <w:marBottom w:val="0"/>
      <w:divBdr>
        <w:top w:val="none" w:sz="0" w:space="0" w:color="auto"/>
        <w:left w:val="none" w:sz="0" w:space="0" w:color="auto"/>
        <w:bottom w:val="none" w:sz="0" w:space="0" w:color="auto"/>
        <w:right w:val="none" w:sz="0" w:space="0" w:color="auto"/>
      </w:divBdr>
    </w:div>
    <w:div w:id="1599558260">
      <w:bodyDiv w:val="1"/>
      <w:marLeft w:val="0"/>
      <w:marRight w:val="0"/>
      <w:marTop w:val="0"/>
      <w:marBottom w:val="0"/>
      <w:divBdr>
        <w:top w:val="none" w:sz="0" w:space="0" w:color="auto"/>
        <w:left w:val="none" w:sz="0" w:space="0" w:color="auto"/>
        <w:bottom w:val="none" w:sz="0" w:space="0" w:color="auto"/>
        <w:right w:val="none" w:sz="0" w:space="0" w:color="auto"/>
      </w:divBdr>
    </w:div>
    <w:div w:id="1609854668">
      <w:bodyDiv w:val="1"/>
      <w:marLeft w:val="0"/>
      <w:marRight w:val="0"/>
      <w:marTop w:val="0"/>
      <w:marBottom w:val="0"/>
      <w:divBdr>
        <w:top w:val="none" w:sz="0" w:space="0" w:color="auto"/>
        <w:left w:val="none" w:sz="0" w:space="0" w:color="auto"/>
        <w:bottom w:val="none" w:sz="0" w:space="0" w:color="auto"/>
        <w:right w:val="none" w:sz="0" w:space="0" w:color="auto"/>
      </w:divBdr>
    </w:div>
    <w:div w:id="1619414889">
      <w:bodyDiv w:val="1"/>
      <w:marLeft w:val="0"/>
      <w:marRight w:val="0"/>
      <w:marTop w:val="0"/>
      <w:marBottom w:val="0"/>
      <w:divBdr>
        <w:top w:val="none" w:sz="0" w:space="0" w:color="auto"/>
        <w:left w:val="none" w:sz="0" w:space="0" w:color="auto"/>
        <w:bottom w:val="none" w:sz="0" w:space="0" w:color="auto"/>
        <w:right w:val="none" w:sz="0" w:space="0" w:color="auto"/>
      </w:divBdr>
    </w:div>
    <w:div w:id="1637906368">
      <w:bodyDiv w:val="1"/>
      <w:marLeft w:val="0"/>
      <w:marRight w:val="0"/>
      <w:marTop w:val="0"/>
      <w:marBottom w:val="0"/>
      <w:divBdr>
        <w:top w:val="none" w:sz="0" w:space="0" w:color="auto"/>
        <w:left w:val="none" w:sz="0" w:space="0" w:color="auto"/>
        <w:bottom w:val="none" w:sz="0" w:space="0" w:color="auto"/>
        <w:right w:val="none" w:sz="0" w:space="0" w:color="auto"/>
      </w:divBdr>
    </w:div>
    <w:div w:id="1653022185">
      <w:bodyDiv w:val="1"/>
      <w:marLeft w:val="0"/>
      <w:marRight w:val="0"/>
      <w:marTop w:val="0"/>
      <w:marBottom w:val="0"/>
      <w:divBdr>
        <w:top w:val="none" w:sz="0" w:space="0" w:color="auto"/>
        <w:left w:val="none" w:sz="0" w:space="0" w:color="auto"/>
        <w:bottom w:val="none" w:sz="0" w:space="0" w:color="auto"/>
        <w:right w:val="none" w:sz="0" w:space="0" w:color="auto"/>
      </w:divBdr>
    </w:div>
    <w:div w:id="1671062688">
      <w:bodyDiv w:val="1"/>
      <w:marLeft w:val="0"/>
      <w:marRight w:val="0"/>
      <w:marTop w:val="0"/>
      <w:marBottom w:val="0"/>
      <w:divBdr>
        <w:top w:val="none" w:sz="0" w:space="0" w:color="auto"/>
        <w:left w:val="none" w:sz="0" w:space="0" w:color="auto"/>
        <w:bottom w:val="none" w:sz="0" w:space="0" w:color="auto"/>
        <w:right w:val="none" w:sz="0" w:space="0" w:color="auto"/>
      </w:divBdr>
    </w:div>
    <w:div w:id="1681003733">
      <w:bodyDiv w:val="1"/>
      <w:marLeft w:val="0"/>
      <w:marRight w:val="0"/>
      <w:marTop w:val="0"/>
      <w:marBottom w:val="0"/>
      <w:divBdr>
        <w:top w:val="none" w:sz="0" w:space="0" w:color="auto"/>
        <w:left w:val="none" w:sz="0" w:space="0" w:color="auto"/>
        <w:bottom w:val="none" w:sz="0" w:space="0" w:color="auto"/>
        <w:right w:val="none" w:sz="0" w:space="0" w:color="auto"/>
      </w:divBdr>
    </w:div>
    <w:div w:id="1683586200">
      <w:bodyDiv w:val="1"/>
      <w:marLeft w:val="0"/>
      <w:marRight w:val="0"/>
      <w:marTop w:val="0"/>
      <w:marBottom w:val="0"/>
      <w:divBdr>
        <w:top w:val="none" w:sz="0" w:space="0" w:color="auto"/>
        <w:left w:val="none" w:sz="0" w:space="0" w:color="auto"/>
        <w:bottom w:val="none" w:sz="0" w:space="0" w:color="auto"/>
        <w:right w:val="none" w:sz="0" w:space="0" w:color="auto"/>
      </w:divBdr>
    </w:div>
    <w:div w:id="1696275206">
      <w:bodyDiv w:val="1"/>
      <w:marLeft w:val="0"/>
      <w:marRight w:val="0"/>
      <w:marTop w:val="0"/>
      <w:marBottom w:val="0"/>
      <w:divBdr>
        <w:top w:val="none" w:sz="0" w:space="0" w:color="auto"/>
        <w:left w:val="none" w:sz="0" w:space="0" w:color="auto"/>
        <w:bottom w:val="none" w:sz="0" w:space="0" w:color="auto"/>
        <w:right w:val="none" w:sz="0" w:space="0" w:color="auto"/>
      </w:divBdr>
    </w:div>
    <w:div w:id="1698703198">
      <w:bodyDiv w:val="1"/>
      <w:marLeft w:val="0"/>
      <w:marRight w:val="0"/>
      <w:marTop w:val="0"/>
      <w:marBottom w:val="0"/>
      <w:divBdr>
        <w:top w:val="none" w:sz="0" w:space="0" w:color="auto"/>
        <w:left w:val="none" w:sz="0" w:space="0" w:color="auto"/>
        <w:bottom w:val="none" w:sz="0" w:space="0" w:color="auto"/>
        <w:right w:val="none" w:sz="0" w:space="0" w:color="auto"/>
      </w:divBdr>
    </w:div>
    <w:div w:id="1701515141">
      <w:bodyDiv w:val="1"/>
      <w:marLeft w:val="0"/>
      <w:marRight w:val="0"/>
      <w:marTop w:val="0"/>
      <w:marBottom w:val="0"/>
      <w:divBdr>
        <w:top w:val="none" w:sz="0" w:space="0" w:color="auto"/>
        <w:left w:val="none" w:sz="0" w:space="0" w:color="auto"/>
        <w:bottom w:val="none" w:sz="0" w:space="0" w:color="auto"/>
        <w:right w:val="none" w:sz="0" w:space="0" w:color="auto"/>
      </w:divBdr>
    </w:div>
    <w:div w:id="1704478895">
      <w:bodyDiv w:val="1"/>
      <w:marLeft w:val="0"/>
      <w:marRight w:val="0"/>
      <w:marTop w:val="0"/>
      <w:marBottom w:val="0"/>
      <w:divBdr>
        <w:top w:val="none" w:sz="0" w:space="0" w:color="auto"/>
        <w:left w:val="none" w:sz="0" w:space="0" w:color="auto"/>
        <w:bottom w:val="none" w:sz="0" w:space="0" w:color="auto"/>
        <w:right w:val="none" w:sz="0" w:space="0" w:color="auto"/>
      </w:divBdr>
    </w:div>
    <w:div w:id="1706519573">
      <w:bodyDiv w:val="1"/>
      <w:marLeft w:val="0"/>
      <w:marRight w:val="0"/>
      <w:marTop w:val="0"/>
      <w:marBottom w:val="0"/>
      <w:divBdr>
        <w:top w:val="none" w:sz="0" w:space="0" w:color="auto"/>
        <w:left w:val="none" w:sz="0" w:space="0" w:color="auto"/>
        <w:bottom w:val="none" w:sz="0" w:space="0" w:color="auto"/>
        <w:right w:val="none" w:sz="0" w:space="0" w:color="auto"/>
      </w:divBdr>
      <w:divsChild>
        <w:div w:id="235820157">
          <w:marLeft w:val="0"/>
          <w:marRight w:val="0"/>
          <w:marTop w:val="0"/>
          <w:marBottom w:val="0"/>
          <w:divBdr>
            <w:top w:val="none" w:sz="0" w:space="0" w:color="auto"/>
            <w:left w:val="none" w:sz="0" w:space="0" w:color="auto"/>
            <w:bottom w:val="none" w:sz="0" w:space="0" w:color="auto"/>
            <w:right w:val="none" w:sz="0" w:space="0" w:color="auto"/>
          </w:divBdr>
        </w:div>
      </w:divsChild>
    </w:div>
    <w:div w:id="1708332876">
      <w:bodyDiv w:val="1"/>
      <w:marLeft w:val="0"/>
      <w:marRight w:val="0"/>
      <w:marTop w:val="0"/>
      <w:marBottom w:val="0"/>
      <w:divBdr>
        <w:top w:val="none" w:sz="0" w:space="0" w:color="auto"/>
        <w:left w:val="none" w:sz="0" w:space="0" w:color="auto"/>
        <w:bottom w:val="none" w:sz="0" w:space="0" w:color="auto"/>
        <w:right w:val="none" w:sz="0" w:space="0" w:color="auto"/>
      </w:divBdr>
    </w:div>
    <w:div w:id="1708750642">
      <w:bodyDiv w:val="1"/>
      <w:marLeft w:val="0"/>
      <w:marRight w:val="0"/>
      <w:marTop w:val="0"/>
      <w:marBottom w:val="0"/>
      <w:divBdr>
        <w:top w:val="none" w:sz="0" w:space="0" w:color="auto"/>
        <w:left w:val="none" w:sz="0" w:space="0" w:color="auto"/>
        <w:bottom w:val="none" w:sz="0" w:space="0" w:color="auto"/>
        <w:right w:val="none" w:sz="0" w:space="0" w:color="auto"/>
      </w:divBdr>
    </w:div>
    <w:div w:id="1713187376">
      <w:bodyDiv w:val="1"/>
      <w:marLeft w:val="0"/>
      <w:marRight w:val="0"/>
      <w:marTop w:val="0"/>
      <w:marBottom w:val="0"/>
      <w:divBdr>
        <w:top w:val="none" w:sz="0" w:space="0" w:color="auto"/>
        <w:left w:val="none" w:sz="0" w:space="0" w:color="auto"/>
        <w:bottom w:val="none" w:sz="0" w:space="0" w:color="auto"/>
        <w:right w:val="none" w:sz="0" w:space="0" w:color="auto"/>
      </w:divBdr>
      <w:divsChild>
        <w:div w:id="802504675">
          <w:marLeft w:val="0"/>
          <w:marRight w:val="0"/>
          <w:marTop w:val="0"/>
          <w:marBottom w:val="0"/>
          <w:divBdr>
            <w:top w:val="none" w:sz="0" w:space="0" w:color="auto"/>
            <w:left w:val="none" w:sz="0" w:space="0" w:color="auto"/>
            <w:bottom w:val="none" w:sz="0" w:space="0" w:color="auto"/>
            <w:right w:val="none" w:sz="0" w:space="0" w:color="auto"/>
          </w:divBdr>
        </w:div>
      </w:divsChild>
    </w:div>
    <w:div w:id="1723944323">
      <w:bodyDiv w:val="1"/>
      <w:marLeft w:val="0"/>
      <w:marRight w:val="0"/>
      <w:marTop w:val="0"/>
      <w:marBottom w:val="0"/>
      <w:divBdr>
        <w:top w:val="none" w:sz="0" w:space="0" w:color="auto"/>
        <w:left w:val="none" w:sz="0" w:space="0" w:color="auto"/>
        <w:bottom w:val="none" w:sz="0" w:space="0" w:color="auto"/>
        <w:right w:val="none" w:sz="0" w:space="0" w:color="auto"/>
      </w:divBdr>
      <w:divsChild>
        <w:div w:id="39132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5741691">
      <w:bodyDiv w:val="1"/>
      <w:marLeft w:val="0"/>
      <w:marRight w:val="0"/>
      <w:marTop w:val="0"/>
      <w:marBottom w:val="0"/>
      <w:divBdr>
        <w:top w:val="none" w:sz="0" w:space="0" w:color="auto"/>
        <w:left w:val="none" w:sz="0" w:space="0" w:color="auto"/>
        <w:bottom w:val="none" w:sz="0" w:space="0" w:color="auto"/>
        <w:right w:val="none" w:sz="0" w:space="0" w:color="auto"/>
      </w:divBdr>
    </w:div>
    <w:div w:id="1750733676">
      <w:bodyDiv w:val="1"/>
      <w:marLeft w:val="0"/>
      <w:marRight w:val="0"/>
      <w:marTop w:val="0"/>
      <w:marBottom w:val="0"/>
      <w:divBdr>
        <w:top w:val="none" w:sz="0" w:space="0" w:color="auto"/>
        <w:left w:val="none" w:sz="0" w:space="0" w:color="auto"/>
        <w:bottom w:val="none" w:sz="0" w:space="0" w:color="auto"/>
        <w:right w:val="none" w:sz="0" w:space="0" w:color="auto"/>
      </w:divBdr>
    </w:div>
    <w:div w:id="1751805614">
      <w:bodyDiv w:val="1"/>
      <w:marLeft w:val="0"/>
      <w:marRight w:val="0"/>
      <w:marTop w:val="0"/>
      <w:marBottom w:val="0"/>
      <w:divBdr>
        <w:top w:val="none" w:sz="0" w:space="0" w:color="auto"/>
        <w:left w:val="none" w:sz="0" w:space="0" w:color="auto"/>
        <w:bottom w:val="none" w:sz="0" w:space="0" w:color="auto"/>
        <w:right w:val="none" w:sz="0" w:space="0" w:color="auto"/>
      </w:divBdr>
    </w:div>
    <w:div w:id="1763333819">
      <w:bodyDiv w:val="1"/>
      <w:marLeft w:val="0"/>
      <w:marRight w:val="0"/>
      <w:marTop w:val="0"/>
      <w:marBottom w:val="0"/>
      <w:divBdr>
        <w:top w:val="none" w:sz="0" w:space="0" w:color="auto"/>
        <w:left w:val="none" w:sz="0" w:space="0" w:color="auto"/>
        <w:bottom w:val="none" w:sz="0" w:space="0" w:color="auto"/>
        <w:right w:val="none" w:sz="0" w:space="0" w:color="auto"/>
      </w:divBdr>
    </w:div>
    <w:div w:id="1770740306">
      <w:bodyDiv w:val="1"/>
      <w:marLeft w:val="0"/>
      <w:marRight w:val="0"/>
      <w:marTop w:val="0"/>
      <w:marBottom w:val="0"/>
      <w:divBdr>
        <w:top w:val="none" w:sz="0" w:space="0" w:color="auto"/>
        <w:left w:val="none" w:sz="0" w:space="0" w:color="auto"/>
        <w:bottom w:val="none" w:sz="0" w:space="0" w:color="auto"/>
        <w:right w:val="none" w:sz="0" w:space="0" w:color="auto"/>
      </w:divBdr>
    </w:div>
    <w:div w:id="1778796156">
      <w:bodyDiv w:val="1"/>
      <w:marLeft w:val="0"/>
      <w:marRight w:val="0"/>
      <w:marTop w:val="0"/>
      <w:marBottom w:val="0"/>
      <w:divBdr>
        <w:top w:val="none" w:sz="0" w:space="0" w:color="auto"/>
        <w:left w:val="none" w:sz="0" w:space="0" w:color="auto"/>
        <w:bottom w:val="none" w:sz="0" w:space="0" w:color="auto"/>
        <w:right w:val="none" w:sz="0" w:space="0" w:color="auto"/>
      </w:divBdr>
    </w:div>
    <w:div w:id="1780100499">
      <w:bodyDiv w:val="1"/>
      <w:marLeft w:val="0"/>
      <w:marRight w:val="0"/>
      <w:marTop w:val="0"/>
      <w:marBottom w:val="0"/>
      <w:divBdr>
        <w:top w:val="none" w:sz="0" w:space="0" w:color="auto"/>
        <w:left w:val="none" w:sz="0" w:space="0" w:color="auto"/>
        <w:bottom w:val="none" w:sz="0" w:space="0" w:color="auto"/>
        <w:right w:val="none" w:sz="0" w:space="0" w:color="auto"/>
      </w:divBdr>
    </w:div>
    <w:div w:id="1788507317">
      <w:bodyDiv w:val="1"/>
      <w:marLeft w:val="0"/>
      <w:marRight w:val="0"/>
      <w:marTop w:val="0"/>
      <w:marBottom w:val="0"/>
      <w:divBdr>
        <w:top w:val="none" w:sz="0" w:space="0" w:color="auto"/>
        <w:left w:val="none" w:sz="0" w:space="0" w:color="auto"/>
        <w:bottom w:val="none" w:sz="0" w:space="0" w:color="auto"/>
        <w:right w:val="none" w:sz="0" w:space="0" w:color="auto"/>
      </w:divBdr>
      <w:divsChild>
        <w:div w:id="1236739788">
          <w:marLeft w:val="0"/>
          <w:marRight w:val="0"/>
          <w:marTop w:val="0"/>
          <w:marBottom w:val="0"/>
          <w:divBdr>
            <w:top w:val="none" w:sz="0" w:space="0" w:color="auto"/>
            <w:left w:val="none" w:sz="0" w:space="0" w:color="auto"/>
            <w:bottom w:val="none" w:sz="0" w:space="0" w:color="auto"/>
            <w:right w:val="none" w:sz="0" w:space="0" w:color="auto"/>
          </w:divBdr>
        </w:div>
      </w:divsChild>
    </w:div>
    <w:div w:id="1790851965">
      <w:bodyDiv w:val="1"/>
      <w:marLeft w:val="0"/>
      <w:marRight w:val="0"/>
      <w:marTop w:val="0"/>
      <w:marBottom w:val="0"/>
      <w:divBdr>
        <w:top w:val="none" w:sz="0" w:space="0" w:color="auto"/>
        <w:left w:val="none" w:sz="0" w:space="0" w:color="auto"/>
        <w:bottom w:val="none" w:sz="0" w:space="0" w:color="auto"/>
        <w:right w:val="none" w:sz="0" w:space="0" w:color="auto"/>
      </w:divBdr>
    </w:div>
    <w:div w:id="1802771394">
      <w:bodyDiv w:val="1"/>
      <w:marLeft w:val="0"/>
      <w:marRight w:val="0"/>
      <w:marTop w:val="0"/>
      <w:marBottom w:val="0"/>
      <w:divBdr>
        <w:top w:val="none" w:sz="0" w:space="0" w:color="auto"/>
        <w:left w:val="none" w:sz="0" w:space="0" w:color="auto"/>
        <w:bottom w:val="none" w:sz="0" w:space="0" w:color="auto"/>
        <w:right w:val="none" w:sz="0" w:space="0" w:color="auto"/>
      </w:divBdr>
      <w:divsChild>
        <w:div w:id="1132752543">
          <w:marLeft w:val="0"/>
          <w:marRight w:val="0"/>
          <w:marTop w:val="0"/>
          <w:marBottom w:val="0"/>
          <w:divBdr>
            <w:top w:val="none" w:sz="0" w:space="0" w:color="auto"/>
            <w:left w:val="none" w:sz="0" w:space="0" w:color="auto"/>
            <w:bottom w:val="none" w:sz="0" w:space="0" w:color="auto"/>
            <w:right w:val="none" w:sz="0" w:space="0" w:color="auto"/>
          </w:divBdr>
        </w:div>
      </w:divsChild>
    </w:div>
    <w:div w:id="1805807731">
      <w:bodyDiv w:val="1"/>
      <w:marLeft w:val="0"/>
      <w:marRight w:val="0"/>
      <w:marTop w:val="0"/>
      <w:marBottom w:val="0"/>
      <w:divBdr>
        <w:top w:val="none" w:sz="0" w:space="0" w:color="auto"/>
        <w:left w:val="none" w:sz="0" w:space="0" w:color="auto"/>
        <w:bottom w:val="none" w:sz="0" w:space="0" w:color="auto"/>
        <w:right w:val="none" w:sz="0" w:space="0" w:color="auto"/>
      </w:divBdr>
    </w:div>
    <w:div w:id="1819885021">
      <w:bodyDiv w:val="1"/>
      <w:marLeft w:val="0"/>
      <w:marRight w:val="0"/>
      <w:marTop w:val="0"/>
      <w:marBottom w:val="0"/>
      <w:divBdr>
        <w:top w:val="none" w:sz="0" w:space="0" w:color="auto"/>
        <w:left w:val="none" w:sz="0" w:space="0" w:color="auto"/>
        <w:bottom w:val="none" w:sz="0" w:space="0" w:color="auto"/>
        <w:right w:val="none" w:sz="0" w:space="0" w:color="auto"/>
      </w:divBdr>
    </w:div>
    <w:div w:id="1821070512">
      <w:bodyDiv w:val="1"/>
      <w:marLeft w:val="0"/>
      <w:marRight w:val="0"/>
      <w:marTop w:val="0"/>
      <w:marBottom w:val="0"/>
      <w:divBdr>
        <w:top w:val="none" w:sz="0" w:space="0" w:color="auto"/>
        <w:left w:val="none" w:sz="0" w:space="0" w:color="auto"/>
        <w:bottom w:val="none" w:sz="0" w:space="0" w:color="auto"/>
        <w:right w:val="none" w:sz="0" w:space="0" w:color="auto"/>
      </w:divBdr>
      <w:divsChild>
        <w:div w:id="871378580">
          <w:marLeft w:val="0"/>
          <w:marRight w:val="0"/>
          <w:marTop w:val="0"/>
          <w:marBottom w:val="0"/>
          <w:divBdr>
            <w:top w:val="none" w:sz="0" w:space="0" w:color="auto"/>
            <w:left w:val="none" w:sz="0" w:space="0" w:color="auto"/>
            <w:bottom w:val="none" w:sz="0" w:space="0" w:color="auto"/>
            <w:right w:val="none" w:sz="0" w:space="0" w:color="auto"/>
          </w:divBdr>
        </w:div>
      </w:divsChild>
    </w:div>
    <w:div w:id="1833521514">
      <w:bodyDiv w:val="1"/>
      <w:marLeft w:val="0"/>
      <w:marRight w:val="0"/>
      <w:marTop w:val="0"/>
      <w:marBottom w:val="0"/>
      <w:divBdr>
        <w:top w:val="none" w:sz="0" w:space="0" w:color="auto"/>
        <w:left w:val="none" w:sz="0" w:space="0" w:color="auto"/>
        <w:bottom w:val="none" w:sz="0" w:space="0" w:color="auto"/>
        <w:right w:val="none" w:sz="0" w:space="0" w:color="auto"/>
      </w:divBdr>
    </w:div>
    <w:div w:id="1834108138">
      <w:bodyDiv w:val="1"/>
      <w:marLeft w:val="0"/>
      <w:marRight w:val="0"/>
      <w:marTop w:val="0"/>
      <w:marBottom w:val="0"/>
      <w:divBdr>
        <w:top w:val="none" w:sz="0" w:space="0" w:color="auto"/>
        <w:left w:val="none" w:sz="0" w:space="0" w:color="auto"/>
        <w:bottom w:val="none" w:sz="0" w:space="0" w:color="auto"/>
        <w:right w:val="none" w:sz="0" w:space="0" w:color="auto"/>
      </w:divBdr>
    </w:div>
    <w:div w:id="1843354941">
      <w:bodyDiv w:val="1"/>
      <w:marLeft w:val="0"/>
      <w:marRight w:val="0"/>
      <w:marTop w:val="0"/>
      <w:marBottom w:val="0"/>
      <w:divBdr>
        <w:top w:val="none" w:sz="0" w:space="0" w:color="auto"/>
        <w:left w:val="none" w:sz="0" w:space="0" w:color="auto"/>
        <w:bottom w:val="none" w:sz="0" w:space="0" w:color="auto"/>
        <w:right w:val="none" w:sz="0" w:space="0" w:color="auto"/>
      </w:divBdr>
    </w:div>
    <w:div w:id="1883907141">
      <w:bodyDiv w:val="1"/>
      <w:marLeft w:val="0"/>
      <w:marRight w:val="0"/>
      <w:marTop w:val="0"/>
      <w:marBottom w:val="0"/>
      <w:divBdr>
        <w:top w:val="none" w:sz="0" w:space="0" w:color="auto"/>
        <w:left w:val="none" w:sz="0" w:space="0" w:color="auto"/>
        <w:bottom w:val="none" w:sz="0" w:space="0" w:color="auto"/>
        <w:right w:val="none" w:sz="0" w:space="0" w:color="auto"/>
      </w:divBdr>
    </w:div>
    <w:div w:id="1890989559">
      <w:bodyDiv w:val="1"/>
      <w:marLeft w:val="0"/>
      <w:marRight w:val="0"/>
      <w:marTop w:val="0"/>
      <w:marBottom w:val="0"/>
      <w:divBdr>
        <w:top w:val="none" w:sz="0" w:space="0" w:color="auto"/>
        <w:left w:val="none" w:sz="0" w:space="0" w:color="auto"/>
        <w:bottom w:val="none" w:sz="0" w:space="0" w:color="auto"/>
        <w:right w:val="none" w:sz="0" w:space="0" w:color="auto"/>
      </w:divBdr>
    </w:div>
    <w:div w:id="1891652743">
      <w:bodyDiv w:val="1"/>
      <w:marLeft w:val="0"/>
      <w:marRight w:val="0"/>
      <w:marTop w:val="0"/>
      <w:marBottom w:val="0"/>
      <w:divBdr>
        <w:top w:val="none" w:sz="0" w:space="0" w:color="auto"/>
        <w:left w:val="none" w:sz="0" w:space="0" w:color="auto"/>
        <w:bottom w:val="none" w:sz="0" w:space="0" w:color="auto"/>
        <w:right w:val="none" w:sz="0" w:space="0" w:color="auto"/>
      </w:divBdr>
    </w:div>
    <w:div w:id="1896237046">
      <w:bodyDiv w:val="1"/>
      <w:marLeft w:val="0"/>
      <w:marRight w:val="0"/>
      <w:marTop w:val="0"/>
      <w:marBottom w:val="0"/>
      <w:divBdr>
        <w:top w:val="none" w:sz="0" w:space="0" w:color="auto"/>
        <w:left w:val="none" w:sz="0" w:space="0" w:color="auto"/>
        <w:bottom w:val="none" w:sz="0" w:space="0" w:color="auto"/>
        <w:right w:val="none" w:sz="0" w:space="0" w:color="auto"/>
      </w:divBdr>
    </w:div>
    <w:div w:id="1912696598">
      <w:bodyDiv w:val="1"/>
      <w:marLeft w:val="0"/>
      <w:marRight w:val="0"/>
      <w:marTop w:val="0"/>
      <w:marBottom w:val="0"/>
      <w:divBdr>
        <w:top w:val="none" w:sz="0" w:space="0" w:color="auto"/>
        <w:left w:val="none" w:sz="0" w:space="0" w:color="auto"/>
        <w:bottom w:val="none" w:sz="0" w:space="0" w:color="auto"/>
        <w:right w:val="none" w:sz="0" w:space="0" w:color="auto"/>
      </w:divBdr>
    </w:div>
    <w:div w:id="1929923292">
      <w:bodyDiv w:val="1"/>
      <w:marLeft w:val="0"/>
      <w:marRight w:val="0"/>
      <w:marTop w:val="0"/>
      <w:marBottom w:val="0"/>
      <w:divBdr>
        <w:top w:val="none" w:sz="0" w:space="0" w:color="auto"/>
        <w:left w:val="none" w:sz="0" w:space="0" w:color="auto"/>
        <w:bottom w:val="none" w:sz="0" w:space="0" w:color="auto"/>
        <w:right w:val="none" w:sz="0" w:space="0" w:color="auto"/>
      </w:divBdr>
    </w:div>
    <w:div w:id="1932616846">
      <w:bodyDiv w:val="1"/>
      <w:marLeft w:val="0"/>
      <w:marRight w:val="0"/>
      <w:marTop w:val="0"/>
      <w:marBottom w:val="0"/>
      <w:divBdr>
        <w:top w:val="none" w:sz="0" w:space="0" w:color="auto"/>
        <w:left w:val="none" w:sz="0" w:space="0" w:color="auto"/>
        <w:bottom w:val="none" w:sz="0" w:space="0" w:color="auto"/>
        <w:right w:val="none" w:sz="0" w:space="0" w:color="auto"/>
      </w:divBdr>
    </w:div>
    <w:div w:id="1937977104">
      <w:bodyDiv w:val="1"/>
      <w:marLeft w:val="0"/>
      <w:marRight w:val="0"/>
      <w:marTop w:val="0"/>
      <w:marBottom w:val="0"/>
      <w:divBdr>
        <w:top w:val="none" w:sz="0" w:space="0" w:color="auto"/>
        <w:left w:val="none" w:sz="0" w:space="0" w:color="auto"/>
        <w:bottom w:val="none" w:sz="0" w:space="0" w:color="auto"/>
        <w:right w:val="none" w:sz="0" w:space="0" w:color="auto"/>
      </w:divBdr>
    </w:div>
    <w:div w:id="1943759910">
      <w:bodyDiv w:val="1"/>
      <w:marLeft w:val="0"/>
      <w:marRight w:val="0"/>
      <w:marTop w:val="0"/>
      <w:marBottom w:val="0"/>
      <w:divBdr>
        <w:top w:val="none" w:sz="0" w:space="0" w:color="auto"/>
        <w:left w:val="none" w:sz="0" w:space="0" w:color="auto"/>
        <w:bottom w:val="none" w:sz="0" w:space="0" w:color="auto"/>
        <w:right w:val="none" w:sz="0" w:space="0" w:color="auto"/>
      </w:divBdr>
    </w:div>
    <w:div w:id="1946617038">
      <w:bodyDiv w:val="1"/>
      <w:marLeft w:val="0"/>
      <w:marRight w:val="0"/>
      <w:marTop w:val="0"/>
      <w:marBottom w:val="0"/>
      <w:divBdr>
        <w:top w:val="none" w:sz="0" w:space="0" w:color="auto"/>
        <w:left w:val="none" w:sz="0" w:space="0" w:color="auto"/>
        <w:bottom w:val="none" w:sz="0" w:space="0" w:color="auto"/>
        <w:right w:val="none" w:sz="0" w:space="0" w:color="auto"/>
      </w:divBdr>
      <w:divsChild>
        <w:div w:id="1646272864">
          <w:marLeft w:val="0"/>
          <w:marRight w:val="0"/>
          <w:marTop w:val="0"/>
          <w:marBottom w:val="0"/>
          <w:divBdr>
            <w:top w:val="none" w:sz="0" w:space="0" w:color="auto"/>
            <w:left w:val="none" w:sz="0" w:space="0" w:color="auto"/>
            <w:bottom w:val="none" w:sz="0" w:space="0" w:color="auto"/>
            <w:right w:val="none" w:sz="0" w:space="0" w:color="auto"/>
          </w:divBdr>
        </w:div>
      </w:divsChild>
    </w:div>
    <w:div w:id="1953126354">
      <w:bodyDiv w:val="1"/>
      <w:marLeft w:val="0"/>
      <w:marRight w:val="0"/>
      <w:marTop w:val="0"/>
      <w:marBottom w:val="0"/>
      <w:divBdr>
        <w:top w:val="none" w:sz="0" w:space="0" w:color="auto"/>
        <w:left w:val="none" w:sz="0" w:space="0" w:color="auto"/>
        <w:bottom w:val="none" w:sz="0" w:space="0" w:color="auto"/>
        <w:right w:val="none" w:sz="0" w:space="0" w:color="auto"/>
      </w:divBdr>
    </w:div>
    <w:div w:id="1958565049">
      <w:bodyDiv w:val="1"/>
      <w:marLeft w:val="0"/>
      <w:marRight w:val="0"/>
      <w:marTop w:val="0"/>
      <w:marBottom w:val="0"/>
      <w:divBdr>
        <w:top w:val="none" w:sz="0" w:space="0" w:color="auto"/>
        <w:left w:val="none" w:sz="0" w:space="0" w:color="auto"/>
        <w:bottom w:val="none" w:sz="0" w:space="0" w:color="auto"/>
        <w:right w:val="none" w:sz="0" w:space="0" w:color="auto"/>
      </w:divBdr>
    </w:div>
    <w:div w:id="1975983155">
      <w:bodyDiv w:val="1"/>
      <w:marLeft w:val="0"/>
      <w:marRight w:val="0"/>
      <w:marTop w:val="0"/>
      <w:marBottom w:val="0"/>
      <w:divBdr>
        <w:top w:val="none" w:sz="0" w:space="0" w:color="auto"/>
        <w:left w:val="none" w:sz="0" w:space="0" w:color="auto"/>
        <w:bottom w:val="none" w:sz="0" w:space="0" w:color="auto"/>
        <w:right w:val="none" w:sz="0" w:space="0" w:color="auto"/>
      </w:divBdr>
    </w:div>
    <w:div w:id="1984113395">
      <w:bodyDiv w:val="1"/>
      <w:marLeft w:val="0"/>
      <w:marRight w:val="0"/>
      <w:marTop w:val="0"/>
      <w:marBottom w:val="0"/>
      <w:divBdr>
        <w:top w:val="none" w:sz="0" w:space="0" w:color="auto"/>
        <w:left w:val="none" w:sz="0" w:space="0" w:color="auto"/>
        <w:bottom w:val="none" w:sz="0" w:space="0" w:color="auto"/>
        <w:right w:val="none" w:sz="0" w:space="0" w:color="auto"/>
      </w:divBdr>
    </w:div>
    <w:div w:id="1988238025">
      <w:bodyDiv w:val="1"/>
      <w:marLeft w:val="0"/>
      <w:marRight w:val="0"/>
      <w:marTop w:val="0"/>
      <w:marBottom w:val="0"/>
      <w:divBdr>
        <w:top w:val="none" w:sz="0" w:space="0" w:color="auto"/>
        <w:left w:val="none" w:sz="0" w:space="0" w:color="auto"/>
        <w:bottom w:val="none" w:sz="0" w:space="0" w:color="auto"/>
        <w:right w:val="none" w:sz="0" w:space="0" w:color="auto"/>
      </w:divBdr>
    </w:div>
    <w:div w:id="1990671358">
      <w:bodyDiv w:val="1"/>
      <w:marLeft w:val="0"/>
      <w:marRight w:val="0"/>
      <w:marTop w:val="0"/>
      <w:marBottom w:val="0"/>
      <w:divBdr>
        <w:top w:val="none" w:sz="0" w:space="0" w:color="auto"/>
        <w:left w:val="none" w:sz="0" w:space="0" w:color="auto"/>
        <w:bottom w:val="none" w:sz="0" w:space="0" w:color="auto"/>
        <w:right w:val="none" w:sz="0" w:space="0" w:color="auto"/>
      </w:divBdr>
    </w:div>
    <w:div w:id="1992054596">
      <w:bodyDiv w:val="1"/>
      <w:marLeft w:val="0"/>
      <w:marRight w:val="0"/>
      <w:marTop w:val="0"/>
      <w:marBottom w:val="0"/>
      <w:divBdr>
        <w:top w:val="none" w:sz="0" w:space="0" w:color="auto"/>
        <w:left w:val="none" w:sz="0" w:space="0" w:color="auto"/>
        <w:bottom w:val="none" w:sz="0" w:space="0" w:color="auto"/>
        <w:right w:val="none" w:sz="0" w:space="0" w:color="auto"/>
      </w:divBdr>
    </w:div>
    <w:div w:id="1992903155">
      <w:bodyDiv w:val="1"/>
      <w:marLeft w:val="0"/>
      <w:marRight w:val="0"/>
      <w:marTop w:val="0"/>
      <w:marBottom w:val="0"/>
      <w:divBdr>
        <w:top w:val="none" w:sz="0" w:space="0" w:color="auto"/>
        <w:left w:val="none" w:sz="0" w:space="0" w:color="auto"/>
        <w:bottom w:val="none" w:sz="0" w:space="0" w:color="auto"/>
        <w:right w:val="none" w:sz="0" w:space="0" w:color="auto"/>
      </w:divBdr>
      <w:divsChild>
        <w:div w:id="1530753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3874153">
      <w:bodyDiv w:val="1"/>
      <w:marLeft w:val="0"/>
      <w:marRight w:val="0"/>
      <w:marTop w:val="0"/>
      <w:marBottom w:val="0"/>
      <w:divBdr>
        <w:top w:val="none" w:sz="0" w:space="0" w:color="auto"/>
        <w:left w:val="none" w:sz="0" w:space="0" w:color="auto"/>
        <w:bottom w:val="none" w:sz="0" w:space="0" w:color="auto"/>
        <w:right w:val="none" w:sz="0" w:space="0" w:color="auto"/>
      </w:divBdr>
    </w:div>
    <w:div w:id="2020808488">
      <w:bodyDiv w:val="1"/>
      <w:marLeft w:val="0"/>
      <w:marRight w:val="0"/>
      <w:marTop w:val="0"/>
      <w:marBottom w:val="0"/>
      <w:divBdr>
        <w:top w:val="none" w:sz="0" w:space="0" w:color="auto"/>
        <w:left w:val="none" w:sz="0" w:space="0" w:color="auto"/>
        <w:bottom w:val="none" w:sz="0" w:space="0" w:color="auto"/>
        <w:right w:val="none" w:sz="0" w:space="0" w:color="auto"/>
      </w:divBdr>
    </w:div>
    <w:div w:id="2039811611">
      <w:bodyDiv w:val="1"/>
      <w:marLeft w:val="0"/>
      <w:marRight w:val="0"/>
      <w:marTop w:val="0"/>
      <w:marBottom w:val="0"/>
      <w:divBdr>
        <w:top w:val="none" w:sz="0" w:space="0" w:color="auto"/>
        <w:left w:val="none" w:sz="0" w:space="0" w:color="auto"/>
        <w:bottom w:val="none" w:sz="0" w:space="0" w:color="auto"/>
        <w:right w:val="none" w:sz="0" w:space="0" w:color="auto"/>
      </w:divBdr>
    </w:div>
    <w:div w:id="2041009786">
      <w:bodyDiv w:val="1"/>
      <w:marLeft w:val="0"/>
      <w:marRight w:val="0"/>
      <w:marTop w:val="0"/>
      <w:marBottom w:val="0"/>
      <w:divBdr>
        <w:top w:val="none" w:sz="0" w:space="0" w:color="auto"/>
        <w:left w:val="none" w:sz="0" w:space="0" w:color="auto"/>
        <w:bottom w:val="none" w:sz="0" w:space="0" w:color="auto"/>
        <w:right w:val="none" w:sz="0" w:space="0" w:color="auto"/>
      </w:divBdr>
    </w:div>
    <w:div w:id="2041858497">
      <w:bodyDiv w:val="1"/>
      <w:marLeft w:val="0"/>
      <w:marRight w:val="0"/>
      <w:marTop w:val="0"/>
      <w:marBottom w:val="0"/>
      <w:divBdr>
        <w:top w:val="none" w:sz="0" w:space="0" w:color="auto"/>
        <w:left w:val="none" w:sz="0" w:space="0" w:color="auto"/>
        <w:bottom w:val="none" w:sz="0" w:space="0" w:color="auto"/>
        <w:right w:val="none" w:sz="0" w:space="0" w:color="auto"/>
      </w:divBdr>
    </w:div>
    <w:div w:id="2043744650">
      <w:bodyDiv w:val="1"/>
      <w:marLeft w:val="0"/>
      <w:marRight w:val="0"/>
      <w:marTop w:val="0"/>
      <w:marBottom w:val="0"/>
      <w:divBdr>
        <w:top w:val="none" w:sz="0" w:space="0" w:color="auto"/>
        <w:left w:val="none" w:sz="0" w:space="0" w:color="auto"/>
        <w:bottom w:val="none" w:sz="0" w:space="0" w:color="auto"/>
        <w:right w:val="none" w:sz="0" w:space="0" w:color="auto"/>
      </w:divBdr>
    </w:div>
    <w:div w:id="2059894074">
      <w:bodyDiv w:val="1"/>
      <w:marLeft w:val="0"/>
      <w:marRight w:val="0"/>
      <w:marTop w:val="0"/>
      <w:marBottom w:val="0"/>
      <w:divBdr>
        <w:top w:val="none" w:sz="0" w:space="0" w:color="auto"/>
        <w:left w:val="none" w:sz="0" w:space="0" w:color="auto"/>
        <w:bottom w:val="none" w:sz="0" w:space="0" w:color="auto"/>
        <w:right w:val="none" w:sz="0" w:space="0" w:color="auto"/>
      </w:divBdr>
      <w:divsChild>
        <w:div w:id="1111588409">
          <w:marLeft w:val="0"/>
          <w:marRight w:val="0"/>
          <w:marTop w:val="0"/>
          <w:marBottom w:val="0"/>
          <w:divBdr>
            <w:top w:val="none" w:sz="0" w:space="0" w:color="auto"/>
            <w:left w:val="none" w:sz="0" w:space="0" w:color="auto"/>
            <w:bottom w:val="none" w:sz="0" w:space="0" w:color="auto"/>
            <w:right w:val="none" w:sz="0" w:space="0" w:color="auto"/>
          </w:divBdr>
        </w:div>
      </w:divsChild>
    </w:div>
    <w:div w:id="2062778029">
      <w:bodyDiv w:val="1"/>
      <w:marLeft w:val="0"/>
      <w:marRight w:val="0"/>
      <w:marTop w:val="0"/>
      <w:marBottom w:val="0"/>
      <w:divBdr>
        <w:top w:val="none" w:sz="0" w:space="0" w:color="auto"/>
        <w:left w:val="none" w:sz="0" w:space="0" w:color="auto"/>
        <w:bottom w:val="none" w:sz="0" w:space="0" w:color="auto"/>
        <w:right w:val="none" w:sz="0" w:space="0" w:color="auto"/>
      </w:divBdr>
    </w:div>
    <w:div w:id="2063753628">
      <w:bodyDiv w:val="1"/>
      <w:marLeft w:val="0"/>
      <w:marRight w:val="0"/>
      <w:marTop w:val="0"/>
      <w:marBottom w:val="0"/>
      <w:divBdr>
        <w:top w:val="none" w:sz="0" w:space="0" w:color="auto"/>
        <w:left w:val="none" w:sz="0" w:space="0" w:color="auto"/>
        <w:bottom w:val="none" w:sz="0" w:space="0" w:color="auto"/>
        <w:right w:val="none" w:sz="0" w:space="0" w:color="auto"/>
      </w:divBdr>
    </w:div>
    <w:div w:id="2078671518">
      <w:bodyDiv w:val="1"/>
      <w:marLeft w:val="0"/>
      <w:marRight w:val="0"/>
      <w:marTop w:val="0"/>
      <w:marBottom w:val="0"/>
      <w:divBdr>
        <w:top w:val="none" w:sz="0" w:space="0" w:color="auto"/>
        <w:left w:val="none" w:sz="0" w:space="0" w:color="auto"/>
        <w:bottom w:val="none" w:sz="0" w:space="0" w:color="auto"/>
        <w:right w:val="none" w:sz="0" w:space="0" w:color="auto"/>
      </w:divBdr>
    </w:div>
    <w:div w:id="2092040730">
      <w:bodyDiv w:val="1"/>
      <w:marLeft w:val="0"/>
      <w:marRight w:val="0"/>
      <w:marTop w:val="0"/>
      <w:marBottom w:val="0"/>
      <w:divBdr>
        <w:top w:val="none" w:sz="0" w:space="0" w:color="auto"/>
        <w:left w:val="none" w:sz="0" w:space="0" w:color="auto"/>
        <w:bottom w:val="none" w:sz="0" w:space="0" w:color="auto"/>
        <w:right w:val="none" w:sz="0" w:space="0" w:color="auto"/>
      </w:divBdr>
    </w:div>
    <w:div w:id="2107580317">
      <w:bodyDiv w:val="1"/>
      <w:marLeft w:val="0"/>
      <w:marRight w:val="0"/>
      <w:marTop w:val="0"/>
      <w:marBottom w:val="0"/>
      <w:divBdr>
        <w:top w:val="none" w:sz="0" w:space="0" w:color="auto"/>
        <w:left w:val="none" w:sz="0" w:space="0" w:color="auto"/>
        <w:bottom w:val="none" w:sz="0" w:space="0" w:color="auto"/>
        <w:right w:val="none" w:sz="0" w:space="0" w:color="auto"/>
      </w:divBdr>
    </w:div>
    <w:div w:id="211196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griculture.gov.au/agriculture-land/farm-food-drought/climatechange/carbon-farming-outreach-program/hub" TargetMode="External"/><Relationship Id="rId21" Type="http://schemas.openxmlformats.org/officeDocument/2006/relationships/header" Target="header4.xml"/><Relationship Id="rId42" Type="http://schemas.openxmlformats.org/officeDocument/2006/relationships/hyperlink" Target="https://www.legislation.gov.au/F2008L02309/latest/text" TargetMode="External"/><Relationship Id="rId47" Type="http://schemas.openxmlformats.org/officeDocument/2006/relationships/hyperlink" Target="https://www.gov.uk/government/publications/greenhouse-gas-reporting-conversion-factors-2024" TargetMode="External"/><Relationship Id="rId63" Type="http://schemas.openxmlformats.org/officeDocument/2006/relationships/header" Target="header7.xml"/><Relationship Id="rId68" Type="http://schemas.openxmlformats.org/officeDocument/2006/relationships/header" Target="header9.xml"/><Relationship Id="rId84" Type="http://schemas.microsoft.com/office/2019/05/relationships/documenttasks" Target="documenttasks/documenttasks1.xml"/><Relationship Id="rId16" Type="http://schemas.openxmlformats.org/officeDocument/2006/relationships/header" Target="header2.xml"/><Relationship Id="rId11" Type="http://schemas.openxmlformats.org/officeDocument/2006/relationships/image" Target="media/image1.jpeg"/><Relationship Id="rId32" Type="http://schemas.openxmlformats.org/officeDocument/2006/relationships/hyperlink" Target="https://ghgprotocol.org/corporate-standard" TargetMode="External"/><Relationship Id="rId37" Type="http://schemas.openxmlformats.org/officeDocument/2006/relationships/hyperlink" Target="https://standards.aasb.gov.au/sustainability-reporting-standards" TargetMode="External"/><Relationship Id="rId53" Type="http://schemas.openxmlformats.org/officeDocument/2006/relationships/hyperlink" Target="https://standards.aasb.gov.au/sustainability-reporting-standards" TargetMode="External"/><Relationship Id="rId58" Type="http://schemas.openxmlformats.org/officeDocument/2006/relationships/hyperlink" Target="https://www.iso.org/standard/66453.html" TargetMode="External"/><Relationship Id="rId74" Type="http://schemas.openxmlformats.org/officeDocument/2006/relationships/hyperlink" Target="https://icroa.org/" TargetMode="External"/><Relationship Id="rId79"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hyperlink" Target="https://www.dcceew.gov.au/climate-change/publications/national-greenhouse-accounts-factors" TargetMode="External"/><Relationship Id="rId82"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hyperlink" Target="https://www.agriculture.gov.au/agriculture-land/farm-food-drought/climatechange/carbon-farming-outreach-program/hub" TargetMode="External"/><Relationship Id="rId30" Type="http://schemas.openxmlformats.org/officeDocument/2006/relationships/hyperlink" Target="https://www.frdc.com.au/energy-efficiency-and-renewables" TargetMode="External"/><Relationship Id="rId35" Type="http://schemas.openxmlformats.org/officeDocument/2006/relationships/hyperlink" Target="https://www.iso.org/standard/66453.html" TargetMode="External"/><Relationship Id="rId43" Type="http://schemas.openxmlformats.org/officeDocument/2006/relationships/image" Target="media/image3.png"/><Relationship Id="rId48" Type="http://schemas.openxmlformats.org/officeDocument/2006/relationships/hyperlink" Target="https://www.gov.uk/government/publications/greenhouse-gas-reporting-conversion-factors-2024" TargetMode="External"/><Relationship Id="rId56" Type="http://schemas.openxmlformats.org/officeDocument/2006/relationships/hyperlink" Target="https://ghgprotocol.org/standards-guidance" TargetMode="External"/><Relationship Id="rId64" Type="http://schemas.openxmlformats.org/officeDocument/2006/relationships/image" Target="media/image5.png"/><Relationship Id="rId69" Type="http://schemas.openxmlformats.org/officeDocument/2006/relationships/hyperlink" Target="https://www.aasb.gov.au/admin/file/content105/c9/AASB16_02-16.pdf" TargetMode="External"/><Relationship Id="rId77"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hyperlink" Target="https://www.asfi.org.au/australian-taxonomy" TargetMode="External"/><Relationship Id="rId72" Type="http://schemas.openxmlformats.org/officeDocument/2006/relationships/header" Target="header12.xml"/><Relationship Id="rId80" Type="http://schemas.openxmlformats.org/officeDocument/2006/relationships/header" Target="header17.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footer" Target="footer1.xml"/><Relationship Id="rId25" Type="http://schemas.openxmlformats.org/officeDocument/2006/relationships/hyperlink" Target="https://www.agriculture.gov.au/agriculture-land/farm-food-drought/climatechange/carbon-farming-outreach-program/training-package/topic-3" TargetMode="External"/><Relationship Id="rId33" Type="http://schemas.openxmlformats.org/officeDocument/2006/relationships/hyperlink" Target="https://ghgprotocol.org/corporate-value-chain-scope-3-standard" TargetMode="External"/><Relationship Id="rId38" Type="http://schemas.openxmlformats.org/officeDocument/2006/relationships/hyperlink" Target="https://www.asic.gov.au/regulatory-resources/sustainability-reporting/sustainability-reporting-for-small-business/" TargetMode="External"/><Relationship Id="rId46" Type="http://schemas.openxmlformats.org/officeDocument/2006/relationships/hyperlink" Target="https://ecoinvent.org/" TargetMode="External"/><Relationship Id="rId59" Type="http://schemas.openxmlformats.org/officeDocument/2006/relationships/hyperlink" Target="https://standards.aasb.gov.au/sustainability-reporting-standards" TargetMode="External"/><Relationship Id="rId67" Type="http://schemas.openxmlformats.org/officeDocument/2006/relationships/header" Target="header8.xml"/><Relationship Id="rId20" Type="http://schemas.openxmlformats.org/officeDocument/2006/relationships/footer" Target="footer3.xml"/><Relationship Id="rId41" Type="http://schemas.openxmlformats.org/officeDocument/2006/relationships/hyperlink" Target="https://aginnovationaustralia.com.au/ghg-accounting/" TargetMode="External"/><Relationship Id="rId54" Type="http://schemas.openxmlformats.org/officeDocument/2006/relationships/hyperlink" Target="https://standards.aasb.gov.au/sustainability-reporting-standards" TargetMode="External"/><Relationship Id="rId62" Type="http://schemas.openxmlformats.org/officeDocument/2006/relationships/header" Target="header6.xml"/><Relationship Id="rId70" Type="http://schemas.openxmlformats.org/officeDocument/2006/relationships/header" Target="header10.xml"/><Relationship Id="rId75" Type="http://schemas.openxmlformats.org/officeDocument/2006/relationships/header" Target="header14.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agriculture.gov.au/agriculture-land/farm-food-drought/climatechange/carbon-farming-outreach-program/hub/about-emissions-management-ag/understand-management-storage" TargetMode="External"/><Relationship Id="rId28" Type="http://schemas.openxmlformats.org/officeDocument/2006/relationships/hyperlink" Target="https://www.agriculture.gov.au/agriculture-land/farm-food-drought/climatechange/carbon-farming-outreach-program/training-package/topic-1/5-reducing-emissions" TargetMode="External"/><Relationship Id="rId36" Type="http://schemas.openxmlformats.org/officeDocument/2006/relationships/hyperlink" Target="https://www.iso.org/search.html?PROD_isoorg_en%5Bquery%5D=14064" TargetMode="External"/><Relationship Id="rId49" Type="http://schemas.openxmlformats.org/officeDocument/2006/relationships/image" Target="media/image4.png"/><Relationship Id="rId57" Type="http://schemas.openxmlformats.org/officeDocument/2006/relationships/hyperlink" Target="https://ghgprotocol.org/corporate-standard" TargetMode="External"/><Relationship Id="rId10" Type="http://schemas.openxmlformats.org/officeDocument/2006/relationships/endnotes" Target="endnotes.xml"/><Relationship Id="rId31" Type="http://schemas.openxmlformats.org/officeDocument/2006/relationships/hyperlink" Target="https://ghgprotocol.org/" TargetMode="External"/><Relationship Id="rId44" Type="http://schemas.openxmlformats.org/officeDocument/2006/relationships/hyperlink" Target="https://www.auslci.com.au/index.php/EmissionFactors" TargetMode="External"/><Relationship Id="rId52" Type="http://schemas.openxmlformats.org/officeDocument/2006/relationships/hyperlink" Target="https://standards.aasb.gov.au/sustainability-reporting-standards" TargetMode="External"/><Relationship Id="rId60" Type="http://schemas.openxmlformats.org/officeDocument/2006/relationships/hyperlink" Target="https://standards.aasb.gov.au/sustainability-reporting-standards" TargetMode="External"/><Relationship Id="rId65" Type="http://schemas.openxmlformats.org/officeDocument/2006/relationships/image" Target="media/image6.png"/><Relationship Id="rId73" Type="http://schemas.openxmlformats.org/officeDocument/2006/relationships/header" Target="header13.xml"/><Relationship Id="rId78" Type="http://schemas.openxmlformats.org/officeDocument/2006/relationships/footer" Target="footer4.xml"/><Relationship Id="rId8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dcceew.gov.au/about/contact" TargetMode="External"/><Relationship Id="rId18" Type="http://schemas.openxmlformats.org/officeDocument/2006/relationships/footer" Target="footer2.xml"/><Relationship Id="rId39" Type="http://schemas.openxmlformats.org/officeDocument/2006/relationships/hyperlink" Target="https://aasb.gov.au/research-resources/knowledge-hub/aasb-s2-knowledge-hub/aasb-s2-frequently-asked-questions/" TargetMode="External"/><Relationship Id="rId34" Type="http://schemas.openxmlformats.org/officeDocument/2006/relationships/hyperlink" Target="https://ghgprotocol.org/product-standard" TargetMode="External"/><Relationship Id="rId50" Type="http://schemas.openxmlformats.org/officeDocument/2006/relationships/hyperlink" Target="https://sciencebasedtargets.org/sectors/forest-land-and-agriculture" TargetMode="External"/><Relationship Id="rId55" Type="http://schemas.openxmlformats.org/officeDocument/2006/relationships/hyperlink" Target="https://standards.aasb.gov.au/aasb-s2-sep-2024" TargetMode="External"/><Relationship Id="rId76" Type="http://schemas.openxmlformats.org/officeDocument/2006/relationships/header" Target="header15.xml"/><Relationship Id="rId7" Type="http://schemas.openxmlformats.org/officeDocument/2006/relationships/settings" Target="settings.xml"/><Relationship Id="rId71" Type="http://schemas.openxmlformats.org/officeDocument/2006/relationships/header" Target="header11.xml"/><Relationship Id="rId2" Type="http://schemas.openxmlformats.org/officeDocument/2006/relationships/customXml" Target="../customXml/item2.xml"/><Relationship Id="rId29" Type="http://schemas.openxmlformats.org/officeDocument/2006/relationships/hyperlink" Target="https://www.frdc.com.au/energy-efficiency-and-renewables" TargetMode="External"/><Relationship Id="rId24" Type="http://schemas.openxmlformats.org/officeDocument/2006/relationships/hyperlink" Target="https://www.agriculture.gov.au/agriculture-land/farm-food-drought/climatechange/carbon-farming-outreach-program/hub/about-emissions-management-ag/understand-management-storage" TargetMode="External"/><Relationship Id="rId40" Type="http://schemas.openxmlformats.org/officeDocument/2006/relationships/hyperlink" Target="https://www.agriculture.gov.au/agriculture-land/farm-food-drought/climatechange/climate-related-financial-disclosures" TargetMode="External"/><Relationship Id="rId45" Type="http://schemas.openxmlformats.org/officeDocument/2006/relationships/hyperlink" Target="https://www.auslci.com.au/index.php/EmissionFactors" TargetMode="External"/><Relationship Id="rId66" Type="http://schemas.openxmlformats.org/officeDocument/2006/relationships/hyperlink" Target="https://www.asic.gov.au/regulatory-resources/sustainability-reporti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kanalregister.hkdir.no/en" TargetMode="External"/><Relationship Id="rId2" Type="http://schemas.openxmlformats.org/officeDocument/2006/relationships/hyperlink" Target="https://carbonologyhub.com/ghg-protocol-vs-iso-14064-key-differences-explained/" TargetMode="External"/><Relationship Id="rId1" Type="http://schemas.openxmlformats.org/officeDocument/2006/relationships/hyperlink" Target="https://www.iso.org/standard/66453.html" TargetMode="External"/></Relationships>
</file>

<file path=word/documenttasks/documenttasks1.xml><?xml version="1.0" encoding="utf-8"?>
<t:Tasks xmlns:t="http://schemas.microsoft.com/office/tasks/2019/documenttasks" xmlns:oel="http://schemas.microsoft.com/office/2019/extlst">
  <t:Task id="{16AE1C1F-CF4E-4662-8548-8235F8B90C8E}">
    <t:Anchor>
      <t:Comment id="1204710478"/>
    </t:Anchor>
    <t:History>
      <t:Event id="{B82964A3-CA39-4161-AE73-DD817AAE6B8D}" time="2025-09-07T03:38:02.642Z">
        <t:Attribution userId="S::aaron.simmons@dpie.nsw.gov.au::2c4cc047-7f09-4b24-a393-d19bfd5639e1" userProvider="AD" userName="Aaron Simmons"/>
        <t:Anchor>
          <t:Comment id="1204710478"/>
        </t:Anchor>
        <t:Create/>
      </t:Event>
      <t:Event id="{D35126E8-C76D-494D-93B8-B2D35D9B8F1D}" time="2025-09-07T03:38:02.642Z">
        <t:Attribution userId="S::aaron.simmons@dpie.nsw.gov.au::2c4cc047-7f09-4b24-a393-d19bfd5639e1" userProvider="AD" userName="Aaron Simmons"/>
        <t:Anchor>
          <t:Comment id="1204710478"/>
        </t:Anchor>
        <t:Assign userId="S::annette.cowie@dpie.nsw.gov.au::421bd302-051a-4bd0-a12f-06c610f590eb" userProvider="AD" userName="Annette Cowie"/>
      </t:Event>
      <t:Event id="{3AE9F172-15FF-42EE-BD83-1E5F9A201979}" time="2025-09-07T03:38:02.642Z">
        <t:Attribution userId="S::aaron.simmons@dpie.nsw.gov.au::2c4cc047-7f09-4b24-a393-d19bfd5639e1" userProvider="AD" userName="Aaron Simmons"/>
        <t:Anchor>
          <t:Comment id="1204710478"/>
        </t:Anchor>
        <t:SetTitle title="Not sure where these fit in GHG P but in 14067 they are under data quality and I was going to incorporate into data quality. @Annette Cowi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8238601-ce47-4778-85d0-8b1d6564965a" xsi:nil="true"/>
    <_ip_UnifiedCompliancePolicyProperties xmlns="http://schemas.microsoft.com/sharepoint/v3" xsi:nil="true"/>
    <lcf76f155ced4ddcb4097134ff3c332f xmlns="d81c2681-db7b-4a56-9abd-a3238a78f6b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7" ma:contentTypeDescription="Create a new document." ma:contentTypeScope="" ma:versionID="bbaa3306f8e193bbb1141de76d53dcb2">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e8238601-ce47-4778-85d0-8b1d6564965a" targetNamespace="http://schemas.microsoft.com/office/2006/metadata/properties" ma:root="true" ma:fieldsID="c610dd805081c060586117333ed60688" ns1:_="" ns2:_="" ns3:_="" ns4:_="" ns5:_="">
    <xsd:import namespace="http://schemas.microsoft.com/sharepoint/v3"/>
    <xsd:import namespace="b98728ac-f998-415c-abee-6b046fb1441e"/>
    <xsd:import namespace="d869c146-c82e-4435-92e4-da91542262fd"/>
    <xsd:import namespace="d81c2681-db7b-4a56-9abd-a3238a78f6b2"/>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1B2161-CDF1-4278-A5CA-3569B8C6AD26}">
  <ds:schemaRefs>
    <ds:schemaRef ds:uri="http://schemas.openxmlformats.org/officeDocument/2006/bibliography"/>
  </ds:schemaRefs>
</ds:datastoreItem>
</file>

<file path=customXml/itemProps2.xml><?xml version="1.0" encoding="utf-8"?>
<ds:datastoreItem xmlns:ds="http://schemas.openxmlformats.org/officeDocument/2006/customXml" ds:itemID="{2E9F3F38-A85F-4E76-B223-A6FC7567CABC}">
  <ds:schemaRefs>
    <ds:schemaRef ds:uri="http://purl.org/dc/dcmitype/"/>
    <ds:schemaRef ds:uri="http://schemas.microsoft.com/sharepoint/v3"/>
    <ds:schemaRef ds:uri="http://purl.org/dc/terms/"/>
    <ds:schemaRef ds:uri="http://schemas.microsoft.com/office/2006/documentManagement/types"/>
    <ds:schemaRef ds:uri="3ef4363a-507f-4a1b-a757-00273fee68d3"/>
    <ds:schemaRef ds:uri="http://schemas.microsoft.com/office/2006/metadata/properties"/>
    <ds:schemaRef ds:uri="http://schemas.microsoft.com/office/infopath/2007/PartnerControls"/>
    <ds:schemaRef ds:uri="http://purl.org/dc/elements/1.1/"/>
    <ds:schemaRef ds:uri="71103ca5-d6d1-48c4-9222-550029d2687a"/>
    <ds:schemaRef ds:uri="http://schemas.openxmlformats.org/package/2006/metadata/core-properties"/>
    <ds:schemaRef ds:uri="e8238601-ce47-4778-85d0-8b1d6564965a"/>
    <ds:schemaRef ds:uri="480a4d6a-8dc9-4349-ae2b-ed53bf27c426"/>
    <ds:schemaRef ds:uri="http://www.w3.org/XML/1998/namespace"/>
  </ds:schemaRefs>
</ds:datastoreItem>
</file>

<file path=customXml/itemProps3.xml><?xml version="1.0" encoding="utf-8"?>
<ds:datastoreItem xmlns:ds="http://schemas.openxmlformats.org/officeDocument/2006/customXml" ds:itemID="{7F99C7A1-43C1-4F68-9362-0D0B6B01DE46}"/>
</file>

<file path=customXml/itemProps4.xml><?xml version="1.0" encoding="utf-8"?>
<ds:datastoreItem xmlns:ds="http://schemas.openxmlformats.org/officeDocument/2006/customXml" ds:itemID="{C286D15E-9E35-463C-801C-98BAEB779A65}">
  <ds:schemaRefs>
    <ds:schemaRef ds:uri="http://schemas.microsoft.com/sharepoint/v3/contenttype/forms"/>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197</TotalTime>
  <Pages>71</Pages>
  <Words>22724</Words>
  <Characters>131351</Characters>
  <Application>Microsoft Office Word</Application>
  <DocSecurity>0</DocSecurity>
  <Lines>3752</Lines>
  <Paragraphs>2082</Paragraphs>
  <ScaleCrop>false</ScaleCrop>
  <Company>Department of Climate Change, Energy, the Environment and Water</Company>
  <LinksUpToDate>false</LinksUpToDate>
  <CharactersWithSpaces>151993</CharactersWithSpaces>
  <SharedDoc>false</SharedDoc>
  <HLinks>
    <vt:vector size="540" baseType="variant">
      <vt:variant>
        <vt:i4>7209010</vt:i4>
      </vt:variant>
      <vt:variant>
        <vt:i4>408</vt:i4>
      </vt:variant>
      <vt:variant>
        <vt:i4>0</vt:i4>
      </vt:variant>
      <vt:variant>
        <vt:i4>5</vt:i4>
      </vt:variant>
      <vt:variant>
        <vt:lpwstr>https://icroa.org/</vt:lpwstr>
      </vt:variant>
      <vt:variant>
        <vt:lpwstr/>
      </vt:variant>
      <vt:variant>
        <vt:i4>3473500</vt:i4>
      </vt:variant>
      <vt:variant>
        <vt:i4>405</vt:i4>
      </vt:variant>
      <vt:variant>
        <vt:i4>0</vt:i4>
      </vt:variant>
      <vt:variant>
        <vt:i4>5</vt:i4>
      </vt:variant>
      <vt:variant>
        <vt:lpwstr>https://www.aasb.gov.au/admin/file/content105/c9/AASB16_02-16.pdf</vt:lpwstr>
      </vt:variant>
      <vt:variant>
        <vt:lpwstr/>
      </vt:variant>
      <vt:variant>
        <vt:i4>6488124</vt:i4>
      </vt:variant>
      <vt:variant>
        <vt:i4>402</vt:i4>
      </vt:variant>
      <vt:variant>
        <vt:i4>0</vt:i4>
      </vt:variant>
      <vt:variant>
        <vt:i4>5</vt:i4>
      </vt:variant>
      <vt:variant>
        <vt:lpwstr>https://www.asic.gov.au/regulatory-resources/sustainability-reporting/</vt:lpwstr>
      </vt:variant>
      <vt:variant>
        <vt:lpwstr/>
      </vt:variant>
      <vt:variant>
        <vt:i4>3145841</vt:i4>
      </vt:variant>
      <vt:variant>
        <vt:i4>399</vt:i4>
      </vt:variant>
      <vt:variant>
        <vt:i4>0</vt:i4>
      </vt:variant>
      <vt:variant>
        <vt:i4>5</vt:i4>
      </vt:variant>
      <vt:variant>
        <vt:lpwstr>https://www.dcceew.gov.au/climate-change/publications/national-greenhouse-accounts-factors</vt:lpwstr>
      </vt:variant>
      <vt:variant>
        <vt:lpwstr/>
      </vt:variant>
      <vt:variant>
        <vt:i4>327749</vt:i4>
      </vt:variant>
      <vt:variant>
        <vt:i4>386</vt:i4>
      </vt:variant>
      <vt:variant>
        <vt:i4>0</vt:i4>
      </vt:variant>
      <vt:variant>
        <vt:i4>5</vt:i4>
      </vt:variant>
      <vt:variant>
        <vt:lpwstr>https://standards.aasb.gov.au/sustainability-reporting-standards</vt:lpwstr>
      </vt:variant>
      <vt:variant>
        <vt:lpwstr/>
      </vt:variant>
      <vt:variant>
        <vt:i4>327749</vt:i4>
      </vt:variant>
      <vt:variant>
        <vt:i4>384</vt:i4>
      </vt:variant>
      <vt:variant>
        <vt:i4>0</vt:i4>
      </vt:variant>
      <vt:variant>
        <vt:i4>5</vt:i4>
      </vt:variant>
      <vt:variant>
        <vt:lpwstr>https://standards.aasb.gov.au/sustainability-reporting-standards</vt:lpwstr>
      </vt:variant>
      <vt:variant>
        <vt:lpwstr/>
      </vt:variant>
      <vt:variant>
        <vt:i4>6488124</vt:i4>
      </vt:variant>
      <vt:variant>
        <vt:i4>381</vt:i4>
      </vt:variant>
      <vt:variant>
        <vt:i4>0</vt:i4>
      </vt:variant>
      <vt:variant>
        <vt:i4>5</vt:i4>
      </vt:variant>
      <vt:variant>
        <vt:lpwstr>https://www.iso.org/standard/66453.html</vt:lpwstr>
      </vt:variant>
      <vt:variant>
        <vt:lpwstr/>
      </vt:variant>
      <vt:variant>
        <vt:i4>4063295</vt:i4>
      </vt:variant>
      <vt:variant>
        <vt:i4>377</vt:i4>
      </vt:variant>
      <vt:variant>
        <vt:i4>0</vt:i4>
      </vt:variant>
      <vt:variant>
        <vt:i4>5</vt:i4>
      </vt:variant>
      <vt:variant>
        <vt:lpwstr>https://ghgprotocol.org/corporate-standard</vt:lpwstr>
      </vt:variant>
      <vt:variant>
        <vt:lpwstr/>
      </vt:variant>
      <vt:variant>
        <vt:i4>3997754</vt:i4>
      </vt:variant>
      <vt:variant>
        <vt:i4>375</vt:i4>
      </vt:variant>
      <vt:variant>
        <vt:i4>0</vt:i4>
      </vt:variant>
      <vt:variant>
        <vt:i4>5</vt:i4>
      </vt:variant>
      <vt:variant>
        <vt:lpwstr>https://ghgprotocol.org/standards-guidance</vt:lpwstr>
      </vt:variant>
      <vt:variant>
        <vt:lpwstr/>
      </vt:variant>
      <vt:variant>
        <vt:i4>7143473</vt:i4>
      </vt:variant>
      <vt:variant>
        <vt:i4>370</vt:i4>
      </vt:variant>
      <vt:variant>
        <vt:i4>0</vt:i4>
      </vt:variant>
      <vt:variant>
        <vt:i4>5</vt:i4>
      </vt:variant>
      <vt:variant>
        <vt:lpwstr>https://standards.aasb.gov.au/aasb-s2-sep-2024</vt:lpwstr>
      </vt:variant>
      <vt:variant>
        <vt:lpwstr/>
      </vt:variant>
      <vt:variant>
        <vt:i4>327749</vt:i4>
      </vt:variant>
      <vt:variant>
        <vt:i4>368</vt:i4>
      </vt:variant>
      <vt:variant>
        <vt:i4>0</vt:i4>
      </vt:variant>
      <vt:variant>
        <vt:i4>5</vt:i4>
      </vt:variant>
      <vt:variant>
        <vt:lpwstr>https://standards.aasb.gov.au/sustainability-reporting-standards</vt:lpwstr>
      </vt:variant>
      <vt:variant>
        <vt:lpwstr/>
      </vt:variant>
      <vt:variant>
        <vt:i4>327749</vt:i4>
      </vt:variant>
      <vt:variant>
        <vt:i4>366</vt:i4>
      </vt:variant>
      <vt:variant>
        <vt:i4>0</vt:i4>
      </vt:variant>
      <vt:variant>
        <vt:i4>5</vt:i4>
      </vt:variant>
      <vt:variant>
        <vt:lpwstr>https://standards.aasb.gov.au/sustainability-reporting-standards</vt:lpwstr>
      </vt:variant>
      <vt:variant>
        <vt:lpwstr/>
      </vt:variant>
      <vt:variant>
        <vt:i4>8126561</vt:i4>
      </vt:variant>
      <vt:variant>
        <vt:i4>363</vt:i4>
      </vt:variant>
      <vt:variant>
        <vt:i4>0</vt:i4>
      </vt:variant>
      <vt:variant>
        <vt:i4>5</vt:i4>
      </vt:variant>
      <vt:variant>
        <vt:lpwstr>https://www.asfi.org.au/australian-taxonomy</vt:lpwstr>
      </vt:variant>
      <vt:variant>
        <vt:lpwstr/>
      </vt:variant>
      <vt:variant>
        <vt:i4>2293858</vt:i4>
      </vt:variant>
      <vt:variant>
        <vt:i4>360</vt:i4>
      </vt:variant>
      <vt:variant>
        <vt:i4>0</vt:i4>
      </vt:variant>
      <vt:variant>
        <vt:i4>5</vt:i4>
      </vt:variant>
      <vt:variant>
        <vt:lpwstr>https://sciencebasedtargets.org/sectors/forest-land-and-agriculture</vt:lpwstr>
      </vt:variant>
      <vt:variant>
        <vt:lpwstr/>
      </vt:variant>
      <vt:variant>
        <vt:i4>6684778</vt:i4>
      </vt:variant>
      <vt:variant>
        <vt:i4>356</vt:i4>
      </vt:variant>
      <vt:variant>
        <vt:i4>0</vt:i4>
      </vt:variant>
      <vt:variant>
        <vt:i4>5</vt:i4>
      </vt:variant>
      <vt:variant>
        <vt:lpwstr>https://www.gov.uk/government/publications/greenhouse-gas-reporting-conversion-factors-2024</vt:lpwstr>
      </vt:variant>
      <vt:variant>
        <vt:lpwstr/>
      </vt:variant>
      <vt:variant>
        <vt:i4>6684778</vt:i4>
      </vt:variant>
      <vt:variant>
        <vt:i4>354</vt:i4>
      </vt:variant>
      <vt:variant>
        <vt:i4>0</vt:i4>
      </vt:variant>
      <vt:variant>
        <vt:i4>5</vt:i4>
      </vt:variant>
      <vt:variant>
        <vt:lpwstr>https://www.gov.uk/government/publications/greenhouse-gas-reporting-conversion-factors-2024</vt:lpwstr>
      </vt:variant>
      <vt:variant>
        <vt:lpwstr/>
      </vt:variant>
      <vt:variant>
        <vt:i4>7340093</vt:i4>
      </vt:variant>
      <vt:variant>
        <vt:i4>351</vt:i4>
      </vt:variant>
      <vt:variant>
        <vt:i4>0</vt:i4>
      </vt:variant>
      <vt:variant>
        <vt:i4>5</vt:i4>
      </vt:variant>
      <vt:variant>
        <vt:lpwstr>https://ecoinvent.org/</vt:lpwstr>
      </vt:variant>
      <vt:variant>
        <vt:lpwstr/>
      </vt:variant>
      <vt:variant>
        <vt:i4>6553636</vt:i4>
      </vt:variant>
      <vt:variant>
        <vt:i4>347</vt:i4>
      </vt:variant>
      <vt:variant>
        <vt:i4>0</vt:i4>
      </vt:variant>
      <vt:variant>
        <vt:i4>5</vt:i4>
      </vt:variant>
      <vt:variant>
        <vt:lpwstr>https://www.auslci.com.au/index.php/EmissionFactors</vt:lpwstr>
      </vt:variant>
      <vt:variant>
        <vt:lpwstr/>
      </vt:variant>
      <vt:variant>
        <vt:i4>6553636</vt:i4>
      </vt:variant>
      <vt:variant>
        <vt:i4>345</vt:i4>
      </vt:variant>
      <vt:variant>
        <vt:i4>0</vt:i4>
      </vt:variant>
      <vt:variant>
        <vt:i4>5</vt:i4>
      </vt:variant>
      <vt:variant>
        <vt:lpwstr>https://www.auslci.com.au/index.php/EmissionFactors</vt:lpwstr>
      </vt:variant>
      <vt:variant>
        <vt:lpwstr/>
      </vt:variant>
      <vt:variant>
        <vt:i4>2621502</vt:i4>
      </vt:variant>
      <vt:variant>
        <vt:i4>342</vt:i4>
      </vt:variant>
      <vt:variant>
        <vt:i4>0</vt:i4>
      </vt:variant>
      <vt:variant>
        <vt:i4>5</vt:i4>
      </vt:variant>
      <vt:variant>
        <vt:lpwstr>https://www.legislation.gov.au/F2008L02309/latest/text</vt:lpwstr>
      </vt:variant>
      <vt:variant>
        <vt:lpwstr/>
      </vt:variant>
      <vt:variant>
        <vt:i4>4194383</vt:i4>
      </vt:variant>
      <vt:variant>
        <vt:i4>339</vt:i4>
      </vt:variant>
      <vt:variant>
        <vt:i4>0</vt:i4>
      </vt:variant>
      <vt:variant>
        <vt:i4>5</vt:i4>
      </vt:variant>
      <vt:variant>
        <vt:lpwstr>https://aginnovationaustralia.com.au/ghg-accounting/</vt:lpwstr>
      </vt:variant>
      <vt:variant>
        <vt:lpwstr/>
      </vt:variant>
      <vt:variant>
        <vt:i4>2031640</vt:i4>
      </vt:variant>
      <vt:variant>
        <vt:i4>336</vt:i4>
      </vt:variant>
      <vt:variant>
        <vt:i4>0</vt:i4>
      </vt:variant>
      <vt:variant>
        <vt:i4>5</vt:i4>
      </vt:variant>
      <vt:variant>
        <vt:lpwstr>https://www.agriculture.gov.au/agriculture-land/farm-food-drought/climatechange/climate-related-financial-disclosures</vt:lpwstr>
      </vt:variant>
      <vt:variant>
        <vt:lpwstr/>
      </vt:variant>
      <vt:variant>
        <vt:i4>8323117</vt:i4>
      </vt:variant>
      <vt:variant>
        <vt:i4>333</vt:i4>
      </vt:variant>
      <vt:variant>
        <vt:i4>0</vt:i4>
      </vt:variant>
      <vt:variant>
        <vt:i4>5</vt:i4>
      </vt:variant>
      <vt:variant>
        <vt:lpwstr>https://aasb.gov.au/research-resources/knowledge-hub/aasb-s2-knowledge-hub/aasb-s2-frequently-asked-questions/</vt:lpwstr>
      </vt:variant>
      <vt:variant>
        <vt:lpwstr/>
      </vt:variant>
      <vt:variant>
        <vt:i4>2359357</vt:i4>
      </vt:variant>
      <vt:variant>
        <vt:i4>330</vt:i4>
      </vt:variant>
      <vt:variant>
        <vt:i4>0</vt:i4>
      </vt:variant>
      <vt:variant>
        <vt:i4>5</vt:i4>
      </vt:variant>
      <vt:variant>
        <vt:lpwstr>https://www.asic.gov.au/regulatory-resources/sustainability-reporting/sustainability-reporting-for-small-business/</vt:lpwstr>
      </vt:variant>
      <vt:variant>
        <vt:lpwstr/>
      </vt:variant>
      <vt:variant>
        <vt:i4>327749</vt:i4>
      </vt:variant>
      <vt:variant>
        <vt:i4>327</vt:i4>
      </vt:variant>
      <vt:variant>
        <vt:i4>0</vt:i4>
      </vt:variant>
      <vt:variant>
        <vt:i4>5</vt:i4>
      </vt:variant>
      <vt:variant>
        <vt:lpwstr>https://standards.aasb.gov.au/sustainability-reporting-standards</vt:lpwstr>
      </vt:variant>
      <vt:variant>
        <vt:lpwstr/>
      </vt:variant>
      <vt:variant>
        <vt:i4>786519</vt:i4>
      </vt:variant>
      <vt:variant>
        <vt:i4>323</vt:i4>
      </vt:variant>
      <vt:variant>
        <vt:i4>0</vt:i4>
      </vt:variant>
      <vt:variant>
        <vt:i4>5</vt:i4>
      </vt:variant>
      <vt:variant>
        <vt:lpwstr>https://www.iso.org/search.html?PROD_isoorg_en%5Bquery%5D=14064</vt:lpwstr>
      </vt:variant>
      <vt:variant>
        <vt:lpwstr/>
      </vt:variant>
      <vt:variant>
        <vt:i4>6488124</vt:i4>
      </vt:variant>
      <vt:variant>
        <vt:i4>321</vt:i4>
      </vt:variant>
      <vt:variant>
        <vt:i4>0</vt:i4>
      </vt:variant>
      <vt:variant>
        <vt:i4>5</vt:i4>
      </vt:variant>
      <vt:variant>
        <vt:lpwstr>https://www.iso.org/standard/66453.html</vt:lpwstr>
      </vt:variant>
      <vt:variant>
        <vt:lpwstr/>
      </vt:variant>
      <vt:variant>
        <vt:i4>5374043</vt:i4>
      </vt:variant>
      <vt:variant>
        <vt:i4>318</vt:i4>
      </vt:variant>
      <vt:variant>
        <vt:i4>0</vt:i4>
      </vt:variant>
      <vt:variant>
        <vt:i4>5</vt:i4>
      </vt:variant>
      <vt:variant>
        <vt:lpwstr>https://ghgprotocol.org/product-standard</vt:lpwstr>
      </vt:variant>
      <vt:variant>
        <vt:lpwstr/>
      </vt:variant>
      <vt:variant>
        <vt:i4>3670118</vt:i4>
      </vt:variant>
      <vt:variant>
        <vt:i4>315</vt:i4>
      </vt:variant>
      <vt:variant>
        <vt:i4>0</vt:i4>
      </vt:variant>
      <vt:variant>
        <vt:i4>5</vt:i4>
      </vt:variant>
      <vt:variant>
        <vt:lpwstr>https://ghgprotocol.org/corporate-value-chain-scope-3-standard</vt:lpwstr>
      </vt:variant>
      <vt:variant>
        <vt:lpwstr/>
      </vt:variant>
      <vt:variant>
        <vt:i4>4063295</vt:i4>
      </vt:variant>
      <vt:variant>
        <vt:i4>312</vt:i4>
      </vt:variant>
      <vt:variant>
        <vt:i4>0</vt:i4>
      </vt:variant>
      <vt:variant>
        <vt:i4>5</vt:i4>
      </vt:variant>
      <vt:variant>
        <vt:lpwstr>https://ghgprotocol.org/corporate-standard</vt:lpwstr>
      </vt:variant>
      <vt:variant>
        <vt:lpwstr/>
      </vt:variant>
      <vt:variant>
        <vt:i4>1376321</vt:i4>
      </vt:variant>
      <vt:variant>
        <vt:i4>309</vt:i4>
      </vt:variant>
      <vt:variant>
        <vt:i4>0</vt:i4>
      </vt:variant>
      <vt:variant>
        <vt:i4>5</vt:i4>
      </vt:variant>
      <vt:variant>
        <vt:lpwstr>https://ghgprotocol.org/</vt:lpwstr>
      </vt:variant>
      <vt:variant>
        <vt:lpwstr/>
      </vt:variant>
      <vt:variant>
        <vt:i4>655370</vt:i4>
      </vt:variant>
      <vt:variant>
        <vt:i4>305</vt:i4>
      </vt:variant>
      <vt:variant>
        <vt:i4>0</vt:i4>
      </vt:variant>
      <vt:variant>
        <vt:i4>5</vt:i4>
      </vt:variant>
      <vt:variant>
        <vt:lpwstr>https://www.frdc.com.au/energy-efficiency-and-renewables</vt:lpwstr>
      </vt:variant>
      <vt:variant>
        <vt:lpwstr/>
      </vt:variant>
      <vt:variant>
        <vt:i4>655370</vt:i4>
      </vt:variant>
      <vt:variant>
        <vt:i4>303</vt:i4>
      </vt:variant>
      <vt:variant>
        <vt:i4>0</vt:i4>
      </vt:variant>
      <vt:variant>
        <vt:i4>5</vt:i4>
      </vt:variant>
      <vt:variant>
        <vt:lpwstr>https://www.frdc.com.au/energy-efficiency-and-renewables</vt:lpwstr>
      </vt:variant>
      <vt:variant>
        <vt:lpwstr/>
      </vt:variant>
      <vt:variant>
        <vt:i4>720974</vt:i4>
      </vt:variant>
      <vt:variant>
        <vt:i4>295</vt:i4>
      </vt:variant>
      <vt:variant>
        <vt:i4>0</vt:i4>
      </vt:variant>
      <vt:variant>
        <vt:i4>5</vt:i4>
      </vt:variant>
      <vt:variant>
        <vt:lpwstr>https://www.agriculture.gov.au/agriculture-land/farm-food-drought/climatechange/carbon-farming-outreach-program/training-package/topic-1/5-reducing-emissions</vt:lpwstr>
      </vt:variant>
      <vt:variant>
        <vt:lpwstr/>
      </vt:variant>
      <vt:variant>
        <vt:i4>3145851</vt:i4>
      </vt:variant>
      <vt:variant>
        <vt:i4>293</vt:i4>
      </vt:variant>
      <vt:variant>
        <vt:i4>0</vt:i4>
      </vt:variant>
      <vt:variant>
        <vt:i4>5</vt:i4>
      </vt:variant>
      <vt:variant>
        <vt:lpwstr>https://www.agriculture.gov.au/agriculture-land/farm-food-drought/climatechange/carbon-farming-outreach-program/hub</vt:lpwstr>
      </vt:variant>
      <vt:variant>
        <vt:lpwstr/>
      </vt:variant>
      <vt:variant>
        <vt:i4>3145851</vt:i4>
      </vt:variant>
      <vt:variant>
        <vt:i4>291</vt:i4>
      </vt:variant>
      <vt:variant>
        <vt:i4>0</vt:i4>
      </vt:variant>
      <vt:variant>
        <vt:i4>5</vt:i4>
      </vt:variant>
      <vt:variant>
        <vt:lpwstr>https://www.agriculture.gov.au/agriculture-land/farm-food-drought/climatechange/carbon-farming-outreach-program/hub</vt:lpwstr>
      </vt:variant>
      <vt:variant>
        <vt:lpwstr/>
      </vt:variant>
      <vt:variant>
        <vt:i4>1245250</vt:i4>
      </vt:variant>
      <vt:variant>
        <vt:i4>289</vt:i4>
      </vt:variant>
      <vt:variant>
        <vt:i4>0</vt:i4>
      </vt:variant>
      <vt:variant>
        <vt:i4>5</vt:i4>
      </vt:variant>
      <vt:variant>
        <vt:lpwstr>https://www.agriculture.gov.au/agriculture-land/farm-food-drought/climatechange/carbon-farming-outreach-program/training-package/topic-3</vt:lpwstr>
      </vt:variant>
      <vt:variant>
        <vt:lpwstr/>
      </vt:variant>
      <vt:variant>
        <vt:i4>8192112</vt:i4>
      </vt:variant>
      <vt:variant>
        <vt:i4>287</vt:i4>
      </vt:variant>
      <vt:variant>
        <vt:i4>0</vt:i4>
      </vt:variant>
      <vt:variant>
        <vt:i4>5</vt:i4>
      </vt:variant>
      <vt:variant>
        <vt:lpwstr>https://www.agriculture.gov.au/agriculture-land/farm-food-drought/climatechange/carbon-farming-outreach-program/hub/about-emissions-management-ag/understand-management-storage</vt:lpwstr>
      </vt:variant>
      <vt:variant>
        <vt:lpwstr/>
      </vt:variant>
      <vt:variant>
        <vt:i4>8192112</vt:i4>
      </vt:variant>
      <vt:variant>
        <vt:i4>285</vt:i4>
      </vt:variant>
      <vt:variant>
        <vt:i4>0</vt:i4>
      </vt:variant>
      <vt:variant>
        <vt:i4>5</vt:i4>
      </vt:variant>
      <vt:variant>
        <vt:lpwstr>https://www.agriculture.gov.au/agriculture-land/farm-food-drought/climatechange/carbon-farming-outreach-program/hub/about-emissions-management-ag/understand-management-storage</vt:lpwstr>
      </vt:variant>
      <vt:variant>
        <vt:lpwstr/>
      </vt:variant>
      <vt:variant>
        <vt:i4>1441848</vt:i4>
      </vt:variant>
      <vt:variant>
        <vt:i4>278</vt:i4>
      </vt:variant>
      <vt:variant>
        <vt:i4>0</vt:i4>
      </vt:variant>
      <vt:variant>
        <vt:i4>5</vt:i4>
      </vt:variant>
      <vt:variant>
        <vt:lpwstr/>
      </vt:variant>
      <vt:variant>
        <vt:lpwstr>_Toc225269988</vt:lpwstr>
      </vt:variant>
      <vt:variant>
        <vt:i4>1441848</vt:i4>
      </vt:variant>
      <vt:variant>
        <vt:i4>272</vt:i4>
      </vt:variant>
      <vt:variant>
        <vt:i4>0</vt:i4>
      </vt:variant>
      <vt:variant>
        <vt:i4>5</vt:i4>
      </vt:variant>
      <vt:variant>
        <vt:lpwstr/>
      </vt:variant>
      <vt:variant>
        <vt:lpwstr>_Toc225269987</vt:lpwstr>
      </vt:variant>
      <vt:variant>
        <vt:i4>1441848</vt:i4>
      </vt:variant>
      <vt:variant>
        <vt:i4>266</vt:i4>
      </vt:variant>
      <vt:variant>
        <vt:i4>0</vt:i4>
      </vt:variant>
      <vt:variant>
        <vt:i4>5</vt:i4>
      </vt:variant>
      <vt:variant>
        <vt:lpwstr/>
      </vt:variant>
      <vt:variant>
        <vt:lpwstr>_Toc225269986</vt:lpwstr>
      </vt:variant>
      <vt:variant>
        <vt:i4>1441848</vt:i4>
      </vt:variant>
      <vt:variant>
        <vt:i4>260</vt:i4>
      </vt:variant>
      <vt:variant>
        <vt:i4>0</vt:i4>
      </vt:variant>
      <vt:variant>
        <vt:i4>5</vt:i4>
      </vt:variant>
      <vt:variant>
        <vt:lpwstr/>
      </vt:variant>
      <vt:variant>
        <vt:lpwstr>_Toc225269985</vt:lpwstr>
      </vt:variant>
      <vt:variant>
        <vt:i4>1441848</vt:i4>
      </vt:variant>
      <vt:variant>
        <vt:i4>254</vt:i4>
      </vt:variant>
      <vt:variant>
        <vt:i4>0</vt:i4>
      </vt:variant>
      <vt:variant>
        <vt:i4>5</vt:i4>
      </vt:variant>
      <vt:variant>
        <vt:lpwstr/>
      </vt:variant>
      <vt:variant>
        <vt:lpwstr>_Toc225269984</vt:lpwstr>
      </vt:variant>
      <vt:variant>
        <vt:i4>1441848</vt:i4>
      </vt:variant>
      <vt:variant>
        <vt:i4>248</vt:i4>
      </vt:variant>
      <vt:variant>
        <vt:i4>0</vt:i4>
      </vt:variant>
      <vt:variant>
        <vt:i4>5</vt:i4>
      </vt:variant>
      <vt:variant>
        <vt:lpwstr/>
      </vt:variant>
      <vt:variant>
        <vt:lpwstr>_Toc225269983</vt:lpwstr>
      </vt:variant>
      <vt:variant>
        <vt:i4>1441848</vt:i4>
      </vt:variant>
      <vt:variant>
        <vt:i4>242</vt:i4>
      </vt:variant>
      <vt:variant>
        <vt:i4>0</vt:i4>
      </vt:variant>
      <vt:variant>
        <vt:i4>5</vt:i4>
      </vt:variant>
      <vt:variant>
        <vt:lpwstr/>
      </vt:variant>
      <vt:variant>
        <vt:lpwstr>_Toc225269982</vt:lpwstr>
      </vt:variant>
      <vt:variant>
        <vt:i4>1441848</vt:i4>
      </vt:variant>
      <vt:variant>
        <vt:i4>236</vt:i4>
      </vt:variant>
      <vt:variant>
        <vt:i4>0</vt:i4>
      </vt:variant>
      <vt:variant>
        <vt:i4>5</vt:i4>
      </vt:variant>
      <vt:variant>
        <vt:lpwstr/>
      </vt:variant>
      <vt:variant>
        <vt:lpwstr>_Toc225269981</vt:lpwstr>
      </vt:variant>
      <vt:variant>
        <vt:i4>1441848</vt:i4>
      </vt:variant>
      <vt:variant>
        <vt:i4>230</vt:i4>
      </vt:variant>
      <vt:variant>
        <vt:i4>0</vt:i4>
      </vt:variant>
      <vt:variant>
        <vt:i4>5</vt:i4>
      </vt:variant>
      <vt:variant>
        <vt:lpwstr/>
      </vt:variant>
      <vt:variant>
        <vt:lpwstr>_Toc225269980</vt:lpwstr>
      </vt:variant>
      <vt:variant>
        <vt:i4>1638456</vt:i4>
      </vt:variant>
      <vt:variant>
        <vt:i4>224</vt:i4>
      </vt:variant>
      <vt:variant>
        <vt:i4>0</vt:i4>
      </vt:variant>
      <vt:variant>
        <vt:i4>5</vt:i4>
      </vt:variant>
      <vt:variant>
        <vt:lpwstr/>
      </vt:variant>
      <vt:variant>
        <vt:lpwstr>_Toc225269979</vt:lpwstr>
      </vt:variant>
      <vt:variant>
        <vt:i4>1638456</vt:i4>
      </vt:variant>
      <vt:variant>
        <vt:i4>218</vt:i4>
      </vt:variant>
      <vt:variant>
        <vt:i4>0</vt:i4>
      </vt:variant>
      <vt:variant>
        <vt:i4>5</vt:i4>
      </vt:variant>
      <vt:variant>
        <vt:lpwstr/>
      </vt:variant>
      <vt:variant>
        <vt:lpwstr>_Toc225269978</vt:lpwstr>
      </vt:variant>
      <vt:variant>
        <vt:i4>1638456</vt:i4>
      </vt:variant>
      <vt:variant>
        <vt:i4>212</vt:i4>
      </vt:variant>
      <vt:variant>
        <vt:i4>0</vt:i4>
      </vt:variant>
      <vt:variant>
        <vt:i4>5</vt:i4>
      </vt:variant>
      <vt:variant>
        <vt:lpwstr/>
      </vt:variant>
      <vt:variant>
        <vt:lpwstr>_Toc225269977</vt:lpwstr>
      </vt:variant>
      <vt:variant>
        <vt:i4>1638456</vt:i4>
      </vt:variant>
      <vt:variant>
        <vt:i4>206</vt:i4>
      </vt:variant>
      <vt:variant>
        <vt:i4>0</vt:i4>
      </vt:variant>
      <vt:variant>
        <vt:i4>5</vt:i4>
      </vt:variant>
      <vt:variant>
        <vt:lpwstr/>
      </vt:variant>
      <vt:variant>
        <vt:lpwstr>_Toc225269976</vt:lpwstr>
      </vt:variant>
      <vt:variant>
        <vt:i4>1638456</vt:i4>
      </vt:variant>
      <vt:variant>
        <vt:i4>200</vt:i4>
      </vt:variant>
      <vt:variant>
        <vt:i4>0</vt:i4>
      </vt:variant>
      <vt:variant>
        <vt:i4>5</vt:i4>
      </vt:variant>
      <vt:variant>
        <vt:lpwstr/>
      </vt:variant>
      <vt:variant>
        <vt:lpwstr>_Toc225269975</vt:lpwstr>
      </vt:variant>
      <vt:variant>
        <vt:i4>1638456</vt:i4>
      </vt:variant>
      <vt:variant>
        <vt:i4>194</vt:i4>
      </vt:variant>
      <vt:variant>
        <vt:i4>0</vt:i4>
      </vt:variant>
      <vt:variant>
        <vt:i4>5</vt:i4>
      </vt:variant>
      <vt:variant>
        <vt:lpwstr/>
      </vt:variant>
      <vt:variant>
        <vt:lpwstr>_Toc225269974</vt:lpwstr>
      </vt:variant>
      <vt:variant>
        <vt:i4>1638456</vt:i4>
      </vt:variant>
      <vt:variant>
        <vt:i4>188</vt:i4>
      </vt:variant>
      <vt:variant>
        <vt:i4>0</vt:i4>
      </vt:variant>
      <vt:variant>
        <vt:i4>5</vt:i4>
      </vt:variant>
      <vt:variant>
        <vt:lpwstr/>
      </vt:variant>
      <vt:variant>
        <vt:lpwstr>_Toc225269973</vt:lpwstr>
      </vt:variant>
      <vt:variant>
        <vt:i4>1638456</vt:i4>
      </vt:variant>
      <vt:variant>
        <vt:i4>182</vt:i4>
      </vt:variant>
      <vt:variant>
        <vt:i4>0</vt:i4>
      </vt:variant>
      <vt:variant>
        <vt:i4>5</vt:i4>
      </vt:variant>
      <vt:variant>
        <vt:lpwstr/>
      </vt:variant>
      <vt:variant>
        <vt:lpwstr>_Toc225269972</vt:lpwstr>
      </vt:variant>
      <vt:variant>
        <vt:i4>1638456</vt:i4>
      </vt:variant>
      <vt:variant>
        <vt:i4>176</vt:i4>
      </vt:variant>
      <vt:variant>
        <vt:i4>0</vt:i4>
      </vt:variant>
      <vt:variant>
        <vt:i4>5</vt:i4>
      </vt:variant>
      <vt:variant>
        <vt:lpwstr/>
      </vt:variant>
      <vt:variant>
        <vt:lpwstr>_Toc225269971</vt:lpwstr>
      </vt:variant>
      <vt:variant>
        <vt:i4>1638456</vt:i4>
      </vt:variant>
      <vt:variant>
        <vt:i4>170</vt:i4>
      </vt:variant>
      <vt:variant>
        <vt:i4>0</vt:i4>
      </vt:variant>
      <vt:variant>
        <vt:i4>5</vt:i4>
      </vt:variant>
      <vt:variant>
        <vt:lpwstr/>
      </vt:variant>
      <vt:variant>
        <vt:lpwstr>_Toc225269970</vt:lpwstr>
      </vt:variant>
      <vt:variant>
        <vt:i4>1572920</vt:i4>
      </vt:variant>
      <vt:variant>
        <vt:i4>164</vt:i4>
      </vt:variant>
      <vt:variant>
        <vt:i4>0</vt:i4>
      </vt:variant>
      <vt:variant>
        <vt:i4>5</vt:i4>
      </vt:variant>
      <vt:variant>
        <vt:lpwstr/>
      </vt:variant>
      <vt:variant>
        <vt:lpwstr>_Toc225269969</vt:lpwstr>
      </vt:variant>
      <vt:variant>
        <vt:i4>1572920</vt:i4>
      </vt:variant>
      <vt:variant>
        <vt:i4>158</vt:i4>
      </vt:variant>
      <vt:variant>
        <vt:i4>0</vt:i4>
      </vt:variant>
      <vt:variant>
        <vt:i4>5</vt:i4>
      </vt:variant>
      <vt:variant>
        <vt:lpwstr/>
      </vt:variant>
      <vt:variant>
        <vt:lpwstr>_Toc225269968</vt:lpwstr>
      </vt:variant>
      <vt:variant>
        <vt:i4>1572920</vt:i4>
      </vt:variant>
      <vt:variant>
        <vt:i4>152</vt:i4>
      </vt:variant>
      <vt:variant>
        <vt:i4>0</vt:i4>
      </vt:variant>
      <vt:variant>
        <vt:i4>5</vt:i4>
      </vt:variant>
      <vt:variant>
        <vt:lpwstr/>
      </vt:variant>
      <vt:variant>
        <vt:lpwstr>_Toc225269967</vt:lpwstr>
      </vt:variant>
      <vt:variant>
        <vt:i4>1572920</vt:i4>
      </vt:variant>
      <vt:variant>
        <vt:i4>146</vt:i4>
      </vt:variant>
      <vt:variant>
        <vt:i4>0</vt:i4>
      </vt:variant>
      <vt:variant>
        <vt:i4>5</vt:i4>
      </vt:variant>
      <vt:variant>
        <vt:lpwstr/>
      </vt:variant>
      <vt:variant>
        <vt:lpwstr>_Toc225269966</vt:lpwstr>
      </vt:variant>
      <vt:variant>
        <vt:i4>1572920</vt:i4>
      </vt:variant>
      <vt:variant>
        <vt:i4>140</vt:i4>
      </vt:variant>
      <vt:variant>
        <vt:i4>0</vt:i4>
      </vt:variant>
      <vt:variant>
        <vt:i4>5</vt:i4>
      </vt:variant>
      <vt:variant>
        <vt:lpwstr/>
      </vt:variant>
      <vt:variant>
        <vt:lpwstr>_Toc225269965</vt:lpwstr>
      </vt:variant>
      <vt:variant>
        <vt:i4>1572920</vt:i4>
      </vt:variant>
      <vt:variant>
        <vt:i4>134</vt:i4>
      </vt:variant>
      <vt:variant>
        <vt:i4>0</vt:i4>
      </vt:variant>
      <vt:variant>
        <vt:i4>5</vt:i4>
      </vt:variant>
      <vt:variant>
        <vt:lpwstr/>
      </vt:variant>
      <vt:variant>
        <vt:lpwstr>_Toc225269964</vt:lpwstr>
      </vt:variant>
      <vt:variant>
        <vt:i4>1572920</vt:i4>
      </vt:variant>
      <vt:variant>
        <vt:i4>128</vt:i4>
      </vt:variant>
      <vt:variant>
        <vt:i4>0</vt:i4>
      </vt:variant>
      <vt:variant>
        <vt:i4>5</vt:i4>
      </vt:variant>
      <vt:variant>
        <vt:lpwstr/>
      </vt:variant>
      <vt:variant>
        <vt:lpwstr>_Toc225269963</vt:lpwstr>
      </vt:variant>
      <vt:variant>
        <vt:i4>1572920</vt:i4>
      </vt:variant>
      <vt:variant>
        <vt:i4>122</vt:i4>
      </vt:variant>
      <vt:variant>
        <vt:i4>0</vt:i4>
      </vt:variant>
      <vt:variant>
        <vt:i4>5</vt:i4>
      </vt:variant>
      <vt:variant>
        <vt:lpwstr/>
      </vt:variant>
      <vt:variant>
        <vt:lpwstr>_Toc225269962</vt:lpwstr>
      </vt:variant>
      <vt:variant>
        <vt:i4>1572920</vt:i4>
      </vt:variant>
      <vt:variant>
        <vt:i4>116</vt:i4>
      </vt:variant>
      <vt:variant>
        <vt:i4>0</vt:i4>
      </vt:variant>
      <vt:variant>
        <vt:i4>5</vt:i4>
      </vt:variant>
      <vt:variant>
        <vt:lpwstr/>
      </vt:variant>
      <vt:variant>
        <vt:lpwstr>_Toc225269961</vt:lpwstr>
      </vt:variant>
      <vt:variant>
        <vt:i4>1572920</vt:i4>
      </vt:variant>
      <vt:variant>
        <vt:i4>110</vt:i4>
      </vt:variant>
      <vt:variant>
        <vt:i4>0</vt:i4>
      </vt:variant>
      <vt:variant>
        <vt:i4>5</vt:i4>
      </vt:variant>
      <vt:variant>
        <vt:lpwstr/>
      </vt:variant>
      <vt:variant>
        <vt:lpwstr>_Toc225269960</vt:lpwstr>
      </vt:variant>
      <vt:variant>
        <vt:i4>1769528</vt:i4>
      </vt:variant>
      <vt:variant>
        <vt:i4>104</vt:i4>
      </vt:variant>
      <vt:variant>
        <vt:i4>0</vt:i4>
      </vt:variant>
      <vt:variant>
        <vt:i4>5</vt:i4>
      </vt:variant>
      <vt:variant>
        <vt:lpwstr/>
      </vt:variant>
      <vt:variant>
        <vt:lpwstr>_Toc225269959</vt:lpwstr>
      </vt:variant>
      <vt:variant>
        <vt:i4>1769528</vt:i4>
      </vt:variant>
      <vt:variant>
        <vt:i4>98</vt:i4>
      </vt:variant>
      <vt:variant>
        <vt:i4>0</vt:i4>
      </vt:variant>
      <vt:variant>
        <vt:i4>5</vt:i4>
      </vt:variant>
      <vt:variant>
        <vt:lpwstr/>
      </vt:variant>
      <vt:variant>
        <vt:lpwstr>_Toc225269958</vt:lpwstr>
      </vt:variant>
      <vt:variant>
        <vt:i4>1769528</vt:i4>
      </vt:variant>
      <vt:variant>
        <vt:i4>92</vt:i4>
      </vt:variant>
      <vt:variant>
        <vt:i4>0</vt:i4>
      </vt:variant>
      <vt:variant>
        <vt:i4>5</vt:i4>
      </vt:variant>
      <vt:variant>
        <vt:lpwstr/>
      </vt:variant>
      <vt:variant>
        <vt:lpwstr>_Toc225269957</vt:lpwstr>
      </vt:variant>
      <vt:variant>
        <vt:i4>1769528</vt:i4>
      </vt:variant>
      <vt:variant>
        <vt:i4>86</vt:i4>
      </vt:variant>
      <vt:variant>
        <vt:i4>0</vt:i4>
      </vt:variant>
      <vt:variant>
        <vt:i4>5</vt:i4>
      </vt:variant>
      <vt:variant>
        <vt:lpwstr/>
      </vt:variant>
      <vt:variant>
        <vt:lpwstr>_Toc225269956</vt:lpwstr>
      </vt:variant>
      <vt:variant>
        <vt:i4>1769528</vt:i4>
      </vt:variant>
      <vt:variant>
        <vt:i4>80</vt:i4>
      </vt:variant>
      <vt:variant>
        <vt:i4>0</vt:i4>
      </vt:variant>
      <vt:variant>
        <vt:i4>5</vt:i4>
      </vt:variant>
      <vt:variant>
        <vt:lpwstr/>
      </vt:variant>
      <vt:variant>
        <vt:lpwstr>_Toc225269955</vt:lpwstr>
      </vt:variant>
      <vt:variant>
        <vt:i4>1769528</vt:i4>
      </vt:variant>
      <vt:variant>
        <vt:i4>74</vt:i4>
      </vt:variant>
      <vt:variant>
        <vt:i4>0</vt:i4>
      </vt:variant>
      <vt:variant>
        <vt:i4>5</vt:i4>
      </vt:variant>
      <vt:variant>
        <vt:lpwstr/>
      </vt:variant>
      <vt:variant>
        <vt:lpwstr>_Toc225269954</vt:lpwstr>
      </vt:variant>
      <vt:variant>
        <vt:i4>1769528</vt:i4>
      </vt:variant>
      <vt:variant>
        <vt:i4>68</vt:i4>
      </vt:variant>
      <vt:variant>
        <vt:i4>0</vt:i4>
      </vt:variant>
      <vt:variant>
        <vt:i4>5</vt:i4>
      </vt:variant>
      <vt:variant>
        <vt:lpwstr/>
      </vt:variant>
      <vt:variant>
        <vt:lpwstr>_Toc225269953</vt:lpwstr>
      </vt:variant>
      <vt:variant>
        <vt:i4>1769528</vt:i4>
      </vt:variant>
      <vt:variant>
        <vt:i4>62</vt:i4>
      </vt:variant>
      <vt:variant>
        <vt:i4>0</vt:i4>
      </vt:variant>
      <vt:variant>
        <vt:i4>5</vt:i4>
      </vt:variant>
      <vt:variant>
        <vt:lpwstr/>
      </vt:variant>
      <vt:variant>
        <vt:lpwstr>_Toc225269952</vt:lpwstr>
      </vt:variant>
      <vt:variant>
        <vt:i4>1769528</vt:i4>
      </vt:variant>
      <vt:variant>
        <vt:i4>56</vt:i4>
      </vt:variant>
      <vt:variant>
        <vt:i4>0</vt:i4>
      </vt:variant>
      <vt:variant>
        <vt:i4>5</vt:i4>
      </vt:variant>
      <vt:variant>
        <vt:lpwstr/>
      </vt:variant>
      <vt:variant>
        <vt:lpwstr>_Toc225269951</vt:lpwstr>
      </vt:variant>
      <vt:variant>
        <vt:i4>1769528</vt:i4>
      </vt:variant>
      <vt:variant>
        <vt:i4>50</vt:i4>
      </vt:variant>
      <vt:variant>
        <vt:i4>0</vt:i4>
      </vt:variant>
      <vt:variant>
        <vt:i4>5</vt:i4>
      </vt:variant>
      <vt:variant>
        <vt:lpwstr/>
      </vt:variant>
      <vt:variant>
        <vt:lpwstr>_Toc225269950</vt:lpwstr>
      </vt:variant>
      <vt:variant>
        <vt:i4>1703992</vt:i4>
      </vt:variant>
      <vt:variant>
        <vt:i4>44</vt:i4>
      </vt:variant>
      <vt:variant>
        <vt:i4>0</vt:i4>
      </vt:variant>
      <vt:variant>
        <vt:i4>5</vt:i4>
      </vt:variant>
      <vt:variant>
        <vt:lpwstr/>
      </vt:variant>
      <vt:variant>
        <vt:lpwstr>_Toc225269949</vt:lpwstr>
      </vt:variant>
      <vt:variant>
        <vt:i4>1703992</vt:i4>
      </vt:variant>
      <vt:variant>
        <vt:i4>38</vt:i4>
      </vt:variant>
      <vt:variant>
        <vt:i4>0</vt:i4>
      </vt:variant>
      <vt:variant>
        <vt:i4>5</vt:i4>
      </vt:variant>
      <vt:variant>
        <vt:lpwstr/>
      </vt:variant>
      <vt:variant>
        <vt:lpwstr>_Toc225269948</vt:lpwstr>
      </vt:variant>
      <vt:variant>
        <vt:i4>1703992</vt:i4>
      </vt:variant>
      <vt:variant>
        <vt:i4>32</vt:i4>
      </vt:variant>
      <vt:variant>
        <vt:i4>0</vt:i4>
      </vt:variant>
      <vt:variant>
        <vt:i4>5</vt:i4>
      </vt:variant>
      <vt:variant>
        <vt:lpwstr/>
      </vt:variant>
      <vt:variant>
        <vt:lpwstr>_Toc225269947</vt:lpwstr>
      </vt:variant>
      <vt:variant>
        <vt:i4>1703992</vt:i4>
      </vt:variant>
      <vt:variant>
        <vt:i4>26</vt:i4>
      </vt:variant>
      <vt:variant>
        <vt:i4>0</vt:i4>
      </vt:variant>
      <vt:variant>
        <vt:i4>5</vt:i4>
      </vt:variant>
      <vt:variant>
        <vt:lpwstr/>
      </vt:variant>
      <vt:variant>
        <vt:lpwstr>_Toc225269946</vt:lpwstr>
      </vt:variant>
      <vt:variant>
        <vt:i4>1703992</vt:i4>
      </vt:variant>
      <vt:variant>
        <vt:i4>20</vt:i4>
      </vt:variant>
      <vt:variant>
        <vt:i4>0</vt:i4>
      </vt:variant>
      <vt:variant>
        <vt:i4>5</vt:i4>
      </vt:variant>
      <vt:variant>
        <vt:lpwstr/>
      </vt:variant>
      <vt:variant>
        <vt:lpwstr>_Toc225269945</vt:lpwstr>
      </vt:variant>
      <vt:variant>
        <vt:i4>1703992</vt:i4>
      </vt:variant>
      <vt:variant>
        <vt:i4>14</vt:i4>
      </vt:variant>
      <vt:variant>
        <vt:i4>0</vt:i4>
      </vt:variant>
      <vt:variant>
        <vt:i4>5</vt:i4>
      </vt:variant>
      <vt:variant>
        <vt:lpwstr/>
      </vt:variant>
      <vt:variant>
        <vt:lpwstr>_Toc225269944</vt:lpwstr>
      </vt:variant>
      <vt:variant>
        <vt:i4>1703992</vt:i4>
      </vt:variant>
      <vt:variant>
        <vt:i4>8</vt:i4>
      </vt:variant>
      <vt:variant>
        <vt:i4>0</vt:i4>
      </vt:variant>
      <vt:variant>
        <vt:i4>5</vt:i4>
      </vt:variant>
      <vt:variant>
        <vt:lpwstr/>
      </vt:variant>
      <vt:variant>
        <vt:lpwstr>_Toc225269943</vt:lpwstr>
      </vt:variant>
      <vt:variant>
        <vt:i4>2490414</vt:i4>
      </vt:variant>
      <vt:variant>
        <vt:i4>3</vt:i4>
      </vt:variant>
      <vt:variant>
        <vt:i4>0</vt:i4>
      </vt:variant>
      <vt:variant>
        <vt:i4>5</vt:i4>
      </vt:variant>
      <vt:variant>
        <vt:lpwstr>https://www.dcceew.gov.au/about/contact</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1703964</vt:i4>
      </vt:variant>
      <vt:variant>
        <vt:i4>6</vt:i4>
      </vt:variant>
      <vt:variant>
        <vt:i4>0</vt:i4>
      </vt:variant>
      <vt:variant>
        <vt:i4>5</vt:i4>
      </vt:variant>
      <vt:variant>
        <vt:lpwstr>https://kanalregister.hkdir.no/en</vt:lpwstr>
      </vt:variant>
      <vt:variant>
        <vt:lpwstr/>
      </vt:variant>
      <vt:variant>
        <vt:i4>8323121</vt:i4>
      </vt:variant>
      <vt:variant>
        <vt:i4>3</vt:i4>
      </vt:variant>
      <vt:variant>
        <vt:i4>0</vt:i4>
      </vt:variant>
      <vt:variant>
        <vt:i4>5</vt:i4>
      </vt:variant>
      <vt:variant>
        <vt:lpwstr>https://carbonologyhub.com/ghg-protocol-vs-iso-14064-key-differences-explained/</vt:lpwstr>
      </vt:variant>
      <vt:variant>
        <vt:lpwstr/>
      </vt:variant>
      <vt:variant>
        <vt:i4>6488124</vt:i4>
      </vt:variant>
      <vt:variant>
        <vt:i4>0</vt:i4>
      </vt:variant>
      <vt:variant>
        <vt:i4>0</vt:i4>
      </vt:variant>
      <vt:variant>
        <vt:i4>5</vt:i4>
      </vt:variant>
      <vt:variant>
        <vt:lpwstr>https://www.iso.org/standard/66453.html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 Requirements Framework</dc:title>
  <dc:subject/>
  <dc:creator>Department of Climate Change, Energy, the Environment and Water</dc:creator>
  <cp:keywords/>
  <dc:description/>
  <cp:lastModifiedBy>Fiona DICKSON</cp:lastModifiedBy>
  <cp:revision>1953</cp:revision>
  <cp:lastPrinted>2026-03-25T23:21:00Z</cp:lastPrinted>
  <dcterms:created xsi:type="dcterms:W3CDTF">2026-02-09T13:49:00Z</dcterms:created>
  <dcterms:modified xsi:type="dcterms:W3CDTF">2026-03-25T23:22:00Z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FontProps">
    <vt:lpwstr>#ff0000,12,Aptos</vt:lpwstr>
  </property>
  <property fmtid="{D5CDD505-2E9C-101B-9397-08002B2CF9AE}" pid="3" name="ClassificationContentMarkingFooterFontProps">
    <vt:lpwstr>#ff0000,12,Aptos</vt:lpwstr>
  </property>
  <property fmtid="{D5CDD505-2E9C-101B-9397-08002B2CF9AE}" pid="4" name="MediaServiceImageTags">
    <vt:lpwstr/>
  </property>
  <property fmtid="{D5CDD505-2E9C-101B-9397-08002B2CF9AE}" pid="5" name="docLang">
    <vt:lpwstr>en</vt:lpwstr>
  </property>
  <property fmtid="{D5CDD505-2E9C-101B-9397-08002B2CF9AE}" pid="6" name="Record_x0020_Classification">
    <vt:lpwstr/>
  </property>
  <property fmtid="{D5CDD505-2E9C-101B-9397-08002B2CF9AE}" pid="7" name="h64465b6520a47a58f1168c7a3f04764">
    <vt:lpwstr/>
  </property>
  <property fmtid="{D5CDD505-2E9C-101B-9397-08002B2CF9AE}" pid="8" name="Record Classification">
    <vt:lpwstr/>
  </property>
  <property fmtid="{D5CDD505-2E9C-101B-9397-08002B2CF9AE}" pid="9" name="ClassificationContentMarkingHeaderShapeIds">
    <vt:lpwstr>4b587b39,495d2eae,6f2c2f7b,674bd293,1b875c08,343cf712,5c230b65,1a1e12d1,1ca84586,5216d50f,718e573f,441ceb37,3c36d4fb,5dbaef52,362835a5,5867d80a,46daa8a5,4c23307b,1335005e,1de65dab,29b3c417,47ff56d4,6ac4ea97</vt:lpwstr>
  </property>
  <property fmtid="{D5CDD505-2E9C-101B-9397-08002B2CF9AE}" pid="10" name="ClassificationContentMarkingHeaderText">
    <vt:lpwstr>OFFICIAL</vt:lpwstr>
  </property>
  <property fmtid="{D5CDD505-2E9C-101B-9397-08002B2CF9AE}" pid="11" name="ClassificationContentMarkingFooterShapeIds">
    <vt:lpwstr>591c0bf0,22cf2169,59dcae00,363e82bf,18d0fd69,16a4c3f,60015803,2b87f9c6,424a935a,dc438f,17c075d7,1bd714d4,72cc974f,6bc0ac79,28fb48c4</vt:lpwstr>
  </property>
  <property fmtid="{D5CDD505-2E9C-101B-9397-08002B2CF9AE}" pid="12" name="ClassificationContentMarkingFooterText">
    <vt:lpwstr>OFFICIAL</vt:lpwstr>
  </property>
  <property fmtid="{D5CDD505-2E9C-101B-9397-08002B2CF9AE}" pid="13" name="ContentTypeId">
    <vt:lpwstr>0x010100D001B2BE74D025469E1D0E28F10DD2C8</vt:lpwstr>
  </property>
  <property fmtid="{D5CDD505-2E9C-101B-9397-08002B2CF9AE}" pid="14" name="ClassificationContentMarkingHeaderShapeIds-1">
    <vt:lpwstr>5b44508a,3a3bb260,675eb1ba</vt:lpwstr>
  </property>
</Properties>
</file>