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2A6659" w14:textId="77777777" w:rsidR="0075180E" w:rsidRDefault="0075180E">
      <w:pPr>
        <w:pStyle w:val="normal1"/>
        <w:jc w:val="center"/>
        <w:rPr>
          <w:lang w:val="en-AU"/>
        </w:rPr>
      </w:pPr>
    </w:p>
    <w:p w14:paraId="0A37501D" w14:textId="77777777" w:rsidR="0075180E" w:rsidRDefault="0075180E">
      <w:pPr>
        <w:pStyle w:val="normal1"/>
        <w:ind w:left="90" w:hanging="90"/>
        <w:jc w:val="center"/>
        <w:rPr>
          <w:lang w:val="en-AU"/>
        </w:rPr>
      </w:pPr>
    </w:p>
    <w:p w14:paraId="29D6B04F" w14:textId="77777777" w:rsidR="0075180E" w:rsidRDefault="008F4B1A">
      <w:pPr>
        <w:pStyle w:val="normal1"/>
        <w:jc w:val="center"/>
        <w:rPr>
          <w:lang w:val="en-AU"/>
        </w:rPr>
      </w:pPr>
      <w:r>
        <w:rPr>
          <w:lang w:val="en-AU"/>
        </w:rPr>
        <w:t xml:space="preserve"> </w:t>
      </w:r>
    </w:p>
    <w:p w14:paraId="5DAB6C7B" w14:textId="77777777" w:rsidR="0075180E" w:rsidRDefault="0075180E">
      <w:pPr>
        <w:pStyle w:val="normal1"/>
        <w:jc w:val="center"/>
        <w:rPr>
          <w:lang w:val="en-AU"/>
        </w:rPr>
      </w:pPr>
    </w:p>
    <w:p w14:paraId="02EB378F" w14:textId="77777777" w:rsidR="0075180E" w:rsidRDefault="0075180E">
      <w:pPr>
        <w:pStyle w:val="normal1"/>
        <w:jc w:val="center"/>
        <w:rPr>
          <w:lang w:val="en-AU"/>
        </w:rPr>
      </w:pPr>
    </w:p>
    <w:p w14:paraId="6A05A809" w14:textId="77777777" w:rsidR="0075180E" w:rsidRDefault="0075180E">
      <w:pPr>
        <w:pStyle w:val="normal1"/>
        <w:jc w:val="center"/>
        <w:rPr>
          <w:lang w:val="en-AU"/>
        </w:rPr>
      </w:pPr>
    </w:p>
    <w:p w14:paraId="5A39BBE3" w14:textId="77777777" w:rsidR="0075180E" w:rsidRDefault="0075180E">
      <w:pPr>
        <w:pStyle w:val="normal1"/>
        <w:jc w:val="center"/>
        <w:rPr>
          <w:lang w:val="en-AU"/>
        </w:rPr>
      </w:pPr>
    </w:p>
    <w:p w14:paraId="41C8F396" w14:textId="77777777" w:rsidR="0075180E" w:rsidRDefault="0075180E">
      <w:pPr>
        <w:pStyle w:val="normal1"/>
        <w:jc w:val="center"/>
        <w:rPr>
          <w:lang w:val="en-AU"/>
        </w:rPr>
      </w:pPr>
    </w:p>
    <w:p w14:paraId="72A3D3EC" w14:textId="77777777" w:rsidR="0075180E" w:rsidRDefault="0075180E">
      <w:pPr>
        <w:pStyle w:val="normal1"/>
        <w:jc w:val="center"/>
        <w:rPr>
          <w:lang w:val="en-AU"/>
        </w:rPr>
      </w:pPr>
    </w:p>
    <w:p w14:paraId="0D0B940D" w14:textId="77777777" w:rsidR="0075180E" w:rsidRDefault="0075180E">
      <w:pPr>
        <w:pStyle w:val="normal1"/>
        <w:rPr>
          <w:lang w:val="en-AU"/>
        </w:rPr>
      </w:pPr>
    </w:p>
    <w:p w14:paraId="0E27B00A" w14:textId="77777777" w:rsidR="0075180E" w:rsidRDefault="0075180E">
      <w:pPr>
        <w:pStyle w:val="normal1"/>
        <w:rPr>
          <w:lang w:val="en-AU"/>
        </w:rPr>
      </w:pPr>
    </w:p>
    <w:p w14:paraId="60061E4C" w14:textId="77777777" w:rsidR="0075180E" w:rsidRDefault="0075180E">
      <w:pPr>
        <w:pStyle w:val="normal1"/>
        <w:rPr>
          <w:lang w:val="en-AU"/>
        </w:rPr>
      </w:pPr>
    </w:p>
    <w:p w14:paraId="44EAFD9C" w14:textId="77777777" w:rsidR="0075180E" w:rsidRDefault="0075180E">
      <w:pPr>
        <w:pStyle w:val="normal1"/>
        <w:rPr>
          <w:lang w:val="en-AU"/>
        </w:rPr>
      </w:pPr>
    </w:p>
    <w:p w14:paraId="4B94D5A5" w14:textId="77777777" w:rsidR="0075180E" w:rsidRDefault="0075180E">
      <w:pPr>
        <w:pStyle w:val="normal1"/>
        <w:rPr>
          <w:lang w:val="en-AU"/>
        </w:rPr>
      </w:pPr>
    </w:p>
    <w:p w14:paraId="3DEEC669" w14:textId="77777777" w:rsidR="0075180E" w:rsidRDefault="0075180E">
      <w:pPr>
        <w:pStyle w:val="normal1"/>
        <w:rPr>
          <w:lang w:val="en-AU"/>
        </w:rPr>
      </w:pPr>
    </w:p>
    <w:p w14:paraId="022BCC3B" w14:textId="77777777" w:rsidR="0075180E" w:rsidRDefault="008F4B1A">
      <w:pPr>
        <w:pStyle w:val="Title"/>
        <w:widowControl w:val="0"/>
        <w:spacing w:after="0"/>
        <w:rPr>
          <w:lang w:val="en-AU"/>
        </w:rPr>
      </w:pPr>
      <w:bookmarkStart w:id="0" w:name="_3n201v4zehaj"/>
      <w:bookmarkEnd w:id="0"/>
      <w:r>
        <w:rPr>
          <w:b/>
          <w:bCs/>
          <w:sz w:val="32"/>
          <w:szCs w:val="32"/>
          <w:lang w:val="en-AU"/>
        </w:rPr>
        <w:t xml:space="preserve">Australian Collision Risk Framework </w:t>
      </w:r>
    </w:p>
    <w:p w14:paraId="1A12A6F2" w14:textId="77777777" w:rsidR="0075180E" w:rsidRDefault="008F4B1A">
      <w:pPr>
        <w:pStyle w:val="normal1"/>
        <w:keepLines/>
        <w:widowControl w:val="0"/>
        <w:spacing w:before="200" w:after="120" w:line="360" w:lineRule="auto"/>
        <w:rPr>
          <w:lang w:val="en-AU"/>
        </w:rPr>
      </w:pPr>
      <w:r>
        <w:rPr>
          <w:b/>
          <w:bCs/>
          <w:color w:val="830065"/>
          <w:sz w:val="24"/>
          <w:szCs w:val="24"/>
          <w:lang w:val="en-AU"/>
        </w:rPr>
        <w:t>DRAFT Review of current practice and species data</w:t>
      </w:r>
    </w:p>
    <w:p w14:paraId="3656B9AB" w14:textId="77777777" w:rsidR="0075180E" w:rsidRDefault="0075180E">
      <w:pPr>
        <w:pStyle w:val="normal1"/>
        <w:spacing w:after="120" w:line="240" w:lineRule="auto"/>
        <w:rPr>
          <w:b/>
          <w:bCs/>
          <w:sz w:val="18"/>
          <w:szCs w:val="18"/>
          <w:lang w:val="en-AU"/>
        </w:rPr>
      </w:pPr>
    </w:p>
    <w:p w14:paraId="5111A1AE" w14:textId="77777777" w:rsidR="0075180E" w:rsidRDefault="008F4B1A">
      <w:pPr>
        <w:pStyle w:val="normal1"/>
        <w:widowControl w:val="0"/>
        <w:spacing w:line="360" w:lineRule="auto"/>
        <w:rPr>
          <w:lang w:val="en-AU"/>
        </w:rPr>
      </w:pPr>
      <w:r>
        <w:rPr>
          <w:b/>
          <w:bCs/>
          <w:sz w:val="18"/>
          <w:szCs w:val="18"/>
          <w:lang w:val="en-AU"/>
        </w:rPr>
        <w:t>Version:</w:t>
      </w:r>
      <w:r>
        <w:rPr>
          <w:sz w:val="18"/>
          <w:szCs w:val="18"/>
          <w:lang w:val="en-AU"/>
        </w:rPr>
        <w:t xml:space="preserve"> 2.0 for Industry Consultation</w:t>
      </w:r>
    </w:p>
    <w:p w14:paraId="41249BA9" w14:textId="1530AA44" w:rsidR="0075180E" w:rsidRDefault="4047F567">
      <w:pPr>
        <w:pStyle w:val="normal1"/>
        <w:widowControl w:val="0"/>
        <w:spacing w:line="360" w:lineRule="auto"/>
        <w:rPr>
          <w:lang w:val="en-AU"/>
        </w:rPr>
      </w:pPr>
      <w:r w:rsidRPr="4047F567">
        <w:rPr>
          <w:b/>
          <w:bCs/>
          <w:sz w:val="18"/>
          <w:szCs w:val="18"/>
          <w:lang w:val="en-AU"/>
        </w:rPr>
        <w:t>Date:</w:t>
      </w:r>
      <w:r w:rsidRPr="4047F567">
        <w:rPr>
          <w:sz w:val="18"/>
          <w:szCs w:val="18"/>
          <w:lang w:val="en-AU"/>
        </w:rPr>
        <w:t xml:space="preserve"> 18 March 2026</w:t>
      </w:r>
    </w:p>
    <w:p w14:paraId="45FB0818" w14:textId="77777777" w:rsidR="0075180E" w:rsidRDefault="008F4B1A">
      <w:pPr>
        <w:pStyle w:val="normal1"/>
        <w:rPr>
          <w:b/>
          <w:bCs/>
          <w:lang w:val="en-AU"/>
        </w:rPr>
      </w:pPr>
      <w:r>
        <w:br w:type="page"/>
      </w:r>
    </w:p>
    <w:p w14:paraId="049F31CB" w14:textId="77777777" w:rsidR="0075180E" w:rsidRDefault="0075180E">
      <w:pPr>
        <w:pStyle w:val="normal1"/>
        <w:rPr>
          <w:lang w:val="en-AU"/>
        </w:rPr>
      </w:pPr>
    </w:p>
    <w:p w14:paraId="53128261" w14:textId="77777777" w:rsidR="0075180E" w:rsidRDefault="0075180E">
      <w:pPr>
        <w:pStyle w:val="normal1"/>
        <w:rPr>
          <w:lang w:val="en-AU"/>
        </w:rPr>
      </w:pPr>
    </w:p>
    <w:p w14:paraId="2B2F9B42" w14:textId="77777777" w:rsidR="0075180E" w:rsidRDefault="008F4B1A">
      <w:pPr>
        <w:pStyle w:val="normal1"/>
        <w:widowControl w:val="0"/>
        <w:spacing w:line="240" w:lineRule="auto"/>
        <w:rPr>
          <w:lang w:val="en-AU"/>
        </w:rPr>
      </w:pPr>
      <w:r>
        <w:rPr>
          <w:b/>
          <w:bCs/>
          <w:sz w:val="18"/>
          <w:szCs w:val="18"/>
          <w:lang w:val="en-AU"/>
        </w:rPr>
        <w:t>Citation</w:t>
      </w:r>
    </w:p>
    <w:p w14:paraId="1FE509B0" w14:textId="77777777" w:rsidR="0075180E" w:rsidRDefault="008F4B1A">
      <w:pPr>
        <w:pStyle w:val="normal1"/>
        <w:spacing w:after="240" w:line="240" w:lineRule="auto"/>
        <w:rPr>
          <w:lang w:val="en-AU"/>
        </w:rPr>
      </w:pPr>
      <w:r>
        <w:rPr>
          <w:sz w:val="18"/>
          <w:szCs w:val="18"/>
          <w:lang w:val="en-AU"/>
        </w:rPr>
        <w:t>Stark, Elizabeth, Thompson, Eliza. 2026. “Australian Collision Risk Framework: Review of current practice and species data. Department of Climate Change, Energy, the Environment and Water, Canberra, 2026. CC BY 4.0.</w:t>
      </w:r>
    </w:p>
    <w:p w14:paraId="6B814A1E" w14:textId="77777777" w:rsidR="0075180E" w:rsidRDefault="008F4B1A">
      <w:pPr>
        <w:pStyle w:val="normal1"/>
        <w:spacing w:line="240" w:lineRule="auto"/>
        <w:rPr>
          <w:lang w:val="en-AU"/>
        </w:rPr>
      </w:pPr>
      <w:r>
        <w:rPr>
          <w:b/>
          <w:bCs/>
          <w:sz w:val="18"/>
          <w:szCs w:val="18"/>
          <w:lang w:val="en-AU"/>
        </w:rPr>
        <w:t>Version</w:t>
      </w:r>
    </w:p>
    <w:p w14:paraId="3E4851D3" w14:textId="1240CAC1" w:rsidR="0075180E" w:rsidRDefault="271A6B99">
      <w:pPr>
        <w:pStyle w:val="normal1"/>
        <w:widowControl w:val="0"/>
        <w:spacing w:after="120" w:line="240" w:lineRule="auto"/>
      </w:pPr>
      <w:r w:rsidRPr="271A6B99">
        <w:rPr>
          <w:sz w:val="18"/>
          <w:szCs w:val="18"/>
          <w:lang w:val="en-AU"/>
        </w:rPr>
        <w:t xml:space="preserve">This document is a draft for consultation and is correct as of 18 March 2026.  The canonical version of this information is maintained and updated at </w:t>
      </w:r>
      <w:hyperlink r:id="rId10">
        <w:r w:rsidRPr="271A6B99">
          <w:rPr>
            <w:color w:val="1155CC"/>
            <w:sz w:val="18"/>
            <w:szCs w:val="18"/>
            <w:u w:val="single"/>
            <w:lang w:val="en-AU"/>
          </w:rPr>
          <w:t>the project website.</w:t>
        </w:r>
      </w:hyperlink>
    </w:p>
    <w:p w14:paraId="62486C05" w14:textId="77777777" w:rsidR="0075180E" w:rsidRDefault="0075180E">
      <w:pPr>
        <w:pStyle w:val="normal1"/>
        <w:spacing w:line="240" w:lineRule="auto"/>
        <w:rPr>
          <w:b/>
          <w:bCs/>
          <w:sz w:val="18"/>
          <w:szCs w:val="18"/>
          <w:lang w:val="en-AU"/>
        </w:rPr>
      </w:pPr>
    </w:p>
    <w:p w14:paraId="732A0B1A" w14:textId="77777777" w:rsidR="0075180E" w:rsidRDefault="008F4B1A">
      <w:pPr>
        <w:pStyle w:val="normal1"/>
        <w:spacing w:line="240" w:lineRule="auto"/>
        <w:rPr>
          <w:lang w:val="en-AU"/>
        </w:rPr>
      </w:pPr>
      <w:r>
        <w:rPr>
          <w:b/>
          <w:bCs/>
          <w:sz w:val="18"/>
          <w:szCs w:val="18"/>
          <w:lang w:val="en-AU"/>
        </w:rPr>
        <w:t>Contributors</w:t>
      </w:r>
    </w:p>
    <w:p w14:paraId="1A6F9E50" w14:textId="77777777" w:rsidR="0075180E" w:rsidRDefault="008F4B1A">
      <w:pPr>
        <w:pStyle w:val="normal1"/>
        <w:widowControl w:val="0"/>
        <w:spacing w:after="120" w:line="240" w:lineRule="auto"/>
        <w:rPr>
          <w:lang w:val="en-AU"/>
        </w:rPr>
      </w:pPr>
      <w:r>
        <w:rPr>
          <w:sz w:val="18"/>
          <w:szCs w:val="18"/>
          <w:lang w:val="en-AU"/>
        </w:rPr>
        <w:t xml:space="preserve">This work includes reviews contributed by core partners 2rog and Western Ecosystems Technology (WEST Inc) and species data contributed by Research Ecology (REC) Lab, Monash, and Rob Gration from </w:t>
      </w:r>
      <w:proofErr w:type="spellStart"/>
      <w:r>
        <w:rPr>
          <w:sz w:val="18"/>
          <w:szCs w:val="18"/>
          <w:lang w:val="en-AU"/>
        </w:rPr>
        <w:t>EcoAerial</w:t>
      </w:r>
      <w:proofErr w:type="spellEnd"/>
      <w:r>
        <w:rPr>
          <w:sz w:val="18"/>
          <w:szCs w:val="18"/>
          <w:lang w:val="en-AU"/>
        </w:rPr>
        <w:t xml:space="preserve">. </w:t>
      </w:r>
    </w:p>
    <w:p w14:paraId="5444434A" w14:textId="77777777" w:rsidR="0075180E" w:rsidRDefault="008F4B1A">
      <w:pPr>
        <w:pStyle w:val="normal1"/>
        <w:widowControl w:val="0"/>
        <w:spacing w:after="120" w:line="240" w:lineRule="auto"/>
        <w:rPr>
          <w:lang w:val="en-AU"/>
        </w:rPr>
      </w:pPr>
      <w:r>
        <w:rPr>
          <w:sz w:val="18"/>
          <w:szCs w:val="18"/>
          <w:lang w:val="en-AU"/>
        </w:rPr>
        <w:t xml:space="preserve">We also acknowledge reviewers for their feedback on draft one - DCCEEW, REC Lab and </w:t>
      </w:r>
      <w:proofErr w:type="spellStart"/>
      <w:r>
        <w:rPr>
          <w:sz w:val="18"/>
          <w:szCs w:val="18"/>
          <w:lang w:val="en-AU"/>
        </w:rPr>
        <w:t>EcoAerial</w:t>
      </w:r>
      <w:proofErr w:type="spellEnd"/>
      <w:r>
        <w:rPr>
          <w:sz w:val="18"/>
          <w:szCs w:val="18"/>
          <w:lang w:val="en-AU"/>
        </w:rPr>
        <w:t>.</w:t>
      </w:r>
    </w:p>
    <w:p w14:paraId="4101652C" w14:textId="77777777" w:rsidR="0075180E" w:rsidRDefault="0075180E">
      <w:pPr>
        <w:pStyle w:val="normal1"/>
        <w:widowControl w:val="0"/>
        <w:spacing w:after="120" w:line="240" w:lineRule="auto"/>
        <w:rPr>
          <w:sz w:val="18"/>
          <w:szCs w:val="18"/>
          <w:lang w:val="en-AU"/>
        </w:rPr>
      </w:pPr>
    </w:p>
    <w:p w14:paraId="6CC25542" w14:textId="77777777" w:rsidR="0075180E" w:rsidRDefault="008F4B1A">
      <w:pPr>
        <w:pStyle w:val="normal1"/>
        <w:spacing w:line="240" w:lineRule="auto"/>
        <w:rPr>
          <w:lang w:val="en-AU"/>
        </w:rPr>
      </w:pPr>
      <w:r>
        <w:rPr>
          <w:b/>
          <w:bCs/>
          <w:sz w:val="18"/>
          <w:szCs w:val="18"/>
          <w:lang w:val="en-AU"/>
        </w:rPr>
        <w:t>Funding</w:t>
      </w:r>
    </w:p>
    <w:p w14:paraId="41E6F1D0" w14:textId="77777777" w:rsidR="0075180E" w:rsidRDefault="008F4B1A">
      <w:pPr>
        <w:pStyle w:val="normal1"/>
        <w:spacing w:after="120" w:line="240" w:lineRule="auto"/>
        <w:rPr>
          <w:lang w:val="en-AU"/>
        </w:rPr>
      </w:pPr>
      <w:r>
        <w:rPr>
          <w:sz w:val="18"/>
          <w:szCs w:val="18"/>
          <w:lang w:val="en-AU"/>
        </w:rPr>
        <w:t>This work is funded by the Australian Government as part of the Renewables Environmental Research Initiative (RERI). The RERI is funded by the Department of Climate Change, Energy, the Environment and Water (DCCEEW).</w:t>
      </w:r>
    </w:p>
    <w:p w14:paraId="4B99056E" w14:textId="77777777" w:rsidR="0075180E" w:rsidRDefault="0075180E">
      <w:pPr>
        <w:pStyle w:val="normal1"/>
        <w:spacing w:line="240" w:lineRule="auto"/>
        <w:rPr>
          <w:b/>
          <w:bCs/>
          <w:sz w:val="18"/>
          <w:szCs w:val="18"/>
          <w:lang w:val="en-AU"/>
        </w:rPr>
      </w:pPr>
    </w:p>
    <w:p w14:paraId="66ECAD99" w14:textId="77777777" w:rsidR="0075180E" w:rsidRDefault="008F4B1A">
      <w:pPr>
        <w:pStyle w:val="normal1"/>
        <w:spacing w:line="240" w:lineRule="auto"/>
        <w:rPr>
          <w:lang w:val="en-AU"/>
        </w:rPr>
      </w:pPr>
      <w:r>
        <w:rPr>
          <w:b/>
          <w:bCs/>
          <w:sz w:val="18"/>
          <w:szCs w:val="18"/>
          <w:lang w:val="en-AU"/>
        </w:rPr>
        <w:t>Acknowledgement</w:t>
      </w:r>
    </w:p>
    <w:p w14:paraId="6124F7B9" w14:textId="77777777" w:rsidR="0075180E" w:rsidRDefault="008F4B1A">
      <w:pPr>
        <w:pStyle w:val="normal1"/>
        <w:spacing w:after="120" w:line="240" w:lineRule="auto"/>
        <w:rPr>
          <w:lang w:val="en-AU"/>
        </w:rPr>
      </w:pPr>
      <w:r>
        <w:rPr>
          <w:sz w:val="18"/>
          <w:szCs w:val="18"/>
          <w:lang w:val="en-AU"/>
        </w:rPr>
        <w:t>This document was substantially compiled on the traditional lands of the Wurundjeri and Boon Wurrung peoples (Kulin Nation) but is drawn from inputs sourced from various Aboriginal and Torres Strait Islander lands. We acknowledge and pay respects to the traditional custodians of this land and hope to act justly in respect to their connection to land, sea and sky Country.</w:t>
      </w:r>
    </w:p>
    <w:p w14:paraId="586D1D93" w14:textId="77777777" w:rsidR="0075180E" w:rsidRDefault="008F4B1A">
      <w:pPr>
        <w:pStyle w:val="normal1"/>
        <w:spacing w:after="120" w:line="240" w:lineRule="auto"/>
        <w:rPr>
          <w:lang w:val="en-AU"/>
        </w:rPr>
      </w:pPr>
      <w:r>
        <w:rPr>
          <w:sz w:val="18"/>
          <w:szCs w:val="18"/>
          <w:lang w:val="en-AU"/>
        </w:rPr>
        <w:t>Main cover photographs: Eliza Thompson, Elizabeth Stark.</w:t>
      </w:r>
    </w:p>
    <w:p w14:paraId="4626326C" w14:textId="77777777" w:rsidR="0075180E" w:rsidRDefault="008F4B1A">
      <w:pPr>
        <w:pStyle w:val="normal1"/>
        <w:spacing w:after="120" w:line="240" w:lineRule="auto"/>
        <w:rPr>
          <w:b/>
          <w:bCs/>
          <w:sz w:val="18"/>
          <w:szCs w:val="18"/>
          <w:lang w:val="en-AU"/>
        </w:rPr>
      </w:pPr>
      <w:r>
        <w:rPr>
          <w:b/>
          <w:bCs/>
          <w:noProof/>
          <w:sz w:val="18"/>
          <w:szCs w:val="18"/>
          <w:lang w:val="en-AU"/>
        </w:rPr>
        <w:drawing>
          <wp:anchor distT="114300" distB="114300" distL="114300" distR="114300" simplePos="0" relativeHeight="251658240" behindDoc="0" locked="0" layoutInCell="0" allowOverlap="1" wp14:anchorId="49E7C623" wp14:editId="07777777">
            <wp:simplePos x="0" y="0"/>
            <wp:positionH relativeFrom="column">
              <wp:posOffset>4086225</wp:posOffset>
            </wp:positionH>
            <wp:positionV relativeFrom="paragraph">
              <wp:posOffset>285750</wp:posOffset>
            </wp:positionV>
            <wp:extent cx="1562100" cy="513715"/>
            <wp:effectExtent l="0" t="0" r="0" b="0"/>
            <wp:wrapSquare wrapText="bothSides"/>
            <wp:docPr id="1" name="image1.png" descr="CC-BY-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CC-BY-4 logo"/>
                    <pic:cNvPicPr>
                      <a:picLocks noChangeAspect="1" noChangeArrowheads="1"/>
                    </pic:cNvPicPr>
                  </pic:nvPicPr>
                  <pic:blipFill>
                    <a:blip r:embed="rId11"/>
                    <a:stretch>
                      <a:fillRect/>
                    </a:stretch>
                  </pic:blipFill>
                  <pic:spPr bwMode="auto">
                    <a:xfrm>
                      <a:off x="0" y="0"/>
                      <a:ext cx="1562100" cy="513715"/>
                    </a:xfrm>
                    <a:prstGeom prst="rect">
                      <a:avLst/>
                    </a:prstGeom>
                  </pic:spPr>
                </pic:pic>
              </a:graphicData>
            </a:graphic>
          </wp:anchor>
        </w:drawing>
      </w:r>
    </w:p>
    <w:p w14:paraId="6471884A" w14:textId="77777777" w:rsidR="0075180E" w:rsidRDefault="008F4B1A">
      <w:pPr>
        <w:pStyle w:val="normal1"/>
        <w:spacing w:after="120" w:line="240" w:lineRule="auto"/>
        <w:rPr>
          <w:lang w:val="en-AU"/>
        </w:rPr>
      </w:pPr>
      <w:r>
        <w:rPr>
          <w:b/>
          <w:bCs/>
          <w:sz w:val="18"/>
          <w:szCs w:val="18"/>
          <w:lang w:val="en-AU"/>
        </w:rPr>
        <w:t>Copyright</w:t>
      </w:r>
    </w:p>
    <w:p w14:paraId="60BDBCAE" w14:textId="77777777" w:rsidR="0075180E" w:rsidRDefault="008F4B1A">
      <w:pPr>
        <w:pStyle w:val="normal1"/>
        <w:spacing w:after="120" w:line="240" w:lineRule="auto"/>
        <w:rPr>
          <w:lang w:val="en-AU"/>
        </w:rPr>
      </w:pPr>
      <w:r>
        <w:rPr>
          <w:sz w:val="18"/>
          <w:szCs w:val="18"/>
          <w:lang w:val="en-AU"/>
        </w:rPr>
        <w:t xml:space="preserve">Once published, this work is licensed under a Creative Commons Attribution 4.0 International Licence. </w:t>
      </w:r>
    </w:p>
    <w:p w14:paraId="1299C43A" w14:textId="2C373C9F" w:rsidR="0075180E" w:rsidRDefault="5B502305" w:rsidP="5B502305">
      <w:pPr>
        <w:pStyle w:val="normal1"/>
        <w:spacing w:after="120" w:line="240" w:lineRule="auto"/>
        <w:rPr>
          <w:lang w:val="en-AU"/>
        </w:rPr>
      </w:pPr>
      <w:r w:rsidRPr="104EF8F5">
        <w:rPr>
          <w:sz w:val="18"/>
          <w:szCs w:val="18"/>
          <w:lang w:val="en-AU"/>
        </w:rPr>
        <w:t xml:space="preserve">This document has been produced for the Australian Government DCCEEW, who may reproduce this document as required in other formats. </w:t>
      </w:r>
    </w:p>
    <w:p w14:paraId="33828536" w14:textId="0063D287" w:rsidR="104EF8F5" w:rsidRDefault="104EF8F5" w:rsidP="104EF8F5">
      <w:pPr>
        <w:pStyle w:val="normal1"/>
        <w:spacing w:after="120" w:line="240" w:lineRule="auto"/>
        <w:rPr>
          <w:sz w:val="18"/>
          <w:szCs w:val="18"/>
          <w:lang w:val="en-AU"/>
        </w:rPr>
      </w:pPr>
    </w:p>
    <w:p w14:paraId="7A09EE63" w14:textId="2B5CC254" w:rsidR="104EF8F5" w:rsidRDefault="104EF8F5" w:rsidP="104EF8F5">
      <w:pPr>
        <w:pStyle w:val="normal1"/>
        <w:spacing w:after="120" w:line="240" w:lineRule="auto"/>
        <w:rPr>
          <w:sz w:val="18"/>
          <w:szCs w:val="18"/>
          <w:lang w:val="en-AU"/>
        </w:rPr>
      </w:pPr>
    </w:p>
    <w:p w14:paraId="0594D081" w14:textId="2F51D881" w:rsidR="104EF8F5" w:rsidRDefault="104EF8F5" w:rsidP="104EF8F5">
      <w:pPr>
        <w:pStyle w:val="normal1"/>
        <w:spacing w:after="120" w:line="240" w:lineRule="auto"/>
        <w:rPr>
          <w:sz w:val="18"/>
          <w:szCs w:val="18"/>
          <w:lang w:val="en-AU"/>
        </w:rPr>
      </w:pPr>
    </w:p>
    <w:p w14:paraId="3735CF94" w14:textId="77777777" w:rsidR="0075180E" w:rsidRDefault="008F4B1A">
      <w:pPr>
        <w:pStyle w:val="section"/>
      </w:pPr>
      <w:bookmarkStart w:id="1" w:name="_rpryte66a4rb"/>
      <w:bookmarkEnd w:id="1"/>
      <w:r>
        <w:lastRenderedPageBreak/>
        <w:t>Table of contents</w:t>
      </w:r>
    </w:p>
    <w:sdt>
      <w:sdtPr>
        <w:id w:val="1977821625"/>
        <w:docPartObj>
          <w:docPartGallery w:val="Table of Contents"/>
          <w:docPartUnique/>
        </w:docPartObj>
      </w:sdtPr>
      <w:sdtEndPr/>
      <w:sdtContent>
        <w:p w14:paraId="5BF20825" w14:textId="78644251" w:rsidR="0075180E" w:rsidRDefault="008F4B1A">
          <w:pPr>
            <w:pStyle w:val="TOC2"/>
            <w:tabs>
              <w:tab w:val="right" w:leader="dot" w:pos="9015"/>
            </w:tabs>
            <w:rPr>
              <w:rStyle w:val="Hyperlink"/>
            </w:rPr>
          </w:pPr>
          <w:r>
            <w:fldChar w:fldCharType="begin"/>
          </w:r>
          <w:r>
            <w:rPr>
              <w:rStyle w:val="IndexLink"/>
              <w:webHidden/>
            </w:rPr>
            <w:instrText xml:space="preserve"> TOC \z \o "1-2" \u \h</w:instrText>
          </w:r>
          <w:r>
            <w:rPr>
              <w:rStyle w:val="IndexLink"/>
            </w:rPr>
            <w:fldChar w:fldCharType="separate"/>
          </w:r>
          <w:hyperlink w:anchor="_Toc109597924">
            <w:r>
              <w:rPr>
                <w:webHidden/>
              </w:rPr>
              <w:fldChar w:fldCharType="begin"/>
            </w:r>
            <w:r>
              <w:rPr>
                <w:webHidden/>
              </w:rPr>
              <w:instrText>PAGEREF _Toc109597924 \h</w:instrText>
            </w:r>
            <w:r>
              <w:rPr>
                <w:webHidden/>
              </w:rPr>
            </w:r>
            <w:r>
              <w:rPr>
                <w:webHidden/>
              </w:rPr>
              <w:fldChar w:fldCharType="separate"/>
            </w:r>
            <w:r w:rsidR="00766EEB">
              <w:rPr>
                <w:noProof/>
                <w:webHidden/>
              </w:rPr>
              <w:t>4</w:t>
            </w:r>
            <w:r>
              <w:rPr>
                <w:webHidden/>
              </w:rPr>
              <w:fldChar w:fldCharType="end"/>
            </w:r>
          </w:hyperlink>
        </w:p>
        <w:p w14:paraId="080E3BA0" w14:textId="7958AAD1" w:rsidR="0075180E" w:rsidRDefault="008F4B1A">
          <w:pPr>
            <w:pStyle w:val="TOC2"/>
            <w:tabs>
              <w:tab w:val="right" w:leader="dot" w:pos="9015"/>
            </w:tabs>
          </w:pPr>
          <w:hyperlink w:anchor="_Toc1956339951">
            <w:r>
              <w:rPr>
                <w:webHidden/>
              </w:rPr>
              <w:fldChar w:fldCharType="begin"/>
            </w:r>
            <w:r>
              <w:rPr>
                <w:webHidden/>
              </w:rPr>
              <w:instrText>PAGEREF _Toc1956339951 \h</w:instrText>
            </w:r>
            <w:r>
              <w:rPr>
                <w:webHidden/>
              </w:rPr>
            </w:r>
            <w:r>
              <w:rPr>
                <w:webHidden/>
              </w:rPr>
              <w:fldChar w:fldCharType="separate"/>
            </w:r>
            <w:r w:rsidR="00766EEB">
              <w:rPr>
                <w:noProof/>
                <w:webHidden/>
              </w:rPr>
              <w:t>4</w:t>
            </w:r>
            <w:r>
              <w:rPr>
                <w:webHidden/>
              </w:rPr>
              <w:fldChar w:fldCharType="end"/>
            </w:r>
          </w:hyperlink>
        </w:p>
        <w:p w14:paraId="03C6EDD9" w14:textId="20A7E577" w:rsidR="0075180E" w:rsidRDefault="008F4B1A">
          <w:pPr>
            <w:pStyle w:val="TOC1"/>
            <w:tabs>
              <w:tab w:val="right" w:leader="dot" w:pos="9015"/>
            </w:tabs>
          </w:pPr>
          <w:hyperlink w:anchor="_Toc1921478475">
            <w:r>
              <w:rPr>
                <w:webHidden/>
              </w:rPr>
              <w:fldChar w:fldCharType="begin"/>
            </w:r>
            <w:r>
              <w:rPr>
                <w:webHidden/>
              </w:rPr>
              <w:instrText>PAGEREF _Toc1921478475 \h</w:instrText>
            </w:r>
            <w:r>
              <w:rPr>
                <w:webHidden/>
              </w:rPr>
            </w:r>
            <w:r>
              <w:rPr>
                <w:webHidden/>
              </w:rPr>
              <w:fldChar w:fldCharType="separate"/>
            </w:r>
            <w:r w:rsidR="00766EEB">
              <w:rPr>
                <w:noProof/>
                <w:webHidden/>
              </w:rPr>
              <w:t>7</w:t>
            </w:r>
            <w:r>
              <w:rPr>
                <w:webHidden/>
              </w:rPr>
              <w:fldChar w:fldCharType="end"/>
            </w:r>
          </w:hyperlink>
        </w:p>
        <w:p w14:paraId="2592D183" w14:textId="7141BBB0" w:rsidR="0075180E" w:rsidRDefault="008F4B1A">
          <w:pPr>
            <w:pStyle w:val="TOC2"/>
            <w:tabs>
              <w:tab w:val="right" w:leader="dot" w:pos="9015"/>
            </w:tabs>
          </w:pPr>
          <w:hyperlink w:anchor="_Toc1849890625">
            <w:r>
              <w:rPr>
                <w:webHidden/>
              </w:rPr>
              <w:fldChar w:fldCharType="begin"/>
            </w:r>
            <w:r>
              <w:rPr>
                <w:webHidden/>
              </w:rPr>
              <w:instrText>PAGEREF _Toc1849890625 \h</w:instrText>
            </w:r>
            <w:r>
              <w:rPr>
                <w:webHidden/>
              </w:rPr>
            </w:r>
            <w:r>
              <w:rPr>
                <w:webHidden/>
              </w:rPr>
              <w:fldChar w:fldCharType="separate"/>
            </w:r>
            <w:r w:rsidR="00766EEB">
              <w:rPr>
                <w:noProof/>
                <w:webHidden/>
              </w:rPr>
              <w:t>7</w:t>
            </w:r>
            <w:r>
              <w:rPr>
                <w:webHidden/>
              </w:rPr>
              <w:fldChar w:fldCharType="end"/>
            </w:r>
          </w:hyperlink>
        </w:p>
        <w:p w14:paraId="6EDE9D4E" w14:textId="49B544F7" w:rsidR="0075180E" w:rsidRDefault="008F4B1A">
          <w:pPr>
            <w:pStyle w:val="TOC2"/>
            <w:tabs>
              <w:tab w:val="right" w:leader="dot" w:pos="9015"/>
            </w:tabs>
          </w:pPr>
          <w:hyperlink w:anchor="_Toc1540344324">
            <w:r>
              <w:rPr>
                <w:webHidden/>
              </w:rPr>
              <w:fldChar w:fldCharType="begin"/>
            </w:r>
            <w:r>
              <w:rPr>
                <w:webHidden/>
              </w:rPr>
              <w:instrText>PAGEREF _Toc1540344324 \h</w:instrText>
            </w:r>
            <w:r>
              <w:rPr>
                <w:webHidden/>
              </w:rPr>
            </w:r>
            <w:r>
              <w:rPr>
                <w:webHidden/>
              </w:rPr>
              <w:fldChar w:fldCharType="separate"/>
            </w:r>
            <w:r w:rsidR="00766EEB">
              <w:rPr>
                <w:noProof/>
                <w:webHidden/>
              </w:rPr>
              <w:t>7</w:t>
            </w:r>
            <w:r>
              <w:rPr>
                <w:webHidden/>
              </w:rPr>
              <w:fldChar w:fldCharType="end"/>
            </w:r>
          </w:hyperlink>
        </w:p>
        <w:p w14:paraId="5AA635A9" w14:textId="51A895CF" w:rsidR="0075180E" w:rsidRDefault="008F4B1A">
          <w:pPr>
            <w:pStyle w:val="TOC2"/>
            <w:tabs>
              <w:tab w:val="right" w:leader="dot" w:pos="9015"/>
            </w:tabs>
          </w:pPr>
          <w:hyperlink w:anchor="_Toc719615522">
            <w:r>
              <w:rPr>
                <w:webHidden/>
              </w:rPr>
              <w:fldChar w:fldCharType="begin"/>
            </w:r>
            <w:r>
              <w:rPr>
                <w:webHidden/>
              </w:rPr>
              <w:instrText>PAGEREF _Toc719615522 \h</w:instrText>
            </w:r>
            <w:r>
              <w:rPr>
                <w:webHidden/>
              </w:rPr>
            </w:r>
            <w:r>
              <w:rPr>
                <w:webHidden/>
              </w:rPr>
              <w:fldChar w:fldCharType="separate"/>
            </w:r>
            <w:r w:rsidR="00766EEB">
              <w:rPr>
                <w:noProof/>
                <w:webHidden/>
              </w:rPr>
              <w:t>8</w:t>
            </w:r>
            <w:r>
              <w:rPr>
                <w:webHidden/>
              </w:rPr>
              <w:fldChar w:fldCharType="end"/>
            </w:r>
          </w:hyperlink>
        </w:p>
        <w:p w14:paraId="65360D2C" w14:textId="3B76514E" w:rsidR="0075180E" w:rsidRDefault="008F4B1A">
          <w:pPr>
            <w:pStyle w:val="TOC2"/>
            <w:tabs>
              <w:tab w:val="right" w:leader="dot" w:pos="9015"/>
            </w:tabs>
          </w:pPr>
          <w:hyperlink w:anchor="_Toc1637420117">
            <w:r>
              <w:rPr>
                <w:webHidden/>
              </w:rPr>
              <w:fldChar w:fldCharType="begin"/>
            </w:r>
            <w:r>
              <w:rPr>
                <w:webHidden/>
              </w:rPr>
              <w:instrText>PAGEREF _Toc1637420117 \h</w:instrText>
            </w:r>
            <w:r>
              <w:rPr>
                <w:webHidden/>
              </w:rPr>
            </w:r>
            <w:r>
              <w:rPr>
                <w:webHidden/>
              </w:rPr>
              <w:fldChar w:fldCharType="separate"/>
            </w:r>
            <w:r w:rsidR="00766EEB">
              <w:rPr>
                <w:noProof/>
                <w:webHidden/>
              </w:rPr>
              <w:t>8</w:t>
            </w:r>
            <w:r>
              <w:rPr>
                <w:webHidden/>
              </w:rPr>
              <w:fldChar w:fldCharType="end"/>
            </w:r>
          </w:hyperlink>
        </w:p>
        <w:p w14:paraId="1B6F14A5" w14:textId="101B0BCC" w:rsidR="0075180E" w:rsidRDefault="008F4B1A">
          <w:pPr>
            <w:pStyle w:val="TOC1"/>
            <w:tabs>
              <w:tab w:val="right" w:leader="dot" w:pos="9015"/>
            </w:tabs>
          </w:pPr>
          <w:hyperlink w:anchor="_Toc376085832">
            <w:r>
              <w:rPr>
                <w:webHidden/>
              </w:rPr>
              <w:fldChar w:fldCharType="begin"/>
            </w:r>
            <w:r>
              <w:rPr>
                <w:webHidden/>
              </w:rPr>
              <w:instrText>PAGEREF _Toc376085832 \h</w:instrText>
            </w:r>
            <w:r>
              <w:rPr>
                <w:webHidden/>
              </w:rPr>
            </w:r>
            <w:r>
              <w:rPr>
                <w:webHidden/>
              </w:rPr>
              <w:fldChar w:fldCharType="separate"/>
            </w:r>
            <w:r w:rsidR="00766EEB">
              <w:rPr>
                <w:noProof/>
                <w:webHidden/>
              </w:rPr>
              <w:t>9</w:t>
            </w:r>
            <w:r>
              <w:rPr>
                <w:webHidden/>
              </w:rPr>
              <w:fldChar w:fldCharType="end"/>
            </w:r>
          </w:hyperlink>
        </w:p>
        <w:p w14:paraId="2BE25ACC" w14:textId="3B175643" w:rsidR="0075180E" w:rsidRDefault="008F4B1A">
          <w:pPr>
            <w:pStyle w:val="TOC2"/>
            <w:tabs>
              <w:tab w:val="right" w:leader="dot" w:pos="9015"/>
            </w:tabs>
          </w:pPr>
          <w:hyperlink w:anchor="_Toc1117740962">
            <w:r>
              <w:rPr>
                <w:webHidden/>
              </w:rPr>
              <w:fldChar w:fldCharType="begin"/>
            </w:r>
            <w:r>
              <w:rPr>
                <w:webHidden/>
              </w:rPr>
              <w:instrText>PAGEREF _Toc1117740962 \h</w:instrText>
            </w:r>
            <w:r>
              <w:rPr>
                <w:webHidden/>
              </w:rPr>
            </w:r>
            <w:r>
              <w:rPr>
                <w:webHidden/>
              </w:rPr>
              <w:fldChar w:fldCharType="separate"/>
            </w:r>
            <w:r w:rsidR="00766EEB">
              <w:rPr>
                <w:noProof/>
                <w:webHidden/>
              </w:rPr>
              <w:t>9</w:t>
            </w:r>
            <w:r>
              <w:rPr>
                <w:webHidden/>
              </w:rPr>
              <w:fldChar w:fldCharType="end"/>
            </w:r>
          </w:hyperlink>
        </w:p>
        <w:p w14:paraId="44C2C278" w14:textId="232103F8" w:rsidR="0075180E" w:rsidRDefault="008F4B1A">
          <w:pPr>
            <w:pStyle w:val="TOC2"/>
            <w:tabs>
              <w:tab w:val="right" w:leader="dot" w:pos="9015"/>
            </w:tabs>
          </w:pPr>
          <w:hyperlink w:anchor="_Toc1316815399">
            <w:r>
              <w:rPr>
                <w:webHidden/>
              </w:rPr>
              <w:fldChar w:fldCharType="begin"/>
            </w:r>
            <w:r>
              <w:rPr>
                <w:webHidden/>
              </w:rPr>
              <w:instrText>PAGEREF _Toc1316815399 \h</w:instrText>
            </w:r>
            <w:r>
              <w:rPr>
                <w:webHidden/>
              </w:rPr>
            </w:r>
            <w:r>
              <w:rPr>
                <w:webHidden/>
              </w:rPr>
              <w:fldChar w:fldCharType="separate"/>
            </w:r>
            <w:r w:rsidR="00766EEB">
              <w:rPr>
                <w:noProof/>
                <w:webHidden/>
              </w:rPr>
              <w:t>10</w:t>
            </w:r>
            <w:r>
              <w:rPr>
                <w:webHidden/>
              </w:rPr>
              <w:fldChar w:fldCharType="end"/>
            </w:r>
          </w:hyperlink>
        </w:p>
        <w:p w14:paraId="24085BA3" w14:textId="1812E9F8" w:rsidR="0075180E" w:rsidRDefault="008F4B1A">
          <w:pPr>
            <w:pStyle w:val="TOC2"/>
            <w:tabs>
              <w:tab w:val="right" w:leader="dot" w:pos="9015"/>
            </w:tabs>
          </w:pPr>
          <w:hyperlink w:anchor="_Toc1248196721">
            <w:r>
              <w:rPr>
                <w:webHidden/>
              </w:rPr>
              <w:fldChar w:fldCharType="begin"/>
            </w:r>
            <w:r>
              <w:rPr>
                <w:webHidden/>
              </w:rPr>
              <w:instrText>PAGEREF _Toc1248196721 \h</w:instrText>
            </w:r>
            <w:r>
              <w:rPr>
                <w:webHidden/>
              </w:rPr>
            </w:r>
            <w:r>
              <w:rPr>
                <w:webHidden/>
              </w:rPr>
              <w:fldChar w:fldCharType="separate"/>
            </w:r>
            <w:r w:rsidR="00766EEB">
              <w:rPr>
                <w:noProof/>
                <w:webHidden/>
              </w:rPr>
              <w:t>10</w:t>
            </w:r>
            <w:r>
              <w:rPr>
                <w:webHidden/>
              </w:rPr>
              <w:fldChar w:fldCharType="end"/>
            </w:r>
          </w:hyperlink>
        </w:p>
        <w:p w14:paraId="53080D80" w14:textId="15E3789D" w:rsidR="0075180E" w:rsidRDefault="008F4B1A">
          <w:pPr>
            <w:pStyle w:val="TOC1"/>
            <w:tabs>
              <w:tab w:val="right" w:leader="dot" w:pos="9015"/>
            </w:tabs>
          </w:pPr>
          <w:hyperlink w:anchor="_Toc3108503">
            <w:r>
              <w:rPr>
                <w:webHidden/>
              </w:rPr>
              <w:fldChar w:fldCharType="begin"/>
            </w:r>
            <w:r>
              <w:rPr>
                <w:webHidden/>
              </w:rPr>
              <w:instrText>PAGEREF _Toc3108503 \h</w:instrText>
            </w:r>
            <w:r>
              <w:rPr>
                <w:webHidden/>
              </w:rPr>
            </w:r>
            <w:r>
              <w:rPr>
                <w:webHidden/>
              </w:rPr>
              <w:fldChar w:fldCharType="separate"/>
            </w:r>
            <w:r w:rsidR="00766EEB">
              <w:rPr>
                <w:noProof/>
                <w:webHidden/>
              </w:rPr>
              <w:t>13</w:t>
            </w:r>
            <w:r>
              <w:rPr>
                <w:webHidden/>
              </w:rPr>
              <w:fldChar w:fldCharType="end"/>
            </w:r>
          </w:hyperlink>
        </w:p>
        <w:p w14:paraId="44135F87" w14:textId="7E5905CB" w:rsidR="0075180E" w:rsidRDefault="008F4B1A">
          <w:pPr>
            <w:pStyle w:val="TOC2"/>
            <w:tabs>
              <w:tab w:val="right" w:leader="dot" w:pos="9015"/>
            </w:tabs>
          </w:pPr>
          <w:hyperlink w:anchor="_Toc1898384660">
            <w:r>
              <w:rPr>
                <w:webHidden/>
              </w:rPr>
              <w:fldChar w:fldCharType="begin"/>
            </w:r>
            <w:r>
              <w:rPr>
                <w:webHidden/>
              </w:rPr>
              <w:instrText>PAGEREF _Toc1898384660 \h</w:instrText>
            </w:r>
            <w:r>
              <w:rPr>
                <w:webHidden/>
              </w:rPr>
            </w:r>
            <w:r>
              <w:rPr>
                <w:webHidden/>
              </w:rPr>
              <w:fldChar w:fldCharType="separate"/>
            </w:r>
            <w:r w:rsidR="00766EEB">
              <w:rPr>
                <w:noProof/>
                <w:webHidden/>
              </w:rPr>
              <w:t>13</w:t>
            </w:r>
            <w:r>
              <w:rPr>
                <w:webHidden/>
              </w:rPr>
              <w:fldChar w:fldCharType="end"/>
            </w:r>
          </w:hyperlink>
        </w:p>
        <w:p w14:paraId="10A9AE58" w14:textId="13E202DB" w:rsidR="0075180E" w:rsidRDefault="008F4B1A">
          <w:pPr>
            <w:pStyle w:val="TOC2"/>
            <w:tabs>
              <w:tab w:val="right" w:leader="dot" w:pos="9015"/>
            </w:tabs>
          </w:pPr>
          <w:hyperlink w:anchor="_Toc1231732380">
            <w:r>
              <w:rPr>
                <w:webHidden/>
              </w:rPr>
              <w:fldChar w:fldCharType="begin"/>
            </w:r>
            <w:r>
              <w:rPr>
                <w:webHidden/>
              </w:rPr>
              <w:instrText>PAGEREF _Toc1231732380 \h</w:instrText>
            </w:r>
            <w:r>
              <w:rPr>
                <w:webHidden/>
              </w:rPr>
            </w:r>
            <w:r>
              <w:rPr>
                <w:webHidden/>
              </w:rPr>
              <w:fldChar w:fldCharType="separate"/>
            </w:r>
            <w:r w:rsidR="00766EEB">
              <w:rPr>
                <w:noProof/>
                <w:webHidden/>
              </w:rPr>
              <w:t>13</w:t>
            </w:r>
            <w:r>
              <w:rPr>
                <w:webHidden/>
              </w:rPr>
              <w:fldChar w:fldCharType="end"/>
            </w:r>
          </w:hyperlink>
        </w:p>
        <w:p w14:paraId="32E2CD6C" w14:textId="31883659" w:rsidR="0075180E" w:rsidRDefault="008F4B1A">
          <w:pPr>
            <w:pStyle w:val="TOC2"/>
            <w:tabs>
              <w:tab w:val="right" w:leader="dot" w:pos="9015"/>
            </w:tabs>
          </w:pPr>
          <w:hyperlink w:anchor="_Toc1710056854">
            <w:r>
              <w:rPr>
                <w:webHidden/>
              </w:rPr>
              <w:fldChar w:fldCharType="begin"/>
            </w:r>
            <w:r>
              <w:rPr>
                <w:webHidden/>
              </w:rPr>
              <w:instrText>PAGEREF _Toc1710056854 \h</w:instrText>
            </w:r>
            <w:r>
              <w:rPr>
                <w:webHidden/>
              </w:rPr>
            </w:r>
            <w:r>
              <w:rPr>
                <w:webHidden/>
              </w:rPr>
              <w:fldChar w:fldCharType="separate"/>
            </w:r>
            <w:r w:rsidR="00766EEB">
              <w:rPr>
                <w:noProof/>
                <w:webHidden/>
              </w:rPr>
              <w:t>15</w:t>
            </w:r>
            <w:r>
              <w:rPr>
                <w:webHidden/>
              </w:rPr>
              <w:fldChar w:fldCharType="end"/>
            </w:r>
          </w:hyperlink>
        </w:p>
        <w:p w14:paraId="066A8BA9" w14:textId="145C2199" w:rsidR="0075180E" w:rsidRDefault="008F4B1A">
          <w:pPr>
            <w:pStyle w:val="TOC1"/>
            <w:tabs>
              <w:tab w:val="right" w:leader="dot" w:pos="9015"/>
            </w:tabs>
          </w:pPr>
          <w:hyperlink w:anchor="_Toc785396725">
            <w:r>
              <w:rPr>
                <w:webHidden/>
              </w:rPr>
              <w:fldChar w:fldCharType="begin"/>
            </w:r>
            <w:r>
              <w:rPr>
                <w:webHidden/>
              </w:rPr>
              <w:instrText>PAGEREF _Toc785396725 \h</w:instrText>
            </w:r>
            <w:r>
              <w:rPr>
                <w:webHidden/>
              </w:rPr>
            </w:r>
            <w:r>
              <w:rPr>
                <w:webHidden/>
              </w:rPr>
              <w:fldChar w:fldCharType="separate"/>
            </w:r>
            <w:r w:rsidR="00766EEB">
              <w:rPr>
                <w:noProof/>
                <w:webHidden/>
              </w:rPr>
              <w:t>18</w:t>
            </w:r>
            <w:r>
              <w:rPr>
                <w:webHidden/>
              </w:rPr>
              <w:fldChar w:fldCharType="end"/>
            </w:r>
          </w:hyperlink>
        </w:p>
        <w:p w14:paraId="06F0F178" w14:textId="640BEF6B" w:rsidR="0075180E" w:rsidRDefault="008F4B1A">
          <w:pPr>
            <w:pStyle w:val="TOC2"/>
            <w:tabs>
              <w:tab w:val="right" w:leader="dot" w:pos="9015"/>
            </w:tabs>
          </w:pPr>
          <w:hyperlink w:anchor="_Toc1145409418">
            <w:r>
              <w:rPr>
                <w:webHidden/>
              </w:rPr>
              <w:fldChar w:fldCharType="begin"/>
            </w:r>
            <w:r>
              <w:rPr>
                <w:webHidden/>
              </w:rPr>
              <w:instrText>PAGEREF _Toc1145409418 \h</w:instrText>
            </w:r>
            <w:r>
              <w:rPr>
                <w:webHidden/>
              </w:rPr>
            </w:r>
            <w:r>
              <w:rPr>
                <w:webHidden/>
              </w:rPr>
              <w:fldChar w:fldCharType="separate"/>
            </w:r>
            <w:r w:rsidR="00766EEB">
              <w:rPr>
                <w:noProof/>
                <w:webHidden/>
              </w:rPr>
              <w:t>18</w:t>
            </w:r>
            <w:r>
              <w:rPr>
                <w:webHidden/>
              </w:rPr>
              <w:fldChar w:fldCharType="end"/>
            </w:r>
          </w:hyperlink>
        </w:p>
        <w:p w14:paraId="7B3E8D38" w14:textId="6C123824" w:rsidR="0075180E" w:rsidRDefault="008F4B1A">
          <w:pPr>
            <w:pStyle w:val="TOC2"/>
            <w:tabs>
              <w:tab w:val="right" w:leader="dot" w:pos="9015"/>
            </w:tabs>
          </w:pPr>
          <w:hyperlink w:anchor="_Toc1582941859">
            <w:r>
              <w:rPr>
                <w:webHidden/>
              </w:rPr>
              <w:fldChar w:fldCharType="begin"/>
            </w:r>
            <w:r>
              <w:rPr>
                <w:webHidden/>
              </w:rPr>
              <w:instrText>PAGEREF _Toc1582941859 \h</w:instrText>
            </w:r>
            <w:r>
              <w:rPr>
                <w:webHidden/>
              </w:rPr>
            </w:r>
            <w:r>
              <w:rPr>
                <w:webHidden/>
              </w:rPr>
              <w:fldChar w:fldCharType="separate"/>
            </w:r>
            <w:r w:rsidR="00766EEB">
              <w:rPr>
                <w:noProof/>
                <w:webHidden/>
              </w:rPr>
              <w:t>18</w:t>
            </w:r>
            <w:r>
              <w:rPr>
                <w:webHidden/>
              </w:rPr>
              <w:fldChar w:fldCharType="end"/>
            </w:r>
          </w:hyperlink>
        </w:p>
        <w:p w14:paraId="0D91A688" w14:textId="3E428952" w:rsidR="0075180E" w:rsidRDefault="008F4B1A">
          <w:pPr>
            <w:pStyle w:val="TOC2"/>
            <w:tabs>
              <w:tab w:val="right" w:leader="dot" w:pos="9015"/>
            </w:tabs>
          </w:pPr>
          <w:hyperlink w:anchor="_Toc835021997">
            <w:r>
              <w:rPr>
                <w:webHidden/>
              </w:rPr>
              <w:fldChar w:fldCharType="begin"/>
            </w:r>
            <w:r>
              <w:rPr>
                <w:webHidden/>
              </w:rPr>
              <w:instrText>PAGEREF _Toc835021997 \h</w:instrText>
            </w:r>
            <w:r>
              <w:rPr>
                <w:webHidden/>
              </w:rPr>
            </w:r>
            <w:r>
              <w:rPr>
                <w:webHidden/>
              </w:rPr>
              <w:fldChar w:fldCharType="separate"/>
            </w:r>
            <w:r w:rsidR="00766EEB">
              <w:rPr>
                <w:noProof/>
                <w:webHidden/>
              </w:rPr>
              <w:t>18</w:t>
            </w:r>
            <w:r>
              <w:rPr>
                <w:webHidden/>
              </w:rPr>
              <w:fldChar w:fldCharType="end"/>
            </w:r>
          </w:hyperlink>
        </w:p>
        <w:p w14:paraId="76FC08BE" w14:textId="6431F8CF" w:rsidR="0075180E" w:rsidRDefault="008F4B1A">
          <w:pPr>
            <w:pStyle w:val="TOC1"/>
            <w:tabs>
              <w:tab w:val="right" w:leader="dot" w:pos="9015"/>
            </w:tabs>
          </w:pPr>
          <w:hyperlink w:anchor="_Toc1935848865">
            <w:r>
              <w:rPr>
                <w:webHidden/>
              </w:rPr>
              <w:fldChar w:fldCharType="begin"/>
            </w:r>
            <w:r>
              <w:rPr>
                <w:webHidden/>
              </w:rPr>
              <w:instrText>PAGEREF _Toc1935848865 \h</w:instrText>
            </w:r>
            <w:r>
              <w:rPr>
                <w:webHidden/>
              </w:rPr>
            </w:r>
            <w:r>
              <w:rPr>
                <w:webHidden/>
              </w:rPr>
              <w:fldChar w:fldCharType="separate"/>
            </w:r>
            <w:r w:rsidR="00766EEB">
              <w:rPr>
                <w:noProof/>
                <w:webHidden/>
              </w:rPr>
              <w:t>22</w:t>
            </w:r>
            <w:r>
              <w:rPr>
                <w:webHidden/>
              </w:rPr>
              <w:fldChar w:fldCharType="end"/>
            </w:r>
          </w:hyperlink>
        </w:p>
        <w:p w14:paraId="34C49BB0" w14:textId="16FE4EB1" w:rsidR="0075180E" w:rsidRDefault="008F4B1A">
          <w:pPr>
            <w:pStyle w:val="TOC2"/>
            <w:tabs>
              <w:tab w:val="right" w:leader="dot" w:pos="9015"/>
            </w:tabs>
          </w:pPr>
          <w:hyperlink w:anchor="_Toc1361110674">
            <w:r>
              <w:rPr>
                <w:webHidden/>
              </w:rPr>
              <w:fldChar w:fldCharType="begin"/>
            </w:r>
            <w:r>
              <w:rPr>
                <w:webHidden/>
              </w:rPr>
              <w:instrText>PAGEREF _Toc1361110674 \h</w:instrText>
            </w:r>
            <w:r>
              <w:rPr>
                <w:webHidden/>
              </w:rPr>
            </w:r>
            <w:r>
              <w:rPr>
                <w:webHidden/>
              </w:rPr>
              <w:fldChar w:fldCharType="separate"/>
            </w:r>
            <w:r w:rsidR="00766EEB">
              <w:rPr>
                <w:noProof/>
                <w:webHidden/>
              </w:rPr>
              <w:t>22</w:t>
            </w:r>
            <w:r>
              <w:rPr>
                <w:webHidden/>
              </w:rPr>
              <w:fldChar w:fldCharType="end"/>
            </w:r>
          </w:hyperlink>
        </w:p>
        <w:p w14:paraId="0B63BBCD" w14:textId="4C607D19" w:rsidR="0075180E" w:rsidRDefault="008F4B1A">
          <w:pPr>
            <w:pStyle w:val="TOC2"/>
            <w:tabs>
              <w:tab w:val="right" w:leader="dot" w:pos="9015"/>
            </w:tabs>
          </w:pPr>
          <w:hyperlink w:anchor="_Toc1060871483">
            <w:r>
              <w:rPr>
                <w:webHidden/>
              </w:rPr>
              <w:fldChar w:fldCharType="begin"/>
            </w:r>
            <w:r>
              <w:rPr>
                <w:webHidden/>
              </w:rPr>
              <w:instrText>PAGEREF _Toc1060871483 \h</w:instrText>
            </w:r>
            <w:r>
              <w:rPr>
                <w:webHidden/>
              </w:rPr>
            </w:r>
            <w:r>
              <w:rPr>
                <w:webHidden/>
              </w:rPr>
              <w:fldChar w:fldCharType="separate"/>
            </w:r>
            <w:r w:rsidR="00766EEB">
              <w:rPr>
                <w:noProof/>
                <w:webHidden/>
              </w:rPr>
              <w:t>22</w:t>
            </w:r>
            <w:r>
              <w:rPr>
                <w:webHidden/>
              </w:rPr>
              <w:fldChar w:fldCharType="end"/>
            </w:r>
          </w:hyperlink>
        </w:p>
        <w:p w14:paraId="59823B7B" w14:textId="60B82B0A" w:rsidR="0075180E" w:rsidRDefault="008F4B1A">
          <w:pPr>
            <w:pStyle w:val="TOC2"/>
            <w:tabs>
              <w:tab w:val="right" w:leader="dot" w:pos="9015"/>
            </w:tabs>
          </w:pPr>
          <w:hyperlink w:anchor="_Toc256352788">
            <w:r>
              <w:rPr>
                <w:webHidden/>
              </w:rPr>
              <w:fldChar w:fldCharType="begin"/>
            </w:r>
            <w:r>
              <w:rPr>
                <w:webHidden/>
              </w:rPr>
              <w:instrText>PAGEREF _Toc256352788 \h</w:instrText>
            </w:r>
            <w:r>
              <w:rPr>
                <w:webHidden/>
              </w:rPr>
            </w:r>
            <w:r>
              <w:rPr>
                <w:webHidden/>
              </w:rPr>
              <w:fldChar w:fldCharType="separate"/>
            </w:r>
            <w:r w:rsidR="00766EEB">
              <w:rPr>
                <w:noProof/>
                <w:webHidden/>
              </w:rPr>
              <w:t>24</w:t>
            </w:r>
            <w:r>
              <w:rPr>
                <w:webHidden/>
              </w:rPr>
              <w:fldChar w:fldCharType="end"/>
            </w:r>
          </w:hyperlink>
        </w:p>
        <w:p w14:paraId="40B23195" w14:textId="0F767987" w:rsidR="0075180E" w:rsidRDefault="008F4B1A">
          <w:pPr>
            <w:pStyle w:val="TOC1"/>
            <w:tabs>
              <w:tab w:val="right" w:leader="dot" w:pos="9015"/>
            </w:tabs>
          </w:pPr>
          <w:hyperlink w:anchor="_Toc1207479404">
            <w:r>
              <w:rPr>
                <w:webHidden/>
              </w:rPr>
              <w:fldChar w:fldCharType="begin"/>
            </w:r>
            <w:r>
              <w:rPr>
                <w:webHidden/>
              </w:rPr>
              <w:instrText>PAGEREF _Toc1207479404 \h</w:instrText>
            </w:r>
            <w:r>
              <w:rPr>
                <w:webHidden/>
              </w:rPr>
            </w:r>
            <w:r>
              <w:rPr>
                <w:webHidden/>
              </w:rPr>
              <w:fldChar w:fldCharType="separate"/>
            </w:r>
            <w:r w:rsidR="00766EEB">
              <w:rPr>
                <w:noProof/>
                <w:webHidden/>
              </w:rPr>
              <w:t>25</w:t>
            </w:r>
            <w:r>
              <w:rPr>
                <w:webHidden/>
              </w:rPr>
              <w:fldChar w:fldCharType="end"/>
            </w:r>
          </w:hyperlink>
        </w:p>
        <w:p w14:paraId="02492CC1" w14:textId="3B7A7A5A" w:rsidR="0075180E" w:rsidRDefault="008F4B1A">
          <w:pPr>
            <w:pStyle w:val="TOC2"/>
            <w:tabs>
              <w:tab w:val="right" w:leader="dot" w:pos="9015"/>
            </w:tabs>
          </w:pPr>
          <w:hyperlink w:anchor="_Toc1004410637">
            <w:r>
              <w:rPr>
                <w:webHidden/>
              </w:rPr>
              <w:fldChar w:fldCharType="begin"/>
            </w:r>
            <w:r>
              <w:rPr>
                <w:webHidden/>
              </w:rPr>
              <w:instrText>PAGEREF _Toc1004410637 \h</w:instrText>
            </w:r>
            <w:r>
              <w:rPr>
                <w:webHidden/>
              </w:rPr>
            </w:r>
            <w:r>
              <w:rPr>
                <w:webHidden/>
              </w:rPr>
              <w:fldChar w:fldCharType="separate"/>
            </w:r>
            <w:r w:rsidR="00766EEB">
              <w:rPr>
                <w:noProof/>
                <w:webHidden/>
              </w:rPr>
              <w:t>25</w:t>
            </w:r>
            <w:r>
              <w:rPr>
                <w:webHidden/>
              </w:rPr>
              <w:fldChar w:fldCharType="end"/>
            </w:r>
          </w:hyperlink>
        </w:p>
        <w:p w14:paraId="65E4A8BD" w14:textId="00706FEE" w:rsidR="0075180E" w:rsidRDefault="008F4B1A">
          <w:pPr>
            <w:pStyle w:val="TOC2"/>
            <w:tabs>
              <w:tab w:val="right" w:leader="dot" w:pos="9015"/>
            </w:tabs>
          </w:pPr>
          <w:hyperlink w:anchor="_Toc553130840">
            <w:r>
              <w:rPr>
                <w:webHidden/>
              </w:rPr>
              <w:fldChar w:fldCharType="begin"/>
            </w:r>
            <w:r>
              <w:rPr>
                <w:webHidden/>
              </w:rPr>
              <w:instrText>PAGEREF _Toc553130840 \h</w:instrText>
            </w:r>
            <w:r>
              <w:rPr>
                <w:webHidden/>
              </w:rPr>
            </w:r>
            <w:r>
              <w:rPr>
                <w:webHidden/>
              </w:rPr>
              <w:fldChar w:fldCharType="separate"/>
            </w:r>
            <w:r w:rsidR="00766EEB">
              <w:rPr>
                <w:noProof/>
                <w:webHidden/>
              </w:rPr>
              <w:t>25</w:t>
            </w:r>
            <w:r>
              <w:rPr>
                <w:webHidden/>
              </w:rPr>
              <w:fldChar w:fldCharType="end"/>
            </w:r>
          </w:hyperlink>
        </w:p>
        <w:p w14:paraId="46B8EC5D" w14:textId="54E77791" w:rsidR="0075180E" w:rsidRDefault="008F4B1A">
          <w:pPr>
            <w:pStyle w:val="TOC2"/>
            <w:tabs>
              <w:tab w:val="right" w:leader="dot" w:pos="9015"/>
            </w:tabs>
          </w:pPr>
          <w:hyperlink w:anchor="_Toc1998429353">
            <w:r>
              <w:rPr>
                <w:webHidden/>
              </w:rPr>
              <w:fldChar w:fldCharType="begin"/>
            </w:r>
            <w:r>
              <w:rPr>
                <w:webHidden/>
              </w:rPr>
              <w:instrText>PAGEREF _Toc1998429353 \h</w:instrText>
            </w:r>
            <w:r>
              <w:rPr>
                <w:webHidden/>
              </w:rPr>
            </w:r>
            <w:r>
              <w:rPr>
                <w:webHidden/>
              </w:rPr>
              <w:fldChar w:fldCharType="separate"/>
            </w:r>
            <w:r w:rsidR="00766EEB">
              <w:rPr>
                <w:noProof/>
                <w:webHidden/>
              </w:rPr>
              <w:t>26</w:t>
            </w:r>
            <w:r>
              <w:rPr>
                <w:webHidden/>
              </w:rPr>
              <w:fldChar w:fldCharType="end"/>
            </w:r>
          </w:hyperlink>
        </w:p>
        <w:p w14:paraId="6173BDE0" w14:textId="6F7BFE66" w:rsidR="0075180E" w:rsidRDefault="008F4B1A">
          <w:pPr>
            <w:pStyle w:val="TOC2"/>
            <w:tabs>
              <w:tab w:val="right" w:leader="dot" w:pos="9015"/>
            </w:tabs>
          </w:pPr>
          <w:hyperlink w:anchor="_Toc593727773">
            <w:r>
              <w:rPr>
                <w:webHidden/>
              </w:rPr>
              <w:fldChar w:fldCharType="begin"/>
            </w:r>
            <w:r>
              <w:rPr>
                <w:webHidden/>
              </w:rPr>
              <w:instrText>PAGEREF _Toc593727773 \h</w:instrText>
            </w:r>
            <w:r>
              <w:rPr>
                <w:webHidden/>
              </w:rPr>
            </w:r>
            <w:r>
              <w:rPr>
                <w:webHidden/>
              </w:rPr>
              <w:fldChar w:fldCharType="separate"/>
            </w:r>
            <w:r w:rsidR="00766EEB">
              <w:rPr>
                <w:noProof/>
                <w:webHidden/>
              </w:rPr>
              <w:t>26</w:t>
            </w:r>
            <w:r>
              <w:rPr>
                <w:webHidden/>
              </w:rPr>
              <w:fldChar w:fldCharType="end"/>
            </w:r>
          </w:hyperlink>
        </w:p>
        <w:p w14:paraId="488B2881" w14:textId="3750DF8F" w:rsidR="0075180E" w:rsidRDefault="008F4B1A">
          <w:pPr>
            <w:pStyle w:val="TOC2"/>
            <w:tabs>
              <w:tab w:val="right" w:leader="dot" w:pos="9015"/>
            </w:tabs>
          </w:pPr>
          <w:hyperlink w:anchor="_Toc2078933863">
            <w:r>
              <w:rPr>
                <w:webHidden/>
              </w:rPr>
              <w:fldChar w:fldCharType="begin"/>
            </w:r>
            <w:r>
              <w:rPr>
                <w:webHidden/>
              </w:rPr>
              <w:instrText>PAGEREF _Toc2078933863 \h</w:instrText>
            </w:r>
            <w:r>
              <w:rPr>
                <w:webHidden/>
              </w:rPr>
            </w:r>
            <w:r>
              <w:rPr>
                <w:webHidden/>
              </w:rPr>
              <w:fldChar w:fldCharType="separate"/>
            </w:r>
            <w:r w:rsidR="00766EEB">
              <w:rPr>
                <w:noProof/>
                <w:webHidden/>
              </w:rPr>
              <w:t>27</w:t>
            </w:r>
            <w:r>
              <w:rPr>
                <w:webHidden/>
              </w:rPr>
              <w:fldChar w:fldCharType="end"/>
            </w:r>
          </w:hyperlink>
        </w:p>
        <w:p w14:paraId="4B08C735" w14:textId="0FAA42D0" w:rsidR="0075180E" w:rsidRDefault="008F4B1A">
          <w:pPr>
            <w:pStyle w:val="TOC2"/>
            <w:tabs>
              <w:tab w:val="right" w:leader="dot" w:pos="9015"/>
            </w:tabs>
          </w:pPr>
          <w:hyperlink w:anchor="_Toc1700728004">
            <w:r>
              <w:rPr>
                <w:webHidden/>
              </w:rPr>
              <w:fldChar w:fldCharType="begin"/>
            </w:r>
            <w:r>
              <w:rPr>
                <w:webHidden/>
              </w:rPr>
              <w:instrText>PAGEREF _Toc1700728004 \h</w:instrText>
            </w:r>
            <w:r>
              <w:rPr>
                <w:webHidden/>
              </w:rPr>
            </w:r>
            <w:r>
              <w:rPr>
                <w:webHidden/>
              </w:rPr>
              <w:fldChar w:fldCharType="separate"/>
            </w:r>
            <w:r w:rsidR="00766EEB">
              <w:rPr>
                <w:noProof/>
                <w:webHidden/>
              </w:rPr>
              <w:t>28</w:t>
            </w:r>
            <w:r>
              <w:rPr>
                <w:webHidden/>
              </w:rPr>
              <w:fldChar w:fldCharType="end"/>
            </w:r>
          </w:hyperlink>
        </w:p>
        <w:p w14:paraId="528DEDF5" w14:textId="3C631094" w:rsidR="0075180E" w:rsidRDefault="008F4B1A">
          <w:pPr>
            <w:pStyle w:val="TOC1"/>
            <w:tabs>
              <w:tab w:val="right" w:leader="dot" w:pos="9015"/>
            </w:tabs>
          </w:pPr>
          <w:hyperlink w:anchor="_Toc115302714">
            <w:r>
              <w:rPr>
                <w:webHidden/>
              </w:rPr>
              <w:fldChar w:fldCharType="begin"/>
            </w:r>
            <w:r>
              <w:rPr>
                <w:webHidden/>
              </w:rPr>
              <w:instrText>PAGEREF _Toc115302714 \h</w:instrText>
            </w:r>
            <w:r>
              <w:rPr>
                <w:webHidden/>
              </w:rPr>
            </w:r>
            <w:r>
              <w:rPr>
                <w:webHidden/>
              </w:rPr>
              <w:fldChar w:fldCharType="separate"/>
            </w:r>
            <w:r w:rsidR="00766EEB">
              <w:rPr>
                <w:noProof/>
                <w:webHidden/>
              </w:rPr>
              <w:t>34</w:t>
            </w:r>
            <w:r>
              <w:rPr>
                <w:webHidden/>
              </w:rPr>
              <w:fldChar w:fldCharType="end"/>
            </w:r>
          </w:hyperlink>
        </w:p>
        <w:p w14:paraId="75BA6AB5" w14:textId="2628EADD" w:rsidR="0075180E" w:rsidRDefault="008F4B1A">
          <w:pPr>
            <w:pStyle w:val="TOC1"/>
            <w:tabs>
              <w:tab w:val="right" w:leader="dot" w:pos="9015"/>
            </w:tabs>
          </w:pPr>
          <w:hyperlink w:anchor="_Toc362050658">
            <w:r>
              <w:rPr>
                <w:webHidden/>
              </w:rPr>
              <w:fldChar w:fldCharType="begin"/>
            </w:r>
            <w:r>
              <w:rPr>
                <w:webHidden/>
              </w:rPr>
              <w:instrText>PAGEREF _Toc362050658 \h</w:instrText>
            </w:r>
            <w:r>
              <w:rPr>
                <w:webHidden/>
              </w:rPr>
            </w:r>
            <w:r>
              <w:rPr>
                <w:webHidden/>
              </w:rPr>
              <w:fldChar w:fldCharType="separate"/>
            </w:r>
            <w:r w:rsidR="00766EEB">
              <w:rPr>
                <w:noProof/>
                <w:webHidden/>
              </w:rPr>
              <w:t>37</w:t>
            </w:r>
            <w:r>
              <w:rPr>
                <w:webHidden/>
              </w:rPr>
              <w:fldChar w:fldCharType="end"/>
            </w:r>
          </w:hyperlink>
          <w:r>
            <w:rPr>
              <w:rStyle w:val="IndexLink"/>
            </w:rPr>
            <w:fldChar w:fldCharType="end"/>
          </w:r>
        </w:p>
      </w:sdtContent>
    </w:sdt>
    <w:p w14:paraId="4DDBEF00" w14:textId="77777777" w:rsidR="0075180E" w:rsidRDefault="0075180E">
      <w:pPr>
        <w:pStyle w:val="normal1"/>
        <w:rPr>
          <w:lang w:val="en-AU"/>
        </w:rPr>
      </w:pPr>
    </w:p>
    <w:p w14:paraId="1DAC6A7B" w14:textId="2A21D75C" w:rsidR="0075180E" w:rsidRDefault="5291D45D">
      <w:pPr>
        <w:pStyle w:val="Heading2"/>
        <w:rPr>
          <w:rFonts w:ascii="Raleway SemiBold" w:eastAsia="Raleway SemiBold" w:hAnsi="Raleway SemiBold" w:cs="Raleway SemiBold"/>
          <w:b w:val="0"/>
          <w:bCs w:val="0"/>
        </w:rPr>
      </w:pPr>
      <w:bookmarkStart w:id="2" w:name="_l2a5hm6fy1bz"/>
      <w:bookmarkStart w:id="3" w:name="_Toc109597924"/>
      <w:bookmarkEnd w:id="2"/>
      <w:r w:rsidRPr="5291D45D">
        <w:rPr>
          <w:rFonts w:ascii="Raleway SemiBold" w:eastAsia="Raleway SemiBold" w:hAnsi="Raleway SemiBold" w:cs="Raleway SemiBold"/>
          <w:b w:val="0"/>
          <w:bCs w:val="0"/>
          <w:lang w:val="en-AU"/>
        </w:rPr>
        <w:t>Acronyms</w:t>
      </w:r>
      <w:bookmarkEnd w:id="3"/>
    </w:p>
    <w:tbl>
      <w:tblPr>
        <w:tblW w:w="8925" w:type="dxa"/>
        <w:tblLayout w:type="fixed"/>
        <w:tblLook w:val="0600" w:firstRow="0" w:lastRow="0" w:firstColumn="0" w:lastColumn="0" w:noHBand="1" w:noVBand="1"/>
      </w:tblPr>
      <w:tblGrid>
        <w:gridCol w:w="1890"/>
        <w:gridCol w:w="7035"/>
      </w:tblGrid>
      <w:tr w:rsidR="0075180E" w14:paraId="408162CA" w14:textId="77777777" w:rsidTr="5291D45D">
        <w:trPr>
          <w:trHeight w:val="540"/>
        </w:trPr>
        <w:tc>
          <w:tcPr>
            <w:tcW w:w="1890" w:type="dxa"/>
            <w:tcBorders>
              <w:left w:val="single" w:sz="4" w:space="0" w:color="D9D9D9" w:themeColor="background1" w:themeShade="D9"/>
              <w:right w:val="single" w:sz="4" w:space="0" w:color="D9D9D9" w:themeColor="background1" w:themeShade="D9"/>
            </w:tcBorders>
          </w:tcPr>
          <w:p w14:paraId="334D69AC"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ACRF</w:t>
            </w:r>
          </w:p>
        </w:tc>
        <w:tc>
          <w:tcPr>
            <w:tcW w:w="7034" w:type="dxa"/>
            <w:tcBorders>
              <w:left w:val="single" w:sz="4" w:space="0" w:color="D9D9D9" w:themeColor="background1" w:themeShade="D9"/>
              <w:right w:val="single" w:sz="4" w:space="0" w:color="D9D9D9" w:themeColor="background1" w:themeShade="D9"/>
            </w:tcBorders>
          </w:tcPr>
          <w:p w14:paraId="060B5B59" w14:textId="77777777" w:rsidR="0075180E" w:rsidRDefault="5291D45D" w:rsidP="5291D45D">
            <w:pPr>
              <w:pStyle w:val="normal1"/>
              <w:widowControl w:val="0"/>
              <w:spacing w:line="240" w:lineRule="auto"/>
              <w:rPr>
                <w:sz w:val="18"/>
                <w:szCs w:val="18"/>
                <w:lang w:val="en-AU"/>
              </w:rPr>
            </w:pPr>
            <w:r w:rsidRPr="5291D45D">
              <w:rPr>
                <w:sz w:val="18"/>
                <w:szCs w:val="18"/>
                <w:lang w:val="en-AU"/>
              </w:rPr>
              <w:t>Australian Collision Risk Framework for onshore and offshore wind farms</w:t>
            </w:r>
          </w:p>
        </w:tc>
      </w:tr>
      <w:tr w:rsidR="0075180E" w14:paraId="69E9EFEE" w14:textId="77777777" w:rsidTr="5291D45D">
        <w:trPr>
          <w:trHeight w:val="540"/>
        </w:trPr>
        <w:tc>
          <w:tcPr>
            <w:tcW w:w="1890" w:type="dxa"/>
            <w:tcBorders>
              <w:left w:val="single" w:sz="4" w:space="0" w:color="D9D9D9" w:themeColor="background1" w:themeShade="D9"/>
              <w:right w:val="single" w:sz="4" w:space="0" w:color="D9D9D9" w:themeColor="background1" w:themeShade="D9"/>
            </w:tcBorders>
          </w:tcPr>
          <w:p w14:paraId="5203227E"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BBMP</w:t>
            </w:r>
          </w:p>
        </w:tc>
        <w:tc>
          <w:tcPr>
            <w:tcW w:w="7034" w:type="dxa"/>
            <w:tcBorders>
              <w:left w:val="single" w:sz="4" w:space="0" w:color="D9D9D9" w:themeColor="background1" w:themeShade="D9"/>
              <w:right w:val="single" w:sz="4" w:space="0" w:color="D9D9D9" w:themeColor="background1" w:themeShade="D9"/>
            </w:tcBorders>
          </w:tcPr>
          <w:p w14:paraId="52D2261A" w14:textId="77777777" w:rsidR="0075180E" w:rsidRDefault="5291D45D" w:rsidP="5291D45D">
            <w:pPr>
              <w:pStyle w:val="normal1"/>
              <w:widowControl w:val="0"/>
              <w:spacing w:line="240" w:lineRule="auto"/>
              <w:rPr>
                <w:sz w:val="18"/>
                <w:szCs w:val="18"/>
                <w:lang w:val="en-AU"/>
              </w:rPr>
            </w:pPr>
            <w:r w:rsidRPr="5291D45D">
              <w:rPr>
                <w:sz w:val="18"/>
                <w:szCs w:val="18"/>
                <w:lang w:val="en-AU"/>
              </w:rPr>
              <w:t>Bird and Bat Management Plan</w:t>
            </w:r>
          </w:p>
        </w:tc>
      </w:tr>
      <w:tr w:rsidR="0075180E" w14:paraId="77E94CE3" w14:textId="77777777" w:rsidTr="5291D45D">
        <w:trPr>
          <w:trHeight w:val="540"/>
        </w:trPr>
        <w:tc>
          <w:tcPr>
            <w:tcW w:w="1890" w:type="dxa"/>
            <w:tcBorders>
              <w:left w:val="single" w:sz="4" w:space="0" w:color="D9D9D9" w:themeColor="background1" w:themeShade="D9"/>
              <w:right w:val="single" w:sz="4" w:space="0" w:color="D9D9D9" w:themeColor="background1" w:themeShade="D9"/>
            </w:tcBorders>
          </w:tcPr>
          <w:p w14:paraId="6269501F"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CLS</w:t>
            </w:r>
          </w:p>
        </w:tc>
        <w:tc>
          <w:tcPr>
            <w:tcW w:w="7034" w:type="dxa"/>
            <w:tcBorders>
              <w:left w:val="single" w:sz="4" w:space="0" w:color="D9D9D9" w:themeColor="background1" w:themeShade="D9"/>
              <w:right w:val="single" w:sz="4" w:space="0" w:color="D9D9D9" w:themeColor="background1" w:themeShade="D9"/>
            </w:tcBorders>
          </w:tcPr>
          <w:p w14:paraId="7E5BE67A" w14:textId="77777777" w:rsidR="0075180E" w:rsidRDefault="5291D45D" w:rsidP="5291D45D">
            <w:pPr>
              <w:pStyle w:val="normal1"/>
              <w:widowControl w:val="0"/>
              <w:spacing w:line="240" w:lineRule="auto"/>
              <w:rPr>
                <w:sz w:val="18"/>
                <w:szCs w:val="18"/>
                <w:lang w:val="en-AU"/>
              </w:rPr>
            </w:pPr>
            <w:r w:rsidRPr="5291D45D">
              <w:rPr>
                <w:sz w:val="18"/>
                <w:szCs w:val="18"/>
                <w:lang w:val="en-AU"/>
              </w:rPr>
              <w:t>Collision Likelihood Score</w:t>
            </w:r>
          </w:p>
        </w:tc>
      </w:tr>
      <w:tr w:rsidR="0075180E" w14:paraId="749822D0" w14:textId="77777777" w:rsidTr="5291D45D">
        <w:tc>
          <w:tcPr>
            <w:tcW w:w="1890" w:type="dxa"/>
            <w:tcBorders>
              <w:left w:val="single" w:sz="4" w:space="0" w:color="D9D9D9" w:themeColor="background1" w:themeShade="D9"/>
              <w:right w:val="single" w:sz="4" w:space="0" w:color="D9D9D9" w:themeColor="background1" w:themeShade="D9"/>
            </w:tcBorders>
          </w:tcPr>
          <w:p w14:paraId="0E8B5A2F"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CRA</w:t>
            </w:r>
          </w:p>
        </w:tc>
        <w:tc>
          <w:tcPr>
            <w:tcW w:w="7034" w:type="dxa"/>
            <w:tcBorders>
              <w:left w:val="single" w:sz="4" w:space="0" w:color="D9D9D9" w:themeColor="background1" w:themeShade="D9"/>
              <w:right w:val="single" w:sz="4" w:space="0" w:color="D9D9D9" w:themeColor="background1" w:themeShade="D9"/>
            </w:tcBorders>
          </w:tcPr>
          <w:p w14:paraId="7C01120A" w14:textId="77777777" w:rsidR="0075180E" w:rsidRDefault="5291D45D" w:rsidP="5291D45D">
            <w:pPr>
              <w:pStyle w:val="normal1"/>
              <w:widowControl w:val="0"/>
              <w:spacing w:line="240" w:lineRule="auto"/>
              <w:rPr>
                <w:sz w:val="18"/>
                <w:szCs w:val="18"/>
                <w:lang w:val="en-AU"/>
              </w:rPr>
            </w:pPr>
            <w:r w:rsidRPr="5291D45D">
              <w:rPr>
                <w:sz w:val="18"/>
                <w:szCs w:val="18"/>
                <w:lang w:val="en-AU"/>
              </w:rPr>
              <w:t xml:space="preserve">Collision Risk Assessment </w:t>
            </w:r>
          </w:p>
        </w:tc>
      </w:tr>
      <w:tr w:rsidR="0075180E" w14:paraId="5F135C86" w14:textId="77777777" w:rsidTr="5291D45D">
        <w:tc>
          <w:tcPr>
            <w:tcW w:w="1890" w:type="dxa"/>
            <w:tcBorders>
              <w:left w:val="single" w:sz="4" w:space="0" w:color="D9D9D9" w:themeColor="background1" w:themeShade="D9"/>
              <w:right w:val="single" w:sz="4" w:space="0" w:color="D9D9D9" w:themeColor="background1" w:themeShade="D9"/>
            </w:tcBorders>
          </w:tcPr>
          <w:p w14:paraId="6086C2E3"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CRM</w:t>
            </w:r>
          </w:p>
        </w:tc>
        <w:tc>
          <w:tcPr>
            <w:tcW w:w="7034" w:type="dxa"/>
            <w:tcBorders>
              <w:left w:val="single" w:sz="4" w:space="0" w:color="D9D9D9" w:themeColor="background1" w:themeShade="D9"/>
              <w:right w:val="single" w:sz="4" w:space="0" w:color="D9D9D9" w:themeColor="background1" w:themeShade="D9"/>
            </w:tcBorders>
          </w:tcPr>
          <w:p w14:paraId="45C4C750" w14:textId="77777777" w:rsidR="0075180E" w:rsidRDefault="5291D45D" w:rsidP="5291D45D">
            <w:pPr>
              <w:pStyle w:val="normal1"/>
              <w:widowControl w:val="0"/>
              <w:spacing w:line="240" w:lineRule="auto"/>
              <w:rPr>
                <w:sz w:val="18"/>
                <w:szCs w:val="18"/>
                <w:lang w:val="en-AU"/>
              </w:rPr>
            </w:pPr>
            <w:r w:rsidRPr="5291D45D">
              <w:rPr>
                <w:sz w:val="18"/>
                <w:szCs w:val="18"/>
                <w:lang w:val="en-AU"/>
              </w:rPr>
              <w:t xml:space="preserve">Collision Risk Model </w:t>
            </w:r>
          </w:p>
        </w:tc>
      </w:tr>
      <w:tr w:rsidR="0075180E" w14:paraId="589F032A" w14:textId="77777777" w:rsidTr="5291D45D">
        <w:tc>
          <w:tcPr>
            <w:tcW w:w="1890" w:type="dxa"/>
            <w:tcBorders>
              <w:left w:val="single" w:sz="4" w:space="0" w:color="D9D9D9" w:themeColor="background1" w:themeShade="D9"/>
              <w:right w:val="single" w:sz="4" w:space="0" w:color="D9D9D9" w:themeColor="background1" w:themeShade="D9"/>
            </w:tcBorders>
          </w:tcPr>
          <w:p w14:paraId="09FA978F"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DCCEEW</w:t>
            </w:r>
          </w:p>
        </w:tc>
        <w:tc>
          <w:tcPr>
            <w:tcW w:w="7034" w:type="dxa"/>
            <w:tcBorders>
              <w:left w:val="single" w:sz="4" w:space="0" w:color="D9D9D9" w:themeColor="background1" w:themeShade="D9"/>
              <w:right w:val="single" w:sz="4" w:space="0" w:color="D9D9D9" w:themeColor="background1" w:themeShade="D9"/>
            </w:tcBorders>
          </w:tcPr>
          <w:p w14:paraId="4AC43E3A" w14:textId="77777777" w:rsidR="0075180E" w:rsidRDefault="5291D45D" w:rsidP="5291D45D">
            <w:pPr>
              <w:pStyle w:val="normal1"/>
              <w:widowControl w:val="0"/>
              <w:spacing w:line="240" w:lineRule="auto"/>
              <w:rPr>
                <w:sz w:val="18"/>
                <w:szCs w:val="18"/>
                <w:lang w:val="en-AU"/>
              </w:rPr>
            </w:pPr>
            <w:r w:rsidRPr="5291D45D">
              <w:rPr>
                <w:sz w:val="18"/>
                <w:szCs w:val="18"/>
                <w:lang w:val="en-AU"/>
              </w:rPr>
              <w:t>Australian Government Department of Climate Change, Energy, the Environment and Water</w:t>
            </w:r>
          </w:p>
        </w:tc>
      </w:tr>
      <w:tr w:rsidR="0075180E" w14:paraId="468C63EF" w14:textId="77777777" w:rsidTr="5291D45D">
        <w:tc>
          <w:tcPr>
            <w:tcW w:w="1890" w:type="dxa"/>
            <w:tcBorders>
              <w:left w:val="single" w:sz="4" w:space="0" w:color="D9D9D9" w:themeColor="background1" w:themeShade="D9"/>
              <w:right w:val="single" w:sz="4" w:space="0" w:color="D9D9D9" w:themeColor="background1" w:themeShade="D9"/>
            </w:tcBorders>
          </w:tcPr>
          <w:p w14:paraId="0DC813E4"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EPBC Act</w:t>
            </w:r>
          </w:p>
        </w:tc>
        <w:tc>
          <w:tcPr>
            <w:tcW w:w="7034" w:type="dxa"/>
            <w:tcBorders>
              <w:left w:val="single" w:sz="4" w:space="0" w:color="D9D9D9" w:themeColor="background1" w:themeShade="D9"/>
              <w:right w:val="single" w:sz="4" w:space="0" w:color="D9D9D9" w:themeColor="background1" w:themeShade="D9"/>
            </w:tcBorders>
          </w:tcPr>
          <w:p w14:paraId="233E2CCA" w14:textId="77777777" w:rsidR="0075180E" w:rsidRDefault="5291D45D" w:rsidP="5291D45D">
            <w:pPr>
              <w:pStyle w:val="normal1"/>
              <w:widowControl w:val="0"/>
              <w:spacing w:line="240" w:lineRule="auto"/>
              <w:rPr>
                <w:sz w:val="18"/>
                <w:szCs w:val="18"/>
                <w:lang w:val="en-AU"/>
              </w:rPr>
            </w:pPr>
            <w:r w:rsidRPr="5291D45D">
              <w:rPr>
                <w:sz w:val="18"/>
                <w:szCs w:val="18"/>
                <w:lang w:val="en-AU"/>
              </w:rPr>
              <w:t>Environment Protection and Biodiversity Conservation Act 1999</w:t>
            </w:r>
          </w:p>
        </w:tc>
      </w:tr>
      <w:tr w:rsidR="0075180E" w14:paraId="55B3A86B" w14:textId="77777777" w:rsidTr="5291D45D">
        <w:tc>
          <w:tcPr>
            <w:tcW w:w="1890" w:type="dxa"/>
            <w:tcBorders>
              <w:left w:val="single" w:sz="4" w:space="0" w:color="D9D9D9" w:themeColor="background1" w:themeShade="D9"/>
              <w:right w:val="single" w:sz="4" w:space="0" w:color="D9D9D9" w:themeColor="background1" w:themeShade="D9"/>
            </w:tcBorders>
          </w:tcPr>
          <w:p w14:paraId="6CC9365C"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MNES</w:t>
            </w:r>
          </w:p>
        </w:tc>
        <w:tc>
          <w:tcPr>
            <w:tcW w:w="7034" w:type="dxa"/>
            <w:tcBorders>
              <w:left w:val="single" w:sz="4" w:space="0" w:color="D9D9D9" w:themeColor="background1" w:themeShade="D9"/>
              <w:right w:val="single" w:sz="4" w:space="0" w:color="D9D9D9" w:themeColor="background1" w:themeShade="D9"/>
            </w:tcBorders>
          </w:tcPr>
          <w:p w14:paraId="4D5C0BCA" w14:textId="77777777" w:rsidR="0075180E" w:rsidRDefault="5291D45D" w:rsidP="5291D45D">
            <w:pPr>
              <w:pStyle w:val="normal1"/>
              <w:widowControl w:val="0"/>
              <w:spacing w:line="240" w:lineRule="auto"/>
              <w:rPr>
                <w:sz w:val="18"/>
                <w:szCs w:val="18"/>
                <w:lang w:val="en-AU"/>
              </w:rPr>
            </w:pPr>
            <w:r w:rsidRPr="5291D45D">
              <w:rPr>
                <w:sz w:val="18"/>
                <w:szCs w:val="18"/>
                <w:lang w:val="en-AU"/>
              </w:rPr>
              <w:t>Matters of National Environmental Significance</w:t>
            </w:r>
          </w:p>
        </w:tc>
      </w:tr>
      <w:tr w:rsidR="0075180E" w14:paraId="18C94149" w14:textId="77777777" w:rsidTr="5291D45D">
        <w:tc>
          <w:tcPr>
            <w:tcW w:w="1890" w:type="dxa"/>
            <w:tcBorders>
              <w:left w:val="single" w:sz="4" w:space="0" w:color="D9D9D9" w:themeColor="background1" w:themeShade="D9"/>
              <w:right w:val="single" w:sz="4" w:space="0" w:color="D9D9D9" w:themeColor="background1" w:themeShade="D9"/>
            </w:tcBorders>
          </w:tcPr>
          <w:p w14:paraId="403CA5DF"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OEI Act</w:t>
            </w:r>
          </w:p>
        </w:tc>
        <w:tc>
          <w:tcPr>
            <w:tcW w:w="7034" w:type="dxa"/>
            <w:tcBorders>
              <w:left w:val="single" w:sz="4" w:space="0" w:color="D9D9D9" w:themeColor="background1" w:themeShade="D9"/>
              <w:right w:val="single" w:sz="4" w:space="0" w:color="D9D9D9" w:themeColor="background1" w:themeShade="D9"/>
            </w:tcBorders>
          </w:tcPr>
          <w:p w14:paraId="47072E7D" w14:textId="77777777" w:rsidR="0075180E" w:rsidRDefault="5291D45D" w:rsidP="5291D45D">
            <w:pPr>
              <w:pStyle w:val="normal1"/>
              <w:widowControl w:val="0"/>
              <w:spacing w:line="240" w:lineRule="auto"/>
              <w:rPr>
                <w:sz w:val="18"/>
                <w:szCs w:val="18"/>
                <w:lang w:val="en-AU"/>
              </w:rPr>
            </w:pPr>
            <w:r w:rsidRPr="5291D45D">
              <w:rPr>
                <w:sz w:val="18"/>
                <w:szCs w:val="18"/>
                <w:lang w:val="en-AU"/>
              </w:rPr>
              <w:t xml:space="preserve">Offshore Electricity Infrastructure Act 2021 </w:t>
            </w:r>
          </w:p>
        </w:tc>
      </w:tr>
      <w:tr w:rsidR="0075180E" w14:paraId="55947307" w14:textId="77777777" w:rsidTr="5291D45D">
        <w:tc>
          <w:tcPr>
            <w:tcW w:w="1890" w:type="dxa"/>
            <w:tcBorders>
              <w:left w:val="single" w:sz="4" w:space="0" w:color="D9D9D9" w:themeColor="background1" w:themeShade="D9"/>
              <w:right w:val="single" w:sz="4" w:space="0" w:color="D9D9D9" w:themeColor="background1" w:themeShade="D9"/>
            </w:tcBorders>
          </w:tcPr>
          <w:p w14:paraId="04FF1D22" w14:textId="77777777" w:rsidR="0075180E" w:rsidRDefault="5291D45D" w:rsidP="5291D45D">
            <w:pPr>
              <w:pStyle w:val="normal1"/>
              <w:widowControl w:val="0"/>
              <w:spacing w:line="240" w:lineRule="auto"/>
              <w:rPr>
                <w:sz w:val="18"/>
                <w:szCs w:val="18"/>
                <w:lang w:val="en-AU"/>
              </w:rPr>
            </w:pPr>
            <w:r w:rsidRPr="5291D45D">
              <w:rPr>
                <w:b/>
                <w:bCs/>
                <w:sz w:val="18"/>
                <w:szCs w:val="18"/>
                <w:lang w:val="en-AU"/>
              </w:rPr>
              <w:t>RERI</w:t>
            </w:r>
          </w:p>
        </w:tc>
        <w:tc>
          <w:tcPr>
            <w:tcW w:w="7034" w:type="dxa"/>
            <w:tcBorders>
              <w:left w:val="single" w:sz="4" w:space="0" w:color="D9D9D9" w:themeColor="background1" w:themeShade="D9"/>
              <w:right w:val="single" w:sz="4" w:space="0" w:color="D9D9D9" w:themeColor="background1" w:themeShade="D9"/>
            </w:tcBorders>
          </w:tcPr>
          <w:p w14:paraId="6EA35A02" w14:textId="77777777" w:rsidR="0075180E" w:rsidRDefault="5291D45D" w:rsidP="5291D45D">
            <w:pPr>
              <w:pStyle w:val="normal1"/>
              <w:widowControl w:val="0"/>
              <w:spacing w:line="240" w:lineRule="auto"/>
              <w:rPr>
                <w:sz w:val="18"/>
                <w:szCs w:val="18"/>
                <w:lang w:val="en-AU"/>
              </w:rPr>
            </w:pPr>
            <w:r w:rsidRPr="5291D45D">
              <w:rPr>
                <w:sz w:val="18"/>
                <w:szCs w:val="18"/>
                <w:lang w:val="en-AU"/>
              </w:rPr>
              <w:t>Renewables Environmental Research Initiative</w:t>
            </w:r>
          </w:p>
        </w:tc>
      </w:tr>
    </w:tbl>
    <w:p w14:paraId="00937976" w14:textId="7077F7C3" w:rsidR="5291D45D" w:rsidRDefault="5291D45D" w:rsidP="5291D45D">
      <w:pPr>
        <w:pStyle w:val="Heading2"/>
        <w:widowControl w:val="0"/>
        <w:rPr>
          <w:rFonts w:ascii="Raleway SemiBold" w:eastAsia="Raleway SemiBold" w:hAnsi="Raleway SemiBold" w:cs="Raleway SemiBold"/>
          <w:b w:val="0"/>
          <w:bCs w:val="0"/>
          <w:lang w:val="en-AU"/>
        </w:rPr>
      </w:pPr>
    </w:p>
    <w:p w14:paraId="32E1BFAF" w14:textId="77777777" w:rsidR="0075180E" w:rsidRDefault="008F4B1A">
      <w:pPr>
        <w:pStyle w:val="Heading2"/>
        <w:widowControl w:val="0"/>
        <w:rPr>
          <w:rFonts w:ascii="Raleway SemiBold" w:eastAsia="Raleway SemiBold" w:hAnsi="Raleway SemiBold" w:cs="Raleway SemiBold"/>
          <w:b w:val="0"/>
          <w:bCs w:val="0"/>
        </w:rPr>
      </w:pPr>
      <w:bookmarkStart w:id="4" w:name="_Toc1956339951"/>
      <w:r>
        <w:rPr>
          <w:rFonts w:ascii="Raleway SemiBold" w:eastAsia="Raleway SemiBold" w:hAnsi="Raleway SemiBold" w:cs="Raleway SemiBold"/>
          <w:b w:val="0"/>
          <w:bCs w:val="0"/>
          <w:lang w:val="en-AU"/>
        </w:rPr>
        <w:t>Definitions</w:t>
      </w:r>
      <w:bookmarkEnd w:id="4"/>
    </w:p>
    <w:tbl>
      <w:tblPr>
        <w:tblW w:w="8924" w:type="dxa"/>
        <w:tblLayout w:type="fixed"/>
        <w:tblLook w:val="0600" w:firstRow="0" w:lastRow="0" w:firstColumn="0" w:lastColumn="0" w:noHBand="1" w:noVBand="1"/>
      </w:tblPr>
      <w:tblGrid>
        <w:gridCol w:w="1890"/>
        <w:gridCol w:w="7034"/>
      </w:tblGrid>
      <w:tr w:rsidR="0075180E" w14:paraId="321A80FE" w14:textId="77777777" w:rsidTr="5291D45D">
        <w:trPr>
          <w:trHeight w:val="1574"/>
        </w:trPr>
        <w:tc>
          <w:tcPr>
            <w:tcW w:w="1890" w:type="dxa"/>
          </w:tcPr>
          <w:p w14:paraId="7E655D6A" w14:textId="77777777" w:rsidR="0075180E" w:rsidRDefault="008F4B1A">
            <w:pPr>
              <w:pStyle w:val="normal1"/>
              <w:widowControl w:val="0"/>
              <w:spacing w:line="240" w:lineRule="auto"/>
              <w:rPr>
                <w:lang w:val="en-AU"/>
              </w:rPr>
            </w:pPr>
            <w:r>
              <w:rPr>
                <w:sz w:val="18"/>
                <w:szCs w:val="18"/>
                <w:lang w:val="en-AU"/>
              </w:rPr>
              <w:t>Avoidance behaviour</w:t>
            </w:r>
          </w:p>
        </w:tc>
        <w:tc>
          <w:tcPr>
            <w:tcW w:w="7033" w:type="dxa"/>
          </w:tcPr>
          <w:p w14:paraId="53D297B8" w14:textId="77777777" w:rsidR="0075180E" w:rsidRDefault="008F4B1A">
            <w:pPr>
              <w:pStyle w:val="normal1"/>
              <w:widowControl w:val="0"/>
              <w:spacing w:line="240" w:lineRule="auto"/>
              <w:rPr>
                <w:lang w:val="en-AU"/>
              </w:rPr>
            </w:pPr>
            <w:r>
              <w:rPr>
                <w:sz w:val="18"/>
                <w:szCs w:val="18"/>
                <w:lang w:val="en-AU"/>
              </w:rPr>
              <w:t>The propensity for a volant species to avoid collision. In the context of the ACRF we refer specifically to the avoidance behaviour of birds and bats with wind turbine infrastructure, both static and the moving turbine blade.  Avoidance behaviour can occur at a combination of scales; macro-avoidance is the avoidance of the entire facility footprint; meso-avoidance is the changing of flight paths within a facility to avoid individual turbines; micro avoidance is changed flight patterns to minimise risk when passing close to or within a turbine footprint (e.g. by flying higher or lower).</w:t>
            </w:r>
          </w:p>
        </w:tc>
      </w:tr>
      <w:tr w:rsidR="0075180E" w14:paraId="3A5A0113" w14:textId="77777777" w:rsidTr="5291D45D">
        <w:trPr>
          <w:trHeight w:val="1574"/>
        </w:trPr>
        <w:tc>
          <w:tcPr>
            <w:tcW w:w="1890" w:type="dxa"/>
          </w:tcPr>
          <w:p w14:paraId="3A02A19D" w14:textId="77777777" w:rsidR="0075180E" w:rsidRDefault="008F4B1A">
            <w:pPr>
              <w:pStyle w:val="normal1"/>
              <w:widowControl w:val="0"/>
              <w:spacing w:line="240" w:lineRule="auto"/>
              <w:rPr>
                <w:lang w:val="en-AU"/>
              </w:rPr>
            </w:pPr>
            <w:r>
              <w:rPr>
                <w:sz w:val="18"/>
                <w:szCs w:val="18"/>
                <w:lang w:val="en-AU"/>
              </w:rPr>
              <w:t>Collision Likelihood Score</w:t>
            </w:r>
          </w:p>
        </w:tc>
        <w:tc>
          <w:tcPr>
            <w:tcW w:w="7033" w:type="dxa"/>
          </w:tcPr>
          <w:p w14:paraId="34FC14A5" w14:textId="77777777" w:rsidR="0075180E" w:rsidRDefault="008F4B1A">
            <w:pPr>
              <w:pStyle w:val="normal1"/>
              <w:widowControl w:val="0"/>
              <w:spacing w:line="240" w:lineRule="auto"/>
              <w:rPr>
                <w:lang w:val="en-AU"/>
              </w:rPr>
            </w:pPr>
            <w:r>
              <w:rPr>
                <w:sz w:val="18"/>
                <w:szCs w:val="18"/>
                <w:lang w:val="en-AU"/>
              </w:rPr>
              <w:t xml:space="preserve">A structured, </w:t>
            </w:r>
            <w:r>
              <w:rPr>
                <w:b/>
                <w:bCs/>
                <w:sz w:val="18"/>
                <w:szCs w:val="18"/>
                <w:lang w:val="en-AU"/>
              </w:rPr>
              <w:t>qualitative assessment</w:t>
            </w:r>
            <w:r>
              <w:rPr>
                <w:sz w:val="18"/>
                <w:szCs w:val="18"/>
                <w:lang w:val="en-AU"/>
              </w:rPr>
              <w:t xml:space="preserve"> of collision likelihood risk using ranked criteria. CLS combines species activity, flight height, seasonal exposure, and collision history to generate transparent risk ratings. CLS is appropriate when data are insufficient for a CRM, during early project stages, or when collision risk is clearly very low or very high.</w:t>
            </w:r>
          </w:p>
        </w:tc>
      </w:tr>
      <w:tr w:rsidR="0075180E" w14:paraId="252D5FC9" w14:textId="77777777" w:rsidTr="5291D45D">
        <w:trPr>
          <w:trHeight w:val="300"/>
        </w:trPr>
        <w:tc>
          <w:tcPr>
            <w:tcW w:w="1890" w:type="dxa"/>
          </w:tcPr>
          <w:p w14:paraId="4C31538C" w14:textId="77777777" w:rsidR="0075180E" w:rsidRDefault="008F4B1A">
            <w:pPr>
              <w:pStyle w:val="normal1"/>
              <w:widowControl w:val="0"/>
              <w:spacing w:line="240" w:lineRule="auto"/>
              <w:rPr>
                <w:lang w:val="en-AU"/>
              </w:rPr>
            </w:pPr>
            <w:r>
              <w:rPr>
                <w:sz w:val="18"/>
                <w:szCs w:val="18"/>
                <w:lang w:val="en-AU"/>
              </w:rPr>
              <w:t xml:space="preserve">Collision Risk </w:t>
            </w:r>
            <w:r>
              <w:rPr>
                <w:sz w:val="18"/>
                <w:szCs w:val="18"/>
                <w:lang w:val="en-AU"/>
              </w:rPr>
              <w:lastRenderedPageBreak/>
              <w:t>Assessment</w:t>
            </w:r>
          </w:p>
        </w:tc>
        <w:tc>
          <w:tcPr>
            <w:tcW w:w="7033" w:type="dxa"/>
          </w:tcPr>
          <w:p w14:paraId="264A4B03" w14:textId="77777777" w:rsidR="0075180E" w:rsidRDefault="008F4B1A">
            <w:pPr>
              <w:pStyle w:val="normal1"/>
              <w:widowControl w:val="0"/>
              <w:spacing w:line="240" w:lineRule="auto"/>
              <w:rPr>
                <w:lang w:val="en-AU"/>
              </w:rPr>
            </w:pPr>
            <w:r>
              <w:rPr>
                <w:sz w:val="18"/>
                <w:szCs w:val="18"/>
                <w:lang w:val="en-AU"/>
              </w:rPr>
              <w:lastRenderedPageBreak/>
              <w:t xml:space="preserve">A multi-step process that assesses the likelihood and consequence of wind </w:t>
            </w:r>
            <w:r>
              <w:rPr>
                <w:sz w:val="18"/>
                <w:szCs w:val="18"/>
                <w:lang w:val="en-AU"/>
              </w:rPr>
              <w:lastRenderedPageBreak/>
              <w:t>turbine collisions for bird and bat species. The CRA is designed to identify species at risk, inform the mitigation hierarchy and to support regulatory approval of onshore and offshore wind farm developments.</w:t>
            </w:r>
          </w:p>
        </w:tc>
      </w:tr>
      <w:tr w:rsidR="0075180E" w14:paraId="0CD8B1C6" w14:textId="77777777" w:rsidTr="5291D45D">
        <w:trPr>
          <w:trHeight w:val="1472"/>
        </w:trPr>
        <w:tc>
          <w:tcPr>
            <w:tcW w:w="1890" w:type="dxa"/>
          </w:tcPr>
          <w:p w14:paraId="100FB2FF" w14:textId="77777777" w:rsidR="0075180E" w:rsidRDefault="008F4B1A">
            <w:pPr>
              <w:pStyle w:val="normal1"/>
              <w:widowControl w:val="0"/>
              <w:spacing w:line="240" w:lineRule="auto"/>
              <w:rPr>
                <w:lang w:val="en-AU"/>
              </w:rPr>
            </w:pPr>
            <w:r>
              <w:rPr>
                <w:sz w:val="18"/>
                <w:szCs w:val="18"/>
                <w:lang w:val="en-AU"/>
              </w:rPr>
              <w:lastRenderedPageBreak/>
              <w:t>Collision Risk Model</w:t>
            </w:r>
          </w:p>
        </w:tc>
        <w:tc>
          <w:tcPr>
            <w:tcW w:w="7033" w:type="dxa"/>
          </w:tcPr>
          <w:p w14:paraId="7BE6F818" w14:textId="77777777" w:rsidR="0075180E" w:rsidRDefault="008F4B1A">
            <w:pPr>
              <w:pStyle w:val="normal1"/>
              <w:widowControl w:val="0"/>
              <w:rPr>
                <w:lang w:val="en-AU"/>
              </w:rPr>
            </w:pPr>
            <w:r>
              <w:rPr>
                <w:sz w:val="18"/>
                <w:szCs w:val="18"/>
                <w:lang w:val="en-AU"/>
              </w:rPr>
              <w:t>A</w:t>
            </w:r>
            <w:r>
              <w:rPr>
                <w:b/>
                <w:bCs/>
                <w:sz w:val="18"/>
                <w:szCs w:val="18"/>
                <w:lang w:val="en-AU"/>
              </w:rPr>
              <w:t xml:space="preserve"> quantitative model</w:t>
            </w:r>
            <w:r>
              <w:rPr>
                <w:sz w:val="18"/>
                <w:szCs w:val="18"/>
                <w:lang w:val="en-AU"/>
              </w:rPr>
              <w:t xml:space="preserve"> that uses numerical survey data to estimate the long-term average number of bird or bat collisions per year. CRM works best when flight activity (flights per area per time) can be measured or reliably modelled and should ideally include uncertainty (confidence intervals).</w:t>
            </w:r>
          </w:p>
        </w:tc>
      </w:tr>
      <w:tr w:rsidR="0075180E" w14:paraId="1F47D13C" w14:textId="77777777" w:rsidTr="5291D45D">
        <w:trPr>
          <w:trHeight w:val="840"/>
        </w:trPr>
        <w:tc>
          <w:tcPr>
            <w:tcW w:w="1890" w:type="dxa"/>
          </w:tcPr>
          <w:p w14:paraId="4CA9EFE6" w14:textId="77777777" w:rsidR="0075180E" w:rsidRDefault="008F4B1A">
            <w:pPr>
              <w:pStyle w:val="normal1"/>
              <w:widowControl w:val="0"/>
              <w:spacing w:line="240" w:lineRule="auto"/>
              <w:rPr>
                <w:lang w:val="en-AU"/>
              </w:rPr>
            </w:pPr>
            <w:r>
              <w:rPr>
                <w:sz w:val="18"/>
                <w:szCs w:val="18"/>
                <w:lang w:val="en-AU"/>
              </w:rPr>
              <w:t>Daily activity</w:t>
            </w:r>
          </w:p>
        </w:tc>
        <w:tc>
          <w:tcPr>
            <w:tcW w:w="7033" w:type="dxa"/>
          </w:tcPr>
          <w:p w14:paraId="165B53EA" w14:textId="77777777" w:rsidR="0075180E" w:rsidRDefault="008F4B1A">
            <w:pPr>
              <w:pStyle w:val="normal1"/>
              <w:widowControl w:val="0"/>
              <w:rPr>
                <w:lang w:val="en-AU"/>
              </w:rPr>
            </w:pPr>
            <w:r>
              <w:rPr>
                <w:sz w:val="18"/>
                <w:szCs w:val="18"/>
                <w:lang w:val="en-AU"/>
              </w:rPr>
              <w:t>Timing and length of flight behaviour on a daily scale.  Most species fall into one of three categories; nocturnal, diurnal, or crepuscular.</w:t>
            </w:r>
          </w:p>
        </w:tc>
      </w:tr>
      <w:tr w:rsidR="0075180E" w14:paraId="124BE083" w14:textId="77777777" w:rsidTr="5291D45D">
        <w:trPr>
          <w:trHeight w:val="720"/>
        </w:trPr>
        <w:tc>
          <w:tcPr>
            <w:tcW w:w="1890" w:type="dxa"/>
          </w:tcPr>
          <w:p w14:paraId="2715F7FA" w14:textId="77777777" w:rsidR="0075180E" w:rsidRDefault="008F4B1A">
            <w:pPr>
              <w:pStyle w:val="normal1"/>
              <w:widowControl w:val="0"/>
              <w:spacing w:line="240" w:lineRule="auto"/>
              <w:rPr>
                <w:lang w:val="en-AU"/>
              </w:rPr>
            </w:pPr>
            <w:r>
              <w:rPr>
                <w:sz w:val="18"/>
                <w:szCs w:val="18"/>
                <w:lang w:val="en-AU"/>
              </w:rPr>
              <w:t>Exposure</w:t>
            </w:r>
          </w:p>
        </w:tc>
        <w:tc>
          <w:tcPr>
            <w:tcW w:w="7033" w:type="dxa"/>
          </w:tcPr>
          <w:p w14:paraId="101A7C8F" w14:textId="77777777" w:rsidR="0075180E" w:rsidRDefault="008F4B1A">
            <w:pPr>
              <w:pStyle w:val="normal1"/>
              <w:widowControl w:val="0"/>
              <w:rPr>
                <w:lang w:val="en-AU"/>
              </w:rPr>
            </w:pPr>
            <w:r>
              <w:rPr>
                <w:sz w:val="18"/>
                <w:szCs w:val="18"/>
                <w:lang w:val="en-AU"/>
              </w:rPr>
              <w:t xml:space="preserve">Refers to the state where the target species could be involved in a turbine collision, i.e. “in harm’s way”. The number and duration of flights exposed to collision is directly related to the likelihood of collision. </w:t>
            </w:r>
          </w:p>
        </w:tc>
      </w:tr>
      <w:tr w:rsidR="0075180E" w14:paraId="0C728C19" w14:textId="77777777" w:rsidTr="5291D45D">
        <w:trPr>
          <w:trHeight w:val="705"/>
        </w:trPr>
        <w:tc>
          <w:tcPr>
            <w:tcW w:w="1890" w:type="dxa"/>
          </w:tcPr>
          <w:p w14:paraId="7E33F208" w14:textId="77777777" w:rsidR="0075180E" w:rsidRDefault="008F4B1A">
            <w:pPr>
              <w:pStyle w:val="normal1"/>
              <w:widowControl w:val="0"/>
              <w:spacing w:line="240" w:lineRule="auto"/>
              <w:rPr>
                <w:lang w:val="en-AU"/>
              </w:rPr>
            </w:pPr>
            <w:r>
              <w:rPr>
                <w:sz w:val="18"/>
                <w:szCs w:val="18"/>
                <w:lang w:val="en-AU"/>
              </w:rPr>
              <w:t>Flight height distribution</w:t>
            </w:r>
          </w:p>
        </w:tc>
        <w:tc>
          <w:tcPr>
            <w:tcW w:w="7033" w:type="dxa"/>
          </w:tcPr>
          <w:p w14:paraId="4006E2A1" w14:textId="77777777" w:rsidR="0075180E" w:rsidRDefault="008F4B1A">
            <w:pPr>
              <w:pStyle w:val="normal1"/>
              <w:widowControl w:val="0"/>
              <w:rPr>
                <w:lang w:val="en-AU"/>
              </w:rPr>
            </w:pPr>
            <w:r>
              <w:rPr>
                <w:sz w:val="18"/>
                <w:szCs w:val="18"/>
                <w:lang w:val="en-AU"/>
              </w:rPr>
              <w:t>The range of heights at which a particular species flies, usually used in reference to the rotor-swept area of a turbine.</w:t>
            </w:r>
          </w:p>
        </w:tc>
      </w:tr>
      <w:tr w:rsidR="0075180E" w14:paraId="7DC04FCD" w14:textId="77777777" w:rsidTr="5291D45D">
        <w:trPr>
          <w:trHeight w:val="300"/>
        </w:trPr>
        <w:tc>
          <w:tcPr>
            <w:tcW w:w="1890" w:type="dxa"/>
          </w:tcPr>
          <w:p w14:paraId="3A8D7CDB" w14:textId="77777777" w:rsidR="0075180E" w:rsidRDefault="008F4B1A">
            <w:pPr>
              <w:pStyle w:val="normal1"/>
              <w:widowControl w:val="0"/>
              <w:spacing w:line="240" w:lineRule="auto"/>
              <w:rPr>
                <w:lang w:val="en-AU"/>
              </w:rPr>
            </w:pPr>
            <w:r>
              <w:rPr>
                <w:sz w:val="18"/>
                <w:szCs w:val="18"/>
                <w:lang w:val="en-AU"/>
              </w:rPr>
              <w:t>Mitigation Hierarchy</w:t>
            </w:r>
          </w:p>
        </w:tc>
        <w:tc>
          <w:tcPr>
            <w:tcW w:w="7033" w:type="dxa"/>
          </w:tcPr>
          <w:p w14:paraId="50EE7277" w14:textId="77777777" w:rsidR="0075180E" w:rsidRDefault="008F4B1A">
            <w:pPr>
              <w:pStyle w:val="normal1"/>
              <w:widowControl w:val="0"/>
              <w:spacing w:line="240" w:lineRule="auto"/>
              <w:rPr>
                <w:lang w:val="en-AU"/>
              </w:rPr>
            </w:pPr>
            <w:r>
              <w:rPr>
                <w:sz w:val="18"/>
                <w:szCs w:val="18"/>
                <w:lang w:val="en-AU"/>
              </w:rPr>
              <w:t xml:space="preserve">A staged framework for managing environmental risks where avoidance of the risk is the primary objective, then minimisation, repair, then offsetting. </w:t>
            </w:r>
          </w:p>
        </w:tc>
      </w:tr>
      <w:tr w:rsidR="0075180E" w14:paraId="7C39B99E" w14:textId="77777777" w:rsidTr="5291D45D">
        <w:trPr>
          <w:trHeight w:val="300"/>
        </w:trPr>
        <w:tc>
          <w:tcPr>
            <w:tcW w:w="1890" w:type="dxa"/>
          </w:tcPr>
          <w:p w14:paraId="18A570E8" w14:textId="77777777" w:rsidR="0075180E" w:rsidRDefault="008F4B1A">
            <w:pPr>
              <w:pStyle w:val="normal1"/>
              <w:widowControl w:val="0"/>
              <w:spacing w:line="240" w:lineRule="auto"/>
              <w:rPr>
                <w:lang w:val="en-AU"/>
              </w:rPr>
            </w:pPr>
            <w:r>
              <w:rPr>
                <w:sz w:val="18"/>
                <w:szCs w:val="18"/>
                <w:lang w:val="en-AU"/>
              </w:rPr>
              <w:t>Propensity to evade collision</w:t>
            </w:r>
          </w:p>
        </w:tc>
        <w:tc>
          <w:tcPr>
            <w:tcW w:w="7033" w:type="dxa"/>
          </w:tcPr>
          <w:p w14:paraId="6C17D7E5" w14:textId="77777777" w:rsidR="0075180E" w:rsidRDefault="008F4B1A">
            <w:pPr>
              <w:pStyle w:val="normal1"/>
              <w:widowControl w:val="0"/>
              <w:spacing w:line="240" w:lineRule="auto"/>
              <w:rPr>
                <w:lang w:val="en-AU"/>
              </w:rPr>
            </w:pPr>
            <w:r>
              <w:rPr>
                <w:sz w:val="18"/>
                <w:szCs w:val="18"/>
                <w:lang w:val="en-AU"/>
              </w:rPr>
              <w:t>A species’ ability to avoid turbine blades (or the wind farm in the case of macro avoidance) based on its behaviour and morphology</w:t>
            </w:r>
          </w:p>
        </w:tc>
      </w:tr>
      <w:tr w:rsidR="0075180E" w14:paraId="24DE938E" w14:textId="77777777" w:rsidTr="5291D45D">
        <w:trPr>
          <w:trHeight w:val="300"/>
        </w:trPr>
        <w:tc>
          <w:tcPr>
            <w:tcW w:w="1890" w:type="dxa"/>
          </w:tcPr>
          <w:p w14:paraId="2694EA13" w14:textId="77777777" w:rsidR="0075180E" w:rsidRDefault="008F4B1A">
            <w:pPr>
              <w:pStyle w:val="normal1"/>
              <w:widowControl w:val="0"/>
              <w:spacing w:line="240" w:lineRule="auto"/>
              <w:rPr>
                <w:lang w:val="en-AU"/>
              </w:rPr>
            </w:pPr>
            <w:r>
              <w:rPr>
                <w:sz w:val="18"/>
                <w:szCs w:val="18"/>
                <w:lang w:val="en-AU"/>
              </w:rPr>
              <w:t>Rate and density of flights</w:t>
            </w:r>
          </w:p>
        </w:tc>
        <w:tc>
          <w:tcPr>
            <w:tcW w:w="7033" w:type="dxa"/>
          </w:tcPr>
          <w:p w14:paraId="4A755637" w14:textId="77777777" w:rsidR="0075180E" w:rsidRDefault="008F4B1A">
            <w:pPr>
              <w:pStyle w:val="normal1"/>
              <w:widowControl w:val="0"/>
              <w:spacing w:line="240" w:lineRule="auto"/>
              <w:rPr>
                <w:lang w:val="en-AU"/>
              </w:rPr>
            </w:pPr>
            <w:r>
              <w:rPr>
                <w:sz w:val="18"/>
                <w:szCs w:val="18"/>
                <w:lang w:val="en-AU"/>
              </w:rPr>
              <w:t xml:space="preserve">Exposure to collision relates to a combination of the number of animals in flight, the number of flights made by those animals </w:t>
            </w:r>
            <w:proofErr w:type="gramStart"/>
            <w:r>
              <w:rPr>
                <w:sz w:val="18"/>
                <w:szCs w:val="18"/>
                <w:lang w:val="en-AU"/>
              </w:rPr>
              <w:t>in a given</w:t>
            </w:r>
            <w:proofErr w:type="gramEnd"/>
            <w:r>
              <w:rPr>
                <w:sz w:val="18"/>
                <w:szCs w:val="18"/>
                <w:lang w:val="en-AU"/>
              </w:rPr>
              <w:t xml:space="preserve"> time (flight rate) and the number of flight movements to cross through a given area of vertical space (flight density).  Collision likelihood is directly related to the flux (flights through a given area </w:t>
            </w:r>
            <w:proofErr w:type="gramStart"/>
            <w:r>
              <w:rPr>
                <w:sz w:val="18"/>
                <w:szCs w:val="18"/>
                <w:lang w:val="en-AU"/>
              </w:rPr>
              <w:t>in a given</w:t>
            </w:r>
            <w:proofErr w:type="gramEnd"/>
            <w:r>
              <w:rPr>
                <w:sz w:val="18"/>
                <w:szCs w:val="18"/>
                <w:lang w:val="en-AU"/>
              </w:rPr>
              <w:t xml:space="preserve"> time), requiring an understanding of the rate and density of flights.</w:t>
            </w:r>
          </w:p>
        </w:tc>
      </w:tr>
      <w:tr w:rsidR="0075180E" w14:paraId="7774D267" w14:textId="77777777" w:rsidTr="5291D45D">
        <w:trPr>
          <w:trHeight w:val="300"/>
        </w:trPr>
        <w:tc>
          <w:tcPr>
            <w:tcW w:w="1890" w:type="dxa"/>
          </w:tcPr>
          <w:p w14:paraId="7E59E7EB" w14:textId="77777777" w:rsidR="0075180E" w:rsidRDefault="008F4B1A">
            <w:pPr>
              <w:pStyle w:val="normal1"/>
              <w:widowControl w:val="0"/>
              <w:spacing w:line="240" w:lineRule="auto"/>
              <w:rPr>
                <w:lang w:val="en-AU"/>
              </w:rPr>
            </w:pPr>
            <w:r>
              <w:rPr>
                <w:sz w:val="18"/>
                <w:szCs w:val="18"/>
                <w:lang w:val="en-AU"/>
              </w:rPr>
              <w:t>Risk category</w:t>
            </w:r>
          </w:p>
        </w:tc>
        <w:tc>
          <w:tcPr>
            <w:tcW w:w="7033" w:type="dxa"/>
          </w:tcPr>
          <w:p w14:paraId="393D0B50" w14:textId="77777777" w:rsidR="0075180E" w:rsidRDefault="008F4B1A">
            <w:pPr>
              <w:pStyle w:val="normal1"/>
              <w:widowControl w:val="0"/>
              <w:spacing w:line="240" w:lineRule="auto"/>
              <w:rPr>
                <w:lang w:val="en-AU"/>
              </w:rPr>
            </w:pPr>
            <w:r>
              <w:rPr>
                <w:sz w:val="18"/>
                <w:szCs w:val="18"/>
                <w:lang w:val="en-AU"/>
              </w:rPr>
              <w:t>A broad set of factors that contribute to an increase in the likelihood of a collision, e.g. exposure to turbine airspace, duration of exposure, ability to avoid.</w:t>
            </w:r>
          </w:p>
        </w:tc>
      </w:tr>
      <w:tr w:rsidR="0075180E" w14:paraId="31A16902" w14:textId="77777777" w:rsidTr="5291D45D">
        <w:trPr>
          <w:trHeight w:val="300"/>
        </w:trPr>
        <w:tc>
          <w:tcPr>
            <w:tcW w:w="1890" w:type="dxa"/>
          </w:tcPr>
          <w:p w14:paraId="7B0CBF16" w14:textId="77777777" w:rsidR="0075180E" w:rsidRDefault="008F4B1A">
            <w:pPr>
              <w:pStyle w:val="normal1"/>
              <w:widowControl w:val="0"/>
              <w:spacing w:line="240" w:lineRule="auto"/>
              <w:rPr>
                <w:lang w:val="en-AU"/>
              </w:rPr>
            </w:pPr>
            <w:r>
              <w:rPr>
                <w:sz w:val="18"/>
                <w:szCs w:val="18"/>
                <w:lang w:val="en-AU"/>
              </w:rPr>
              <w:t>Risk criteria</w:t>
            </w:r>
          </w:p>
        </w:tc>
        <w:tc>
          <w:tcPr>
            <w:tcW w:w="7033" w:type="dxa"/>
          </w:tcPr>
          <w:p w14:paraId="1888B02D" w14:textId="77777777" w:rsidR="0075180E" w:rsidRDefault="008F4B1A">
            <w:pPr>
              <w:pStyle w:val="normal1"/>
              <w:widowControl w:val="0"/>
              <w:spacing w:line="240" w:lineRule="auto"/>
              <w:rPr>
                <w:lang w:val="en-AU"/>
              </w:rPr>
            </w:pPr>
            <w:r>
              <w:rPr>
                <w:sz w:val="18"/>
                <w:szCs w:val="18"/>
                <w:lang w:val="en-AU"/>
              </w:rPr>
              <w:t>A specific type of data that provides information about the risk of collision. Criteria can be quantitative (e.g. flight height distribution) or qualitative (e.g. foraging strategy).</w:t>
            </w:r>
          </w:p>
        </w:tc>
      </w:tr>
      <w:tr w:rsidR="0075180E" w14:paraId="28B72281" w14:textId="77777777" w:rsidTr="5291D45D">
        <w:trPr>
          <w:trHeight w:val="781"/>
        </w:trPr>
        <w:tc>
          <w:tcPr>
            <w:tcW w:w="1890" w:type="dxa"/>
          </w:tcPr>
          <w:p w14:paraId="071A8E51" w14:textId="77777777" w:rsidR="0075180E" w:rsidRDefault="008F4B1A">
            <w:pPr>
              <w:pStyle w:val="normal1"/>
              <w:widowControl w:val="0"/>
              <w:spacing w:line="240" w:lineRule="auto"/>
              <w:rPr>
                <w:lang w:val="en-AU"/>
              </w:rPr>
            </w:pPr>
            <w:r>
              <w:rPr>
                <w:sz w:val="18"/>
                <w:szCs w:val="18"/>
                <w:lang w:val="en-AU"/>
              </w:rPr>
              <w:t>Risk metric</w:t>
            </w:r>
          </w:p>
        </w:tc>
        <w:tc>
          <w:tcPr>
            <w:tcW w:w="7033" w:type="dxa"/>
          </w:tcPr>
          <w:p w14:paraId="3CAB31C1" w14:textId="77777777" w:rsidR="0075180E" w:rsidRDefault="008F4B1A">
            <w:pPr>
              <w:pStyle w:val="normal1"/>
              <w:widowControl w:val="0"/>
              <w:spacing w:line="240" w:lineRule="auto"/>
              <w:rPr>
                <w:lang w:val="en-AU"/>
              </w:rPr>
            </w:pPr>
            <w:r>
              <w:rPr>
                <w:sz w:val="18"/>
                <w:szCs w:val="18"/>
                <w:lang w:val="en-AU"/>
              </w:rPr>
              <w:t xml:space="preserve">A specific value or score that can be calculated and </w:t>
            </w:r>
            <w:proofErr w:type="gramStart"/>
            <w:r>
              <w:rPr>
                <w:sz w:val="18"/>
                <w:szCs w:val="18"/>
                <w:lang w:val="en-AU"/>
              </w:rPr>
              <w:t>entered into</w:t>
            </w:r>
            <w:proofErr w:type="gramEnd"/>
            <w:r>
              <w:rPr>
                <w:sz w:val="18"/>
                <w:szCs w:val="18"/>
                <w:lang w:val="en-AU"/>
              </w:rPr>
              <w:t xml:space="preserve"> a CRM or CLS, e.g. proportion of flights at Rotor Swept Height (quantitative) or a score from 1-5 based on an estimate of frequency of flights at rotor swept height.</w:t>
            </w:r>
          </w:p>
        </w:tc>
      </w:tr>
      <w:tr w:rsidR="0075180E" w14:paraId="6C6387D3" w14:textId="77777777" w:rsidTr="5291D45D">
        <w:trPr>
          <w:trHeight w:val="781"/>
        </w:trPr>
        <w:tc>
          <w:tcPr>
            <w:tcW w:w="1890" w:type="dxa"/>
          </w:tcPr>
          <w:p w14:paraId="4269663B" w14:textId="77777777" w:rsidR="0075180E" w:rsidRDefault="008F4B1A">
            <w:pPr>
              <w:pStyle w:val="normal1"/>
              <w:widowControl w:val="0"/>
              <w:spacing w:line="240" w:lineRule="auto"/>
              <w:rPr>
                <w:lang w:val="en-AU"/>
              </w:rPr>
            </w:pPr>
            <w:r>
              <w:rPr>
                <w:sz w:val="18"/>
                <w:szCs w:val="18"/>
                <w:lang w:val="en-AU"/>
              </w:rPr>
              <w:t>Rotor swept height</w:t>
            </w:r>
          </w:p>
        </w:tc>
        <w:tc>
          <w:tcPr>
            <w:tcW w:w="7033" w:type="dxa"/>
          </w:tcPr>
          <w:p w14:paraId="0D3EBF5B" w14:textId="77777777" w:rsidR="0075180E" w:rsidRDefault="008F4B1A">
            <w:pPr>
              <w:pStyle w:val="normal1"/>
              <w:widowControl w:val="0"/>
              <w:spacing w:line="240" w:lineRule="auto"/>
              <w:rPr>
                <w:lang w:val="en-AU"/>
              </w:rPr>
            </w:pPr>
            <w:r>
              <w:rPr>
                <w:sz w:val="18"/>
                <w:szCs w:val="18"/>
                <w:lang w:val="en-AU"/>
              </w:rPr>
              <w:t xml:space="preserve">The vertical height space at which turbine blades rotate. </w:t>
            </w:r>
          </w:p>
        </w:tc>
      </w:tr>
      <w:tr w:rsidR="0075180E" w14:paraId="7698FFD5" w14:textId="77777777" w:rsidTr="5291D45D">
        <w:trPr>
          <w:trHeight w:val="781"/>
        </w:trPr>
        <w:tc>
          <w:tcPr>
            <w:tcW w:w="1890" w:type="dxa"/>
          </w:tcPr>
          <w:p w14:paraId="1EE51004" w14:textId="77777777" w:rsidR="0075180E" w:rsidRDefault="008F4B1A">
            <w:pPr>
              <w:pStyle w:val="normal1"/>
              <w:widowControl w:val="0"/>
              <w:spacing w:line="240" w:lineRule="auto"/>
              <w:rPr>
                <w:lang w:val="en-AU"/>
              </w:rPr>
            </w:pPr>
            <w:r>
              <w:rPr>
                <w:sz w:val="18"/>
                <w:szCs w:val="18"/>
                <w:lang w:val="en-AU"/>
              </w:rPr>
              <w:t>Seasonal patterns</w:t>
            </w:r>
          </w:p>
        </w:tc>
        <w:tc>
          <w:tcPr>
            <w:tcW w:w="7033" w:type="dxa"/>
          </w:tcPr>
          <w:p w14:paraId="423215E4" w14:textId="77777777" w:rsidR="0075180E" w:rsidRDefault="008F4B1A">
            <w:pPr>
              <w:pStyle w:val="normal1"/>
              <w:widowControl w:val="0"/>
              <w:rPr>
                <w:lang w:val="en-AU"/>
              </w:rPr>
            </w:pPr>
            <w:r>
              <w:rPr>
                <w:sz w:val="18"/>
                <w:szCs w:val="18"/>
                <w:lang w:val="en-AU"/>
              </w:rPr>
              <w:t>Proportion of time a target species is likely to be present on proposed wind farm site across a year</w:t>
            </w:r>
          </w:p>
        </w:tc>
      </w:tr>
      <w:tr w:rsidR="0075180E" w14:paraId="65FADC58" w14:textId="77777777" w:rsidTr="5291D45D">
        <w:trPr>
          <w:trHeight w:val="781"/>
        </w:trPr>
        <w:tc>
          <w:tcPr>
            <w:tcW w:w="1890" w:type="dxa"/>
          </w:tcPr>
          <w:p w14:paraId="67A48C19" w14:textId="77777777" w:rsidR="0075180E" w:rsidRDefault="008F4B1A">
            <w:pPr>
              <w:pStyle w:val="normal1"/>
              <w:widowControl w:val="0"/>
              <w:spacing w:line="240" w:lineRule="auto"/>
              <w:rPr>
                <w:lang w:val="en-AU"/>
              </w:rPr>
            </w:pPr>
            <w:r>
              <w:rPr>
                <w:sz w:val="18"/>
                <w:szCs w:val="18"/>
                <w:lang w:val="en-AU"/>
              </w:rPr>
              <w:lastRenderedPageBreak/>
              <w:t>Spatial use patterns</w:t>
            </w:r>
          </w:p>
        </w:tc>
        <w:tc>
          <w:tcPr>
            <w:tcW w:w="7033" w:type="dxa"/>
          </w:tcPr>
          <w:p w14:paraId="3291BA87" w14:textId="77777777" w:rsidR="0075180E" w:rsidRDefault="008F4B1A">
            <w:pPr>
              <w:pStyle w:val="normal1"/>
              <w:widowControl w:val="0"/>
              <w:spacing w:line="240" w:lineRule="auto"/>
              <w:rPr>
                <w:lang w:val="en-AU"/>
              </w:rPr>
            </w:pPr>
            <w:r>
              <w:rPr>
                <w:sz w:val="18"/>
                <w:szCs w:val="18"/>
                <w:lang w:val="en-AU"/>
              </w:rPr>
              <w:t>Proportion of time a target species is likely to be at a given location during its time on the wind farm site</w:t>
            </w:r>
          </w:p>
        </w:tc>
      </w:tr>
      <w:tr w:rsidR="0075180E" w14:paraId="3D610AA4" w14:textId="77777777" w:rsidTr="5291D45D">
        <w:trPr>
          <w:trHeight w:val="781"/>
        </w:trPr>
        <w:tc>
          <w:tcPr>
            <w:tcW w:w="1890" w:type="dxa"/>
          </w:tcPr>
          <w:p w14:paraId="62D762D0" w14:textId="77777777" w:rsidR="0075180E" w:rsidRDefault="008F4B1A">
            <w:pPr>
              <w:pStyle w:val="normal1"/>
              <w:widowControl w:val="0"/>
              <w:spacing w:line="240" w:lineRule="auto"/>
              <w:rPr>
                <w:lang w:val="en-AU"/>
              </w:rPr>
            </w:pPr>
            <w:r>
              <w:rPr>
                <w:sz w:val="18"/>
                <w:szCs w:val="18"/>
                <w:lang w:val="en-AU"/>
              </w:rPr>
              <w:t>Species morphology</w:t>
            </w:r>
          </w:p>
        </w:tc>
        <w:tc>
          <w:tcPr>
            <w:tcW w:w="7033" w:type="dxa"/>
          </w:tcPr>
          <w:p w14:paraId="1F47876B" w14:textId="77777777" w:rsidR="0075180E" w:rsidRDefault="008F4B1A">
            <w:pPr>
              <w:pStyle w:val="normal1"/>
              <w:widowControl w:val="0"/>
              <w:spacing w:line="240" w:lineRule="auto"/>
              <w:rPr>
                <w:lang w:val="en-AU"/>
              </w:rPr>
            </w:pPr>
            <w:r>
              <w:rPr>
                <w:sz w:val="18"/>
                <w:szCs w:val="18"/>
                <w:lang w:val="en-AU"/>
              </w:rPr>
              <w:t>The outward appearance of a species. For the purposes of collision risk assessment, we are specifically interested in size measures (length, wingspan etc), mass and flight speed.</w:t>
            </w:r>
          </w:p>
        </w:tc>
      </w:tr>
      <w:tr w:rsidR="0075180E" w14:paraId="08757A4A" w14:textId="77777777" w:rsidTr="5291D45D">
        <w:trPr>
          <w:trHeight w:val="781"/>
        </w:trPr>
        <w:tc>
          <w:tcPr>
            <w:tcW w:w="1890" w:type="dxa"/>
          </w:tcPr>
          <w:p w14:paraId="6E568AA7" w14:textId="77777777" w:rsidR="0075180E" w:rsidRDefault="008F4B1A">
            <w:pPr>
              <w:pStyle w:val="normal1"/>
              <w:widowControl w:val="0"/>
              <w:spacing w:line="240" w:lineRule="auto"/>
              <w:rPr>
                <w:lang w:val="en-AU"/>
              </w:rPr>
            </w:pPr>
            <w:r>
              <w:rPr>
                <w:sz w:val="18"/>
                <w:szCs w:val="18"/>
                <w:lang w:val="en-AU"/>
              </w:rPr>
              <w:t>Species manoeuvrability</w:t>
            </w:r>
          </w:p>
        </w:tc>
        <w:tc>
          <w:tcPr>
            <w:tcW w:w="7033" w:type="dxa"/>
          </w:tcPr>
          <w:p w14:paraId="67277B4B" w14:textId="5B9D233D" w:rsidR="0075180E" w:rsidRDefault="5291D45D" w:rsidP="5291D45D">
            <w:pPr>
              <w:pStyle w:val="normal1"/>
              <w:widowControl w:val="0"/>
              <w:spacing w:line="240" w:lineRule="auto"/>
              <w:rPr>
                <w:lang w:val="en-AU"/>
              </w:rPr>
            </w:pPr>
            <w:r w:rsidRPr="5291D45D">
              <w:rPr>
                <w:sz w:val="18"/>
                <w:szCs w:val="18"/>
                <w:lang w:val="en-AU"/>
              </w:rPr>
              <w:t xml:space="preserve">The natural ability for a volant species to rapidly change flight trajectory, height, speed etc. </w:t>
            </w:r>
          </w:p>
          <w:p w14:paraId="57CB6DA7" w14:textId="2A61DF65" w:rsidR="0075180E" w:rsidRDefault="0075180E" w:rsidP="5291D45D">
            <w:pPr>
              <w:pStyle w:val="normal1"/>
              <w:widowControl w:val="0"/>
              <w:spacing w:line="240" w:lineRule="auto"/>
              <w:rPr>
                <w:sz w:val="18"/>
                <w:szCs w:val="18"/>
                <w:lang w:val="en-AU"/>
              </w:rPr>
            </w:pPr>
          </w:p>
        </w:tc>
      </w:tr>
      <w:tr w:rsidR="0075180E" w14:paraId="1DB5AD3C" w14:textId="77777777" w:rsidTr="5291D45D">
        <w:trPr>
          <w:trHeight w:val="1095"/>
        </w:trPr>
        <w:tc>
          <w:tcPr>
            <w:tcW w:w="1890" w:type="dxa"/>
          </w:tcPr>
          <w:p w14:paraId="51771D87" w14:textId="77777777" w:rsidR="0075180E" w:rsidRDefault="008F4B1A">
            <w:pPr>
              <w:pStyle w:val="normal1"/>
              <w:widowControl w:val="0"/>
              <w:spacing w:line="240" w:lineRule="auto"/>
              <w:rPr>
                <w:lang w:val="en-AU"/>
              </w:rPr>
            </w:pPr>
            <w:r>
              <w:rPr>
                <w:sz w:val="18"/>
                <w:szCs w:val="18"/>
                <w:lang w:val="en-AU"/>
              </w:rPr>
              <w:t>Turbine airspace</w:t>
            </w:r>
          </w:p>
        </w:tc>
        <w:tc>
          <w:tcPr>
            <w:tcW w:w="7033" w:type="dxa"/>
          </w:tcPr>
          <w:p w14:paraId="34B7BE32" w14:textId="22095B8E" w:rsidR="0075180E" w:rsidRDefault="5291D45D" w:rsidP="5291D45D">
            <w:pPr>
              <w:pStyle w:val="normal1"/>
              <w:widowControl w:val="0"/>
              <w:spacing w:line="240" w:lineRule="auto"/>
              <w:rPr>
                <w:lang w:val="en-AU"/>
              </w:rPr>
            </w:pPr>
            <w:r w:rsidRPr="5291D45D">
              <w:rPr>
                <w:sz w:val="18"/>
                <w:szCs w:val="18"/>
                <w:lang w:val="en-AU"/>
              </w:rPr>
              <w:t>The column of vertical space spanning ground to maximum rotor swept height, and diameter equal to the rotor diameter, centred on the turbine tower.  The likelihood of collision is much greater within rotor swept height; for that reason, some models ignore the area below minimum rotor swept height, others calculate it.</w:t>
            </w:r>
          </w:p>
          <w:p w14:paraId="0341015F" w14:textId="49B3A091" w:rsidR="0075180E" w:rsidRDefault="0075180E" w:rsidP="5291D45D">
            <w:pPr>
              <w:pStyle w:val="normal1"/>
              <w:widowControl w:val="0"/>
              <w:spacing w:line="240" w:lineRule="auto"/>
              <w:rPr>
                <w:sz w:val="18"/>
                <w:szCs w:val="18"/>
                <w:lang w:val="en-AU"/>
              </w:rPr>
            </w:pPr>
          </w:p>
        </w:tc>
      </w:tr>
    </w:tbl>
    <w:p w14:paraId="79D3BED8" w14:textId="0C42850C" w:rsidR="5291D45D" w:rsidRDefault="5291D45D" w:rsidP="5291D45D">
      <w:pPr>
        <w:pStyle w:val="Heading1"/>
        <w:rPr>
          <w:lang w:val="en-AU"/>
        </w:rPr>
      </w:pPr>
    </w:p>
    <w:p w14:paraId="2E9DB0A8" w14:textId="38F5348A" w:rsidR="5291D45D" w:rsidRDefault="5291D45D">
      <w:pPr>
        <w:pStyle w:val="normal1"/>
      </w:pPr>
      <w:r>
        <w:br w:type="page"/>
      </w:r>
    </w:p>
    <w:p w14:paraId="2664F4B3" w14:textId="77777777" w:rsidR="0075180E" w:rsidRDefault="008F4B1A">
      <w:pPr>
        <w:pStyle w:val="Heading1"/>
        <w:rPr>
          <w:lang w:val="en-AU"/>
        </w:rPr>
      </w:pPr>
      <w:bookmarkStart w:id="5" w:name="_e1gi34fubaa0"/>
      <w:bookmarkStart w:id="6" w:name="_Toc1921478475"/>
      <w:bookmarkEnd w:id="5"/>
      <w:r>
        <w:rPr>
          <w:lang w:val="en-AU"/>
        </w:rPr>
        <w:lastRenderedPageBreak/>
        <w:t>Executive Summary</w:t>
      </w:r>
      <w:bookmarkEnd w:id="6"/>
    </w:p>
    <w:p w14:paraId="7770FB1D" w14:textId="77777777" w:rsidR="0075180E" w:rsidRDefault="008F4B1A">
      <w:pPr>
        <w:pStyle w:val="normal1"/>
        <w:rPr>
          <w:lang w:val="en-AU"/>
        </w:rPr>
      </w:pPr>
      <w:r>
        <w:rPr>
          <w:lang w:val="en-AU"/>
        </w:rPr>
        <w:t xml:space="preserve">The Australian Collision Risk Framework (ACRF) provides a standardised, transparent, and robust methodology for measuring, estimating, and managing the likelihood of bird and bat collisions at onshore and offshore wind farms. This report establishes the evidence base for the framework, addressing the need for consistent assessment of species listed under the Environment Protection and Biodiversity Conservation Act 1999 (EPBC Act). </w:t>
      </w:r>
    </w:p>
    <w:p w14:paraId="1F8BD224" w14:textId="77777777" w:rsidR="0075180E" w:rsidRDefault="008F4B1A">
      <w:pPr>
        <w:pStyle w:val="normal1"/>
        <w:rPr>
          <w:lang w:val="en-AU"/>
        </w:rPr>
      </w:pPr>
      <w:r>
        <w:rPr>
          <w:lang w:val="en-AU"/>
        </w:rPr>
        <w:t>It is intended for proponents, regulators, and consultants to foster a clearer understanding of the evidence underpinning the ACRF, ensuring that the framework is interpreted correctly, applied appropriately, used defensibly in decision making, and relied upon to inform appropriate and effective mitigation strategies.</w:t>
      </w:r>
    </w:p>
    <w:p w14:paraId="3CF4FBAD" w14:textId="77777777" w:rsidR="0075180E" w:rsidRDefault="008F4B1A">
      <w:pPr>
        <w:pStyle w:val="Heading2"/>
        <w:rPr>
          <w:lang w:val="en-AU"/>
        </w:rPr>
      </w:pPr>
      <w:bookmarkStart w:id="7" w:name="_2uuiytaoj2gz"/>
      <w:bookmarkStart w:id="8" w:name="_Toc1849890625"/>
      <w:bookmarkEnd w:id="7"/>
      <w:r>
        <w:rPr>
          <w:lang w:val="en-AU"/>
        </w:rPr>
        <w:t>What's new</w:t>
      </w:r>
      <w:bookmarkEnd w:id="8"/>
    </w:p>
    <w:p w14:paraId="4B3E970F" w14:textId="77777777" w:rsidR="0075180E" w:rsidRDefault="008F4B1A">
      <w:pPr>
        <w:pStyle w:val="normal1"/>
        <w:rPr>
          <w:lang w:val="en-AU"/>
        </w:rPr>
      </w:pPr>
      <w:r>
        <w:rPr>
          <w:lang w:val="en-AU"/>
        </w:rPr>
        <w:t xml:space="preserve">This work synthesises the current state of practice for collision risk assessment in Australia alongside a review of the Australian and international best-practice guidelines and models. This synthesis directly informs the guiding principles for the ACRF that draws from best practice while being mindful of the current processes and methods in use.  </w:t>
      </w:r>
    </w:p>
    <w:p w14:paraId="375E2B93" w14:textId="1E500092" w:rsidR="0075180E" w:rsidRDefault="271A6B99">
      <w:pPr>
        <w:pStyle w:val="normal1"/>
        <w:rPr>
          <w:lang w:val="en-AU"/>
        </w:rPr>
      </w:pPr>
      <w:r w:rsidRPr="271A6B99">
        <w:rPr>
          <w:lang w:val="en-AU"/>
        </w:rPr>
        <w:t>For the first time, it provides a standardised dataset of risk criteria for all EPBC-listed birds and bats, as well as migratory and marine species, to underpin site-specific risk assessments. This builds on recent work by Reid and Baker (2025) regional risk assessment to focus on site-scale metrics also. The data collated during this review will be made available via a species traits online tool for use in collision risk assessments. In this way we aim to move away from author-specific definitions of "likelihood" towards a structured approach that allows site assessments to be compared and combined for cumulative impact analysis.</w:t>
      </w:r>
    </w:p>
    <w:p w14:paraId="24924C10" w14:textId="77777777" w:rsidR="0075180E" w:rsidRDefault="008F4B1A">
      <w:pPr>
        <w:pStyle w:val="Heading2"/>
        <w:rPr>
          <w:lang w:val="en-AU"/>
        </w:rPr>
      </w:pPr>
      <w:bookmarkStart w:id="9" w:name="_jt2xxgkrilbi"/>
      <w:bookmarkStart w:id="10" w:name="_Toc1540344324"/>
      <w:bookmarkEnd w:id="9"/>
      <w:r>
        <w:rPr>
          <w:lang w:val="en-AU"/>
        </w:rPr>
        <w:t>Methods</w:t>
      </w:r>
      <w:bookmarkEnd w:id="10"/>
    </w:p>
    <w:p w14:paraId="6F054339" w14:textId="77777777" w:rsidR="0075180E" w:rsidRDefault="008F4B1A">
      <w:pPr>
        <w:pStyle w:val="normal1"/>
        <w:rPr>
          <w:lang w:val="en-AU"/>
        </w:rPr>
      </w:pPr>
      <w:r>
        <w:rPr>
          <w:lang w:val="en-AU"/>
        </w:rPr>
        <w:t>The findings in this report are based on a comprehensive literature review of existing Australian and international regulatory frameworks, models and species data. To ensure international independence, the project engaged US-based experts to conduct a "rapid scan" of published collision risk models (CRM) and their technical requirements. Furthermore, the team reviewed current Australian practice by analysing EPBC Act referral documentation and approved Bird and Bat Adaptive Management Plans (BBMPs) for 182 wind farm projects. Finally, a set of functional species traits was developed and collated to inform future data collection and modelling.</w:t>
      </w:r>
    </w:p>
    <w:p w14:paraId="0ECFDF18" w14:textId="77777777" w:rsidR="0075180E" w:rsidRDefault="008F4B1A">
      <w:pPr>
        <w:pStyle w:val="Heading2"/>
        <w:rPr>
          <w:lang w:val="en-AU"/>
        </w:rPr>
      </w:pPr>
      <w:bookmarkStart w:id="11" w:name="_w7l402w1ufpq"/>
      <w:bookmarkStart w:id="12" w:name="_Toc719615522"/>
      <w:bookmarkEnd w:id="11"/>
      <w:r>
        <w:rPr>
          <w:lang w:val="en-AU"/>
        </w:rPr>
        <w:lastRenderedPageBreak/>
        <w:t>Findings</w:t>
      </w:r>
      <w:bookmarkEnd w:id="12"/>
      <w:r>
        <w:rPr>
          <w:lang w:val="en-AU"/>
        </w:rPr>
        <w:t xml:space="preserve"> </w:t>
      </w:r>
    </w:p>
    <w:p w14:paraId="2A01F71A" w14:textId="77777777" w:rsidR="0075180E" w:rsidRDefault="008F4B1A">
      <w:pPr>
        <w:pStyle w:val="normal1"/>
        <w:rPr>
          <w:lang w:val="en-AU"/>
        </w:rPr>
      </w:pPr>
      <w:r>
        <w:rPr>
          <w:lang w:val="en-AU"/>
        </w:rPr>
        <w:t>Our review found that while many international frameworks offer useful elements, none currently address the diversity of species and environments required for the Australian context with sufficient precision. Key findings include:</w:t>
      </w:r>
    </w:p>
    <w:p w14:paraId="03D2E50D" w14:textId="77777777" w:rsidR="0075180E" w:rsidRDefault="008F4B1A">
      <w:pPr>
        <w:pStyle w:val="normal1"/>
        <w:spacing w:line="240" w:lineRule="auto"/>
        <w:rPr>
          <w:lang w:val="en-AU"/>
        </w:rPr>
      </w:pPr>
      <w:r>
        <w:rPr>
          <w:b/>
          <w:bCs/>
          <w:lang w:val="en-AU"/>
        </w:rPr>
        <w:t>Inconsistency in practice</w:t>
      </w:r>
      <w:r>
        <w:rPr>
          <w:lang w:val="en-AU"/>
        </w:rPr>
        <w:t>: Australian impact assessments currently use a variety of qualitative and quantitative approaches with no standard reporting of model inputs, making results difficult to reproduce or validate.</w:t>
      </w:r>
    </w:p>
    <w:p w14:paraId="27F7DD50" w14:textId="77777777" w:rsidR="0075180E" w:rsidRDefault="008F4B1A">
      <w:pPr>
        <w:pStyle w:val="normal1"/>
        <w:rPr>
          <w:lang w:val="en-AU"/>
        </w:rPr>
      </w:pPr>
      <w:r>
        <w:rPr>
          <w:b/>
          <w:bCs/>
          <w:lang w:val="en-AU"/>
        </w:rPr>
        <w:t>Modelling gaps</w:t>
      </w:r>
      <w:r>
        <w:rPr>
          <w:lang w:val="en-AU"/>
        </w:rPr>
        <w:t>: While quantitative models exist for diurnal birds, there is no currently accepted model for predicting annual collision rates for bats or flying foxes; these species are currently managed via qualitative assessment.</w:t>
      </w:r>
    </w:p>
    <w:p w14:paraId="2EC2839D" w14:textId="77777777" w:rsidR="0075180E" w:rsidRDefault="008F4B1A">
      <w:pPr>
        <w:pStyle w:val="normal1"/>
        <w:rPr>
          <w:lang w:val="en-AU"/>
        </w:rPr>
      </w:pPr>
      <w:r>
        <w:rPr>
          <w:b/>
          <w:bCs/>
          <w:lang w:val="en-AU"/>
        </w:rPr>
        <w:t>The importance of standardised collision criteria</w:t>
      </w:r>
      <w:r>
        <w:rPr>
          <w:lang w:val="en-AU"/>
        </w:rPr>
        <w:t>: Species traits (such as flight height, manoeuvrability, and activity patterns) are critical for assessing potential risk during initial site investigations and for designing optimal field surveys.</w:t>
      </w:r>
    </w:p>
    <w:p w14:paraId="012ADCBA" w14:textId="77777777" w:rsidR="0075180E" w:rsidRDefault="008F4B1A">
      <w:pPr>
        <w:pStyle w:val="normal1"/>
        <w:rPr>
          <w:lang w:val="en-AU"/>
        </w:rPr>
      </w:pPr>
      <w:r>
        <w:rPr>
          <w:b/>
          <w:bCs/>
          <w:lang w:val="en-AU"/>
        </w:rPr>
        <w:t>Pathways to assessment</w:t>
      </w:r>
      <w:r>
        <w:rPr>
          <w:lang w:val="en-AU"/>
        </w:rPr>
        <w:t>: The ACRF must support multiple pathways—qualitative assessments for rare species or data-poor environments, and quantitative models when robust flight activity data is available.</w:t>
      </w:r>
    </w:p>
    <w:p w14:paraId="4F14E1B9" w14:textId="77777777" w:rsidR="0075180E" w:rsidRDefault="008F4B1A">
      <w:pPr>
        <w:pStyle w:val="normal1"/>
        <w:rPr>
          <w:lang w:val="en-AU"/>
        </w:rPr>
      </w:pPr>
      <w:r>
        <w:rPr>
          <w:lang w:val="en-AU"/>
        </w:rPr>
        <w:t xml:space="preserve">Predicting collision mortality remains technically challenging. Even well-established quantitative models are highly sensitive to uncertain inputs like flight </w:t>
      </w:r>
      <w:bookmarkStart w:id="13" w:name="_Int_p8N9zA8k"/>
      <w:r>
        <w:rPr>
          <w:lang w:val="en-AU"/>
        </w:rPr>
        <w:t>speed, and</w:t>
      </w:r>
      <w:bookmarkEnd w:id="13"/>
      <w:r>
        <w:rPr>
          <w:lang w:val="en-AU"/>
        </w:rPr>
        <w:t xml:space="preserve"> attempts to validate their predictive power have produced ambiguous results. Significant data gaps remain for nocturnal birds and all bat species. Additionally, many quantitative models are proprietary, which restricts their transparency and the ability for the industry to extend or improve them.</w:t>
      </w:r>
    </w:p>
    <w:p w14:paraId="063688AB" w14:textId="77777777" w:rsidR="0075180E" w:rsidRDefault="008F4B1A">
      <w:pPr>
        <w:pStyle w:val="Heading2"/>
        <w:rPr>
          <w:lang w:val="en-AU"/>
        </w:rPr>
      </w:pPr>
      <w:bookmarkStart w:id="14" w:name="_ywon79em4d5k"/>
      <w:bookmarkStart w:id="15" w:name="_Toc1637420117"/>
      <w:bookmarkEnd w:id="14"/>
      <w:r>
        <w:rPr>
          <w:lang w:val="en-AU"/>
        </w:rPr>
        <w:t>How to use this report</w:t>
      </w:r>
      <w:bookmarkEnd w:id="15"/>
      <w:r>
        <w:rPr>
          <w:lang w:val="en-AU"/>
        </w:rPr>
        <w:t xml:space="preserve"> </w:t>
      </w:r>
    </w:p>
    <w:p w14:paraId="2770088E" w14:textId="77777777" w:rsidR="0075180E" w:rsidRDefault="008F4B1A">
      <w:pPr>
        <w:pStyle w:val="normal1"/>
        <w:rPr>
          <w:lang w:val="en-AU"/>
        </w:rPr>
      </w:pPr>
      <w:r>
        <w:rPr>
          <w:lang w:val="en-AU"/>
        </w:rPr>
        <w:t>This report should be used as a reference for understanding the evidence base and rationale behind the ACRF.</w:t>
      </w:r>
    </w:p>
    <w:p w14:paraId="6C9C131F" w14:textId="77777777" w:rsidR="0075180E" w:rsidRDefault="008F4B1A">
      <w:pPr>
        <w:pStyle w:val="normal1"/>
        <w:rPr>
          <w:lang w:val="en-AU"/>
        </w:rPr>
      </w:pPr>
      <w:r>
        <w:rPr>
          <w:b/>
          <w:bCs/>
          <w:lang w:val="en-AU"/>
        </w:rPr>
        <w:t>Regulators and Proponents</w:t>
      </w:r>
      <w:r>
        <w:rPr>
          <w:lang w:val="en-AU"/>
        </w:rPr>
        <w:t xml:space="preserve">: Use the synthesis in </w:t>
      </w:r>
      <w:r>
        <w:rPr>
          <w:b/>
          <w:bCs/>
          <w:lang w:val="en-AU"/>
        </w:rPr>
        <w:t>Table 1</w:t>
      </w:r>
      <w:r>
        <w:rPr>
          <w:lang w:val="en-AU"/>
        </w:rPr>
        <w:t xml:space="preserve"> to understand best-practice expectations across all project stages, from site characterisation to operation.</w:t>
      </w:r>
    </w:p>
    <w:p w14:paraId="6B0E6127" w14:textId="77777777" w:rsidR="0075180E" w:rsidRDefault="008F4B1A">
      <w:pPr>
        <w:pStyle w:val="normal1"/>
        <w:rPr>
          <w:lang w:val="en-AU"/>
        </w:rPr>
      </w:pPr>
      <w:r>
        <w:rPr>
          <w:b/>
          <w:bCs/>
          <w:lang w:val="en-AU"/>
        </w:rPr>
        <w:t>Consultants</w:t>
      </w:r>
      <w:r>
        <w:rPr>
          <w:lang w:val="en-AU"/>
        </w:rPr>
        <w:t>: Use the categorisation of models and functional traits to justify the selection of a specific assessment pathway (qualitative or quantitative) for a given site.</w:t>
      </w:r>
    </w:p>
    <w:p w14:paraId="1F36AD37" w14:textId="77777777" w:rsidR="0075180E" w:rsidRDefault="5291D45D">
      <w:pPr>
        <w:pStyle w:val="normal1"/>
        <w:rPr>
          <w:lang w:val="en-AU"/>
        </w:rPr>
      </w:pPr>
      <w:r w:rsidRPr="5291D45D">
        <w:rPr>
          <w:b/>
          <w:bCs/>
          <w:lang w:val="en-AU"/>
        </w:rPr>
        <w:t>Survey Design</w:t>
      </w:r>
      <w:r w:rsidRPr="5291D45D">
        <w:rPr>
          <w:lang w:val="en-AU"/>
        </w:rPr>
        <w:t>: Reference the species trait analysis to ensure field programs are capturing the specific data (e.g., flight height distribution) required for robust modelling.</w:t>
      </w:r>
    </w:p>
    <w:p w14:paraId="7F530D25" w14:textId="06650BE6" w:rsidR="5291D45D" w:rsidRDefault="5291D45D">
      <w:pPr>
        <w:pStyle w:val="normal1"/>
      </w:pPr>
      <w:r>
        <w:br w:type="page"/>
      </w:r>
    </w:p>
    <w:p w14:paraId="7EC229A7" w14:textId="6F03990E" w:rsidR="5291D45D" w:rsidRDefault="5291D45D" w:rsidP="5291D45D">
      <w:pPr>
        <w:pStyle w:val="normal1"/>
        <w:rPr>
          <w:lang w:val="en-AU"/>
        </w:rPr>
      </w:pPr>
    </w:p>
    <w:p w14:paraId="3C6B48E2" w14:textId="47CCFD0B" w:rsidR="0075180E" w:rsidRDefault="5291D45D">
      <w:pPr>
        <w:pStyle w:val="Heading1"/>
        <w:rPr>
          <w:lang w:val="en-AU"/>
        </w:rPr>
      </w:pPr>
      <w:bookmarkStart w:id="16" w:name="_eww26rdgiwdv"/>
      <w:bookmarkStart w:id="17" w:name="_Toc376085832"/>
      <w:bookmarkEnd w:id="16"/>
      <w:r w:rsidRPr="5291D45D">
        <w:rPr>
          <w:lang w:val="en-AU"/>
        </w:rPr>
        <w:t>Research overview</w:t>
      </w:r>
      <w:bookmarkEnd w:id="17"/>
    </w:p>
    <w:p w14:paraId="3BF49AC4" w14:textId="77777777" w:rsidR="0075180E" w:rsidRDefault="008F4B1A">
      <w:pPr>
        <w:pStyle w:val="normal1"/>
        <w:rPr>
          <w:lang w:val="en-AU"/>
        </w:rPr>
      </w:pPr>
      <w:r>
        <w:rPr>
          <w:lang w:val="en-AU"/>
        </w:rPr>
        <w:t>The Australian Collision Risk Framework (ACRF) will guide users through the end-to-end process of measuring, estimating and managing the likelihood of collision for bird and bat species. It is designed for use during the project development phase.</w:t>
      </w:r>
    </w:p>
    <w:p w14:paraId="3BB6921C" w14:textId="77777777" w:rsidR="0075180E" w:rsidRDefault="008F4B1A">
      <w:pPr>
        <w:pStyle w:val="normal1"/>
        <w:rPr>
          <w:lang w:val="en-AU"/>
        </w:rPr>
      </w:pPr>
      <w:r>
        <w:rPr>
          <w:lang w:val="en-AU"/>
        </w:rPr>
        <w:t xml:space="preserve">The key purpose of the project is to provide a standardised, transparent and robust methodology by which the collision risk assessment of EPBC-listed species can be undertaken, provided and assessed under the </w:t>
      </w:r>
      <w:r>
        <w:rPr>
          <w:i/>
          <w:iCs/>
          <w:lang w:val="en-AU"/>
        </w:rPr>
        <w:t>Environment Protection and Biodiversity Conservation Act 1999</w:t>
      </w:r>
      <w:r>
        <w:rPr>
          <w:lang w:val="en-AU"/>
        </w:rPr>
        <w:t xml:space="preserve"> (EPBC Act). </w:t>
      </w:r>
    </w:p>
    <w:p w14:paraId="17D73C3F" w14:textId="77777777" w:rsidR="0075180E" w:rsidRDefault="008F4B1A">
      <w:pPr>
        <w:pStyle w:val="normal1"/>
        <w:rPr>
          <w:lang w:val="en-AU"/>
        </w:rPr>
      </w:pPr>
      <w:r>
        <w:rPr>
          <w:lang w:val="en-AU"/>
        </w:rPr>
        <w:t xml:space="preserve">The ACRF will deliver on related objectives requiring a mix of desktop research, guidance development and decision support tools. </w:t>
      </w:r>
      <w:r>
        <w:rPr>
          <w:b/>
          <w:bCs/>
          <w:lang w:val="en-AU"/>
        </w:rPr>
        <w:t>This document summarises the methodology and results of a literature review designed to address the project's research objectives and to form an evidence base for the methodology objectives</w:t>
      </w:r>
    </w:p>
    <w:p w14:paraId="79344853" w14:textId="77777777" w:rsidR="0075180E" w:rsidRDefault="008F4B1A">
      <w:pPr>
        <w:pStyle w:val="Heading2"/>
        <w:rPr>
          <w:lang w:val="en-AU"/>
        </w:rPr>
      </w:pPr>
      <w:bookmarkStart w:id="18" w:name="_ptn2sobd9k36"/>
      <w:bookmarkStart w:id="19" w:name="_Toc1117740962"/>
      <w:bookmarkEnd w:id="18"/>
      <w:r>
        <w:rPr>
          <w:lang w:val="en-AU"/>
        </w:rPr>
        <w:t>ACRF research objectives</w:t>
      </w:r>
      <w:bookmarkEnd w:id="19"/>
    </w:p>
    <w:p w14:paraId="5003079F" w14:textId="77777777" w:rsidR="0075180E" w:rsidRDefault="008F4B1A">
      <w:pPr>
        <w:pStyle w:val="normal1"/>
        <w:rPr>
          <w:lang w:val="en-AU"/>
        </w:rPr>
      </w:pPr>
      <w:r>
        <w:rPr>
          <w:lang w:val="en-AU"/>
        </w:rPr>
        <w:t>The research objectives of the ACRF project are to:</w:t>
      </w:r>
    </w:p>
    <w:p w14:paraId="52352FF0" w14:textId="77777777" w:rsidR="0075180E" w:rsidRDefault="008F4B1A">
      <w:pPr>
        <w:pStyle w:val="normal1"/>
        <w:numPr>
          <w:ilvl w:val="0"/>
          <w:numId w:val="22"/>
        </w:numPr>
        <w:rPr>
          <w:lang w:val="en-AU"/>
        </w:rPr>
      </w:pPr>
      <w:r>
        <w:rPr>
          <w:lang w:val="en-AU"/>
        </w:rPr>
        <w:t>Determine the most accurate and precise method for predicting collision risk for EPBC-listed bird and bat species with onshore and offshore wind turbines in Australia.</w:t>
      </w:r>
    </w:p>
    <w:p w14:paraId="66C739EE" w14:textId="77777777" w:rsidR="0075180E" w:rsidRDefault="008F4B1A">
      <w:pPr>
        <w:pStyle w:val="normal1"/>
        <w:numPr>
          <w:ilvl w:val="0"/>
          <w:numId w:val="22"/>
        </w:numPr>
        <w:rPr>
          <w:lang w:val="en-AU"/>
        </w:rPr>
      </w:pPr>
      <w:r>
        <w:rPr>
          <w:lang w:val="en-AU"/>
        </w:rPr>
        <w:t>Review and analyse international regulators’ approaches to collision risk assessment for wind developments, identifying models, methodologies and data standards that can be adapted for use in the Australian context.</w:t>
      </w:r>
    </w:p>
    <w:p w14:paraId="06F0DD1A" w14:textId="77777777" w:rsidR="0075180E" w:rsidRDefault="008F4B1A">
      <w:pPr>
        <w:pStyle w:val="normal1"/>
        <w:numPr>
          <w:ilvl w:val="0"/>
          <w:numId w:val="22"/>
        </w:numPr>
        <w:rPr>
          <w:lang w:val="en-AU"/>
        </w:rPr>
      </w:pPr>
      <w:r>
        <w:rPr>
          <w:lang w:val="en-AU"/>
        </w:rPr>
        <w:t>Assess the applicability and limitations of collision risk modelling (CRM) as a best practice for all EPBC-listed bird and bat species at risk of turbine collisions.</w:t>
      </w:r>
    </w:p>
    <w:p w14:paraId="7675D0D5" w14:textId="77777777" w:rsidR="0075180E" w:rsidRDefault="008F4B1A">
      <w:pPr>
        <w:pStyle w:val="normal1"/>
        <w:numPr>
          <w:ilvl w:val="0"/>
          <w:numId w:val="22"/>
        </w:numPr>
        <w:rPr>
          <w:lang w:val="en-AU"/>
        </w:rPr>
      </w:pPr>
      <w:r>
        <w:rPr>
          <w:lang w:val="en-AU"/>
        </w:rPr>
        <w:t>This will inform the methodology and guidance development objectives, to</w:t>
      </w:r>
    </w:p>
    <w:p w14:paraId="72969D3D" w14:textId="77777777" w:rsidR="0075180E" w:rsidRDefault="008F4B1A">
      <w:pPr>
        <w:pStyle w:val="normal1"/>
        <w:numPr>
          <w:ilvl w:val="0"/>
          <w:numId w:val="22"/>
        </w:numPr>
        <w:rPr>
          <w:lang w:val="en-AU"/>
        </w:rPr>
      </w:pPr>
      <w:r>
        <w:rPr>
          <w:lang w:val="en-AU"/>
        </w:rPr>
        <w:t>Develop a standardised and transparent CRM approach suitable for consistent use by proponents and regulators in onshore and offshore wind development assessments under the EPBC Act.</w:t>
      </w:r>
    </w:p>
    <w:p w14:paraId="69C64443" w14:textId="77777777" w:rsidR="0075180E" w:rsidRDefault="008F4B1A">
      <w:pPr>
        <w:pStyle w:val="normal1"/>
        <w:numPr>
          <w:ilvl w:val="0"/>
          <w:numId w:val="22"/>
        </w:numPr>
        <w:rPr>
          <w:lang w:val="en-AU"/>
        </w:rPr>
      </w:pPr>
      <w:r>
        <w:rPr>
          <w:lang w:val="en-AU"/>
        </w:rPr>
        <w:t>Identify situations where CRM is not feasible and recommend alternative, standardised, and transparent collision risk assessment methods that align with best practice and EPBC Act requirements.</w:t>
      </w:r>
    </w:p>
    <w:p w14:paraId="57E5FF19" w14:textId="77777777" w:rsidR="0075180E" w:rsidRDefault="008F4B1A">
      <w:pPr>
        <w:pStyle w:val="normal1"/>
        <w:numPr>
          <w:ilvl w:val="0"/>
          <w:numId w:val="22"/>
        </w:numPr>
        <w:rPr>
          <w:lang w:val="en-AU"/>
        </w:rPr>
      </w:pPr>
      <w:r>
        <w:rPr>
          <w:lang w:val="en-AU"/>
        </w:rPr>
        <w:lastRenderedPageBreak/>
        <w:t>Define the minimum collision risk assessment information required by the department for robust EPBC assessments and develop a streamlined process for efficient and effective information submission by proponents.</w:t>
      </w:r>
    </w:p>
    <w:p w14:paraId="434195F9" w14:textId="77777777" w:rsidR="0075180E" w:rsidRDefault="008F4B1A">
      <w:pPr>
        <w:pStyle w:val="Heading2"/>
        <w:rPr>
          <w:lang w:val="en-AU"/>
        </w:rPr>
      </w:pPr>
      <w:bookmarkStart w:id="20" w:name="_3zczlhjz20co"/>
      <w:bookmarkStart w:id="21" w:name="_Toc1316815399"/>
      <w:bookmarkEnd w:id="20"/>
      <w:r>
        <w:rPr>
          <w:lang w:val="en-AU"/>
        </w:rPr>
        <w:t>Research methodology</w:t>
      </w:r>
      <w:bookmarkEnd w:id="21"/>
    </w:p>
    <w:p w14:paraId="75596D2A" w14:textId="77777777" w:rsidR="0075180E" w:rsidRDefault="008F4B1A">
      <w:pPr>
        <w:pStyle w:val="normal1"/>
        <w:rPr>
          <w:lang w:val="en-AU"/>
        </w:rPr>
      </w:pPr>
      <w:r>
        <w:rPr>
          <w:lang w:val="en-AU"/>
        </w:rPr>
        <w:t>We compiled a set of related literature synthesis tasks to rapidly scan existing peer-reviewed and 'grey' literature. The aim of this work was to address the project's research objectives by compiling and reviewing:</w:t>
      </w:r>
    </w:p>
    <w:p w14:paraId="165830E1" w14:textId="77777777" w:rsidR="0075180E" w:rsidRDefault="008F4B1A">
      <w:pPr>
        <w:pStyle w:val="normal1"/>
        <w:numPr>
          <w:ilvl w:val="0"/>
          <w:numId w:val="21"/>
        </w:numPr>
        <w:rPr>
          <w:lang w:val="en-AU"/>
        </w:rPr>
      </w:pPr>
      <w:r>
        <w:rPr>
          <w:lang w:val="en-AU"/>
        </w:rPr>
        <w:t>Existing guidelines about predicting likelihood of collision from other Australian jurisdictions and overseas agencies.</w:t>
      </w:r>
    </w:p>
    <w:p w14:paraId="373CB8EE" w14:textId="77777777" w:rsidR="0075180E" w:rsidRDefault="008F4B1A">
      <w:pPr>
        <w:pStyle w:val="normal1"/>
        <w:numPr>
          <w:ilvl w:val="0"/>
          <w:numId w:val="21"/>
        </w:numPr>
        <w:rPr>
          <w:lang w:val="en-AU"/>
        </w:rPr>
      </w:pPr>
      <w:r>
        <w:rPr>
          <w:lang w:val="en-AU"/>
        </w:rPr>
        <w:t>Peer-reviewed literature from international sources to collate the existing models and methods for collision risk assessment.</w:t>
      </w:r>
    </w:p>
    <w:p w14:paraId="12F29318" w14:textId="77777777" w:rsidR="0075180E" w:rsidRDefault="4047F567">
      <w:pPr>
        <w:pStyle w:val="normal1"/>
        <w:rPr>
          <w:lang w:val="en-AU"/>
        </w:rPr>
      </w:pPr>
      <w:r w:rsidRPr="5291D45D">
        <w:rPr>
          <w:lang w:val="en-AU"/>
        </w:rPr>
        <w:t>In addition, we have developed a set of functional traits relating to collision risk and collated this information for the bird and bat species listed under the EPBC Act.  We have also reviewed other recent work in this area to inform the functional traits and risk characteristic groups developed</w:t>
      </w:r>
      <w:bookmarkStart w:id="22" w:name="_Int_5lQPAJDu"/>
      <w:proofErr w:type="gramStart"/>
      <w:r w:rsidRPr="5291D45D">
        <w:rPr>
          <w:lang w:val="en-AU"/>
        </w:rPr>
        <w:t xml:space="preserve">   (</w:t>
      </w:r>
      <w:bookmarkEnd w:id="22"/>
      <w:proofErr w:type="gramEnd"/>
      <w:r w:rsidRPr="5291D45D">
        <w:rPr>
          <w:lang w:val="en-AU"/>
        </w:rPr>
        <w:t xml:space="preserve">Reid and Baker 2025a; </w:t>
      </w:r>
      <w:proofErr w:type="spellStart"/>
      <w:r w:rsidRPr="5291D45D">
        <w:rPr>
          <w:lang w:val="en-AU"/>
        </w:rPr>
        <w:t>BirdLife</w:t>
      </w:r>
      <w:proofErr w:type="spellEnd"/>
      <w:r w:rsidRPr="5291D45D">
        <w:rPr>
          <w:lang w:val="en-AU"/>
        </w:rPr>
        <w:t xml:space="preserve"> International and </w:t>
      </w:r>
      <w:proofErr w:type="spellStart"/>
      <w:r w:rsidRPr="5291D45D">
        <w:rPr>
          <w:lang w:val="en-AU"/>
        </w:rPr>
        <w:t>BirdLife</w:t>
      </w:r>
      <w:proofErr w:type="spellEnd"/>
      <w:r w:rsidRPr="5291D45D">
        <w:rPr>
          <w:lang w:val="en-AU"/>
        </w:rPr>
        <w:t xml:space="preserve"> Australia 2025; Reid and Baker 2025b).</w:t>
      </w:r>
    </w:p>
    <w:p w14:paraId="19E8E561" w14:textId="77777777" w:rsidR="0075180E" w:rsidRDefault="008F4B1A">
      <w:pPr>
        <w:pStyle w:val="Heading2"/>
        <w:rPr>
          <w:lang w:val="en-AU"/>
        </w:rPr>
      </w:pPr>
      <w:bookmarkStart w:id="23" w:name="_p1cfbc3kduyi"/>
      <w:bookmarkStart w:id="24" w:name="_Toc1248196721"/>
      <w:bookmarkEnd w:id="23"/>
      <w:r>
        <w:rPr>
          <w:lang w:val="en-AU"/>
        </w:rPr>
        <w:t>Summary of findings</w:t>
      </w:r>
      <w:bookmarkEnd w:id="24"/>
    </w:p>
    <w:p w14:paraId="4567255F" w14:textId="77777777" w:rsidR="0075180E" w:rsidRDefault="008F4B1A">
      <w:pPr>
        <w:pStyle w:val="Heading3"/>
        <w:rPr>
          <w:lang w:val="en-AU"/>
        </w:rPr>
      </w:pPr>
      <w:bookmarkStart w:id="25" w:name="_z5to5kjtx572"/>
      <w:bookmarkEnd w:id="25"/>
      <w:r>
        <w:rPr>
          <w:lang w:val="en-AU"/>
        </w:rPr>
        <w:t>Analysis of existing frameworks</w:t>
      </w:r>
    </w:p>
    <w:p w14:paraId="42983CFA" w14:textId="77777777" w:rsidR="0075180E" w:rsidRDefault="008F4B1A">
      <w:pPr>
        <w:pStyle w:val="normal1"/>
        <w:rPr>
          <w:lang w:val="en-AU"/>
        </w:rPr>
      </w:pPr>
      <w:r>
        <w:rPr>
          <w:lang w:val="en-AU"/>
        </w:rPr>
        <w:t xml:space="preserve">Collision risk is established as an important component of any Environmental Impact Assessment for wind energy. As such, there exists a range of policy frameworks and guidance documents within Australian and in other international jurisdictions.  </w:t>
      </w:r>
    </w:p>
    <w:p w14:paraId="4A769CB8" w14:textId="77777777" w:rsidR="0075180E" w:rsidRDefault="008F4B1A">
      <w:pPr>
        <w:pStyle w:val="normal1"/>
        <w:rPr>
          <w:lang w:val="en-AU"/>
        </w:rPr>
      </w:pPr>
      <w:r>
        <w:rPr>
          <w:lang w:val="en-AU"/>
        </w:rPr>
        <w:t xml:space="preserve">Documents were sourced from Australian states and international jurisdictions, including policy frameworks and best practice guidelines.  All documents reviewed provide some useful information for developing a collision risk framework. Many provide high-level guidance for impact assessment more </w:t>
      </w:r>
      <w:bookmarkStart w:id="26" w:name="_Int_ows0vYC4"/>
      <w:r>
        <w:rPr>
          <w:lang w:val="en-AU"/>
        </w:rPr>
        <w:t>broadly, or</w:t>
      </w:r>
      <w:bookmarkEnd w:id="26"/>
      <w:r>
        <w:rPr>
          <w:lang w:val="en-AU"/>
        </w:rPr>
        <w:t xml:space="preserve"> address a specific aspect (collision risk or operational monitoring) with more specificity.</w:t>
      </w:r>
    </w:p>
    <w:p w14:paraId="2179AF6D" w14:textId="77777777" w:rsidR="0075180E" w:rsidRDefault="008F4B1A">
      <w:pPr>
        <w:pStyle w:val="normal1"/>
        <w:rPr>
          <w:lang w:val="en-AU"/>
        </w:rPr>
      </w:pPr>
      <w:r>
        <w:rPr>
          <w:lang w:val="en-AU"/>
        </w:rPr>
        <w:t xml:space="preserve">No existing framework addressed the same breadth of species diversity or range of development environments with the level of precision required of this project.  However, there are best-practice elements from across different documents that are relevant to the ACRF.  For instance, US Fish and Wildlife Service 2012 outlines a tiered monitoring approach, </w:t>
      </w:r>
      <w:proofErr w:type="spellStart"/>
      <w:r>
        <w:rPr>
          <w:lang w:val="en-AU"/>
        </w:rPr>
        <w:t>Bennun</w:t>
      </w:r>
      <w:proofErr w:type="spellEnd"/>
      <w:r>
        <w:rPr>
          <w:lang w:val="en-AU"/>
        </w:rPr>
        <w:t xml:space="preserve"> et al. 2021 is structured more heavily around the mitigation hierarchy and Aronson et al. 2014 focuses entirely on operational bat monitoring.  </w:t>
      </w:r>
    </w:p>
    <w:p w14:paraId="3A7FBC51" w14:textId="77777777" w:rsidR="0075180E" w:rsidRDefault="008F4B1A">
      <w:pPr>
        <w:pStyle w:val="normal1"/>
        <w:rPr>
          <w:lang w:val="en-AU"/>
        </w:rPr>
      </w:pPr>
      <w:r>
        <w:rPr>
          <w:lang w:val="en-AU"/>
        </w:rPr>
        <w:lastRenderedPageBreak/>
        <w:t>At a high level, the idea of adaptive management and/or mitigation hierarchy are embedded across all documents, highlighting the importance of using this as a clear basis for the ACRF. In addition to estimating collision likelihood the ACRF needs to provide resources to identify ways to avoid and mitigate that likelihood.</w:t>
      </w:r>
    </w:p>
    <w:p w14:paraId="2EF672FC" w14:textId="77777777" w:rsidR="0075180E" w:rsidRDefault="008F4B1A">
      <w:pPr>
        <w:pStyle w:val="normal1"/>
      </w:pPr>
      <w:r>
        <w:rPr>
          <w:lang w:val="en-AU"/>
        </w:rPr>
        <w:t xml:space="preserve">The full results of the review into existing frameworks </w:t>
      </w:r>
      <w:bookmarkStart w:id="27" w:name="_Int_bpHgyXOq"/>
      <w:proofErr w:type="gramStart"/>
      <w:r>
        <w:rPr>
          <w:lang w:val="en-AU"/>
        </w:rPr>
        <w:t>is</w:t>
      </w:r>
      <w:bookmarkEnd w:id="27"/>
      <w:proofErr w:type="gramEnd"/>
      <w:r>
        <w:rPr>
          <w:lang w:val="en-AU"/>
        </w:rPr>
        <w:t xml:space="preserve"> in section ‘</w:t>
      </w:r>
      <w:hyperlink w:anchor="_z5to5kjtx572">
        <w:r>
          <w:rPr>
            <w:color w:val="1155CC"/>
            <w:u w:val="single"/>
            <w:lang w:val="en-AU"/>
          </w:rPr>
          <w:t>Analysis of existing frameworks</w:t>
        </w:r>
      </w:hyperlink>
      <w:r>
        <w:rPr>
          <w:lang w:val="en-AU"/>
        </w:rPr>
        <w:t>’.</w:t>
      </w:r>
    </w:p>
    <w:p w14:paraId="460AC9E5" w14:textId="77777777" w:rsidR="0075180E" w:rsidRDefault="008F4B1A">
      <w:pPr>
        <w:pStyle w:val="Heading3"/>
        <w:rPr>
          <w:lang w:val="en-AU"/>
        </w:rPr>
      </w:pPr>
      <w:bookmarkStart w:id="28" w:name="_darzmlwgze0c"/>
      <w:bookmarkEnd w:id="28"/>
      <w:r>
        <w:rPr>
          <w:lang w:val="en-AU"/>
        </w:rPr>
        <w:t>Review of existing models</w:t>
      </w:r>
    </w:p>
    <w:p w14:paraId="26FCD800" w14:textId="77777777" w:rsidR="0075180E" w:rsidRDefault="008F4B1A">
      <w:pPr>
        <w:pStyle w:val="normal1"/>
        <w:rPr>
          <w:lang w:val="en-AU"/>
        </w:rPr>
      </w:pPr>
      <w:r>
        <w:rPr>
          <w:lang w:val="en-AU"/>
        </w:rPr>
        <w:t xml:space="preserve">As evidenced by recent reviews, there are a range of quantitative avian CRMs in use and development worldwide. Cook et al 2025 identified 52 models, with only 23 having enough </w:t>
      </w:r>
      <w:bookmarkStart w:id="29" w:name="_Int_TloHchKd"/>
      <w:proofErr w:type="gramStart"/>
      <w:r>
        <w:rPr>
          <w:lang w:val="en-AU"/>
        </w:rPr>
        <w:t>publicly-available</w:t>
      </w:r>
      <w:bookmarkEnd w:id="29"/>
      <w:proofErr w:type="gramEnd"/>
      <w:r>
        <w:rPr>
          <w:lang w:val="en-AU"/>
        </w:rPr>
        <w:t xml:space="preserve"> information to be reproducible. They found that inputs, data collection methods, and assumptions differ widely; and “</w:t>
      </w:r>
      <w:r>
        <w:rPr>
          <w:i/>
          <w:iCs/>
          <w:lang w:val="en-AU"/>
        </w:rPr>
        <w:t>attempts to validate the predictive power of CRMs ... have produced results which are, at best, ambiguous</w:t>
      </w:r>
      <w:r>
        <w:rPr>
          <w:lang w:val="en-AU"/>
        </w:rPr>
        <w:t xml:space="preserve">.”  </w:t>
      </w:r>
    </w:p>
    <w:p w14:paraId="1A6BE4A7" w14:textId="77777777" w:rsidR="0075180E" w:rsidRDefault="008F4B1A">
      <w:pPr>
        <w:pStyle w:val="normal1"/>
        <w:rPr>
          <w:lang w:val="en-AU"/>
        </w:rPr>
      </w:pPr>
      <w:r>
        <w:rPr>
          <w:lang w:val="en-AU"/>
        </w:rPr>
        <w:t>However, the depth of research into avian CRM provides us some consensus on the elements of a best-practice model for estimating avian collision.</w:t>
      </w:r>
    </w:p>
    <w:p w14:paraId="10942E38" w14:textId="77777777" w:rsidR="0075180E" w:rsidRDefault="008F4B1A">
      <w:pPr>
        <w:pStyle w:val="normal1"/>
        <w:rPr>
          <w:lang w:val="en-AU"/>
        </w:rPr>
      </w:pPr>
      <w:r>
        <w:rPr>
          <w:lang w:val="en-AU"/>
        </w:rPr>
        <w:t xml:space="preserve">The literature review to establish best practice in modelling built on the work in Cook et al. 2025 and </w:t>
      </w:r>
      <w:bookmarkStart w:id="30" w:name="_Int_zYvwULVu"/>
      <w:proofErr w:type="gramStart"/>
      <w:r>
        <w:rPr>
          <w:lang w:val="en-AU"/>
        </w:rPr>
        <w:t>included  a</w:t>
      </w:r>
      <w:bookmarkEnd w:id="30"/>
      <w:proofErr w:type="gramEnd"/>
      <w:r>
        <w:rPr>
          <w:lang w:val="en-AU"/>
        </w:rPr>
        <w:t xml:space="preserve"> review of the documentation that has been submitted for EPBC Act referral and assessment.</w:t>
      </w:r>
    </w:p>
    <w:p w14:paraId="3CB3EF12" w14:textId="77777777" w:rsidR="0075180E" w:rsidRDefault="008F4B1A">
      <w:pPr>
        <w:pStyle w:val="normal1"/>
      </w:pPr>
      <w:r>
        <w:rPr>
          <w:lang w:val="en-AU"/>
        </w:rPr>
        <w:t xml:space="preserve">Full details of the review into collision risk models </w:t>
      </w:r>
      <w:bookmarkStart w:id="31" w:name="_Int_Ltbedxyf"/>
      <w:proofErr w:type="gramStart"/>
      <w:r>
        <w:rPr>
          <w:lang w:val="en-AU"/>
        </w:rPr>
        <w:t>is</w:t>
      </w:r>
      <w:bookmarkEnd w:id="31"/>
      <w:proofErr w:type="gramEnd"/>
      <w:r>
        <w:rPr>
          <w:lang w:val="en-AU"/>
        </w:rPr>
        <w:t xml:space="preserve"> given in section ‘</w:t>
      </w:r>
      <w:hyperlink w:anchor="_bd0lu1jo8wv0">
        <w:r>
          <w:rPr>
            <w:color w:val="1155CC"/>
            <w:u w:val="single"/>
            <w:lang w:val="en-AU"/>
          </w:rPr>
          <w:t>Review of international CRM/CRA</w:t>
        </w:r>
      </w:hyperlink>
      <w:r>
        <w:rPr>
          <w:lang w:val="en-AU"/>
        </w:rPr>
        <w:t>’</w:t>
      </w:r>
    </w:p>
    <w:p w14:paraId="211AB942" w14:textId="77777777" w:rsidR="0075180E" w:rsidRDefault="008F4B1A">
      <w:pPr>
        <w:pStyle w:val="Heading3"/>
        <w:rPr>
          <w:lang w:val="en-AU"/>
        </w:rPr>
      </w:pPr>
      <w:bookmarkStart w:id="32" w:name="_jt2t8r8mp1ix"/>
      <w:bookmarkEnd w:id="32"/>
      <w:r>
        <w:rPr>
          <w:lang w:val="en-AU"/>
        </w:rPr>
        <w:t>State of practice in Australian Assessments</w:t>
      </w:r>
    </w:p>
    <w:p w14:paraId="0F5E53FA" w14:textId="77777777" w:rsidR="0075180E" w:rsidRDefault="008F4B1A">
      <w:pPr>
        <w:pStyle w:val="normal1"/>
        <w:rPr>
          <w:lang w:val="en-AU"/>
        </w:rPr>
      </w:pPr>
      <w:r>
        <w:rPr>
          <w:lang w:val="en-AU"/>
        </w:rPr>
        <w:t>Our review of the literature and Australian site documentation found no existing CRM model specifically for bat species. Only qualitative and relative risk assessments exist, because acoustic monitoring cannot reliably count individual flights or provide coverage at rotor-swept height.</w:t>
      </w:r>
    </w:p>
    <w:p w14:paraId="335C778E" w14:textId="2A0EAD95" w:rsidR="0075180E" w:rsidRDefault="271A6B99">
      <w:pPr>
        <w:pStyle w:val="normal1"/>
        <w:rPr>
          <w:lang w:val="en-AU"/>
        </w:rPr>
      </w:pPr>
      <w:r w:rsidRPr="271A6B99">
        <w:rPr>
          <w:lang w:val="en-AU"/>
        </w:rPr>
        <w:t xml:space="preserve">In </w:t>
      </w:r>
      <w:bookmarkStart w:id="33" w:name="_Int_LU2j3ijG"/>
      <w:r w:rsidRPr="271A6B99">
        <w:rPr>
          <w:lang w:val="en-AU"/>
        </w:rPr>
        <w:t>addition,</w:t>
      </w:r>
      <w:bookmarkEnd w:id="33"/>
      <w:r w:rsidRPr="271A6B99">
        <w:rPr>
          <w:lang w:val="en-AU"/>
        </w:rPr>
        <w:t xml:space="preserve"> we found a variety of approaches to qualitative risk assessment in Australian impact assessments, with little to no agreed or published international best practice.</w:t>
      </w:r>
    </w:p>
    <w:p w14:paraId="1662197A" w14:textId="77777777" w:rsidR="0075180E" w:rsidRDefault="008F4B1A">
      <w:pPr>
        <w:pStyle w:val="normal1"/>
        <w:rPr>
          <w:lang w:val="en-AU"/>
        </w:rPr>
      </w:pPr>
      <w:r>
        <w:rPr>
          <w:lang w:val="en-AU"/>
        </w:rPr>
        <w:t xml:space="preserve">Where quantitative CRM is applied, there is no standard reporting of model inputs (so ‘results are not reproducible), and there are a range of models in use, which are often out-of-date (e.g. early implementations of the ‘Band’ model which have been superseded). </w:t>
      </w:r>
    </w:p>
    <w:p w14:paraId="78AB5CEA" w14:textId="77777777" w:rsidR="0075180E" w:rsidRDefault="008F4B1A">
      <w:pPr>
        <w:pStyle w:val="normal1"/>
        <w:rPr>
          <w:lang w:val="en-AU"/>
        </w:rPr>
      </w:pPr>
      <w:r>
        <w:rPr>
          <w:lang w:val="en-AU"/>
        </w:rPr>
        <w:t xml:space="preserve">This highlights the need for the ACRF to provide: </w:t>
      </w:r>
    </w:p>
    <w:p w14:paraId="1E4DA55B" w14:textId="77777777" w:rsidR="0075180E" w:rsidRDefault="008F4B1A">
      <w:pPr>
        <w:pStyle w:val="normal1"/>
        <w:numPr>
          <w:ilvl w:val="0"/>
          <w:numId w:val="20"/>
        </w:numPr>
        <w:rPr>
          <w:lang w:val="en-AU"/>
        </w:rPr>
      </w:pPr>
      <w:r>
        <w:rPr>
          <w:b/>
          <w:bCs/>
          <w:lang w:val="en-AU"/>
        </w:rPr>
        <w:t>standardisation</w:t>
      </w:r>
      <w:r>
        <w:rPr>
          <w:lang w:val="en-AU"/>
        </w:rPr>
        <w:t xml:space="preserve"> of qualitative and quantitative methodologies, </w:t>
      </w:r>
    </w:p>
    <w:p w14:paraId="759860A9" w14:textId="77777777" w:rsidR="0075180E" w:rsidRDefault="008F4B1A">
      <w:pPr>
        <w:pStyle w:val="normal1"/>
        <w:numPr>
          <w:ilvl w:val="0"/>
          <w:numId w:val="20"/>
        </w:numPr>
        <w:rPr>
          <w:lang w:val="en-AU"/>
        </w:rPr>
      </w:pPr>
      <w:r>
        <w:rPr>
          <w:lang w:val="en-AU"/>
        </w:rPr>
        <w:t xml:space="preserve">clear </w:t>
      </w:r>
      <w:r>
        <w:rPr>
          <w:b/>
          <w:bCs/>
          <w:lang w:val="en-AU"/>
        </w:rPr>
        <w:t>decision guidance</w:t>
      </w:r>
      <w:r>
        <w:rPr>
          <w:lang w:val="en-AU"/>
        </w:rPr>
        <w:t xml:space="preserve"> on when a qualitative Collision Likelihood Score (CLS) or quantitative CRM is appropriate, and </w:t>
      </w:r>
    </w:p>
    <w:p w14:paraId="0CD6732C" w14:textId="77777777" w:rsidR="0075180E" w:rsidRDefault="008F4B1A">
      <w:pPr>
        <w:pStyle w:val="normal1"/>
        <w:numPr>
          <w:ilvl w:val="0"/>
          <w:numId w:val="20"/>
        </w:numPr>
        <w:rPr>
          <w:lang w:val="en-AU"/>
        </w:rPr>
      </w:pPr>
      <w:r>
        <w:rPr>
          <w:b/>
          <w:bCs/>
          <w:lang w:val="en-AU"/>
        </w:rPr>
        <w:lastRenderedPageBreak/>
        <w:t>consistent language</w:t>
      </w:r>
      <w:r>
        <w:rPr>
          <w:lang w:val="en-AU"/>
        </w:rPr>
        <w:t xml:space="preserve"> at all levels of qualitative and quantitative assessment.</w:t>
      </w:r>
    </w:p>
    <w:p w14:paraId="06E4050C" w14:textId="77777777" w:rsidR="0075180E" w:rsidRDefault="008F4B1A">
      <w:pPr>
        <w:pStyle w:val="normal1"/>
      </w:pPr>
      <w:r>
        <w:rPr>
          <w:lang w:val="en-AU"/>
        </w:rPr>
        <w:t>This review is provided in detail in the section ‘</w:t>
      </w:r>
      <w:hyperlink w:anchor="_mz57mplfqsmp">
        <w:r>
          <w:rPr>
            <w:color w:val="1155CC"/>
            <w:u w:val="single"/>
            <w:lang w:val="en-AU"/>
          </w:rPr>
          <w:t xml:space="preserve">Current state of practice in </w:t>
        </w:r>
        <w:proofErr w:type="spellStart"/>
        <w:r>
          <w:rPr>
            <w:color w:val="1155CC"/>
            <w:u w:val="single"/>
            <w:lang w:val="en-AU"/>
          </w:rPr>
          <w:t>Australia</w:t>
        </w:r>
      </w:hyperlink>
      <w:proofErr w:type="gramStart"/>
      <w:r>
        <w:rPr>
          <w:lang w:val="en-AU"/>
        </w:rPr>
        <w:t>’.Full</w:t>
      </w:r>
      <w:proofErr w:type="spellEnd"/>
      <w:proofErr w:type="gramEnd"/>
      <w:r>
        <w:rPr>
          <w:lang w:val="en-AU"/>
        </w:rPr>
        <w:t xml:space="preserve"> details of the review into collision risk models is given in section ‘Review of international CRM/CRA’</w:t>
      </w:r>
    </w:p>
    <w:p w14:paraId="5554C8AA" w14:textId="77777777" w:rsidR="0075180E" w:rsidRDefault="008F4B1A">
      <w:pPr>
        <w:pStyle w:val="Heading3"/>
        <w:rPr>
          <w:lang w:val="en-AU"/>
        </w:rPr>
      </w:pPr>
      <w:bookmarkStart w:id="34" w:name="_w6hsixzf398b"/>
      <w:bookmarkEnd w:id="34"/>
      <w:r>
        <w:rPr>
          <w:lang w:val="en-AU"/>
        </w:rPr>
        <w:t>Availability of species collision trait data</w:t>
      </w:r>
    </w:p>
    <w:p w14:paraId="7B9B2D39" w14:textId="77777777" w:rsidR="0075180E" w:rsidRDefault="008F4B1A">
      <w:pPr>
        <w:pStyle w:val="normal1"/>
        <w:rPr>
          <w:lang w:val="en-AU"/>
        </w:rPr>
      </w:pPr>
      <w:r>
        <w:rPr>
          <w:lang w:val="en-AU"/>
        </w:rPr>
        <w:t xml:space="preserve">Various attempts have been made to quantify collision likelihood by using species traits in both Australia and overseas contexts. For example, </w:t>
      </w:r>
      <w:proofErr w:type="spellStart"/>
      <w:r>
        <w:rPr>
          <w:lang w:val="en-AU"/>
        </w:rPr>
        <w:t>BirdLife's</w:t>
      </w:r>
      <w:proofErr w:type="spellEnd"/>
      <w:r>
        <w:rPr>
          <w:lang w:val="en-AU"/>
        </w:rPr>
        <w:t xml:space="preserve"> recent development of the </w:t>
      </w:r>
      <w:proofErr w:type="spellStart"/>
      <w:r>
        <w:rPr>
          <w:lang w:val="en-AU"/>
        </w:rPr>
        <w:t>AviStep</w:t>
      </w:r>
      <w:proofErr w:type="spellEnd"/>
      <w:r>
        <w:rPr>
          <w:lang w:val="en-AU"/>
        </w:rPr>
        <w:t xml:space="preserve"> project in Australia develops a sensitivity index for collision of seabird species (</w:t>
      </w:r>
      <w:proofErr w:type="spellStart"/>
      <w:r>
        <w:rPr>
          <w:lang w:val="en-AU"/>
        </w:rPr>
        <w:t>BirdLife</w:t>
      </w:r>
      <w:proofErr w:type="spellEnd"/>
      <w:r>
        <w:rPr>
          <w:lang w:val="en-AU"/>
        </w:rPr>
        <w:t xml:space="preserve"> International and </w:t>
      </w:r>
      <w:proofErr w:type="spellStart"/>
      <w:r>
        <w:rPr>
          <w:lang w:val="en-AU"/>
        </w:rPr>
        <w:t>BirdLife</w:t>
      </w:r>
      <w:proofErr w:type="spellEnd"/>
      <w:r>
        <w:rPr>
          <w:lang w:val="en-AU"/>
        </w:rPr>
        <w:t xml:space="preserve"> Australia 2025). This sensitivity index is based around a series of species traits including flight heights, flight manoeuvrability, nocturnal activity and collision evidence.</w:t>
      </w:r>
    </w:p>
    <w:p w14:paraId="7CA9EDAC" w14:textId="77777777" w:rsidR="0075180E" w:rsidRDefault="008F4B1A">
      <w:pPr>
        <w:pStyle w:val="normal1"/>
        <w:rPr>
          <w:lang w:val="en-AU"/>
        </w:rPr>
      </w:pPr>
      <w:r>
        <w:rPr>
          <w:lang w:val="en-AU"/>
        </w:rPr>
        <w:t>Similarly, Reid and Baker 2025a and Reid and Baker 2025b outline an ecological risk assessment scoring system that details species' distributions, morphology (including wing dimensions and body mass), flight height and flight manoeuvrability to predict collision likelihood.</w:t>
      </w:r>
    </w:p>
    <w:p w14:paraId="348A88FB" w14:textId="77777777" w:rsidR="0075180E" w:rsidRDefault="008F4B1A">
      <w:pPr>
        <w:pStyle w:val="normal1"/>
        <w:rPr>
          <w:lang w:val="en-AU"/>
        </w:rPr>
      </w:pPr>
      <w:r>
        <w:rPr>
          <w:lang w:val="en-AU"/>
        </w:rPr>
        <w:t xml:space="preserve">In addition to collision risk traits, those works also considered consequences of a collision relating to a species' conservation status and survival indicators (generation time - time for adults to produce offspring, adult survival). Both </w:t>
      </w:r>
      <w:proofErr w:type="spellStart"/>
      <w:r>
        <w:rPr>
          <w:lang w:val="en-AU"/>
        </w:rPr>
        <w:t>BirdLife</w:t>
      </w:r>
      <w:proofErr w:type="spellEnd"/>
      <w:r>
        <w:rPr>
          <w:lang w:val="en-AU"/>
        </w:rPr>
        <w:t xml:space="preserve"> International and </w:t>
      </w:r>
      <w:proofErr w:type="spellStart"/>
      <w:r>
        <w:rPr>
          <w:lang w:val="en-AU"/>
        </w:rPr>
        <w:t>BirdLife</w:t>
      </w:r>
      <w:proofErr w:type="spellEnd"/>
      <w:r>
        <w:rPr>
          <w:lang w:val="en-AU"/>
        </w:rPr>
        <w:t xml:space="preserve"> Australia 2025 and Reid and Baker 2025a/b are informative but more applicable to regional-scale modelling.</w:t>
      </w:r>
    </w:p>
    <w:p w14:paraId="005B9287" w14:textId="77777777" w:rsidR="0075180E" w:rsidRDefault="008F4B1A">
      <w:pPr>
        <w:pStyle w:val="normal1"/>
        <w:rPr>
          <w:lang w:val="en-AU"/>
        </w:rPr>
      </w:pPr>
      <w:r>
        <w:rPr>
          <w:lang w:val="en-AU"/>
        </w:rPr>
        <w:t>The ACRF builds on these methods and acknowledges their importance in the wind energy space.</w:t>
      </w:r>
    </w:p>
    <w:p w14:paraId="0EB4D087" w14:textId="77777777" w:rsidR="0075180E" w:rsidRDefault="008F4B1A">
      <w:pPr>
        <w:pStyle w:val="normal1"/>
        <w:rPr>
          <w:lang w:val="en-AU"/>
        </w:rPr>
      </w:pPr>
      <w:r>
        <w:rPr>
          <w:lang w:val="en-AU"/>
        </w:rPr>
        <w:t>It should be noted that our work collating species traits is not concerned with ranking species or predicting a certain collision risk value, but rather to be used as a standardised reference for:</w:t>
      </w:r>
    </w:p>
    <w:p w14:paraId="2AEB5CA6" w14:textId="77777777" w:rsidR="0075180E" w:rsidRDefault="008F4B1A">
      <w:pPr>
        <w:pStyle w:val="normal1"/>
        <w:numPr>
          <w:ilvl w:val="0"/>
          <w:numId w:val="19"/>
        </w:numPr>
        <w:rPr>
          <w:lang w:val="en-AU"/>
        </w:rPr>
      </w:pPr>
      <w:r>
        <w:rPr>
          <w:lang w:val="en-AU"/>
        </w:rPr>
        <w:t>Assessing the potential for collision as part of an initial site investigation</w:t>
      </w:r>
    </w:p>
    <w:p w14:paraId="253303B0" w14:textId="77777777" w:rsidR="0075180E" w:rsidRDefault="008F4B1A">
      <w:pPr>
        <w:pStyle w:val="normal1"/>
        <w:numPr>
          <w:ilvl w:val="0"/>
          <w:numId w:val="19"/>
        </w:numPr>
        <w:rPr>
          <w:lang w:val="en-AU"/>
        </w:rPr>
      </w:pPr>
      <w:r>
        <w:rPr>
          <w:lang w:val="en-AU"/>
        </w:rPr>
        <w:t>Designing an optimal data collection program to inform Impact Assessment</w:t>
      </w:r>
    </w:p>
    <w:p w14:paraId="3CD3839B" w14:textId="77777777" w:rsidR="0075180E" w:rsidRDefault="008F4B1A">
      <w:pPr>
        <w:pStyle w:val="normal1"/>
        <w:numPr>
          <w:ilvl w:val="0"/>
          <w:numId w:val="19"/>
        </w:numPr>
        <w:rPr>
          <w:lang w:val="en-AU"/>
        </w:rPr>
      </w:pPr>
      <w:r>
        <w:rPr>
          <w:lang w:val="en-AU"/>
        </w:rPr>
        <w:t>Inputting into qualitative and quantitative collision likelihood models.</w:t>
      </w:r>
    </w:p>
    <w:p w14:paraId="3C96F0A6" w14:textId="77777777" w:rsidR="0075180E" w:rsidRDefault="008F4B1A">
      <w:pPr>
        <w:pStyle w:val="normal1"/>
        <w:rPr>
          <w:lang w:val="en-AU"/>
        </w:rPr>
      </w:pPr>
      <w:r>
        <w:rPr>
          <w:lang w:val="en-AU"/>
        </w:rPr>
        <w:t>With this in mind, we present a set of functional traits that could inform collision likelihood and provide information to avoid and mitigate this risk.</w:t>
      </w:r>
    </w:p>
    <w:p w14:paraId="6DB26B19" w14:textId="77777777" w:rsidR="0075180E" w:rsidRDefault="104EF8F5">
      <w:pPr>
        <w:pStyle w:val="normal1"/>
      </w:pPr>
      <w:r w:rsidRPr="104EF8F5">
        <w:rPr>
          <w:lang w:val="en-AU"/>
        </w:rPr>
        <w:t>This dataset is standardised for all listed species, as well as migratory and marine birds, insectivorous bats, and flying foxes.  As such it can underpin a consistent approach to collision assessment despite the diversity of species covered. A full breakdown is provided in section ‘</w:t>
      </w:r>
      <w:hyperlink w:anchor="_oudfu2wyt80p" w:history="1">
        <w:r w:rsidRPr="104EF8F5">
          <w:rPr>
            <w:color w:val="1155CC"/>
            <w:u w:val="single"/>
            <w:lang w:val="en-AU"/>
          </w:rPr>
          <w:t>Species trait analysis</w:t>
        </w:r>
      </w:hyperlink>
      <w:r w:rsidRPr="104EF8F5">
        <w:rPr>
          <w:lang w:val="en-AU"/>
        </w:rPr>
        <w:t>’</w:t>
      </w:r>
    </w:p>
    <w:p w14:paraId="34CE0A41" w14:textId="77777777" w:rsidR="0075180E" w:rsidRDefault="008F4B1A">
      <w:pPr>
        <w:pStyle w:val="normal1"/>
      </w:pPr>
      <w:r>
        <w:br w:type="page"/>
      </w:r>
    </w:p>
    <w:p w14:paraId="44A48E4B" w14:textId="77777777" w:rsidR="0075180E" w:rsidRDefault="008F4B1A">
      <w:pPr>
        <w:pStyle w:val="Heading1"/>
        <w:rPr>
          <w:lang w:val="en-AU"/>
        </w:rPr>
      </w:pPr>
      <w:bookmarkStart w:id="35" w:name="_lhkj3n6lk6mp"/>
      <w:bookmarkStart w:id="36" w:name="_Toc3108503"/>
      <w:bookmarkEnd w:id="35"/>
      <w:r>
        <w:rPr>
          <w:lang w:val="en-AU"/>
        </w:rPr>
        <w:lastRenderedPageBreak/>
        <w:t>Literature review of existing frameworks and guidance</w:t>
      </w:r>
      <w:bookmarkEnd w:id="36"/>
    </w:p>
    <w:p w14:paraId="7E21E708" w14:textId="77777777" w:rsidR="0075180E" w:rsidRDefault="008F4B1A">
      <w:pPr>
        <w:pStyle w:val="Heading2"/>
        <w:rPr>
          <w:lang w:val="en-AU"/>
        </w:rPr>
      </w:pPr>
      <w:bookmarkStart w:id="37" w:name="_7rtqcveaeskp"/>
      <w:bookmarkStart w:id="38" w:name="_Toc1898384660"/>
      <w:bookmarkEnd w:id="37"/>
      <w:r>
        <w:rPr>
          <w:lang w:val="en-AU"/>
        </w:rPr>
        <w:t>Key Research Questions:</w:t>
      </w:r>
      <w:bookmarkEnd w:id="38"/>
    </w:p>
    <w:p w14:paraId="06084426" w14:textId="77777777" w:rsidR="0075180E" w:rsidRDefault="008F4B1A">
      <w:pPr>
        <w:pStyle w:val="normal1"/>
        <w:numPr>
          <w:ilvl w:val="0"/>
          <w:numId w:val="18"/>
        </w:numPr>
        <w:rPr>
          <w:lang w:val="en-AU"/>
        </w:rPr>
      </w:pPr>
      <w:r>
        <w:rPr>
          <w:lang w:val="en-AU"/>
        </w:rPr>
        <w:t>What national and international regulatory frameworks exist for quantifying the likelihood of avian and bat mortality at wind energy facilities?</w:t>
      </w:r>
    </w:p>
    <w:p w14:paraId="2CEE2839" w14:textId="77777777" w:rsidR="0075180E" w:rsidRDefault="008F4B1A">
      <w:pPr>
        <w:pStyle w:val="normal1"/>
        <w:numPr>
          <w:ilvl w:val="0"/>
          <w:numId w:val="18"/>
        </w:numPr>
        <w:rPr>
          <w:lang w:val="en-AU"/>
        </w:rPr>
      </w:pPr>
      <w:r>
        <w:rPr>
          <w:lang w:val="en-AU"/>
        </w:rPr>
        <w:t>What non-regulatory guidance documents (e.g., from industry bodies, scientific groups, NGOs) are available for this purpose?</w:t>
      </w:r>
    </w:p>
    <w:p w14:paraId="21767580" w14:textId="77777777" w:rsidR="0075180E" w:rsidRDefault="008F4B1A">
      <w:pPr>
        <w:pStyle w:val="normal1"/>
        <w:numPr>
          <w:ilvl w:val="0"/>
          <w:numId w:val="18"/>
        </w:numPr>
        <w:rPr>
          <w:lang w:val="en-AU"/>
        </w:rPr>
      </w:pPr>
      <w:r>
        <w:rPr>
          <w:lang w:val="en-AU"/>
        </w:rPr>
        <w:t>What are the common principles, methodologies, and components of these frameworks?</w:t>
      </w:r>
    </w:p>
    <w:p w14:paraId="48D23A77" w14:textId="77777777" w:rsidR="0075180E" w:rsidRDefault="008F4B1A">
      <w:pPr>
        <w:pStyle w:val="normal1"/>
        <w:numPr>
          <w:ilvl w:val="0"/>
          <w:numId w:val="18"/>
        </w:numPr>
        <w:rPr>
          <w:lang w:val="en-AU"/>
        </w:rPr>
      </w:pPr>
      <w:r>
        <w:rPr>
          <w:lang w:val="en-AU"/>
        </w:rPr>
        <w:t>Which frameworks represent "best practice", evaluated against criteria of ease of use, applicability, flexibility, and robustness?</w:t>
      </w:r>
    </w:p>
    <w:p w14:paraId="79B11C99" w14:textId="77777777" w:rsidR="0075180E" w:rsidRDefault="008F4B1A">
      <w:pPr>
        <w:pStyle w:val="normal1"/>
        <w:rPr>
          <w:lang w:val="en-AU"/>
        </w:rPr>
      </w:pPr>
      <w:r>
        <w:rPr>
          <w:lang w:val="en-AU"/>
        </w:rPr>
        <w:t>The review identified a select set of documents at sub-national, national and international jurisdictions.  All documents considered wind energy impacts, including collision likelihood, but none focused specifically on collision likelihood.</w:t>
      </w:r>
    </w:p>
    <w:p w14:paraId="52CDFA90" w14:textId="77777777" w:rsidR="0075180E" w:rsidRDefault="008F4B1A">
      <w:pPr>
        <w:pStyle w:val="Heading2"/>
        <w:rPr>
          <w:lang w:val="en-AU"/>
        </w:rPr>
      </w:pPr>
      <w:bookmarkStart w:id="39" w:name="_68299oindn9k"/>
      <w:bookmarkStart w:id="40" w:name="_Toc1231732380"/>
      <w:bookmarkEnd w:id="39"/>
      <w:r>
        <w:rPr>
          <w:lang w:val="en-AU"/>
        </w:rPr>
        <w:t>Methodology</w:t>
      </w:r>
      <w:bookmarkEnd w:id="40"/>
    </w:p>
    <w:p w14:paraId="69AC904E" w14:textId="77777777" w:rsidR="0075180E" w:rsidRDefault="008F4B1A">
      <w:pPr>
        <w:pStyle w:val="normal1"/>
        <w:rPr>
          <w:lang w:val="en-AU"/>
        </w:rPr>
      </w:pPr>
      <w:r>
        <w:rPr>
          <w:lang w:val="en-AU"/>
        </w:rPr>
        <w:t>A set of best-practice documents was sourced via a Google search and direct review of key agency websites (e.g. Australian State Government environment agencies and highly regarded international bodies like the International Union for Conservation of Nature (IUCN)).</w:t>
      </w:r>
    </w:p>
    <w:p w14:paraId="07D6A0A6" w14:textId="77777777" w:rsidR="0075180E" w:rsidRDefault="008F4B1A">
      <w:pPr>
        <w:pStyle w:val="normal1"/>
        <w:rPr>
          <w:lang w:val="en-AU"/>
        </w:rPr>
      </w:pPr>
      <w:r>
        <w:rPr>
          <w:lang w:val="en-AU"/>
        </w:rPr>
        <w:t>The second step of the review method involved systematically analysing each of the documents against the following themes:</w:t>
      </w:r>
    </w:p>
    <w:p w14:paraId="5D6CE534" w14:textId="77777777" w:rsidR="0075180E" w:rsidRDefault="008F4B1A">
      <w:pPr>
        <w:pStyle w:val="normal1"/>
        <w:numPr>
          <w:ilvl w:val="0"/>
          <w:numId w:val="17"/>
        </w:numPr>
        <w:rPr>
          <w:lang w:val="en-AU"/>
        </w:rPr>
      </w:pPr>
      <w:r>
        <w:rPr>
          <w:lang w:val="en-AU"/>
        </w:rPr>
        <w:t>Purpose and focus (i.e. aim and/or objective of the document and the biodiversity scope)</w:t>
      </w:r>
    </w:p>
    <w:p w14:paraId="6B71305E" w14:textId="77777777" w:rsidR="0075180E" w:rsidRDefault="008F4B1A">
      <w:pPr>
        <w:pStyle w:val="normal1"/>
        <w:numPr>
          <w:ilvl w:val="0"/>
          <w:numId w:val="17"/>
        </w:numPr>
        <w:rPr>
          <w:lang w:val="en-AU"/>
        </w:rPr>
      </w:pPr>
      <w:r>
        <w:rPr>
          <w:lang w:val="en-AU"/>
        </w:rPr>
        <w:t>Guidance on undertaking an impact and/or risk assessment</w:t>
      </w:r>
    </w:p>
    <w:p w14:paraId="217EDD70" w14:textId="77777777" w:rsidR="0075180E" w:rsidRDefault="008F4B1A">
      <w:pPr>
        <w:pStyle w:val="normal1"/>
        <w:numPr>
          <w:ilvl w:val="0"/>
          <w:numId w:val="17"/>
        </w:numPr>
        <w:rPr>
          <w:lang w:val="en-AU"/>
        </w:rPr>
      </w:pPr>
      <w:r>
        <w:rPr>
          <w:lang w:val="en-AU"/>
        </w:rPr>
        <w:t>Monitoring requirements, including pre-construction (baseline), construction and post-construction monitoring</w:t>
      </w:r>
    </w:p>
    <w:p w14:paraId="459438E9" w14:textId="77777777" w:rsidR="0075180E" w:rsidRDefault="008F4B1A">
      <w:pPr>
        <w:pStyle w:val="normal1"/>
        <w:numPr>
          <w:ilvl w:val="0"/>
          <w:numId w:val="17"/>
        </w:numPr>
        <w:rPr>
          <w:lang w:val="en-AU"/>
        </w:rPr>
      </w:pPr>
      <w:r>
        <w:rPr>
          <w:lang w:val="en-AU"/>
        </w:rPr>
        <w:t>Guidance on the use of collision risk modelling</w:t>
      </w:r>
    </w:p>
    <w:p w14:paraId="539F26A8" w14:textId="77777777" w:rsidR="0075180E" w:rsidRDefault="008F4B1A">
      <w:pPr>
        <w:pStyle w:val="normal1"/>
        <w:numPr>
          <w:ilvl w:val="0"/>
          <w:numId w:val="17"/>
        </w:numPr>
        <w:rPr>
          <w:lang w:val="en-AU"/>
        </w:rPr>
      </w:pPr>
      <w:r>
        <w:rPr>
          <w:lang w:val="en-AU"/>
        </w:rPr>
        <w:t>Methods to avoid, minimise or mitigate impacts</w:t>
      </w:r>
    </w:p>
    <w:p w14:paraId="7C15B3AD" w14:textId="77777777" w:rsidR="0075180E" w:rsidRDefault="008F4B1A">
      <w:pPr>
        <w:pStyle w:val="normal1"/>
        <w:numPr>
          <w:ilvl w:val="0"/>
          <w:numId w:val="17"/>
        </w:numPr>
        <w:rPr>
          <w:lang w:val="en-AU"/>
        </w:rPr>
      </w:pPr>
      <w:r>
        <w:rPr>
          <w:lang w:val="en-AU"/>
        </w:rPr>
        <w:t>Guidance on setting impact thresholds.</w:t>
      </w:r>
    </w:p>
    <w:p w14:paraId="1EDB1FAC" w14:textId="77777777" w:rsidR="0075180E" w:rsidRDefault="008F4B1A">
      <w:pPr>
        <w:pStyle w:val="normal1"/>
        <w:rPr>
          <w:lang w:val="en-AU"/>
        </w:rPr>
      </w:pPr>
      <w:r>
        <w:rPr>
          <w:lang w:val="en-AU"/>
        </w:rPr>
        <w:lastRenderedPageBreak/>
        <w:t>The third step was a qualitative assessment of the documents, looking at how detailed the guidance was (i.e., general or specific), whether it clearly explained how to measure or manage impacts to birds and bats (i.e., mortality), and whether the guidance could be applied broadly or adapted for use in Australia.</w:t>
      </w:r>
    </w:p>
    <w:p w14:paraId="50BF486E" w14:textId="77777777" w:rsidR="0075180E" w:rsidRDefault="008F4B1A">
      <w:pPr>
        <w:pStyle w:val="normal1"/>
        <w:rPr>
          <w:lang w:val="en-AU"/>
        </w:rPr>
      </w:pPr>
      <w:r>
        <w:rPr>
          <w:lang w:val="en-AU"/>
        </w:rPr>
        <w:t xml:space="preserve">The first version of this review informed the identification of project stages within the </w:t>
      </w:r>
      <w:bookmarkStart w:id="41" w:name="_Int_FTQxxudq"/>
      <w:proofErr w:type="gramStart"/>
      <w:r>
        <w:rPr>
          <w:lang w:val="en-AU"/>
        </w:rPr>
        <w:t>ACRF</w:t>
      </w:r>
      <w:bookmarkEnd w:id="41"/>
      <w:proofErr w:type="gramEnd"/>
      <w:r>
        <w:rPr>
          <w:lang w:val="en-AU"/>
        </w:rPr>
        <w:t xml:space="preserve"> and a second version was compiled that mapped the frameworks specifically to advice relating to:</w:t>
      </w:r>
    </w:p>
    <w:p w14:paraId="7ED7EC25" w14:textId="77777777" w:rsidR="0075180E" w:rsidRDefault="008F4B1A">
      <w:pPr>
        <w:pStyle w:val="normal1"/>
        <w:numPr>
          <w:ilvl w:val="0"/>
          <w:numId w:val="16"/>
        </w:numPr>
        <w:spacing w:before="240" w:line="240" w:lineRule="auto"/>
        <w:rPr>
          <w:lang w:val="en-AU"/>
        </w:rPr>
      </w:pPr>
      <w:r>
        <w:rPr>
          <w:b/>
          <w:bCs/>
          <w:lang w:val="en-AU"/>
        </w:rPr>
        <w:t>Site identification</w:t>
      </w:r>
    </w:p>
    <w:p w14:paraId="4F53792B" w14:textId="77777777" w:rsidR="0075180E" w:rsidRDefault="008F4B1A">
      <w:pPr>
        <w:pStyle w:val="normal1"/>
        <w:numPr>
          <w:ilvl w:val="0"/>
          <w:numId w:val="15"/>
        </w:numPr>
        <w:ind w:left="1440"/>
        <w:rPr>
          <w:lang w:val="en-AU"/>
        </w:rPr>
      </w:pPr>
      <w:r>
        <w:rPr>
          <w:lang w:val="en-AU"/>
        </w:rPr>
        <w:t>Macro-scale (site in region)</w:t>
      </w:r>
    </w:p>
    <w:p w14:paraId="20EDB68D" w14:textId="77777777" w:rsidR="0075180E" w:rsidRDefault="008F4B1A">
      <w:pPr>
        <w:pStyle w:val="normal1"/>
        <w:numPr>
          <w:ilvl w:val="0"/>
          <w:numId w:val="15"/>
        </w:numPr>
        <w:ind w:left="1440"/>
        <w:rPr>
          <w:lang w:val="en-AU"/>
        </w:rPr>
      </w:pPr>
      <w:r>
        <w:rPr>
          <w:lang w:val="en-AU"/>
        </w:rPr>
        <w:t>What species and what collision traits?</w:t>
      </w:r>
    </w:p>
    <w:p w14:paraId="7F75DACD" w14:textId="77777777" w:rsidR="0075180E" w:rsidRDefault="008F4B1A">
      <w:pPr>
        <w:pStyle w:val="normal1"/>
        <w:numPr>
          <w:ilvl w:val="0"/>
          <w:numId w:val="15"/>
        </w:numPr>
        <w:ind w:left="1440"/>
        <w:rPr>
          <w:lang w:val="en-AU"/>
        </w:rPr>
      </w:pPr>
      <w:r>
        <w:rPr>
          <w:lang w:val="en-AU"/>
        </w:rPr>
        <w:t>Initial site species collision likelihood and data gaps</w:t>
      </w:r>
    </w:p>
    <w:p w14:paraId="6C3CA5D3" w14:textId="77777777" w:rsidR="0075180E" w:rsidRDefault="008F4B1A">
      <w:pPr>
        <w:pStyle w:val="normal1"/>
        <w:numPr>
          <w:ilvl w:val="0"/>
          <w:numId w:val="15"/>
        </w:numPr>
        <w:ind w:left="1440"/>
        <w:rPr>
          <w:lang w:val="en-AU"/>
        </w:rPr>
      </w:pPr>
      <w:r>
        <w:rPr>
          <w:lang w:val="en-AU"/>
        </w:rPr>
        <w:t>Standardised central data repository of species traits (e.g. flight heights)</w:t>
      </w:r>
    </w:p>
    <w:p w14:paraId="15BDDF41" w14:textId="77777777" w:rsidR="0075180E" w:rsidRDefault="008F4B1A">
      <w:pPr>
        <w:pStyle w:val="normal1"/>
        <w:numPr>
          <w:ilvl w:val="0"/>
          <w:numId w:val="16"/>
        </w:numPr>
        <w:rPr>
          <w:lang w:val="en-AU"/>
        </w:rPr>
      </w:pPr>
      <w:r>
        <w:rPr>
          <w:b/>
          <w:bCs/>
          <w:lang w:val="en-AU"/>
        </w:rPr>
        <w:t>Site investigation planning</w:t>
      </w:r>
    </w:p>
    <w:p w14:paraId="7D0DAD3C" w14:textId="77777777" w:rsidR="0075180E" w:rsidRDefault="008F4B1A">
      <w:pPr>
        <w:pStyle w:val="normal1"/>
        <w:numPr>
          <w:ilvl w:val="0"/>
          <w:numId w:val="14"/>
        </w:numPr>
        <w:ind w:left="1440"/>
        <w:rPr>
          <w:lang w:val="en-AU"/>
        </w:rPr>
      </w:pPr>
      <w:r>
        <w:rPr>
          <w:lang w:val="en-AU"/>
        </w:rPr>
        <w:t>Meso- (site) scale</w:t>
      </w:r>
    </w:p>
    <w:p w14:paraId="7BD8BFAA" w14:textId="77777777" w:rsidR="0075180E" w:rsidRDefault="008F4B1A">
      <w:pPr>
        <w:pStyle w:val="normal1"/>
        <w:numPr>
          <w:ilvl w:val="0"/>
          <w:numId w:val="14"/>
        </w:numPr>
        <w:ind w:left="1440"/>
        <w:rPr>
          <w:lang w:val="en-AU"/>
        </w:rPr>
      </w:pPr>
      <w:r>
        <w:rPr>
          <w:lang w:val="en-AU"/>
        </w:rPr>
        <w:t>Decide on model pathway based on species traits</w:t>
      </w:r>
    </w:p>
    <w:p w14:paraId="54258D13" w14:textId="77777777" w:rsidR="0075180E" w:rsidRDefault="008F4B1A">
      <w:pPr>
        <w:pStyle w:val="normal1"/>
        <w:numPr>
          <w:ilvl w:val="0"/>
          <w:numId w:val="14"/>
        </w:numPr>
        <w:ind w:left="1440"/>
        <w:rPr>
          <w:lang w:val="en-AU"/>
        </w:rPr>
      </w:pPr>
      <w:r>
        <w:rPr>
          <w:lang w:val="en-AU"/>
        </w:rPr>
        <w:t>Appraisal of existing data and ability to collate data in the time available and for the region</w:t>
      </w:r>
    </w:p>
    <w:p w14:paraId="4B93D06D" w14:textId="77777777" w:rsidR="0075180E" w:rsidRDefault="008F4B1A">
      <w:pPr>
        <w:pStyle w:val="normal1"/>
        <w:numPr>
          <w:ilvl w:val="0"/>
          <w:numId w:val="14"/>
        </w:numPr>
        <w:ind w:left="1440"/>
        <w:rPr>
          <w:lang w:val="en-AU"/>
        </w:rPr>
      </w:pPr>
      <w:r>
        <w:rPr>
          <w:lang w:val="en-AU"/>
        </w:rPr>
        <w:t>Output is survey design and inferred collision pathways</w:t>
      </w:r>
    </w:p>
    <w:p w14:paraId="14FD4EFF" w14:textId="73371581" w:rsidR="0075180E" w:rsidRDefault="4C1F799F">
      <w:pPr>
        <w:pStyle w:val="normal1"/>
        <w:numPr>
          <w:ilvl w:val="0"/>
          <w:numId w:val="16"/>
        </w:numPr>
        <w:rPr>
          <w:lang w:val="en-AU"/>
        </w:rPr>
      </w:pPr>
      <w:bookmarkStart w:id="42" w:name="_Int_sxIBYRAM"/>
      <w:r w:rsidRPr="271A6B99">
        <w:rPr>
          <w:b/>
          <w:bCs/>
          <w:lang w:val="en-AU"/>
        </w:rPr>
        <w:t>Self-assessment</w:t>
      </w:r>
      <w:bookmarkEnd w:id="42"/>
      <w:r w:rsidRPr="271A6B99">
        <w:rPr>
          <w:b/>
          <w:bCs/>
          <w:lang w:val="en-AU"/>
        </w:rPr>
        <w:t xml:space="preserve"> during survey</w:t>
      </w:r>
    </w:p>
    <w:p w14:paraId="5A92E161" w14:textId="77777777" w:rsidR="0075180E" w:rsidRDefault="008F4B1A">
      <w:pPr>
        <w:pStyle w:val="normal1"/>
        <w:numPr>
          <w:ilvl w:val="0"/>
          <w:numId w:val="13"/>
        </w:numPr>
        <w:ind w:left="1440"/>
        <w:rPr>
          <w:lang w:val="en-AU"/>
        </w:rPr>
      </w:pPr>
      <w:r>
        <w:rPr>
          <w:lang w:val="en-AU"/>
        </w:rPr>
        <w:t>Interim models</w:t>
      </w:r>
    </w:p>
    <w:p w14:paraId="7364A863" w14:textId="77777777" w:rsidR="0075180E" w:rsidRDefault="008F4B1A">
      <w:pPr>
        <w:pStyle w:val="normal1"/>
        <w:numPr>
          <w:ilvl w:val="0"/>
          <w:numId w:val="13"/>
        </w:numPr>
        <w:ind w:left="1440"/>
        <w:rPr>
          <w:lang w:val="en-AU"/>
        </w:rPr>
      </w:pPr>
      <w:r>
        <w:rPr>
          <w:lang w:val="en-AU"/>
        </w:rPr>
        <w:t>Focus on risk avoidance</w:t>
      </w:r>
    </w:p>
    <w:p w14:paraId="39A34BFD" w14:textId="77777777" w:rsidR="0075180E" w:rsidRDefault="008F4B1A">
      <w:pPr>
        <w:pStyle w:val="normal1"/>
        <w:numPr>
          <w:ilvl w:val="0"/>
          <w:numId w:val="13"/>
        </w:numPr>
        <w:ind w:left="1440"/>
        <w:rPr>
          <w:lang w:val="en-AU"/>
        </w:rPr>
      </w:pPr>
      <w:r>
        <w:rPr>
          <w:lang w:val="en-AU"/>
        </w:rPr>
        <w:t>Assessment of gaps and rebalancing data collection</w:t>
      </w:r>
    </w:p>
    <w:p w14:paraId="0DB9E874" w14:textId="77777777" w:rsidR="0075180E" w:rsidRDefault="008F4B1A">
      <w:pPr>
        <w:pStyle w:val="normal1"/>
        <w:numPr>
          <w:ilvl w:val="0"/>
          <w:numId w:val="16"/>
        </w:numPr>
        <w:rPr>
          <w:lang w:val="en-AU"/>
        </w:rPr>
      </w:pPr>
      <w:r>
        <w:rPr>
          <w:b/>
          <w:bCs/>
          <w:lang w:val="en-AU"/>
        </w:rPr>
        <w:t>Final assessment post survey</w:t>
      </w:r>
    </w:p>
    <w:p w14:paraId="502BFA6A" w14:textId="77777777" w:rsidR="0075180E" w:rsidRDefault="008F4B1A">
      <w:pPr>
        <w:pStyle w:val="normal1"/>
        <w:numPr>
          <w:ilvl w:val="0"/>
          <w:numId w:val="12"/>
        </w:numPr>
        <w:ind w:left="1440"/>
        <w:rPr>
          <w:lang w:val="en-AU"/>
        </w:rPr>
      </w:pPr>
      <w:r>
        <w:rPr>
          <w:lang w:val="en-AU"/>
        </w:rPr>
        <w:t>Report/data template and checklist to validate inputs</w:t>
      </w:r>
    </w:p>
    <w:p w14:paraId="04737D62" w14:textId="77777777" w:rsidR="0075180E" w:rsidRDefault="008F4B1A">
      <w:pPr>
        <w:pStyle w:val="normal1"/>
        <w:numPr>
          <w:ilvl w:val="0"/>
          <w:numId w:val="12"/>
        </w:numPr>
        <w:ind w:left="1440"/>
        <w:rPr>
          <w:lang w:val="en-AU"/>
        </w:rPr>
      </w:pPr>
      <w:r>
        <w:rPr>
          <w:lang w:val="en-AU"/>
        </w:rPr>
        <w:t>Output is model (qualitative or quantitative)</w:t>
      </w:r>
    </w:p>
    <w:p w14:paraId="04AACB25" w14:textId="77777777" w:rsidR="0075180E" w:rsidRDefault="008F4B1A">
      <w:pPr>
        <w:pStyle w:val="normal1"/>
        <w:numPr>
          <w:ilvl w:val="0"/>
          <w:numId w:val="12"/>
        </w:numPr>
        <w:ind w:left="1440"/>
        <w:rPr>
          <w:lang w:val="en-AU"/>
        </w:rPr>
      </w:pPr>
      <w:r>
        <w:rPr>
          <w:lang w:val="en-AU"/>
        </w:rPr>
        <w:t>BBMP include validation and mitigation</w:t>
      </w:r>
    </w:p>
    <w:p w14:paraId="6BB8DCEC" w14:textId="77777777" w:rsidR="0075180E" w:rsidRDefault="008F4B1A">
      <w:pPr>
        <w:pStyle w:val="normal1"/>
        <w:numPr>
          <w:ilvl w:val="0"/>
          <w:numId w:val="16"/>
        </w:numPr>
        <w:rPr>
          <w:lang w:val="en-AU"/>
        </w:rPr>
      </w:pPr>
      <w:r>
        <w:rPr>
          <w:b/>
          <w:bCs/>
          <w:lang w:val="en-AU"/>
        </w:rPr>
        <w:t>Post construction</w:t>
      </w:r>
    </w:p>
    <w:p w14:paraId="1D29561F" w14:textId="77777777" w:rsidR="0075180E" w:rsidRDefault="008F4B1A">
      <w:pPr>
        <w:pStyle w:val="normal1"/>
        <w:numPr>
          <w:ilvl w:val="0"/>
          <w:numId w:val="11"/>
        </w:numPr>
        <w:spacing w:after="240" w:line="240" w:lineRule="auto"/>
        <w:ind w:left="1440"/>
        <w:rPr>
          <w:lang w:val="en-AU"/>
        </w:rPr>
      </w:pPr>
      <w:r>
        <w:rPr>
          <w:lang w:val="en-AU"/>
        </w:rPr>
        <w:t>Validate and mitigate</w:t>
      </w:r>
    </w:p>
    <w:p w14:paraId="36704A0D" w14:textId="77777777" w:rsidR="0075180E" w:rsidRDefault="008F4B1A">
      <w:pPr>
        <w:pStyle w:val="Heading2"/>
        <w:rPr>
          <w:lang w:val="en-AU"/>
        </w:rPr>
      </w:pPr>
      <w:bookmarkStart w:id="43" w:name="_l6ccpyk724yo"/>
      <w:bookmarkStart w:id="44" w:name="_Toc1710056854"/>
      <w:bookmarkEnd w:id="43"/>
      <w:r>
        <w:rPr>
          <w:lang w:val="en-AU"/>
        </w:rPr>
        <w:lastRenderedPageBreak/>
        <w:t>Results</w:t>
      </w:r>
      <w:bookmarkEnd w:id="44"/>
    </w:p>
    <w:p w14:paraId="3A05B70A" w14:textId="77777777" w:rsidR="0075180E" w:rsidRDefault="008F4B1A">
      <w:pPr>
        <w:pStyle w:val="normal1"/>
        <w:rPr>
          <w:lang w:val="en-AU"/>
        </w:rPr>
      </w:pPr>
      <w:r>
        <w:rPr>
          <w:lang w:val="en-AU"/>
        </w:rPr>
        <w:t>Table 1 provides a synthesis of the findings from the revised review against the tiered approach. Attachment 1 provides the full memorandum from 2rog including specific examples of methods and advice linking to specific sections from each reviewed document.</w:t>
      </w:r>
    </w:p>
    <w:p w14:paraId="31A502FC" w14:textId="77777777" w:rsidR="0075180E" w:rsidRDefault="008F4B1A">
      <w:pPr>
        <w:pStyle w:val="normal1"/>
        <w:rPr>
          <w:sz w:val="16"/>
          <w:szCs w:val="16"/>
          <w:lang w:val="en-AU"/>
        </w:rPr>
      </w:pPr>
      <w:r>
        <w:rPr>
          <w:b/>
          <w:bCs/>
          <w:i/>
          <w:iCs/>
          <w:sz w:val="16"/>
          <w:szCs w:val="16"/>
          <w:lang w:val="en-AU"/>
        </w:rPr>
        <w:t>TABLE 1: Synthesis of findings from framework review against project development stages</w:t>
      </w:r>
    </w:p>
    <w:tbl>
      <w:tblPr>
        <w:tblW w:w="9000" w:type="dxa"/>
        <w:tblLayout w:type="fixed"/>
        <w:tblCellMar>
          <w:top w:w="100" w:type="dxa"/>
          <w:left w:w="100" w:type="dxa"/>
          <w:bottom w:w="100" w:type="dxa"/>
          <w:right w:w="100" w:type="dxa"/>
        </w:tblCellMar>
        <w:tblLook w:val="0620" w:firstRow="1" w:lastRow="0" w:firstColumn="0" w:lastColumn="0" w:noHBand="1" w:noVBand="1"/>
      </w:tblPr>
      <w:tblGrid>
        <w:gridCol w:w="1725"/>
        <w:gridCol w:w="7275"/>
      </w:tblGrid>
      <w:tr w:rsidR="0075180E" w14:paraId="1EA5C907" w14:textId="77777777" w:rsidTr="271A6B99">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DF52F2" w14:textId="77777777" w:rsidR="0075180E" w:rsidRDefault="008F4B1A">
            <w:pPr>
              <w:pStyle w:val="normal1"/>
              <w:widowControl w:val="0"/>
              <w:spacing w:line="240" w:lineRule="auto"/>
              <w:rPr>
                <w:lang w:val="en-AU"/>
              </w:rPr>
            </w:pPr>
            <w:r>
              <w:rPr>
                <w:b/>
                <w:bCs/>
                <w:lang w:val="en-AU"/>
              </w:rPr>
              <w:t>Criteria</w:t>
            </w:r>
          </w:p>
        </w:tc>
        <w:tc>
          <w:tcPr>
            <w:tcW w:w="7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A27073" w14:textId="77777777" w:rsidR="0075180E" w:rsidRDefault="008F4B1A">
            <w:pPr>
              <w:pStyle w:val="normal1"/>
              <w:widowControl w:val="0"/>
              <w:spacing w:line="240" w:lineRule="auto"/>
              <w:rPr>
                <w:lang w:val="en-AU"/>
              </w:rPr>
            </w:pPr>
            <w:r>
              <w:rPr>
                <w:b/>
                <w:bCs/>
                <w:lang w:val="en-AU"/>
              </w:rPr>
              <w:t>Synthesis of material from reviewed frameworks</w:t>
            </w:r>
          </w:p>
        </w:tc>
      </w:tr>
      <w:tr w:rsidR="0075180E" w14:paraId="2CBA1580" w14:textId="77777777" w:rsidTr="271A6B99">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698FD" w14:textId="77777777" w:rsidR="0075180E" w:rsidRDefault="008F4B1A">
            <w:pPr>
              <w:pStyle w:val="normal1"/>
              <w:widowControl w:val="0"/>
              <w:spacing w:line="240" w:lineRule="auto"/>
              <w:rPr>
                <w:lang w:val="en-AU"/>
              </w:rPr>
            </w:pPr>
            <w:r>
              <w:rPr>
                <w:lang w:val="en-AU"/>
              </w:rPr>
              <w:t>Site identification</w:t>
            </w:r>
          </w:p>
        </w:tc>
        <w:tc>
          <w:tcPr>
            <w:tcW w:w="7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87F855" w14:textId="77777777" w:rsidR="0075180E" w:rsidRDefault="008F4B1A">
            <w:pPr>
              <w:pStyle w:val="normal1"/>
              <w:widowControl w:val="0"/>
              <w:spacing w:line="240" w:lineRule="auto"/>
              <w:rPr>
                <w:lang w:val="en-AU"/>
              </w:rPr>
            </w:pPr>
            <w:r>
              <w:rPr>
                <w:lang w:val="en-AU"/>
              </w:rPr>
              <w:t xml:space="preserve">Across frameworks, early-stage planning emphasises risk avoidance through spatial screening and sensitivity mapping, using existing datasets and reconnaissance to identify species, habitats, and areas of concern. </w:t>
            </w:r>
          </w:p>
          <w:p w14:paraId="11AF09B5" w14:textId="77777777" w:rsidR="0075180E" w:rsidRDefault="008F4B1A">
            <w:pPr>
              <w:pStyle w:val="normal1"/>
              <w:widowControl w:val="0"/>
              <w:spacing w:line="240" w:lineRule="auto"/>
              <w:rPr>
                <w:lang w:val="en-AU"/>
              </w:rPr>
            </w:pPr>
            <w:r>
              <w:rPr>
                <w:lang w:val="en-AU"/>
              </w:rPr>
              <w:t>The focus is on strategic siting and scoping, informed by stakeholder consultation and cumulative impact assessment, before committing to fieldwork. All reviewed frameworks were unanimous that early identification of ecological constraints is the foundation of an efficient, minimum-impact assessment process.</w:t>
            </w:r>
          </w:p>
        </w:tc>
      </w:tr>
      <w:tr w:rsidR="0075180E" w14:paraId="70516BE4" w14:textId="77777777" w:rsidTr="271A6B99">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7A532" w14:textId="5E5CB723" w:rsidR="0075180E" w:rsidRDefault="271A6B99">
            <w:pPr>
              <w:pStyle w:val="normal1"/>
              <w:widowControl w:val="0"/>
              <w:spacing w:line="240" w:lineRule="auto"/>
              <w:rPr>
                <w:lang w:val="en-AU"/>
              </w:rPr>
            </w:pPr>
            <w:r w:rsidRPr="271A6B99">
              <w:rPr>
                <w:lang w:val="en-AU"/>
              </w:rPr>
              <w:t xml:space="preserve">Site </w:t>
            </w:r>
            <w:bookmarkStart w:id="45" w:name="_Int_C2ZUAjkS"/>
            <w:r w:rsidRPr="271A6B99">
              <w:rPr>
                <w:lang w:val="en-AU"/>
              </w:rPr>
              <w:t>investigation planning</w:t>
            </w:r>
            <w:bookmarkEnd w:id="45"/>
          </w:p>
        </w:tc>
        <w:tc>
          <w:tcPr>
            <w:tcW w:w="7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0BAA7" w14:textId="77777777" w:rsidR="0075180E" w:rsidRDefault="008F4B1A">
            <w:pPr>
              <w:pStyle w:val="normal1"/>
              <w:widowControl w:val="0"/>
              <w:spacing w:line="240" w:lineRule="auto"/>
              <w:rPr>
                <w:lang w:val="en-AU"/>
              </w:rPr>
            </w:pPr>
            <w:r>
              <w:rPr>
                <w:lang w:val="en-AU"/>
              </w:rPr>
              <w:t xml:space="preserve">The planning phase is about translating desktop insights into a structured survey design, defining which data are needed, why, and how they will inform risk models. Best practice requires alignment with seasonality and scaling survey effort to site sensitivity and species vulnerability. </w:t>
            </w:r>
          </w:p>
          <w:p w14:paraId="06CB65CC" w14:textId="77777777" w:rsidR="0075180E" w:rsidRDefault="008F4B1A">
            <w:pPr>
              <w:pStyle w:val="normal1"/>
              <w:widowControl w:val="0"/>
              <w:spacing w:line="240" w:lineRule="auto"/>
              <w:rPr>
                <w:lang w:val="en-AU"/>
              </w:rPr>
            </w:pPr>
            <w:r>
              <w:rPr>
                <w:lang w:val="en-AU"/>
              </w:rPr>
              <w:t>Engagement with regulators and experts is consistent across frameworks to refine objectives, select indicators, and plan data management. The aim is to ensure surveys are fit-for-purpose, representative, and capable of producing statistically valid, comparable data for modelling and decision-making.</w:t>
            </w:r>
          </w:p>
        </w:tc>
      </w:tr>
      <w:tr w:rsidR="0075180E" w14:paraId="2A71F3AC" w14:textId="77777777" w:rsidTr="271A6B99">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F0162" w14:textId="77777777" w:rsidR="0075180E" w:rsidRDefault="008F4B1A">
            <w:pPr>
              <w:pStyle w:val="normal1"/>
              <w:widowControl w:val="0"/>
              <w:spacing w:line="240" w:lineRule="auto"/>
              <w:rPr>
                <w:lang w:val="en-AU"/>
              </w:rPr>
            </w:pPr>
            <w:r>
              <w:rPr>
                <w:lang w:val="en-AU"/>
              </w:rPr>
              <w:t>Site investigation planning</w:t>
            </w:r>
          </w:p>
        </w:tc>
        <w:tc>
          <w:tcPr>
            <w:tcW w:w="7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6166FF" w14:textId="77777777" w:rsidR="0075180E" w:rsidRDefault="008F4B1A">
            <w:pPr>
              <w:pStyle w:val="normal1"/>
              <w:widowControl w:val="0"/>
              <w:spacing w:line="240" w:lineRule="auto"/>
              <w:rPr>
                <w:lang w:val="en-AU"/>
              </w:rPr>
            </w:pPr>
            <w:r>
              <w:rPr>
                <w:lang w:val="en-AU"/>
              </w:rPr>
              <w:t xml:space="preserve">All frameworks require standardised, multi-season field surveys to establish a reliable ecological baseline. These surveys combine species richness, abundance, and behavioural data (flight height, timing, activity rates, etc.) with environmental variables to parameterise collision models. </w:t>
            </w:r>
          </w:p>
          <w:p w14:paraId="39A26B16" w14:textId="77777777" w:rsidR="0075180E" w:rsidRDefault="008F4B1A">
            <w:pPr>
              <w:pStyle w:val="normal1"/>
              <w:widowControl w:val="0"/>
              <w:spacing w:line="240" w:lineRule="auto"/>
              <w:rPr>
                <w:lang w:val="en-AU"/>
              </w:rPr>
            </w:pPr>
            <w:r>
              <w:rPr>
                <w:lang w:val="en-AU"/>
              </w:rPr>
              <w:t>Use of vantage point counts, acoustic detectors, radar, telemetry (etc.) is widely recommended, depending on target taxa and site context (and current best practice). Surveys must follow repeatable protocols, often using control sites (BACI), to support future comparison and validation of impact predictions.</w:t>
            </w:r>
          </w:p>
          <w:p w14:paraId="352F31DE" w14:textId="77777777" w:rsidR="0075180E" w:rsidRDefault="008F4B1A">
            <w:pPr>
              <w:pStyle w:val="normal1"/>
              <w:widowControl w:val="0"/>
              <w:spacing w:line="240" w:lineRule="auto"/>
              <w:rPr>
                <w:lang w:val="en-AU"/>
              </w:rPr>
            </w:pPr>
            <w:r>
              <w:rPr>
                <w:lang w:val="en-AU"/>
              </w:rPr>
              <w:t xml:space="preserve">For example, US Fish and Wildlife Service 2012 states that baseline studies should assess the presence and behaviour of species of concern, and risks posed to them, via surveys of sufficient duration and intensity to capture </w:t>
            </w:r>
            <w:r>
              <w:rPr>
                <w:lang w:val="en-AU"/>
              </w:rPr>
              <w:lastRenderedPageBreak/>
              <w:t>annual/seasonal variations (multiple years may be required); the sensitivity of the site/species also influences monitoring duration/intensity. Survey protocols may include diurnal avian activity surveys, raptor nest searches, mist-netting, nocturnal surveys (etc.).</w:t>
            </w:r>
          </w:p>
          <w:p w14:paraId="47CEE845" w14:textId="77777777" w:rsidR="0075180E" w:rsidRDefault="008F4B1A">
            <w:pPr>
              <w:pStyle w:val="normal1"/>
              <w:widowControl w:val="0"/>
              <w:spacing w:line="240" w:lineRule="auto"/>
              <w:rPr>
                <w:lang w:val="en-AU"/>
              </w:rPr>
            </w:pPr>
            <w:r>
              <w:rPr>
                <w:lang w:val="en-AU"/>
              </w:rPr>
              <w:t>As an additional example, the Victorian Framework states, in respect of bat species of concern, that up to 24 months of monitoring may be required where there is little known about bat activity at the site, or there are heightened risks associated with the site, or existing data indicates risks may be reduced.</w:t>
            </w:r>
          </w:p>
        </w:tc>
      </w:tr>
      <w:tr w:rsidR="0075180E" w14:paraId="65959C99" w14:textId="77777777" w:rsidTr="271A6B99">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596DC" w14:textId="77777777" w:rsidR="0075180E" w:rsidRDefault="008F4B1A">
            <w:pPr>
              <w:pStyle w:val="normal1"/>
              <w:widowControl w:val="0"/>
              <w:spacing w:line="240" w:lineRule="auto"/>
              <w:rPr>
                <w:lang w:val="en-AU"/>
              </w:rPr>
            </w:pPr>
            <w:r>
              <w:rPr>
                <w:lang w:val="en-AU"/>
              </w:rPr>
              <w:lastRenderedPageBreak/>
              <w:t>Self-assessment during survey</w:t>
            </w:r>
          </w:p>
        </w:tc>
        <w:tc>
          <w:tcPr>
            <w:tcW w:w="7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A22E5" w14:textId="77777777" w:rsidR="0075180E" w:rsidRDefault="008F4B1A">
            <w:pPr>
              <w:pStyle w:val="normal1"/>
              <w:widowControl w:val="0"/>
              <w:spacing w:line="240" w:lineRule="auto"/>
              <w:rPr>
                <w:lang w:val="en-AU"/>
              </w:rPr>
            </w:pPr>
            <w:r>
              <w:rPr>
                <w:lang w:val="en-AU"/>
              </w:rPr>
              <w:t>Risk assessment integrates site data with species and turbine parameters to estimate collision likelihood and exposure. Frameworks rely on collision risk models (e.g. (</w:t>
            </w:r>
            <w:proofErr w:type="spellStart"/>
            <w:r>
              <w:rPr>
                <w:lang w:val="en-AU"/>
              </w:rPr>
              <w:t>Caneco</w:t>
            </w:r>
            <w:proofErr w:type="spellEnd"/>
            <w:r>
              <w:rPr>
                <w:lang w:val="en-AU"/>
              </w:rPr>
              <w:t xml:space="preserve"> et al. 2022), combining flight activity, avoidance rates, turbine characteristics etc. Assessments consider individual and population-level risks. The process is adaptive and central to shaping mitigation and project design.</w:t>
            </w:r>
          </w:p>
        </w:tc>
      </w:tr>
      <w:tr w:rsidR="0075180E" w14:paraId="2EA08BA1" w14:textId="77777777" w:rsidTr="271A6B99">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23B54" w14:textId="77777777" w:rsidR="0075180E" w:rsidRDefault="008F4B1A">
            <w:pPr>
              <w:pStyle w:val="normal1"/>
              <w:widowControl w:val="0"/>
              <w:spacing w:line="240" w:lineRule="auto"/>
              <w:rPr>
                <w:lang w:val="en-AU"/>
              </w:rPr>
            </w:pPr>
            <w:r>
              <w:rPr>
                <w:lang w:val="en-AU"/>
              </w:rPr>
              <w:t>Final assessment post survey</w:t>
            </w:r>
          </w:p>
          <w:p w14:paraId="62EBF3C5" w14:textId="77777777" w:rsidR="0075180E" w:rsidRDefault="0075180E">
            <w:pPr>
              <w:pStyle w:val="normal1"/>
              <w:widowControl w:val="0"/>
              <w:spacing w:line="240" w:lineRule="auto"/>
              <w:rPr>
                <w:lang w:val="en-AU"/>
              </w:rPr>
            </w:pPr>
          </w:p>
        </w:tc>
        <w:tc>
          <w:tcPr>
            <w:tcW w:w="7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D4E168" w14:textId="77777777" w:rsidR="0075180E" w:rsidRDefault="008F4B1A">
            <w:pPr>
              <w:pStyle w:val="normal1"/>
              <w:widowControl w:val="0"/>
              <w:spacing w:line="240" w:lineRule="auto"/>
              <w:rPr>
                <w:lang w:val="en-AU"/>
              </w:rPr>
            </w:pPr>
            <w:r>
              <w:rPr>
                <w:lang w:val="en-AU"/>
              </w:rPr>
              <w:t xml:space="preserve">Final assessments synthesise all baseline and model outputs to produce validated collision and population impact estimates, benchmarked against defined thresholds or Acceptable Levels of Impact. </w:t>
            </w:r>
          </w:p>
          <w:p w14:paraId="1DB439FF" w14:textId="77777777" w:rsidR="0075180E" w:rsidRDefault="008F4B1A">
            <w:pPr>
              <w:pStyle w:val="normal1"/>
              <w:widowControl w:val="0"/>
              <w:spacing w:line="240" w:lineRule="auto"/>
              <w:rPr>
                <w:lang w:val="en-AU"/>
              </w:rPr>
            </w:pPr>
            <w:r>
              <w:rPr>
                <w:lang w:val="en-AU"/>
              </w:rPr>
              <w:t>Scenarios often include cumulative effects across multiple wind farms and long-term population viability modelling. This stage formalises whether risks are acceptable, what mitigations are required, and how adaptive monitoring will be structured.</w:t>
            </w:r>
          </w:p>
        </w:tc>
      </w:tr>
      <w:tr w:rsidR="0075180E" w14:paraId="08E82321" w14:textId="77777777" w:rsidTr="271A6B99">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A5752" w14:textId="77777777" w:rsidR="0075180E" w:rsidRDefault="008F4B1A">
            <w:pPr>
              <w:pStyle w:val="normal1"/>
              <w:widowControl w:val="0"/>
              <w:spacing w:line="240" w:lineRule="auto"/>
              <w:rPr>
                <w:lang w:val="en-AU"/>
              </w:rPr>
            </w:pPr>
            <w:r>
              <w:rPr>
                <w:lang w:val="en-AU"/>
              </w:rPr>
              <w:t>Post construction</w:t>
            </w:r>
          </w:p>
        </w:tc>
        <w:tc>
          <w:tcPr>
            <w:tcW w:w="7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7696B2" w14:textId="77777777" w:rsidR="0075180E" w:rsidRDefault="008F4B1A">
            <w:pPr>
              <w:pStyle w:val="normal1"/>
              <w:widowControl w:val="0"/>
              <w:spacing w:line="240" w:lineRule="auto"/>
              <w:rPr>
                <w:lang w:val="en-AU"/>
              </w:rPr>
            </w:pPr>
            <w:r>
              <w:rPr>
                <w:lang w:val="en-AU"/>
              </w:rPr>
              <w:t xml:space="preserve">Post-construction monitoring validates predictions, quantifies realised impacts, and supports adaptive management. Two core monitoring types include carcass searches and acoustic or radar-based surveillance, corrected for detection biases. </w:t>
            </w:r>
          </w:p>
          <w:p w14:paraId="7C45444B" w14:textId="77777777" w:rsidR="0075180E" w:rsidRDefault="008F4B1A">
            <w:pPr>
              <w:pStyle w:val="normal1"/>
              <w:widowControl w:val="0"/>
              <w:spacing w:line="240" w:lineRule="auto"/>
              <w:rPr>
                <w:lang w:val="en-AU"/>
              </w:rPr>
            </w:pPr>
            <w:r>
              <w:rPr>
                <w:lang w:val="en-AU"/>
              </w:rPr>
              <w:t>Results feed into iterative decision loops that adjust turbine operation (e.g. curtailment, deterrents) and evaluate mitigation effectiveness. Continuous data sharing and cumulative analyses are encouraged to improve regional evidence bases.</w:t>
            </w:r>
          </w:p>
        </w:tc>
      </w:tr>
    </w:tbl>
    <w:p w14:paraId="6D98A12B" w14:textId="77777777" w:rsidR="0075180E" w:rsidRDefault="008F4B1A">
      <w:pPr>
        <w:pStyle w:val="Heading1"/>
        <w:rPr>
          <w:lang w:val="en-AU"/>
        </w:rPr>
      </w:pPr>
      <w:r>
        <w:lastRenderedPageBreak/>
        <w:br w:type="page"/>
      </w:r>
    </w:p>
    <w:p w14:paraId="0561BCF5" w14:textId="77777777" w:rsidR="0075180E" w:rsidRDefault="008F4B1A">
      <w:pPr>
        <w:pStyle w:val="Heading1"/>
        <w:rPr>
          <w:lang w:val="en-AU"/>
        </w:rPr>
      </w:pPr>
      <w:bookmarkStart w:id="46" w:name="_bd0lu1jo8wv0"/>
      <w:bookmarkStart w:id="47" w:name="_Toc785396725"/>
      <w:bookmarkEnd w:id="46"/>
      <w:r>
        <w:rPr>
          <w:lang w:val="en-AU"/>
        </w:rPr>
        <w:lastRenderedPageBreak/>
        <w:t>Review of international Collision Risk Models</w:t>
      </w:r>
      <w:bookmarkEnd w:id="47"/>
    </w:p>
    <w:p w14:paraId="6510F2A9" w14:textId="77777777" w:rsidR="0075180E" w:rsidRDefault="008F4B1A">
      <w:pPr>
        <w:pStyle w:val="Heading2"/>
        <w:rPr>
          <w:lang w:val="en-AU"/>
        </w:rPr>
      </w:pPr>
      <w:bookmarkStart w:id="48" w:name="_5rww5ug5awfa"/>
      <w:bookmarkStart w:id="49" w:name="_Toc1145409418"/>
      <w:bookmarkEnd w:id="48"/>
      <w:r>
        <w:rPr>
          <w:lang w:val="en-AU"/>
        </w:rPr>
        <w:t>Objective</w:t>
      </w:r>
      <w:bookmarkEnd w:id="49"/>
    </w:p>
    <w:p w14:paraId="46BE2823" w14:textId="77777777" w:rsidR="0075180E" w:rsidRDefault="008F4B1A">
      <w:pPr>
        <w:pStyle w:val="normal1"/>
        <w:rPr>
          <w:lang w:val="en-AU"/>
        </w:rPr>
      </w:pPr>
      <w:r>
        <w:rPr>
          <w:lang w:val="en-AU"/>
        </w:rPr>
        <w:t>To develop a comprehensive summary of existing models and associated data collection methodologies used for quantifying the likelihood of bird and bat collisions with wind turbines.</w:t>
      </w:r>
    </w:p>
    <w:p w14:paraId="21775D6C" w14:textId="77777777" w:rsidR="0075180E" w:rsidRDefault="008F4B1A">
      <w:pPr>
        <w:pStyle w:val="Heading3"/>
        <w:rPr>
          <w:lang w:val="en-AU"/>
        </w:rPr>
      </w:pPr>
      <w:bookmarkStart w:id="50" w:name="_qhb1ilvnsptx"/>
      <w:bookmarkEnd w:id="50"/>
      <w:r>
        <w:rPr>
          <w:lang w:val="en-AU"/>
        </w:rPr>
        <w:t>Key Research Questions:</w:t>
      </w:r>
    </w:p>
    <w:p w14:paraId="7CFEF058" w14:textId="77777777" w:rsidR="0075180E" w:rsidRDefault="008F4B1A">
      <w:pPr>
        <w:pStyle w:val="normal1"/>
        <w:numPr>
          <w:ilvl w:val="0"/>
          <w:numId w:val="10"/>
        </w:numPr>
        <w:rPr>
          <w:lang w:val="en-AU"/>
        </w:rPr>
      </w:pPr>
      <w:r>
        <w:rPr>
          <w:lang w:val="en-AU"/>
        </w:rPr>
        <w:t>What quantitative and qualitative models exist for predicting collision risk for birds and bats with both terrestrial and offshore wind turbines?</w:t>
      </w:r>
    </w:p>
    <w:p w14:paraId="12899E16" w14:textId="77777777" w:rsidR="0075180E" w:rsidRDefault="008F4B1A">
      <w:pPr>
        <w:pStyle w:val="normal1"/>
        <w:numPr>
          <w:ilvl w:val="0"/>
          <w:numId w:val="10"/>
        </w:numPr>
        <w:rPr>
          <w:lang w:val="en-AU"/>
        </w:rPr>
      </w:pPr>
      <w:r>
        <w:rPr>
          <w:lang w:val="en-AU"/>
        </w:rPr>
        <w:t>What are the specific data collection methodologies required to input into these models?</w:t>
      </w:r>
    </w:p>
    <w:p w14:paraId="297F4BAB" w14:textId="77777777" w:rsidR="0075180E" w:rsidRDefault="008F4B1A">
      <w:pPr>
        <w:pStyle w:val="normal1"/>
        <w:numPr>
          <w:ilvl w:val="0"/>
          <w:numId w:val="10"/>
        </w:numPr>
        <w:rPr>
          <w:lang w:val="en-AU"/>
        </w:rPr>
      </w:pPr>
      <w:r>
        <w:rPr>
          <w:lang w:val="en-AU"/>
        </w:rPr>
        <w:t>For each model, what are its specific input requirements, assumptions, limitations, and its applicability (e.g., to certain species groups, geographical regions, or project scales)?</w:t>
      </w:r>
    </w:p>
    <w:p w14:paraId="2494A37D" w14:textId="77777777" w:rsidR="0075180E" w:rsidRDefault="008F4B1A">
      <w:pPr>
        <w:pStyle w:val="Heading2"/>
        <w:rPr>
          <w:lang w:val="en-AU"/>
        </w:rPr>
      </w:pPr>
      <w:bookmarkStart w:id="51" w:name="_3eb2u6eevyer"/>
      <w:bookmarkStart w:id="52" w:name="_Toc1582941859"/>
      <w:bookmarkEnd w:id="51"/>
      <w:r>
        <w:rPr>
          <w:lang w:val="en-AU"/>
        </w:rPr>
        <w:t>Methodology</w:t>
      </w:r>
      <w:bookmarkEnd w:id="52"/>
    </w:p>
    <w:p w14:paraId="097D4EAB" w14:textId="77777777" w:rsidR="0075180E" w:rsidRDefault="008F4B1A">
      <w:pPr>
        <w:pStyle w:val="normal1"/>
        <w:rPr>
          <w:lang w:val="en-AU"/>
        </w:rPr>
      </w:pPr>
      <w:r>
        <w:rPr>
          <w:lang w:val="en-AU"/>
        </w:rPr>
        <w:t xml:space="preserve">To ensure an international view and review independence, we engaged US-based ecological consulting firm Western </w:t>
      </w:r>
      <w:proofErr w:type="spellStart"/>
      <w:r>
        <w:rPr>
          <w:lang w:val="en-AU"/>
        </w:rPr>
        <w:t>EcoSystems</w:t>
      </w:r>
      <w:proofErr w:type="spellEnd"/>
      <w:r>
        <w:rPr>
          <w:lang w:val="en-AU"/>
        </w:rPr>
        <w:t xml:space="preserve"> Technology Inc. (WEST) to conduct a ‘rapid scan’ and synthesis of published work on CRM.</w:t>
      </w:r>
    </w:p>
    <w:p w14:paraId="7CF8E52F" w14:textId="77777777" w:rsidR="0075180E" w:rsidRDefault="008F4B1A">
      <w:pPr>
        <w:pStyle w:val="normal1"/>
        <w:rPr>
          <w:lang w:val="en-AU"/>
        </w:rPr>
      </w:pPr>
      <w:r>
        <w:rPr>
          <w:lang w:val="en-AU"/>
        </w:rPr>
        <w:t>A recent review (Cook et al. 2025) provides an extensive list of collision risk models as at mid-2025. This was used as a starting point for model information gathering. In addition, WEST conducted an additional literature search and consulted with Senior and Principal Statisticians and Biologists (technical experts) to identify additional relevant literature for inclusion.</w:t>
      </w:r>
    </w:p>
    <w:p w14:paraId="56F4BD2B" w14:textId="77777777" w:rsidR="0075180E" w:rsidRDefault="008F4B1A">
      <w:pPr>
        <w:pStyle w:val="normal1"/>
        <w:rPr>
          <w:lang w:val="en-AU"/>
        </w:rPr>
      </w:pPr>
      <w:r>
        <w:rPr>
          <w:lang w:val="en-AU"/>
        </w:rPr>
        <w:t xml:space="preserve">The following information was extracted from the literature and used by the authors of this report to categorise the types and applications of CRM: data collection methods; data needed to fit the model; standard operating procedures for data collection; biological characteristics used as model inputs; turbine specifications used as model inputs; model implementation approach; model requirements; model limitations; outputs; assumptions; and any additional relevant notes. </w:t>
      </w:r>
    </w:p>
    <w:p w14:paraId="78B16991" w14:textId="77777777" w:rsidR="0075180E" w:rsidRDefault="008F4B1A">
      <w:pPr>
        <w:pStyle w:val="Heading2"/>
        <w:rPr>
          <w:lang w:val="en-AU"/>
        </w:rPr>
      </w:pPr>
      <w:bookmarkStart w:id="53" w:name="_s8wbuhkmttky"/>
      <w:bookmarkStart w:id="54" w:name="_Toc835021997"/>
      <w:bookmarkEnd w:id="53"/>
      <w:r>
        <w:rPr>
          <w:lang w:val="en-AU"/>
        </w:rPr>
        <w:t>Results</w:t>
      </w:r>
      <w:bookmarkEnd w:id="54"/>
    </w:p>
    <w:p w14:paraId="6A68D458" w14:textId="77777777" w:rsidR="0075180E" w:rsidRDefault="008F4B1A">
      <w:pPr>
        <w:pStyle w:val="normal1"/>
        <w:rPr>
          <w:lang w:val="en-AU"/>
        </w:rPr>
      </w:pPr>
      <w:r>
        <w:rPr>
          <w:lang w:val="en-AU"/>
        </w:rPr>
        <w:t xml:space="preserve">Quantitative CRM is still an active area of research despite 40 years of development. </w:t>
      </w:r>
      <w:proofErr w:type="gramStart"/>
      <w:r>
        <w:rPr>
          <w:lang w:val="en-AU"/>
        </w:rPr>
        <w:t>In particular the</w:t>
      </w:r>
      <w:proofErr w:type="gramEnd"/>
      <w:r>
        <w:rPr>
          <w:lang w:val="en-AU"/>
        </w:rPr>
        <w:t xml:space="preserve"> advent of technology like radar, telemetry, and GPS tagging to augment human observations has driven innovation in estimating the flight density and spatial extent of bird species (e.g. </w:t>
      </w:r>
      <w:proofErr w:type="spellStart"/>
      <w:r>
        <w:rPr>
          <w:lang w:val="en-AU"/>
        </w:rPr>
        <w:t>Goyert</w:t>
      </w:r>
      <w:proofErr w:type="spellEnd"/>
      <w:r>
        <w:rPr>
          <w:lang w:val="en-AU"/>
        </w:rPr>
        <w:t xml:space="preserve"> et al. 2024; van Melen et al. 2022; Brabant et al. 2015).</w:t>
      </w:r>
    </w:p>
    <w:p w14:paraId="055A286A" w14:textId="77777777" w:rsidR="0075180E" w:rsidRDefault="008F4B1A">
      <w:pPr>
        <w:pStyle w:val="normal1"/>
        <w:rPr>
          <w:lang w:val="en-AU"/>
        </w:rPr>
      </w:pPr>
      <w:r>
        <w:rPr>
          <w:lang w:val="en-AU"/>
        </w:rPr>
        <w:lastRenderedPageBreak/>
        <w:t xml:space="preserve">Many of the articles published to date describe the application of one of a few CRM approaches to a specific </w:t>
      </w:r>
      <w:proofErr w:type="gramStart"/>
      <w:r>
        <w:rPr>
          <w:lang w:val="en-AU"/>
        </w:rPr>
        <w:t>species;</w:t>
      </w:r>
      <w:proofErr w:type="gramEnd"/>
      <w:r>
        <w:rPr>
          <w:lang w:val="en-AU"/>
        </w:rPr>
        <w:t xml:space="preserve"> e.g. investigating the need for year-round surveying of kittiwakes in the German North Sea (Busch and Garthe 2018).  Other papers describe regional and cumulative applications (Brabant et al. 2015).</w:t>
      </w:r>
    </w:p>
    <w:p w14:paraId="730BFFC6" w14:textId="77777777" w:rsidR="0075180E" w:rsidRDefault="008F4B1A">
      <w:pPr>
        <w:pStyle w:val="normal1"/>
        <w:rPr>
          <w:lang w:val="en-AU"/>
        </w:rPr>
      </w:pPr>
      <w:r>
        <w:rPr>
          <w:lang w:val="en-AU"/>
        </w:rPr>
        <w:t xml:space="preserve">Despite advances in data collection and estimation of input parameters, there are only a small number of theoretical approaches to estimating collision risk (Smales 2017).  </w:t>
      </w:r>
    </w:p>
    <w:p w14:paraId="5BEA70A6" w14:textId="77777777" w:rsidR="0075180E" w:rsidRDefault="008F4B1A">
      <w:pPr>
        <w:pStyle w:val="Heading3"/>
        <w:rPr>
          <w:lang w:val="en-AU"/>
        </w:rPr>
      </w:pPr>
      <w:bookmarkStart w:id="55" w:name="_apscwfjr0x5c"/>
      <w:bookmarkEnd w:id="55"/>
      <w:r>
        <w:rPr>
          <w:lang w:val="en-AU"/>
        </w:rPr>
        <w:t>Notable models and applications</w:t>
      </w:r>
    </w:p>
    <w:p w14:paraId="06EC63E5" w14:textId="77777777" w:rsidR="0075180E" w:rsidRDefault="008F4B1A">
      <w:pPr>
        <w:pStyle w:val="normal1"/>
        <w:rPr>
          <w:lang w:val="en-AU"/>
        </w:rPr>
      </w:pPr>
      <w:r>
        <w:rPr>
          <w:lang w:val="en-AU"/>
        </w:rPr>
        <w:t xml:space="preserve">A common approach (Band 2012) uses estimates of species density (birds / </w:t>
      </w:r>
      <w:proofErr w:type="spellStart"/>
      <w:r>
        <w:rPr>
          <w:lang w:val="en-AU"/>
        </w:rPr>
        <w:t>sqkm</w:t>
      </w:r>
      <w:proofErr w:type="spellEnd"/>
      <w:r>
        <w:rPr>
          <w:lang w:val="en-AU"/>
        </w:rPr>
        <w:t xml:space="preserve">) with a model of turbine interaction based on the flight speed of the bird. The chance of colliding with the turbine is a geometric calculation considering the upwind/downwind flight speed and the rotor geometry.  Because of the heavy reliance on bird flight speed at two stages, the model is overly sensitive to uncertainties in species flight speed data (Masden et al. 2021). </w:t>
      </w:r>
    </w:p>
    <w:p w14:paraId="03DF4464" w14:textId="77777777" w:rsidR="0075180E" w:rsidRDefault="008F4B1A">
      <w:pPr>
        <w:pStyle w:val="normal1"/>
        <w:rPr>
          <w:lang w:val="en-AU"/>
        </w:rPr>
      </w:pPr>
      <w:r>
        <w:rPr>
          <w:lang w:val="en-AU"/>
        </w:rPr>
        <w:t xml:space="preserve">Despite known limitations, the “Band Model” has been the basis for </w:t>
      </w:r>
      <w:proofErr w:type="gramStart"/>
      <w:r>
        <w:rPr>
          <w:lang w:val="en-AU"/>
        </w:rPr>
        <w:t>a number of</w:t>
      </w:r>
      <w:proofErr w:type="gramEnd"/>
      <w:r>
        <w:rPr>
          <w:lang w:val="en-AU"/>
        </w:rPr>
        <w:t xml:space="preserve"> more recent CRM versions; most notably the </w:t>
      </w:r>
      <w:proofErr w:type="spellStart"/>
      <w:r>
        <w:rPr>
          <w:rFonts w:ascii="Roboto Mono" w:eastAsia="Roboto Mono" w:hAnsi="Roboto Mono" w:cs="Roboto Mono"/>
          <w:color w:val="188038"/>
          <w:lang w:val="en-AU"/>
        </w:rPr>
        <w:t>stochLAB</w:t>
      </w:r>
      <w:proofErr w:type="spellEnd"/>
      <w:r>
        <w:rPr>
          <w:lang w:val="en-AU"/>
        </w:rPr>
        <w:t xml:space="preserve"> R package (</w:t>
      </w:r>
      <w:proofErr w:type="spellStart"/>
      <w:r>
        <w:rPr>
          <w:lang w:val="en-AU"/>
        </w:rPr>
        <w:t>Caneco</w:t>
      </w:r>
      <w:proofErr w:type="spellEnd"/>
      <w:r>
        <w:rPr>
          <w:lang w:val="en-AU"/>
        </w:rPr>
        <w:t xml:space="preserve"> et al. 2022) which extends the model with stochastic inputs and includes specific options (for example, the ability to model collision risk at different heights across the rotor swept area). The inputs are standardised but also specific (e.g. optimised for monthly surveys). The output is a range of predicted annual collisions for the </w:t>
      </w:r>
      <w:proofErr w:type="gramStart"/>
      <w:r>
        <w:rPr>
          <w:lang w:val="en-AU"/>
        </w:rPr>
        <w:t>site as a whole</w:t>
      </w:r>
      <w:proofErr w:type="gramEnd"/>
      <w:r>
        <w:rPr>
          <w:lang w:val="en-AU"/>
        </w:rPr>
        <w:t>. Other extensions of the “Band model” relate to innovative data capture, e.g. telemetry using MOTUS (</w:t>
      </w:r>
      <w:proofErr w:type="spellStart"/>
      <w:r>
        <w:rPr>
          <w:lang w:val="en-AU"/>
        </w:rPr>
        <w:t>Goyert</w:t>
      </w:r>
      <w:proofErr w:type="spellEnd"/>
      <w:r>
        <w:rPr>
          <w:lang w:val="en-AU"/>
        </w:rPr>
        <w:t xml:space="preserve"> et al. 2024).</w:t>
      </w:r>
    </w:p>
    <w:p w14:paraId="7BA8CDC7" w14:textId="77777777" w:rsidR="0075180E" w:rsidRDefault="008F4B1A">
      <w:pPr>
        <w:pStyle w:val="normal1"/>
        <w:rPr>
          <w:lang w:val="en-AU"/>
        </w:rPr>
      </w:pPr>
      <w:r>
        <w:rPr>
          <w:lang w:val="en-AU"/>
        </w:rPr>
        <w:t>A similar yet alternative approach used in Australia is the Biosis Collision Risk Model (Smales et al. 2013) which differs from Band in data capture; it uses direct measurements of flight rate (birds per area per time) which makes it less sensitive to bird flight speed estimates. The geometry of the calculation also differs from Band in that it includes the moving (rotor leading edge) and static (rotor and tower) components in the calculation, and it allows for bird interactions from any direction (not just up/down wind). This model has not been extended due to being proprietary, however an open-source extension (including stochastic inputs) is currently in preparation for publication (Stark et al. 2026).</w:t>
      </w:r>
    </w:p>
    <w:p w14:paraId="50AC42B0" w14:textId="77777777" w:rsidR="0075180E" w:rsidRDefault="008F4B1A">
      <w:pPr>
        <w:pStyle w:val="normal1"/>
        <w:rPr>
          <w:lang w:val="en-AU"/>
        </w:rPr>
      </w:pPr>
      <w:r>
        <w:rPr>
          <w:lang w:val="en-AU"/>
        </w:rPr>
        <w:t xml:space="preserve">Some specific applications are worth noting here.  The US Fisheries and Wildlife Service developed a model that combines ‘minutes of flight’ inputs with Bayesian analysis using post construction data to generate a regional model for Golden Eagle (New et al. 2015). Although a specific application and more suited to regional-scale modelling it’s an interesting alternative approach. </w:t>
      </w:r>
    </w:p>
    <w:p w14:paraId="3A7BA5E1" w14:textId="77777777" w:rsidR="0075180E" w:rsidRDefault="008F4B1A">
      <w:pPr>
        <w:pStyle w:val="normal1"/>
        <w:rPr>
          <w:lang w:val="en-AU"/>
        </w:rPr>
      </w:pPr>
      <w:r>
        <w:rPr>
          <w:lang w:val="en-AU"/>
        </w:rPr>
        <w:t xml:space="preserve">Recent research suggests individual (or agent) based models (IBMs) have some use in predicting collision risk and spatial utilisation from behavioural data (typically sourced from GPS data or similar) (van Melen et al. 2022; Wood et al., n.d.). There are no commonly used IBMs, but this is an area of active research. </w:t>
      </w:r>
    </w:p>
    <w:p w14:paraId="21EAC82E" w14:textId="16885601" w:rsidR="0075180E" w:rsidRDefault="271A6B99">
      <w:pPr>
        <w:pStyle w:val="normal1"/>
        <w:rPr>
          <w:lang w:val="en-AU"/>
        </w:rPr>
      </w:pPr>
      <w:r w:rsidRPr="271A6B99">
        <w:rPr>
          <w:lang w:val="en-AU"/>
        </w:rPr>
        <w:lastRenderedPageBreak/>
        <w:t xml:space="preserve">Finally, some of the impact assessment literature in Australia uses a Band-style model for the turbine interaction </w:t>
      </w:r>
      <w:bookmarkStart w:id="56" w:name="_Int_SqY4ovH6"/>
      <w:r w:rsidRPr="271A6B99">
        <w:rPr>
          <w:lang w:val="en-AU"/>
        </w:rPr>
        <w:t>risk but</w:t>
      </w:r>
      <w:bookmarkEnd w:id="56"/>
      <w:r w:rsidRPr="271A6B99">
        <w:rPr>
          <w:lang w:val="en-AU"/>
        </w:rPr>
        <w:t xml:space="preserve"> modifies the inputs to include a direct flight flux and spatial utilisation model (e.g. </w:t>
      </w:r>
      <w:proofErr w:type="spellStart"/>
      <w:r w:rsidRPr="271A6B99">
        <w:rPr>
          <w:lang w:val="en-AU"/>
        </w:rPr>
        <w:t>Symbolix</w:t>
      </w:r>
      <w:proofErr w:type="spellEnd"/>
      <w:r w:rsidRPr="271A6B99">
        <w:rPr>
          <w:lang w:val="en-AU"/>
        </w:rPr>
        <w:t xml:space="preserve"> 2021). To our knowledge this is the only approach that currently exists to explicitly include spatial utilisation in the modelling pathway.</w:t>
      </w:r>
    </w:p>
    <w:p w14:paraId="49231EDD" w14:textId="77777777" w:rsidR="0075180E" w:rsidRDefault="008F4B1A">
      <w:pPr>
        <w:pStyle w:val="Heading3"/>
        <w:rPr>
          <w:lang w:val="en-AU"/>
        </w:rPr>
      </w:pPr>
      <w:bookmarkStart w:id="57" w:name="_gkwdxkqfamk0"/>
      <w:bookmarkEnd w:id="57"/>
      <w:r>
        <w:rPr>
          <w:lang w:val="en-AU"/>
        </w:rPr>
        <w:t>Notable exceptions</w:t>
      </w:r>
    </w:p>
    <w:p w14:paraId="500EEACE" w14:textId="77777777" w:rsidR="0075180E" w:rsidRDefault="008F4B1A">
      <w:pPr>
        <w:pStyle w:val="normal1"/>
        <w:rPr>
          <w:lang w:val="en-AU"/>
        </w:rPr>
      </w:pPr>
      <w:r>
        <w:rPr>
          <w:lang w:val="en-AU"/>
        </w:rPr>
        <w:t>Despite the complexity and detailed technical nuance involved in quantifying annual collision rates for birds, the international and Australian literature has some significant limitations.</w:t>
      </w:r>
    </w:p>
    <w:p w14:paraId="7A5EA4DB" w14:textId="77777777" w:rsidR="0075180E" w:rsidRDefault="008F4B1A">
      <w:pPr>
        <w:pStyle w:val="normal1"/>
        <w:rPr>
          <w:lang w:val="en-AU"/>
        </w:rPr>
      </w:pPr>
      <w:r>
        <w:rPr>
          <w:lang w:val="en-AU"/>
        </w:rPr>
        <w:t xml:space="preserve">To date, most models are applied to diurnal, reasonably visible species, e.g. raptors, gulls, terns, geese etc. No model is currently accepted and in use for predicting the annual collision rate for any bat or flying fox and very little research has been published relating to nocturnal birds. </w:t>
      </w:r>
    </w:p>
    <w:p w14:paraId="76E2FD22" w14:textId="77777777" w:rsidR="0075180E" w:rsidRDefault="008F4B1A">
      <w:pPr>
        <w:pStyle w:val="normal1"/>
        <w:rPr>
          <w:lang w:val="en-AU"/>
        </w:rPr>
      </w:pPr>
      <w:r>
        <w:rPr>
          <w:lang w:val="en-AU"/>
        </w:rPr>
        <w:t>In addition, qualitative and semi-quantitative model frameworks exist to provide regional- and nation-scale assessment of susceptibility to collision, but we are not aware of any peer-reviewed approach that can be consistently applied at the site level.</w:t>
      </w:r>
    </w:p>
    <w:p w14:paraId="371170B5" w14:textId="77777777" w:rsidR="0075180E" w:rsidRDefault="008F4B1A">
      <w:pPr>
        <w:pStyle w:val="normal1"/>
        <w:rPr>
          <w:lang w:val="en-AU"/>
        </w:rPr>
      </w:pPr>
      <w:r>
        <w:rPr>
          <w:lang w:val="en-AU"/>
        </w:rPr>
        <w:t>Considering the scope of the ACRF these gaps in development are substantial and require the development of a consistent language for collision likelihood that can underpin qualitative and quantitative assessments, while keeping the door open for future innovations in data collection and individual-based models.</w:t>
      </w:r>
    </w:p>
    <w:p w14:paraId="2946DB82" w14:textId="77777777" w:rsidR="0075180E" w:rsidRDefault="008F4B1A">
      <w:pPr>
        <w:pStyle w:val="Heading1"/>
        <w:rPr>
          <w:lang w:val="en-AU"/>
        </w:rPr>
      </w:pPr>
      <w:r>
        <w:lastRenderedPageBreak/>
        <w:br w:type="page"/>
      </w:r>
    </w:p>
    <w:p w14:paraId="46AEDFB3" w14:textId="77777777" w:rsidR="0075180E" w:rsidRDefault="008F4B1A">
      <w:pPr>
        <w:pStyle w:val="Heading1"/>
        <w:rPr>
          <w:lang w:val="en-AU"/>
        </w:rPr>
      </w:pPr>
      <w:bookmarkStart w:id="58" w:name="_mz57mplfqsmp"/>
      <w:bookmarkStart w:id="59" w:name="_Toc1935848865"/>
      <w:bookmarkEnd w:id="58"/>
      <w:r>
        <w:rPr>
          <w:lang w:val="en-AU"/>
        </w:rPr>
        <w:lastRenderedPageBreak/>
        <w:t>Current state of practice in Australia</w:t>
      </w:r>
      <w:bookmarkEnd w:id="59"/>
    </w:p>
    <w:p w14:paraId="69E8DF55" w14:textId="77777777" w:rsidR="0075180E" w:rsidRDefault="008F4B1A">
      <w:pPr>
        <w:pStyle w:val="Heading2"/>
        <w:rPr>
          <w:lang w:val="en-AU"/>
        </w:rPr>
      </w:pPr>
      <w:bookmarkStart w:id="60" w:name="_n3iekkokgoz"/>
      <w:bookmarkStart w:id="61" w:name="_Toc1361110674"/>
      <w:bookmarkEnd w:id="60"/>
      <w:r>
        <w:rPr>
          <w:lang w:val="en-AU"/>
        </w:rPr>
        <w:t>Objective</w:t>
      </w:r>
      <w:bookmarkEnd w:id="61"/>
    </w:p>
    <w:p w14:paraId="6F8464E3" w14:textId="77777777" w:rsidR="0075180E" w:rsidRDefault="008F4B1A">
      <w:pPr>
        <w:pStyle w:val="normal1"/>
        <w:rPr>
          <w:lang w:val="en-AU"/>
        </w:rPr>
      </w:pPr>
      <w:r>
        <w:rPr>
          <w:lang w:val="en-AU"/>
        </w:rPr>
        <w:t>To review referral and assessment documentation from EPBC Act assessed development to identify patterns, best practice and gaps in current practice for collision prediction.</w:t>
      </w:r>
    </w:p>
    <w:p w14:paraId="4C42F1E9" w14:textId="77777777" w:rsidR="0075180E" w:rsidRDefault="008F4B1A">
      <w:pPr>
        <w:pStyle w:val="Heading2"/>
        <w:rPr>
          <w:lang w:val="en-AU"/>
        </w:rPr>
      </w:pPr>
      <w:bookmarkStart w:id="62" w:name="_9fxjc1pu9wov"/>
      <w:bookmarkStart w:id="63" w:name="_Toc1060871483"/>
      <w:bookmarkEnd w:id="62"/>
      <w:r>
        <w:rPr>
          <w:lang w:val="en-AU"/>
        </w:rPr>
        <w:t>Methods</w:t>
      </w:r>
      <w:bookmarkEnd w:id="63"/>
    </w:p>
    <w:p w14:paraId="545BA974" w14:textId="77777777" w:rsidR="0075180E" w:rsidRDefault="008F4B1A">
      <w:pPr>
        <w:pStyle w:val="normal1"/>
        <w:rPr>
          <w:lang w:val="en-AU"/>
        </w:rPr>
      </w:pPr>
      <w:r>
        <w:rPr>
          <w:lang w:val="en-AU"/>
        </w:rPr>
        <w:t xml:space="preserve">Existing EPBC Act referral documentation and approved Bird and Bat Adaptive Management Plans (BBMPs) from operating wind farms were provided to </w:t>
      </w:r>
      <w:proofErr w:type="spellStart"/>
      <w:r>
        <w:rPr>
          <w:lang w:val="en-AU"/>
        </w:rPr>
        <w:t>Symbolix</w:t>
      </w:r>
      <w:proofErr w:type="spellEnd"/>
      <w:r>
        <w:rPr>
          <w:lang w:val="en-AU"/>
        </w:rPr>
        <w:t xml:space="preserve"> by DCCEEW for review.  </w:t>
      </w:r>
      <w:proofErr w:type="spellStart"/>
      <w:r>
        <w:rPr>
          <w:lang w:val="en-AU"/>
        </w:rPr>
        <w:t>Symbolix</w:t>
      </w:r>
      <w:proofErr w:type="spellEnd"/>
      <w:r>
        <w:rPr>
          <w:lang w:val="en-AU"/>
        </w:rPr>
        <w:t xml:space="preserve"> also assessed Bird and Bat Management Plans available online and through direct enquiry to stakeholders.  </w:t>
      </w:r>
    </w:p>
    <w:p w14:paraId="64862C65" w14:textId="77777777" w:rsidR="0075180E" w:rsidRDefault="008F4B1A">
      <w:pPr>
        <w:pStyle w:val="normal1"/>
        <w:rPr>
          <w:lang w:val="en-AU"/>
        </w:rPr>
      </w:pPr>
      <w:r>
        <w:rPr>
          <w:lang w:val="en-AU"/>
        </w:rPr>
        <w:t>Where necessary (and possible) we sought additional information on avian and bat impact assessment from State Government websites where the State managed documentation as part of a bilateral agreement or separately under State legislation.</w:t>
      </w:r>
    </w:p>
    <w:p w14:paraId="0C2E8C89" w14:textId="77777777" w:rsidR="0075180E" w:rsidRDefault="008F4B1A">
      <w:pPr>
        <w:pStyle w:val="normal1"/>
        <w:rPr>
          <w:lang w:val="en-AU"/>
        </w:rPr>
      </w:pPr>
      <w:r>
        <w:rPr>
          <w:lang w:val="en-AU"/>
        </w:rPr>
        <w:t xml:space="preserve">Of the 182 developed or proposed wind farms identified in Australia, information available publicly online for 61 projects did not indicate whether collision risk assessments had been undertaken. An additional 22 projects included general risk assessments, but no publicly available details specific to collision risk were found (Figure 1). </w:t>
      </w:r>
    </w:p>
    <w:p w14:paraId="5997CC1D" w14:textId="77777777" w:rsidR="0075180E" w:rsidRDefault="008F4B1A">
      <w:pPr>
        <w:pStyle w:val="normal1"/>
        <w:rPr>
          <w:lang w:val="en-AU"/>
        </w:rPr>
      </w:pPr>
      <w:r>
        <w:rPr>
          <w:noProof/>
        </w:rPr>
        <w:drawing>
          <wp:inline distT="0" distB="0" distL="0" distR="0" wp14:anchorId="46ED5329" wp14:editId="07777777">
            <wp:extent cx="5610225" cy="3182620"/>
            <wp:effectExtent l="0" t="0" r="0" b="0"/>
            <wp:docPr id="2" name="image4.png" descr="Bar chart ascending from left to right showing 'Collision Risk Assessment Method' on the x axis and the 'Number of Wind Farms' on the y axis.  The bar categories are values are 'Quant Method (CRM)' has 18, 'No specific assessment' has 22, 'Formal Qualitative' has 31, 'General Qualitative Discussion' has 51 and 'No data available' ha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Bar chart ascending from left to right showing 'Collision Risk Assessment Method' on the x axis and the 'Number of Wind Farms' on the y axis.  The bar categories are values are 'Quant Method (CRM)' has 18, 'No specific assessment' has 22, 'Formal Qualitative' has 31, 'General Qualitative Discussion' has 51 and 'No data available' has 61."/>
                    <pic:cNvPicPr>
                      <a:picLocks noChangeAspect="1" noChangeArrowheads="1"/>
                    </pic:cNvPicPr>
                  </pic:nvPicPr>
                  <pic:blipFill>
                    <a:blip r:embed="rId12"/>
                    <a:stretch>
                      <a:fillRect/>
                    </a:stretch>
                  </pic:blipFill>
                  <pic:spPr bwMode="auto">
                    <a:xfrm>
                      <a:off x="0" y="0"/>
                      <a:ext cx="5610225" cy="3182620"/>
                    </a:xfrm>
                    <a:prstGeom prst="rect">
                      <a:avLst/>
                    </a:prstGeom>
                  </pic:spPr>
                </pic:pic>
              </a:graphicData>
            </a:graphic>
          </wp:inline>
        </w:drawing>
      </w:r>
    </w:p>
    <w:p w14:paraId="3D3554BB" w14:textId="77777777" w:rsidR="0075180E" w:rsidRDefault="008F4B1A">
      <w:pPr>
        <w:pStyle w:val="normal1"/>
        <w:keepLines/>
        <w:widowControl w:val="0"/>
        <w:spacing w:after="0" w:line="240" w:lineRule="auto"/>
        <w:jc w:val="center"/>
        <w:rPr>
          <w:lang w:val="en-AU"/>
        </w:rPr>
      </w:pPr>
      <w:r>
        <w:rPr>
          <w:b/>
          <w:bCs/>
          <w:i/>
          <w:iCs/>
          <w:sz w:val="16"/>
          <w:szCs w:val="16"/>
          <w:lang w:val="en-AU"/>
        </w:rPr>
        <w:t>FIGURE 1: Number of wind farm impact assessments (or Management Plans) with available documentation on collision risk assessment</w:t>
      </w:r>
    </w:p>
    <w:p w14:paraId="110FFD37" w14:textId="77777777" w:rsidR="0075180E" w:rsidRDefault="0075180E">
      <w:pPr>
        <w:pStyle w:val="normal1"/>
        <w:rPr>
          <w:lang w:val="en-AU"/>
        </w:rPr>
      </w:pPr>
    </w:p>
    <w:p w14:paraId="7376C248" w14:textId="77777777" w:rsidR="0075180E" w:rsidRDefault="008F4B1A">
      <w:pPr>
        <w:pStyle w:val="normal1"/>
        <w:rPr>
          <w:lang w:val="en-AU"/>
        </w:rPr>
      </w:pPr>
      <w:r>
        <w:rPr>
          <w:lang w:val="en-AU"/>
        </w:rPr>
        <w:t xml:space="preserve">General qualitative discussions </w:t>
      </w:r>
      <w:proofErr w:type="gramStart"/>
      <w:r>
        <w:rPr>
          <w:lang w:val="en-AU"/>
        </w:rPr>
        <w:t>most commonly identified</w:t>
      </w:r>
      <w:proofErr w:type="gramEnd"/>
      <w:r>
        <w:rPr>
          <w:lang w:val="en-AU"/>
        </w:rPr>
        <w:t xml:space="preserve"> species at higher likelihood of collision based on flights at rotor swept height. Other factors include habitat onsite, frequency of sightings or evidence of species onsite.</w:t>
      </w:r>
    </w:p>
    <w:p w14:paraId="77FA2FD4" w14:textId="77777777" w:rsidR="0075180E" w:rsidRDefault="008F4B1A">
      <w:pPr>
        <w:pStyle w:val="normal1"/>
        <w:rPr>
          <w:lang w:val="en-AU"/>
        </w:rPr>
      </w:pPr>
      <w:r>
        <w:rPr>
          <w:lang w:val="en-AU"/>
        </w:rPr>
        <w:t xml:space="preserve">Formal qualitative risk assessment most often followed a format of a risk table and discussion of likelihood and consequence.  Individual authors typically were consistent in definitions, but definitions of likelihood were not consistent between authors.  Most commonly the likelihood of collision was assessed according to an expert assessment of probability (e.g. 50% chance of collision in one year is “likely” and more than 50% might be almost certain, or certain).  </w:t>
      </w:r>
    </w:p>
    <w:p w14:paraId="2C534BBA" w14:textId="77777777" w:rsidR="0075180E" w:rsidRDefault="008F4B1A">
      <w:pPr>
        <w:pStyle w:val="normal1"/>
        <w:rPr>
          <w:lang w:val="en-AU"/>
        </w:rPr>
      </w:pPr>
      <w:r>
        <w:rPr>
          <w:lang w:val="en-AU"/>
        </w:rPr>
        <w:t xml:space="preserve">The lack of standardised definitions severely limits the ability to compare different sites or to combine sites in a cumulative assessment.  </w:t>
      </w:r>
    </w:p>
    <w:p w14:paraId="61019140" w14:textId="77777777" w:rsidR="0075180E" w:rsidRDefault="008F4B1A">
      <w:pPr>
        <w:pStyle w:val="normal1"/>
        <w:rPr>
          <w:lang w:val="en-AU"/>
        </w:rPr>
      </w:pPr>
      <w:r>
        <w:rPr>
          <w:lang w:val="en-AU"/>
        </w:rPr>
        <w:t xml:space="preserve">Of the sites with CRM, the models include Smales et al. 2013, Band et al., 2007 </w:t>
      </w:r>
      <w:r>
        <w:rPr>
          <w:rStyle w:val="FootnoteAnchor"/>
          <w:lang w:val="en-AU"/>
        </w:rPr>
        <w:footnoteReference w:id="1"/>
      </w:r>
      <w:r>
        <w:rPr>
          <w:lang w:val="en-AU"/>
        </w:rPr>
        <w:t xml:space="preserve"> and a modified spatial implementation of Band (e.g. </w:t>
      </w:r>
      <w:proofErr w:type="spellStart"/>
      <w:r>
        <w:rPr>
          <w:lang w:val="en-AU"/>
        </w:rPr>
        <w:t>Symbolix</w:t>
      </w:r>
      <w:proofErr w:type="spellEnd"/>
      <w:r>
        <w:rPr>
          <w:lang w:val="en-AU"/>
        </w:rPr>
        <w:t xml:space="preserve"> 2021). The level of detail on inputs varies between sites and is often incomplete.  For the sites stating collision risk modelling (as opposed to a more qualitative approach) was done, the species covered included:</w:t>
      </w:r>
    </w:p>
    <w:p w14:paraId="23B6B5B8" w14:textId="77777777" w:rsidR="0075180E" w:rsidRDefault="008F4B1A">
      <w:pPr>
        <w:pStyle w:val="normal1"/>
        <w:widowControl w:val="0"/>
        <w:spacing w:after="0"/>
        <w:rPr>
          <w:lang w:val="en-AU"/>
        </w:rPr>
      </w:pPr>
      <w:proofErr w:type="spellStart"/>
      <w:r>
        <w:rPr>
          <w:lang w:val="en-AU"/>
        </w:rPr>
        <w:t>australasian</w:t>
      </w:r>
      <w:proofErr w:type="spellEnd"/>
      <w:r>
        <w:rPr>
          <w:lang w:val="en-AU"/>
        </w:rPr>
        <w:t xml:space="preserve"> shelduck, </w:t>
      </w:r>
    </w:p>
    <w:p w14:paraId="51F7EA0C" w14:textId="77777777" w:rsidR="0075180E" w:rsidRDefault="008F4B1A">
      <w:pPr>
        <w:pStyle w:val="normal1"/>
        <w:widowControl w:val="0"/>
        <w:spacing w:after="0"/>
        <w:rPr>
          <w:lang w:val="en-AU"/>
        </w:rPr>
      </w:pPr>
      <w:proofErr w:type="spellStart"/>
      <w:r>
        <w:rPr>
          <w:lang w:val="en-AU"/>
        </w:rPr>
        <w:t>australian</w:t>
      </w:r>
      <w:proofErr w:type="spellEnd"/>
      <w:r>
        <w:rPr>
          <w:lang w:val="en-AU"/>
        </w:rPr>
        <w:t xml:space="preserve"> magpie, </w:t>
      </w:r>
    </w:p>
    <w:p w14:paraId="63FAA7F3" w14:textId="77777777" w:rsidR="0075180E" w:rsidRDefault="008F4B1A">
      <w:pPr>
        <w:pStyle w:val="normal1"/>
        <w:widowControl w:val="0"/>
        <w:spacing w:after="0"/>
        <w:rPr>
          <w:lang w:val="en-AU"/>
        </w:rPr>
      </w:pPr>
      <w:proofErr w:type="spellStart"/>
      <w:r>
        <w:rPr>
          <w:lang w:val="en-AU"/>
        </w:rPr>
        <w:t>australian</w:t>
      </w:r>
      <w:proofErr w:type="spellEnd"/>
      <w:r>
        <w:rPr>
          <w:lang w:val="en-AU"/>
        </w:rPr>
        <w:t xml:space="preserve"> raven, </w:t>
      </w:r>
    </w:p>
    <w:p w14:paraId="3669FFDE" w14:textId="77777777" w:rsidR="0075180E" w:rsidRDefault="008F4B1A">
      <w:pPr>
        <w:pStyle w:val="normal1"/>
        <w:widowControl w:val="0"/>
        <w:spacing w:after="0"/>
        <w:rPr>
          <w:lang w:val="en-AU"/>
        </w:rPr>
      </w:pPr>
      <w:proofErr w:type="spellStart"/>
      <w:r>
        <w:rPr>
          <w:lang w:val="en-AU"/>
        </w:rPr>
        <w:t>australian</w:t>
      </w:r>
      <w:proofErr w:type="spellEnd"/>
      <w:r>
        <w:rPr>
          <w:lang w:val="en-AU"/>
        </w:rPr>
        <w:t xml:space="preserve"> shoveler, </w:t>
      </w:r>
    </w:p>
    <w:p w14:paraId="62739C2F" w14:textId="77777777" w:rsidR="0075180E" w:rsidRDefault="008F4B1A">
      <w:pPr>
        <w:pStyle w:val="normal1"/>
        <w:widowControl w:val="0"/>
        <w:spacing w:after="0"/>
        <w:rPr>
          <w:lang w:val="en-AU"/>
        </w:rPr>
      </w:pPr>
      <w:proofErr w:type="spellStart"/>
      <w:r>
        <w:rPr>
          <w:lang w:val="en-AU"/>
        </w:rPr>
        <w:t>australian</w:t>
      </w:r>
      <w:proofErr w:type="spellEnd"/>
      <w:r>
        <w:rPr>
          <w:lang w:val="en-AU"/>
        </w:rPr>
        <w:t xml:space="preserve"> wood duck, </w:t>
      </w:r>
    </w:p>
    <w:p w14:paraId="2DF39D5E" w14:textId="77777777" w:rsidR="0075180E" w:rsidRDefault="008F4B1A">
      <w:pPr>
        <w:pStyle w:val="normal1"/>
        <w:widowControl w:val="0"/>
        <w:spacing w:after="0"/>
        <w:rPr>
          <w:lang w:val="en-AU"/>
        </w:rPr>
      </w:pPr>
      <w:r>
        <w:rPr>
          <w:lang w:val="en-AU"/>
        </w:rPr>
        <w:t xml:space="preserve">black falcon, </w:t>
      </w:r>
    </w:p>
    <w:p w14:paraId="0FCDB18B" w14:textId="77777777" w:rsidR="0075180E" w:rsidRDefault="008F4B1A">
      <w:pPr>
        <w:pStyle w:val="normal1"/>
        <w:widowControl w:val="0"/>
        <w:spacing w:after="0"/>
        <w:rPr>
          <w:lang w:val="en-AU"/>
        </w:rPr>
      </w:pPr>
      <w:r>
        <w:rPr>
          <w:lang w:val="en-AU"/>
        </w:rPr>
        <w:t xml:space="preserve">black kite, </w:t>
      </w:r>
    </w:p>
    <w:p w14:paraId="63F4BEF0" w14:textId="77777777" w:rsidR="0075180E" w:rsidRDefault="008F4B1A">
      <w:pPr>
        <w:pStyle w:val="normal1"/>
        <w:widowControl w:val="0"/>
        <w:spacing w:after="0"/>
        <w:rPr>
          <w:lang w:val="en-AU"/>
        </w:rPr>
      </w:pPr>
      <w:r>
        <w:rPr>
          <w:lang w:val="en-AU"/>
        </w:rPr>
        <w:t xml:space="preserve">black swan, </w:t>
      </w:r>
    </w:p>
    <w:p w14:paraId="74A335E0" w14:textId="77777777" w:rsidR="0075180E" w:rsidRDefault="008F4B1A">
      <w:pPr>
        <w:pStyle w:val="normal1"/>
        <w:widowControl w:val="0"/>
        <w:spacing w:after="0"/>
        <w:rPr>
          <w:lang w:val="en-AU"/>
        </w:rPr>
      </w:pPr>
      <w:r>
        <w:rPr>
          <w:lang w:val="en-AU"/>
        </w:rPr>
        <w:t xml:space="preserve">black-shouldered kite, </w:t>
      </w:r>
    </w:p>
    <w:p w14:paraId="7EEB9281" w14:textId="77777777" w:rsidR="0075180E" w:rsidRDefault="008F4B1A">
      <w:pPr>
        <w:pStyle w:val="normal1"/>
        <w:widowControl w:val="0"/>
        <w:spacing w:after="0"/>
        <w:rPr>
          <w:lang w:val="en-AU"/>
        </w:rPr>
      </w:pPr>
      <w:r>
        <w:rPr>
          <w:lang w:val="en-AU"/>
        </w:rPr>
        <w:t xml:space="preserve">brolga, </w:t>
      </w:r>
    </w:p>
    <w:p w14:paraId="1D88556E" w14:textId="77777777" w:rsidR="0075180E" w:rsidRDefault="008F4B1A">
      <w:pPr>
        <w:pStyle w:val="normal1"/>
        <w:widowControl w:val="0"/>
        <w:spacing w:after="0"/>
        <w:rPr>
          <w:lang w:val="en-AU"/>
        </w:rPr>
      </w:pPr>
      <w:r>
        <w:rPr>
          <w:lang w:val="en-AU"/>
        </w:rPr>
        <w:t xml:space="preserve">brown falcon, </w:t>
      </w:r>
    </w:p>
    <w:p w14:paraId="6BB8681E" w14:textId="77777777" w:rsidR="0075180E" w:rsidRDefault="008F4B1A">
      <w:pPr>
        <w:pStyle w:val="normal1"/>
        <w:widowControl w:val="0"/>
        <w:spacing w:after="0"/>
        <w:rPr>
          <w:lang w:val="en-AU"/>
        </w:rPr>
      </w:pPr>
      <w:r>
        <w:rPr>
          <w:lang w:val="en-AU"/>
        </w:rPr>
        <w:t xml:space="preserve">cape barren goose, </w:t>
      </w:r>
    </w:p>
    <w:p w14:paraId="3FC12A87" w14:textId="77777777" w:rsidR="0075180E" w:rsidRDefault="008F4B1A">
      <w:pPr>
        <w:pStyle w:val="normal1"/>
        <w:widowControl w:val="0"/>
        <w:spacing w:after="0"/>
        <w:rPr>
          <w:lang w:val="en-AU"/>
        </w:rPr>
      </w:pPr>
      <w:r>
        <w:rPr>
          <w:lang w:val="en-AU"/>
        </w:rPr>
        <w:t xml:space="preserve">common starling, </w:t>
      </w:r>
    </w:p>
    <w:p w14:paraId="1C264765" w14:textId="77777777" w:rsidR="0075180E" w:rsidRDefault="008F4B1A">
      <w:pPr>
        <w:pStyle w:val="normal1"/>
        <w:widowControl w:val="0"/>
        <w:spacing w:after="0"/>
        <w:rPr>
          <w:lang w:val="en-AU"/>
        </w:rPr>
      </w:pPr>
      <w:r>
        <w:rPr>
          <w:lang w:val="en-AU"/>
        </w:rPr>
        <w:t xml:space="preserve">fairy martin, </w:t>
      </w:r>
    </w:p>
    <w:p w14:paraId="25B2E0FC" w14:textId="77777777" w:rsidR="0075180E" w:rsidRDefault="008F4B1A">
      <w:pPr>
        <w:pStyle w:val="normal1"/>
        <w:widowControl w:val="0"/>
        <w:spacing w:after="0"/>
        <w:rPr>
          <w:lang w:val="en-AU"/>
        </w:rPr>
      </w:pPr>
      <w:r>
        <w:rPr>
          <w:lang w:val="en-AU"/>
        </w:rPr>
        <w:t xml:space="preserve">fork-tailed swift,  </w:t>
      </w:r>
    </w:p>
    <w:p w14:paraId="478175AA" w14:textId="77777777" w:rsidR="0075180E" w:rsidRDefault="008F4B1A">
      <w:pPr>
        <w:pStyle w:val="normal1"/>
        <w:widowControl w:val="0"/>
        <w:spacing w:after="0"/>
        <w:rPr>
          <w:lang w:val="en-AU"/>
        </w:rPr>
      </w:pPr>
      <w:r>
        <w:rPr>
          <w:lang w:val="en-AU"/>
        </w:rPr>
        <w:t xml:space="preserve">galah, </w:t>
      </w:r>
    </w:p>
    <w:p w14:paraId="5CAA605B" w14:textId="77777777" w:rsidR="0075180E" w:rsidRDefault="008F4B1A">
      <w:pPr>
        <w:pStyle w:val="normal1"/>
        <w:widowControl w:val="0"/>
        <w:spacing w:after="0"/>
        <w:rPr>
          <w:lang w:val="en-AU"/>
        </w:rPr>
      </w:pPr>
      <w:r>
        <w:rPr>
          <w:lang w:val="en-AU"/>
        </w:rPr>
        <w:t xml:space="preserve">great cormorant, </w:t>
      </w:r>
    </w:p>
    <w:p w14:paraId="6EF1916F" w14:textId="77777777" w:rsidR="0075180E" w:rsidRDefault="008F4B1A">
      <w:pPr>
        <w:pStyle w:val="normal1"/>
        <w:widowControl w:val="0"/>
        <w:spacing w:after="0"/>
        <w:rPr>
          <w:lang w:val="en-AU"/>
        </w:rPr>
      </w:pPr>
      <w:r>
        <w:rPr>
          <w:lang w:val="en-AU"/>
        </w:rPr>
        <w:t xml:space="preserve">little black cormorant, </w:t>
      </w:r>
    </w:p>
    <w:p w14:paraId="22C65885" w14:textId="77777777" w:rsidR="0075180E" w:rsidRDefault="008F4B1A">
      <w:pPr>
        <w:pStyle w:val="normal1"/>
        <w:widowControl w:val="0"/>
        <w:spacing w:after="0"/>
        <w:rPr>
          <w:lang w:val="en-AU"/>
        </w:rPr>
      </w:pPr>
      <w:r>
        <w:rPr>
          <w:lang w:val="en-AU"/>
        </w:rPr>
        <w:t>little eagle,</w:t>
      </w:r>
    </w:p>
    <w:p w14:paraId="2A34CD91" w14:textId="77777777" w:rsidR="0075180E" w:rsidRDefault="008F4B1A">
      <w:pPr>
        <w:pStyle w:val="normal1"/>
        <w:widowControl w:val="0"/>
        <w:spacing w:after="0"/>
        <w:rPr>
          <w:lang w:val="en-AU"/>
        </w:rPr>
      </w:pPr>
      <w:r>
        <w:rPr>
          <w:lang w:val="en-AU"/>
        </w:rPr>
        <w:lastRenderedPageBreak/>
        <w:t xml:space="preserve">little raven, </w:t>
      </w:r>
    </w:p>
    <w:p w14:paraId="0946B163" w14:textId="77777777" w:rsidR="0075180E" w:rsidRDefault="008F4B1A">
      <w:pPr>
        <w:pStyle w:val="normal1"/>
        <w:widowControl w:val="0"/>
        <w:spacing w:after="0"/>
        <w:rPr>
          <w:lang w:val="en-AU"/>
        </w:rPr>
      </w:pPr>
      <w:r>
        <w:rPr>
          <w:lang w:val="en-AU"/>
        </w:rPr>
        <w:t xml:space="preserve">masked lapwing, </w:t>
      </w:r>
    </w:p>
    <w:p w14:paraId="6F403FF2" w14:textId="77777777" w:rsidR="0075180E" w:rsidRDefault="008F4B1A">
      <w:pPr>
        <w:pStyle w:val="normal1"/>
        <w:widowControl w:val="0"/>
        <w:spacing w:after="0"/>
        <w:rPr>
          <w:lang w:val="en-AU"/>
        </w:rPr>
      </w:pPr>
      <w:r>
        <w:rPr>
          <w:lang w:val="en-AU"/>
        </w:rPr>
        <w:t xml:space="preserve">nankeen kestrel, </w:t>
      </w:r>
    </w:p>
    <w:p w14:paraId="7768CC51" w14:textId="77777777" w:rsidR="0075180E" w:rsidRDefault="008F4B1A">
      <w:pPr>
        <w:pStyle w:val="normal1"/>
        <w:widowControl w:val="0"/>
        <w:spacing w:after="0"/>
        <w:rPr>
          <w:lang w:val="en-AU"/>
        </w:rPr>
      </w:pPr>
      <w:r>
        <w:rPr>
          <w:lang w:val="en-AU"/>
        </w:rPr>
        <w:t xml:space="preserve">peregrine falcon, </w:t>
      </w:r>
    </w:p>
    <w:p w14:paraId="144B925F" w14:textId="77777777" w:rsidR="0075180E" w:rsidRDefault="008F4B1A">
      <w:pPr>
        <w:pStyle w:val="normal1"/>
        <w:widowControl w:val="0"/>
        <w:spacing w:after="0"/>
        <w:rPr>
          <w:lang w:val="en-AU"/>
        </w:rPr>
      </w:pPr>
      <w:r>
        <w:rPr>
          <w:lang w:val="en-AU"/>
        </w:rPr>
        <w:t xml:space="preserve">plumed whistling-duck, </w:t>
      </w:r>
    </w:p>
    <w:p w14:paraId="6286723F" w14:textId="77777777" w:rsidR="0075180E" w:rsidRDefault="008F4B1A">
      <w:pPr>
        <w:pStyle w:val="normal1"/>
        <w:widowControl w:val="0"/>
        <w:spacing w:after="0"/>
        <w:rPr>
          <w:lang w:val="en-AU"/>
        </w:rPr>
      </w:pPr>
      <w:r>
        <w:rPr>
          <w:lang w:val="en-AU"/>
        </w:rPr>
        <w:t xml:space="preserve">spotted harrier, </w:t>
      </w:r>
    </w:p>
    <w:p w14:paraId="7A158B44" w14:textId="77777777" w:rsidR="0075180E" w:rsidRDefault="008F4B1A">
      <w:pPr>
        <w:pStyle w:val="normal1"/>
        <w:widowControl w:val="0"/>
        <w:spacing w:after="0"/>
        <w:rPr>
          <w:lang w:val="en-AU"/>
        </w:rPr>
      </w:pPr>
      <w:r>
        <w:rPr>
          <w:lang w:val="en-AU"/>
        </w:rPr>
        <w:t xml:space="preserve">straw-necked ibis, </w:t>
      </w:r>
    </w:p>
    <w:p w14:paraId="1AB5AB15" w14:textId="77777777" w:rsidR="0075180E" w:rsidRDefault="008F4B1A">
      <w:pPr>
        <w:pStyle w:val="normal1"/>
        <w:widowControl w:val="0"/>
        <w:spacing w:after="0"/>
        <w:rPr>
          <w:lang w:val="en-AU"/>
        </w:rPr>
      </w:pPr>
      <w:r>
        <w:rPr>
          <w:lang w:val="en-AU"/>
        </w:rPr>
        <w:t xml:space="preserve">superb parrot, </w:t>
      </w:r>
    </w:p>
    <w:p w14:paraId="0A8EE981" w14:textId="77777777" w:rsidR="0075180E" w:rsidRDefault="008F4B1A">
      <w:pPr>
        <w:pStyle w:val="normal1"/>
        <w:widowControl w:val="0"/>
        <w:spacing w:after="0"/>
        <w:rPr>
          <w:lang w:val="en-AU"/>
        </w:rPr>
      </w:pPr>
      <w:r>
        <w:rPr>
          <w:lang w:val="en-AU"/>
        </w:rPr>
        <w:t xml:space="preserve">swamp harrier, </w:t>
      </w:r>
    </w:p>
    <w:p w14:paraId="63715187" w14:textId="77777777" w:rsidR="0075180E" w:rsidRDefault="008F4B1A">
      <w:pPr>
        <w:pStyle w:val="normal1"/>
        <w:widowControl w:val="0"/>
        <w:spacing w:after="0"/>
        <w:rPr>
          <w:lang w:val="en-AU"/>
        </w:rPr>
      </w:pPr>
      <w:r>
        <w:rPr>
          <w:lang w:val="en-AU"/>
        </w:rPr>
        <w:t xml:space="preserve">wedge-tailed eagle (including the Tasmanian wedge-tailed eagle ssp.), </w:t>
      </w:r>
    </w:p>
    <w:p w14:paraId="716C779C" w14:textId="77777777" w:rsidR="0075180E" w:rsidRDefault="008F4B1A">
      <w:pPr>
        <w:pStyle w:val="normal1"/>
        <w:widowControl w:val="0"/>
        <w:spacing w:after="0"/>
        <w:rPr>
          <w:lang w:val="en-AU"/>
        </w:rPr>
      </w:pPr>
      <w:r>
        <w:rPr>
          <w:lang w:val="en-AU"/>
        </w:rPr>
        <w:t xml:space="preserve">welcome swallow, </w:t>
      </w:r>
    </w:p>
    <w:p w14:paraId="3B05C68E" w14:textId="77777777" w:rsidR="0075180E" w:rsidRDefault="008F4B1A">
      <w:pPr>
        <w:pStyle w:val="normal1"/>
        <w:widowControl w:val="0"/>
        <w:spacing w:after="0"/>
        <w:rPr>
          <w:lang w:val="en-AU"/>
        </w:rPr>
      </w:pPr>
      <w:r>
        <w:rPr>
          <w:lang w:val="en-AU"/>
        </w:rPr>
        <w:t xml:space="preserve">whistling kite, </w:t>
      </w:r>
    </w:p>
    <w:p w14:paraId="09FD543A" w14:textId="77777777" w:rsidR="0075180E" w:rsidRDefault="008F4B1A">
      <w:pPr>
        <w:pStyle w:val="normal1"/>
        <w:widowControl w:val="0"/>
        <w:spacing w:after="0"/>
        <w:rPr>
          <w:lang w:val="en-AU"/>
        </w:rPr>
      </w:pPr>
      <w:r>
        <w:rPr>
          <w:lang w:val="en-AU"/>
        </w:rPr>
        <w:t>white-bellied sea-eagle</w:t>
      </w:r>
    </w:p>
    <w:p w14:paraId="227CE070" w14:textId="77777777" w:rsidR="0075180E" w:rsidRDefault="008F4B1A">
      <w:pPr>
        <w:pStyle w:val="normal1"/>
        <w:widowControl w:val="0"/>
        <w:spacing w:after="0"/>
        <w:rPr>
          <w:lang w:val="en-AU"/>
        </w:rPr>
      </w:pPr>
      <w:r>
        <w:rPr>
          <w:lang w:val="en-AU"/>
        </w:rPr>
        <w:t xml:space="preserve">white-necked heron, </w:t>
      </w:r>
    </w:p>
    <w:p w14:paraId="6645ABD4" w14:textId="77777777" w:rsidR="0075180E" w:rsidRDefault="008F4B1A">
      <w:pPr>
        <w:pStyle w:val="normal1"/>
        <w:widowControl w:val="0"/>
        <w:spacing w:after="0"/>
        <w:rPr>
          <w:lang w:val="en-AU"/>
        </w:rPr>
      </w:pPr>
      <w:r>
        <w:rPr>
          <w:lang w:val="en-AU"/>
        </w:rPr>
        <w:t xml:space="preserve">white-throated needletail, </w:t>
      </w:r>
    </w:p>
    <w:p w14:paraId="5F1B39BC" w14:textId="77777777" w:rsidR="0075180E" w:rsidRDefault="008F4B1A">
      <w:pPr>
        <w:pStyle w:val="normal1"/>
        <w:widowControl w:val="0"/>
        <w:spacing w:after="0"/>
        <w:rPr>
          <w:lang w:val="en-AU"/>
        </w:rPr>
      </w:pPr>
      <w:r>
        <w:rPr>
          <w:lang w:val="en-AU"/>
        </w:rPr>
        <w:t xml:space="preserve">woodswallow (dusky woodswallow), </w:t>
      </w:r>
    </w:p>
    <w:p w14:paraId="0B89CAC2" w14:textId="77777777" w:rsidR="0075180E" w:rsidRDefault="008F4B1A">
      <w:pPr>
        <w:pStyle w:val="normal1"/>
        <w:widowControl w:val="0"/>
        <w:spacing w:after="0"/>
        <w:rPr>
          <w:lang w:val="en-AU"/>
        </w:rPr>
      </w:pPr>
      <w:r>
        <w:rPr>
          <w:lang w:val="en-AU"/>
        </w:rPr>
        <w:t>yellow-billed spoonbill</w:t>
      </w:r>
    </w:p>
    <w:p w14:paraId="6B699379" w14:textId="77777777" w:rsidR="0075180E" w:rsidRDefault="0075180E">
      <w:pPr>
        <w:pStyle w:val="normal1"/>
        <w:widowControl w:val="0"/>
        <w:spacing w:after="0"/>
        <w:rPr>
          <w:lang w:val="en-AU"/>
        </w:rPr>
      </w:pPr>
    </w:p>
    <w:p w14:paraId="25D77E13" w14:textId="77777777" w:rsidR="0075180E" w:rsidRDefault="008F4B1A">
      <w:pPr>
        <w:pStyle w:val="normal1"/>
        <w:rPr>
          <w:lang w:val="en-AU"/>
        </w:rPr>
      </w:pPr>
      <w:r>
        <w:rPr>
          <w:lang w:val="en-AU"/>
        </w:rPr>
        <w:t xml:space="preserve">However, we stress that for many of these there was incomplete information on the inputs and methodology used. For </w:t>
      </w:r>
      <w:proofErr w:type="gramStart"/>
      <w:r>
        <w:rPr>
          <w:lang w:val="en-AU"/>
        </w:rPr>
        <w:t>a number of</w:t>
      </w:r>
      <w:proofErr w:type="gramEnd"/>
      <w:r>
        <w:rPr>
          <w:lang w:val="en-AU"/>
        </w:rPr>
        <w:t xml:space="preserve"> older sites there is little information remaining in the public domain about the details of the pre-construction impact assessment</w:t>
      </w:r>
    </w:p>
    <w:p w14:paraId="55823EF2" w14:textId="77777777" w:rsidR="0075180E" w:rsidRDefault="008F4B1A">
      <w:pPr>
        <w:pStyle w:val="normal1"/>
        <w:rPr>
          <w:lang w:val="en-AU"/>
        </w:rPr>
      </w:pPr>
      <w:r>
        <w:rPr>
          <w:lang w:val="en-AU"/>
        </w:rPr>
        <w:t>The lack of model standardisation, lack of standards for developing and reporting inputs and changing assessment requirements over time restrict the ability for historical site assessments to contribute to long-term understanding of species’ collision risk. For example, even standardising the reporting of flight height distribution data would greatly increase the ability to augment height data on future assessments.</w:t>
      </w:r>
    </w:p>
    <w:p w14:paraId="0945E29A" w14:textId="77777777" w:rsidR="0075180E" w:rsidRDefault="008F4B1A">
      <w:pPr>
        <w:pStyle w:val="Heading2"/>
        <w:rPr>
          <w:lang w:val="en-AU"/>
        </w:rPr>
      </w:pPr>
      <w:bookmarkStart w:id="64" w:name="_50vk29d84223"/>
      <w:bookmarkStart w:id="65" w:name="_Toc256352788"/>
      <w:bookmarkEnd w:id="64"/>
      <w:r>
        <w:rPr>
          <w:lang w:val="en-AU"/>
        </w:rPr>
        <w:t>Implications</w:t>
      </w:r>
      <w:bookmarkEnd w:id="65"/>
    </w:p>
    <w:p w14:paraId="4BA190F5" w14:textId="77777777" w:rsidR="0075180E" w:rsidRDefault="008F4B1A">
      <w:pPr>
        <w:pStyle w:val="normal1"/>
        <w:rPr>
          <w:lang w:val="en-AU"/>
        </w:rPr>
      </w:pPr>
      <w:r>
        <w:rPr>
          <w:lang w:val="en-AU"/>
        </w:rPr>
        <w:t xml:space="preserve">ACRF cannot specify one approach - it needs to provide a framework around the risk classes and criteria and provide support so a proponent can justify why one approach was chosen over another. </w:t>
      </w:r>
      <w:proofErr w:type="gramStart"/>
      <w:r>
        <w:rPr>
          <w:lang w:val="en-AU"/>
        </w:rPr>
        <w:t>In reality most</w:t>
      </w:r>
      <w:proofErr w:type="gramEnd"/>
      <w:r>
        <w:rPr>
          <w:lang w:val="en-AU"/>
        </w:rPr>
        <w:t xml:space="preserve"> of the time a qualitative approach will be all that's possible due to the limitations of surveying very rare species, but that should consider </w:t>
      </w:r>
      <w:proofErr w:type="gramStart"/>
      <w:r>
        <w:rPr>
          <w:lang w:val="en-AU"/>
        </w:rPr>
        <w:t>all of</w:t>
      </w:r>
      <w:proofErr w:type="gramEnd"/>
      <w:r>
        <w:rPr>
          <w:lang w:val="en-AU"/>
        </w:rPr>
        <w:t>:</w:t>
      </w:r>
    </w:p>
    <w:p w14:paraId="42CF9239" w14:textId="77777777" w:rsidR="0075180E" w:rsidRDefault="008F4B1A">
      <w:pPr>
        <w:pStyle w:val="normal1"/>
        <w:rPr>
          <w:lang w:val="en-AU"/>
        </w:rPr>
      </w:pPr>
      <w:r>
        <w:rPr>
          <w:lang w:val="en-AU"/>
        </w:rPr>
        <w:t>Total risk exposure:</w:t>
      </w:r>
    </w:p>
    <w:p w14:paraId="2092A5F6" w14:textId="77777777" w:rsidR="0075180E" w:rsidRDefault="008F4B1A">
      <w:pPr>
        <w:pStyle w:val="normal1"/>
        <w:numPr>
          <w:ilvl w:val="0"/>
          <w:numId w:val="9"/>
        </w:numPr>
        <w:rPr>
          <w:lang w:val="en-AU"/>
        </w:rPr>
      </w:pPr>
      <w:r>
        <w:rPr>
          <w:lang w:val="en-AU"/>
        </w:rPr>
        <w:t>site activity</w:t>
      </w:r>
    </w:p>
    <w:p w14:paraId="45218870" w14:textId="77777777" w:rsidR="0075180E" w:rsidRDefault="008F4B1A">
      <w:pPr>
        <w:pStyle w:val="normal1"/>
        <w:numPr>
          <w:ilvl w:val="0"/>
          <w:numId w:val="9"/>
        </w:numPr>
        <w:rPr>
          <w:lang w:val="en-AU"/>
        </w:rPr>
      </w:pPr>
      <w:r>
        <w:rPr>
          <w:lang w:val="en-AU"/>
        </w:rPr>
        <w:t>spatial use of the site (relative spatial risk)</w:t>
      </w:r>
    </w:p>
    <w:p w14:paraId="148B8A80" w14:textId="77777777" w:rsidR="0075180E" w:rsidRDefault="008F4B1A">
      <w:pPr>
        <w:pStyle w:val="normal1"/>
        <w:numPr>
          <w:ilvl w:val="0"/>
          <w:numId w:val="9"/>
        </w:numPr>
        <w:rPr>
          <w:lang w:val="en-AU"/>
        </w:rPr>
      </w:pPr>
      <w:r>
        <w:rPr>
          <w:lang w:val="en-AU"/>
        </w:rPr>
        <w:t>flight height profile (relative risk)</w:t>
      </w:r>
    </w:p>
    <w:p w14:paraId="710ACA68" w14:textId="77777777" w:rsidR="0075180E" w:rsidRDefault="008F4B1A">
      <w:pPr>
        <w:pStyle w:val="normal1"/>
        <w:numPr>
          <w:ilvl w:val="0"/>
          <w:numId w:val="9"/>
        </w:numPr>
        <w:rPr>
          <w:lang w:val="en-AU"/>
        </w:rPr>
      </w:pPr>
      <w:r>
        <w:rPr>
          <w:lang w:val="en-AU"/>
        </w:rPr>
        <w:lastRenderedPageBreak/>
        <w:t>temporal use of the site (seasonal / daily risk profile)</w:t>
      </w:r>
    </w:p>
    <w:p w14:paraId="044B38CC" w14:textId="77777777" w:rsidR="0075180E" w:rsidRDefault="008F4B1A">
      <w:pPr>
        <w:pStyle w:val="normal1"/>
        <w:numPr>
          <w:ilvl w:val="0"/>
          <w:numId w:val="9"/>
        </w:numPr>
        <w:rPr>
          <w:lang w:val="en-AU"/>
        </w:rPr>
      </w:pPr>
      <w:r>
        <w:rPr>
          <w:lang w:val="en-AU"/>
        </w:rPr>
        <w:t>Ability to avoid collision given risk exposure:</w:t>
      </w:r>
    </w:p>
    <w:p w14:paraId="089A039C" w14:textId="77777777" w:rsidR="0075180E" w:rsidRDefault="008F4B1A">
      <w:pPr>
        <w:pStyle w:val="normal1"/>
        <w:numPr>
          <w:ilvl w:val="0"/>
          <w:numId w:val="9"/>
        </w:numPr>
        <w:rPr>
          <w:lang w:val="en-AU"/>
        </w:rPr>
      </w:pPr>
      <w:r>
        <w:rPr>
          <w:lang w:val="en-AU"/>
        </w:rPr>
        <w:t>morphometrics and flight / behavioural / avoidance expectations.</w:t>
      </w:r>
    </w:p>
    <w:p w14:paraId="3FE9F23F" w14:textId="716C8EB7" w:rsidR="0075180E" w:rsidRDefault="104EF8F5" w:rsidP="104EF8F5">
      <w:pPr>
        <w:pStyle w:val="normal1"/>
        <w:rPr>
          <w:lang w:val="en-AU"/>
        </w:rPr>
      </w:pPr>
      <w:r w:rsidRPr="5291D45D">
        <w:rPr>
          <w:lang w:val="en-AU"/>
        </w:rPr>
        <w:t>Of these, the first four directly impact the number of flights exposed to risk in any given year.  They are more important than the final point (though it is necessary for a fully quantitative model). The final point will be relatively stable to changes in layout, or minor turbine changes. The total risk exposure provides the best assessment of the overall risk.</w:t>
      </w:r>
    </w:p>
    <w:p w14:paraId="119487FE" w14:textId="77777777" w:rsidR="0075180E" w:rsidRDefault="008F4B1A">
      <w:pPr>
        <w:pStyle w:val="Heading1"/>
        <w:rPr>
          <w:lang w:val="en-AU"/>
        </w:rPr>
      </w:pPr>
      <w:bookmarkStart w:id="66" w:name="_oudfu2wyt80p"/>
      <w:bookmarkStart w:id="67" w:name="_Toc1207479404"/>
      <w:bookmarkEnd w:id="66"/>
      <w:r>
        <w:rPr>
          <w:lang w:val="en-AU"/>
        </w:rPr>
        <w:t>Species trait analysis</w:t>
      </w:r>
      <w:bookmarkEnd w:id="67"/>
    </w:p>
    <w:p w14:paraId="31FDF1CB" w14:textId="77777777" w:rsidR="0075180E" w:rsidRDefault="008F4B1A">
      <w:pPr>
        <w:pStyle w:val="Heading2"/>
        <w:rPr>
          <w:lang w:val="en-AU"/>
        </w:rPr>
      </w:pPr>
      <w:bookmarkStart w:id="68" w:name="_7zulcm75ftag"/>
      <w:bookmarkStart w:id="69" w:name="_Toc1004410637"/>
      <w:bookmarkEnd w:id="68"/>
      <w:r>
        <w:rPr>
          <w:lang w:val="en-AU"/>
        </w:rPr>
        <w:t>Objective</w:t>
      </w:r>
      <w:bookmarkEnd w:id="69"/>
    </w:p>
    <w:p w14:paraId="3B0ED9C5" w14:textId="77777777" w:rsidR="0075180E" w:rsidRDefault="008F4B1A">
      <w:pPr>
        <w:pStyle w:val="normal1"/>
        <w:rPr>
          <w:lang w:val="en-AU"/>
        </w:rPr>
      </w:pPr>
      <w:r>
        <w:rPr>
          <w:lang w:val="en-AU"/>
        </w:rPr>
        <w:t>To create a repository of Australian terrestrial birds, seabirds and bats with available information on the biological and behavioural characteristics that influence their likelihood of collision with wind turbines, and by doing so identify any key data gaps.</w:t>
      </w:r>
    </w:p>
    <w:p w14:paraId="00BD02DC" w14:textId="77777777" w:rsidR="0075180E" w:rsidRDefault="008F4B1A">
      <w:pPr>
        <w:pStyle w:val="Heading3"/>
        <w:rPr>
          <w:lang w:val="en-AU"/>
        </w:rPr>
      </w:pPr>
      <w:bookmarkStart w:id="70" w:name="_j2cjmx6j7868"/>
      <w:bookmarkEnd w:id="70"/>
      <w:r>
        <w:rPr>
          <w:lang w:val="en-AU"/>
        </w:rPr>
        <w:t>Key Research Questions:</w:t>
      </w:r>
    </w:p>
    <w:p w14:paraId="294D922D" w14:textId="77777777" w:rsidR="0075180E" w:rsidRDefault="008F4B1A">
      <w:pPr>
        <w:pStyle w:val="normal1"/>
        <w:numPr>
          <w:ilvl w:val="0"/>
          <w:numId w:val="8"/>
        </w:numPr>
        <w:rPr>
          <w:lang w:val="en-AU"/>
        </w:rPr>
      </w:pPr>
      <w:r>
        <w:rPr>
          <w:lang w:val="en-AU"/>
        </w:rPr>
        <w:t>For bird and bat species, what published information exists regarding characteristics that influence collision risk (e.g., flight height, flight patterns, flocking behaviour, migration routes, sensory perception, habitat use)?</w:t>
      </w:r>
    </w:p>
    <w:p w14:paraId="60F852DD" w14:textId="77777777" w:rsidR="0075180E" w:rsidRDefault="008F4B1A">
      <w:pPr>
        <w:pStyle w:val="normal1"/>
        <w:numPr>
          <w:ilvl w:val="0"/>
          <w:numId w:val="8"/>
        </w:numPr>
        <w:rPr>
          <w:lang w:val="en-AU"/>
        </w:rPr>
      </w:pPr>
      <w:r>
        <w:rPr>
          <w:lang w:val="en-AU"/>
        </w:rPr>
        <w:t>What is the source and context of this information?</w:t>
      </w:r>
    </w:p>
    <w:p w14:paraId="74EAB736" w14:textId="77777777" w:rsidR="0075180E" w:rsidRDefault="008F4B1A">
      <w:pPr>
        <w:pStyle w:val="normal1"/>
        <w:numPr>
          <w:ilvl w:val="0"/>
          <w:numId w:val="8"/>
        </w:numPr>
        <w:rPr>
          <w:lang w:val="en-AU"/>
        </w:rPr>
      </w:pPr>
      <w:r>
        <w:rPr>
          <w:lang w:val="en-AU"/>
        </w:rPr>
        <w:t>Where do critical data gaps exist for specific taxa or risk-influencing characteristics?</w:t>
      </w:r>
    </w:p>
    <w:p w14:paraId="127517E0" w14:textId="77777777" w:rsidR="0075180E" w:rsidRDefault="008F4B1A">
      <w:pPr>
        <w:pStyle w:val="Heading2"/>
        <w:rPr>
          <w:lang w:val="en-AU"/>
        </w:rPr>
      </w:pPr>
      <w:bookmarkStart w:id="71" w:name="_t8gmo5bncx8k"/>
      <w:bookmarkStart w:id="72" w:name="_Toc553130840"/>
      <w:bookmarkEnd w:id="71"/>
      <w:r>
        <w:rPr>
          <w:lang w:val="en-AU"/>
        </w:rPr>
        <w:t>Australian context</w:t>
      </w:r>
      <w:bookmarkEnd w:id="72"/>
    </w:p>
    <w:p w14:paraId="5EA4CD1C" w14:textId="77777777" w:rsidR="0075180E" w:rsidRDefault="008F4B1A">
      <w:pPr>
        <w:pStyle w:val="normal1"/>
        <w:rPr>
          <w:lang w:val="en-AU"/>
        </w:rPr>
      </w:pPr>
      <w:r>
        <w:rPr>
          <w:lang w:val="en-AU"/>
        </w:rPr>
        <w:t>Within Australia, onshore wind farms have been established for almost 40 years.  More recently, offshore wind farm feasibility licences have opened leading to rapidly expanding interest in offshore development (Briggs et al. 2021). While no offshore wind farms have been constructed to date, many are proposed and in the pre-construction phase. Given the large span of area current and future wind farm sites are likely to cover there is a high degree of overlap with diverse bird and bat species. Therefore, it is important that prospective onshore and offshore wind farms consider species collision likelihood in a standardised way.</w:t>
      </w:r>
    </w:p>
    <w:p w14:paraId="7244C283" w14:textId="77777777" w:rsidR="0075180E" w:rsidRDefault="008F4B1A">
      <w:pPr>
        <w:pStyle w:val="normal1"/>
        <w:rPr>
          <w:lang w:val="en-AU"/>
        </w:rPr>
      </w:pPr>
      <w:r>
        <w:rPr>
          <w:lang w:val="en-AU"/>
        </w:rPr>
        <w:t xml:space="preserve">There are 415 bird species (in the Aves class) and 12 bat species (in the </w:t>
      </w:r>
      <w:proofErr w:type="spellStart"/>
      <w:r>
        <w:rPr>
          <w:lang w:val="en-AU"/>
        </w:rPr>
        <w:t>Chiroptera</w:t>
      </w:r>
      <w:proofErr w:type="spellEnd"/>
      <w:r>
        <w:rPr>
          <w:lang w:val="en-AU"/>
        </w:rPr>
        <w:t xml:space="preserve"> order) listed federally under the EPBC Act, including migratory and marine flyover species.</w:t>
      </w:r>
    </w:p>
    <w:p w14:paraId="4961C0DE" w14:textId="77777777" w:rsidR="0075180E" w:rsidRDefault="008F4B1A">
      <w:pPr>
        <w:pStyle w:val="normal1"/>
        <w:rPr>
          <w:lang w:val="en-AU"/>
        </w:rPr>
      </w:pPr>
      <w:r>
        <w:rPr>
          <w:lang w:val="en-AU"/>
        </w:rPr>
        <w:lastRenderedPageBreak/>
        <w:t>These species vary considerably in all dimensions of ecology, including size, diet, and flight ability. As such, the susceptibility to collision also varies considerably. To fully grasp this collision likelihood variability, we undertook a literature review to collate data on species traits that may influence collision.</w:t>
      </w:r>
    </w:p>
    <w:p w14:paraId="4929F6BE" w14:textId="77777777" w:rsidR="0075180E" w:rsidRDefault="008F4B1A">
      <w:pPr>
        <w:pStyle w:val="Heading2"/>
        <w:rPr>
          <w:lang w:val="en-AU"/>
        </w:rPr>
      </w:pPr>
      <w:bookmarkStart w:id="73" w:name="_ohlz2ef5u8ug"/>
      <w:bookmarkStart w:id="74" w:name="_Toc1998429353"/>
      <w:bookmarkEnd w:id="73"/>
      <w:r>
        <w:rPr>
          <w:lang w:val="en-AU"/>
        </w:rPr>
        <w:t>Scope of review</w:t>
      </w:r>
      <w:bookmarkEnd w:id="74"/>
    </w:p>
    <w:p w14:paraId="00033325" w14:textId="77777777" w:rsidR="0075180E" w:rsidRDefault="008F4B1A">
      <w:pPr>
        <w:pStyle w:val="normal1"/>
        <w:rPr>
          <w:lang w:val="en-AU"/>
        </w:rPr>
      </w:pPr>
      <w:r>
        <w:rPr>
          <w:lang w:val="en-AU"/>
        </w:rPr>
        <w:t>To understand the variation in species collision risk likelihood, we conducted a wide-scale literature review extracting a key set of biological and behavioural traits of birds and bats.</w:t>
      </w:r>
    </w:p>
    <w:p w14:paraId="42833735" w14:textId="77777777" w:rsidR="0075180E" w:rsidRDefault="008F4B1A">
      <w:pPr>
        <w:pStyle w:val="normal1"/>
        <w:rPr>
          <w:lang w:val="en-AU"/>
        </w:rPr>
      </w:pPr>
      <w:r>
        <w:rPr>
          <w:lang w:val="en-AU"/>
        </w:rPr>
        <w:t xml:space="preserve">This literature review was a key step to set the foundation for our collision risk framework to understand why different species would be </w:t>
      </w:r>
      <w:proofErr w:type="gramStart"/>
      <w:r>
        <w:rPr>
          <w:lang w:val="en-AU"/>
        </w:rPr>
        <w:t>more or less susceptible</w:t>
      </w:r>
      <w:proofErr w:type="gramEnd"/>
      <w:r>
        <w:rPr>
          <w:lang w:val="en-AU"/>
        </w:rPr>
        <w:t xml:space="preserve"> to collision risk. We drew on information already contained within </w:t>
      </w:r>
      <w:proofErr w:type="spellStart"/>
      <w:r>
        <w:rPr>
          <w:lang w:val="en-AU"/>
        </w:rPr>
        <w:t>BirdLife</w:t>
      </w:r>
      <w:proofErr w:type="spellEnd"/>
      <w:r>
        <w:rPr>
          <w:lang w:val="en-AU"/>
        </w:rPr>
        <w:t xml:space="preserve"> International and </w:t>
      </w:r>
      <w:proofErr w:type="spellStart"/>
      <w:r>
        <w:rPr>
          <w:lang w:val="en-AU"/>
        </w:rPr>
        <w:t>BirdLife</w:t>
      </w:r>
      <w:proofErr w:type="spellEnd"/>
      <w:r>
        <w:rPr>
          <w:lang w:val="en-AU"/>
        </w:rPr>
        <w:t xml:space="preserve"> Australia 2025; Reid and Baker 2025a and 2025b to create a data repository of traits which will be made accessible through an online tool as part of the ACRF website.</w:t>
      </w:r>
    </w:p>
    <w:p w14:paraId="570D58D4" w14:textId="77777777" w:rsidR="0075180E" w:rsidRDefault="008F4B1A">
      <w:pPr>
        <w:pStyle w:val="normal1"/>
        <w:rPr>
          <w:lang w:val="en-AU"/>
        </w:rPr>
      </w:pPr>
      <w:r>
        <w:rPr>
          <w:lang w:val="en-AU"/>
        </w:rPr>
        <w:t xml:space="preserve">Our review focuses on the individual collision likelihood of a species as opposed to the impacts of a collision (e.g. population impacts for threatened species). Instead, collision impacts are being undertaken within the related project </w:t>
      </w:r>
      <w:r>
        <w:rPr>
          <w:i/>
          <w:iCs/>
          <w:lang w:val="en-AU"/>
        </w:rPr>
        <w:t>Decision support tool for collision mortality impacts</w:t>
      </w:r>
      <w:r>
        <w:rPr>
          <w:lang w:val="en-AU"/>
        </w:rPr>
        <w:t xml:space="preserve"> by the Arthur Rylah Institute.</w:t>
      </w:r>
    </w:p>
    <w:p w14:paraId="52DD9E14" w14:textId="77777777" w:rsidR="0075180E" w:rsidRDefault="008F4B1A">
      <w:pPr>
        <w:pStyle w:val="normal1"/>
        <w:rPr>
          <w:lang w:val="en-AU"/>
        </w:rPr>
      </w:pPr>
      <w:r>
        <w:rPr>
          <w:lang w:val="en-AU"/>
        </w:rPr>
        <w:t>It should also be noted that our trait-based framework provides an indicative risk as a conceptual model and should not be used in replacement of site-collected data or as a predictive tool. The data within the repository does not assign an overall risk score to each species but paves the way into how to go about assessing risk and how one would approach surveying and analysing species of concern.</w:t>
      </w:r>
    </w:p>
    <w:p w14:paraId="06340983" w14:textId="77777777" w:rsidR="0075180E" w:rsidRDefault="008F4B1A">
      <w:pPr>
        <w:pStyle w:val="normal1"/>
        <w:rPr>
          <w:lang w:val="en-AU"/>
        </w:rPr>
      </w:pPr>
      <w:r>
        <w:rPr>
          <w:lang w:val="en-AU"/>
        </w:rPr>
        <w:t xml:space="preserve">The species trait literature review was a collaborative effort between </w:t>
      </w:r>
      <w:proofErr w:type="spellStart"/>
      <w:r>
        <w:rPr>
          <w:lang w:val="en-AU"/>
        </w:rPr>
        <w:t>Symbolix</w:t>
      </w:r>
      <w:proofErr w:type="spellEnd"/>
      <w:r>
        <w:rPr>
          <w:lang w:val="en-AU"/>
        </w:rPr>
        <w:t xml:space="preserve">, Monash University and </w:t>
      </w:r>
      <w:proofErr w:type="spellStart"/>
      <w:r>
        <w:rPr>
          <w:lang w:val="en-AU"/>
        </w:rPr>
        <w:t>EcoAerial</w:t>
      </w:r>
      <w:proofErr w:type="spellEnd"/>
      <w:r>
        <w:rPr>
          <w:lang w:val="en-AU"/>
        </w:rPr>
        <w:t>.</w:t>
      </w:r>
    </w:p>
    <w:p w14:paraId="5D241626" w14:textId="77777777" w:rsidR="0075180E" w:rsidRDefault="008F4B1A">
      <w:pPr>
        <w:pStyle w:val="normal1"/>
        <w:rPr>
          <w:lang w:val="en-AU"/>
        </w:rPr>
      </w:pPr>
      <w:r>
        <w:rPr>
          <w:lang w:val="en-AU"/>
        </w:rPr>
        <w:t xml:space="preserve">We also have crosschecked data compiled from the </w:t>
      </w:r>
      <w:r>
        <w:rPr>
          <w:i/>
          <w:iCs/>
          <w:lang w:val="en-AU"/>
        </w:rPr>
        <w:t xml:space="preserve">Understanding bird and bat overland flight paths </w:t>
      </w:r>
      <w:r>
        <w:rPr>
          <w:lang w:val="en-AU"/>
        </w:rPr>
        <w:t xml:space="preserve">project undertaken by Birdlife Australia, University of Queensland, University of Western Sydney and </w:t>
      </w:r>
      <w:proofErr w:type="spellStart"/>
      <w:r>
        <w:rPr>
          <w:lang w:val="en-AU"/>
        </w:rPr>
        <w:t>BatsLab</w:t>
      </w:r>
      <w:proofErr w:type="spellEnd"/>
      <w:r>
        <w:rPr>
          <w:lang w:val="en-AU"/>
        </w:rPr>
        <w:t>.</w:t>
      </w:r>
    </w:p>
    <w:p w14:paraId="33344C15" w14:textId="77777777" w:rsidR="0075180E" w:rsidRDefault="008F4B1A">
      <w:pPr>
        <w:pStyle w:val="Heading2"/>
        <w:rPr>
          <w:lang w:val="en-AU"/>
        </w:rPr>
      </w:pPr>
      <w:bookmarkStart w:id="75" w:name="_irc7warhkrri"/>
      <w:bookmarkStart w:id="76" w:name="_Toc593727773"/>
      <w:bookmarkEnd w:id="75"/>
      <w:r>
        <w:rPr>
          <w:lang w:val="en-AU"/>
        </w:rPr>
        <w:t>Species traits</w:t>
      </w:r>
      <w:bookmarkEnd w:id="76"/>
    </w:p>
    <w:p w14:paraId="19976225" w14:textId="77777777" w:rsidR="0075180E" w:rsidRDefault="008F4B1A">
      <w:pPr>
        <w:pStyle w:val="normal1"/>
        <w:rPr>
          <w:lang w:val="en-AU"/>
        </w:rPr>
      </w:pPr>
      <w:r>
        <w:rPr>
          <w:lang w:val="en-AU"/>
        </w:rPr>
        <w:t xml:space="preserve">Drawing knowledge from both Australia and overseas, we collated a series of species traits that relate to specific risk categories. All these factors fall into one of three major categories (i.e., exposure, duration, or propensity) which can be thought of as failure gates (i.e. a species has to pass through each gate to collide with a turbine): </w:t>
      </w:r>
      <w:r>
        <w:rPr>
          <w:i/>
          <w:iCs/>
          <w:lang w:val="en-AU"/>
        </w:rPr>
        <w:t>where</w:t>
      </w:r>
      <w:r>
        <w:rPr>
          <w:lang w:val="en-AU"/>
        </w:rPr>
        <w:t xml:space="preserve"> a species is likely to be that would influence collision (e.g. in the air), </w:t>
      </w:r>
      <w:r>
        <w:rPr>
          <w:i/>
          <w:iCs/>
          <w:lang w:val="en-AU"/>
        </w:rPr>
        <w:t>when</w:t>
      </w:r>
      <w:r>
        <w:rPr>
          <w:lang w:val="en-AU"/>
        </w:rPr>
        <w:t xml:space="preserve"> collision is likely to occur (e.g. during the migration period) or </w:t>
      </w:r>
      <w:r>
        <w:rPr>
          <w:i/>
          <w:iCs/>
          <w:lang w:val="en-AU"/>
        </w:rPr>
        <w:t>how</w:t>
      </w:r>
      <w:r>
        <w:rPr>
          <w:lang w:val="en-AU"/>
        </w:rPr>
        <w:t xml:space="preserve"> a species behaviour and morphology influences collision risk (e.g. manoeuvrability).  </w:t>
      </w:r>
    </w:p>
    <w:p w14:paraId="265EFB87" w14:textId="77777777" w:rsidR="0075180E" w:rsidRDefault="008F4B1A">
      <w:pPr>
        <w:pStyle w:val="normal1"/>
        <w:rPr>
          <w:lang w:val="en-AU"/>
        </w:rPr>
      </w:pPr>
      <w:r>
        <w:rPr>
          <w:lang w:val="en-AU"/>
        </w:rPr>
        <w:lastRenderedPageBreak/>
        <w:t>In other words (Figure 2):</w:t>
      </w:r>
    </w:p>
    <w:p w14:paraId="2796D078" w14:textId="77777777" w:rsidR="0075180E" w:rsidRDefault="008F4B1A">
      <w:pPr>
        <w:pStyle w:val="normal1"/>
        <w:numPr>
          <w:ilvl w:val="0"/>
          <w:numId w:val="7"/>
        </w:numPr>
        <w:rPr>
          <w:lang w:val="en-AU"/>
        </w:rPr>
      </w:pPr>
      <w:r>
        <w:rPr>
          <w:i/>
          <w:iCs/>
          <w:lang w:val="en-AU"/>
        </w:rPr>
        <w:t xml:space="preserve">Where </w:t>
      </w:r>
      <w:r>
        <w:rPr>
          <w:lang w:val="en-AU"/>
        </w:rPr>
        <w:t>a species spends its time influences its exposure to risk</w:t>
      </w:r>
    </w:p>
    <w:p w14:paraId="69713AA5" w14:textId="77777777" w:rsidR="0075180E" w:rsidRDefault="008F4B1A">
      <w:pPr>
        <w:pStyle w:val="normal1"/>
        <w:numPr>
          <w:ilvl w:val="0"/>
          <w:numId w:val="7"/>
        </w:numPr>
        <w:rPr>
          <w:lang w:val="en-AU"/>
        </w:rPr>
      </w:pPr>
      <w:r>
        <w:rPr>
          <w:i/>
          <w:iCs/>
          <w:lang w:val="en-AU"/>
        </w:rPr>
        <w:t xml:space="preserve">When </w:t>
      </w:r>
      <w:r>
        <w:rPr>
          <w:lang w:val="en-AU"/>
        </w:rPr>
        <w:t>it flies influences the duration of that exposure</w:t>
      </w:r>
    </w:p>
    <w:p w14:paraId="615ECE2A" w14:textId="77777777" w:rsidR="0075180E" w:rsidRDefault="008F4B1A">
      <w:pPr>
        <w:pStyle w:val="normal1"/>
        <w:numPr>
          <w:ilvl w:val="0"/>
          <w:numId w:val="7"/>
        </w:numPr>
        <w:rPr>
          <w:lang w:val="en-AU"/>
        </w:rPr>
      </w:pPr>
      <w:r>
        <w:rPr>
          <w:i/>
          <w:iCs/>
          <w:lang w:val="en-AU"/>
        </w:rPr>
        <w:t>How</w:t>
      </w:r>
      <w:r>
        <w:rPr>
          <w:lang w:val="en-AU"/>
        </w:rPr>
        <w:t xml:space="preserve"> it behaves and flies influences its propensity to avoid the collision, when it is exposed.</w:t>
      </w:r>
    </w:p>
    <w:p w14:paraId="1F72F646" w14:textId="77777777" w:rsidR="0075180E" w:rsidRDefault="008F4B1A">
      <w:pPr>
        <w:pStyle w:val="normal1"/>
        <w:rPr>
          <w:lang w:val="en-AU"/>
        </w:rPr>
      </w:pPr>
      <w:r>
        <w:rPr>
          <w:noProof/>
        </w:rPr>
        <w:drawing>
          <wp:inline distT="0" distB="0" distL="0" distR="0" wp14:anchorId="17CC278B" wp14:editId="07777777">
            <wp:extent cx="5273040" cy="3949700"/>
            <wp:effectExtent l="0" t="0" r="0" b="0"/>
            <wp:docPr id="3" name="image3.png" descr="A conceptual diagram mapping three Risk Categories to their specific Risk Criteria using text boxes and illustrative icons:&#10;&#10;Exposure of flight to turbine airspace: includes rate and density of flights, distribution of flight heights, and spatial use patterns.&#10;&#10;Duration of exposure: includes daily activity (time-of-day histograms) and seasonal patterns.&#10;&#10;Ability and propensity to evade collision: includes species morphology and manoeuvrability, and avoidance behaviour post-construction (shown as a flight path navigating around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A conceptual diagram mapping three Risk Categories to their specific Risk Criteria using text boxes and illustrative icons:&#10;&#10;Exposure of flight to turbine airspace: includes rate and density of flights, distribution of flight heights, and spatial use patterns.&#10;&#10;Duration of exposure: includes daily activity (time-of-day histograms) and seasonal patterns.&#10;&#10;Ability and propensity to evade collision: includes species morphology and manoeuvrability, and avoidance behaviour post-construction (shown as a flight path navigating around turbines)."/>
                    <pic:cNvPicPr>
                      <a:picLocks noChangeAspect="1" noChangeArrowheads="1"/>
                    </pic:cNvPicPr>
                  </pic:nvPicPr>
                  <pic:blipFill>
                    <a:blip r:embed="rId13"/>
                    <a:srcRect t="1156" b="-1156"/>
                    <a:stretch>
                      <a:fillRect/>
                    </a:stretch>
                  </pic:blipFill>
                  <pic:spPr bwMode="auto">
                    <a:xfrm>
                      <a:off x="0" y="0"/>
                      <a:ext cx="5273040" cy="3949700"/>
                    </a:xfrm>
                    <a:prstGeom prst="rect">
                      <a:avLst/>
                    </a:prstGeom>
                  </pic:spPr>
                </pic:pic>
              </a:graphicData>
            </a:graphic>
          </wp:inline>
        </w:drawing>
      </w:r>
    </w:p>
    <w:p w14:paraId="691AFEFD" w14:textId="77777777" w:rsidR="0075180E" w:rsidRDefault="008F4B1A">
      <w:pPr>
        <w:pStyle w:val="normal1"/>
        <w:widowControl w:val="0"/>
        <w:spacing w:line="240" w:lineRule="auto"/>
        <w:jc w:val="center"/>
        <w:rPr>
          <w:lang w:val="en-AU"/>
        </w:rPr>
      </w:pPr>
      <w:r>
        <w:rPr>
          <w:b/>
          <w:bCs/>
          <w:i/>
          <w:iCs/>
          <w:sz w:val="16"/>
          <w:szCs w:val="16"/>
          <w:lang w:val="en-AU"/>
        </w:rPr>
        <w:t>FIGURE 2: Conceptual model of collision likelihood</w:t>
      </w:r>
    </w:p>
    <w:p w14:paraId="08CE6F91" w14:textId="77777777" w:rsidR="0075180E" w:rsidRDefault="0075180E">
      <w:pPr>
        <w:pStyle w:val="normal1"/>
        <w:rPr>
          <w:lang w:val="en-AU"/>
        </w:rPr>
      </w:pPr>
    </w:p>
    <w:p w14:paraId="6A5BF9B5" w14:textId="77777777" w:rsidR="0075180E" w:rsidRDefault="008F4B1A">
      <w:pPr>
        <w:pStyle w:val="Heading2"/>
        <w:rPr>
          <w:lang w:val="en-AU"/>
        </w:rPr>
      </w:pPr>
      <w:bookmarkStart w:id="77" w:name="_1g5ndjvsaic5"/>
      <w:bookmarkStart w:id="78" w:name="_Toc2078933863"/>
      <w:bookmarkEnd w:id="77"/>
      <w:r>
        <w:rPr>
          <w:lang w:val="en-AU"/>
        </w:rPr>
        <w:t>Extracting data</w:t>
      </w:r>
      <w:bookmarkEnd w:id="78"/>
    </w:p>
    <w:p w14:paraId="0A43D233" w14:textId="77777777" w:rsidR="0075180E" w:rsidRDefault="008F4B1A">
      <w:pPr>
        <w:pStyle w:val="normal1"/>
        <w:rPr>
          <w:lang w:val="en-AU"/>
        </w:rPr>
      </w:pPr>
      <w:r>
        <w:rPr>
          <w:lang w:val="en-AU"/>
        </w:rPr>
        <w:t>A range of different data sources were used to collate species trait information including:</w:t>
      </w:r>
    </w:p>
    <w:p w14:paraId="7E5446F9" w14:textId="77777777" w:rsidR="0075180E" w:rsidRDefault="008F4B1A">
      <w:pPr>
        <w:pStyle w:val="normal1"/>
        <w:numPr>
          <w:ilvl w:val="0"/>
          <w:numId w:val="6"/>
        </w:numPr>
        <w:spacing w:after="0"/>
        <w:rPr>
          <w:lang w:val="en-AU"/>
        </w:rPr>
      </w:pPr>
      <w:r>
        <w:rPr>
          <w:lang w:val="en-AU"/>
        </w:rPr>
        <w:t>DCCEEW Recovery Plans and Conservation Advice documents</w:t>
      </w:r>
    </w:p>
    <w:p w14:paraId="2DE3C862" w14:textId="77777777" w:rsidR="0075180E" w:rsidRDefault="008F4B1A">
      <w:pPr>
        <w:pStyle w:val="normal1"/>
        <w:numPr>
          <w:ilvl w:val="0"/>
          <w:numId w:val="6"/>
        </w:numPr>
        <w:spacing w:after="0"/>
        <w:rPr>
          <w:lang w:val="en-AU"/>
        </w:rPr>
      </w:pPr>
      <w:r>
        <w:rPr>
          <w:lang w:val="en-AU"/>
        </w:rPr>
        <w:t>Handbook of Australian, New Zealand and Antarctic Birds (HANZAB)</w:t>
      </w:r>
    </w:p>
    <w:p w14:paraId="2CD4F45F" w14:textId="77777777" w:rsidR="0075180E" w:rsidRDefault="008F4B1A">
      <w:pPr>
        <w:pStyle w:val="normal1"/>
        <w:numPr>
          <w:ilvl w:val="0"/>
          <w:numId w:val="6"/>
        </w:numPr>
        <w:spacing w:after="0"/>
        <w:rPr>
          <w:lang w:val="en-AU"/>
        </w:rPr>
      </w:pPr>
      <w:r>
        <w:rPr>
          <w:lang w:val="en-AU"/>
        </w:rPr>
        <w:t>AVONET databases</w:t>
      </w:r>
    </w:p>
    <w:p w14:paraId="29A0633C" w14:textId="77777777" w:rsidR="0075180E" w:rsidRDefault="008F4B1A">
      <w:pPr>
        <w:pStyle w:val="normal1"/>
        <w:numPr>
          <w:ilvl w:val="0"/>
          <w:numId w:val="6"/>
        </w:numPr>
        <w:spacing w:after="0"/>
        <w:rPr>
          <w:lang w:val="en-AU"/>
        </w:rPr>
      </w:pPr>
      <w:r>
        <w:rPr>
          <w:lang w:val="en-AU"/>
        </w:rPr>
        <w:t>Species-specific scientific papers</w:t>
      </w:r>
    </w:p>
    <w:p w14:paraId="44AC4692" w14:textId="77777777" w:rsidR="0075180E" w:rsidRDefault="008F4B1A">
      <w:pPr>
        <w:pStyle w:val="normal1"/>
        <w:numPr>
          <w:ilvl w:val="0"/>
          <w:numId w:val="6"/>
        </w:numPr>
        <w:rPr>
          <w:lang w:val="en-AU"/>
        </w:rPr>
      </w:pPr>
      <w:r>
        <w:rPr>
          <w:lang w:val="en-AU"/>
        </w:rPr>
        <w:t>Grey literature, including state government websites and field guides.</w:t>
      </w:r>
    </w:p>
    <w:p w14:paraId="36752AF6" w14:textId="77777777" w:rsidR="0075180E" w:rsidRDefault="008F4B1A">
      <w:pPr>
        <w:pStyle w:val="normal1"/>
        <w:rPr>
          <w:lang w:val="en-AU"/>
        </w:rPr>
      </w:pPr>
      <w:r>
        <w:rPr>
          <w:lang w:val="en-AU"/>
        </w:rPr>
        <w:lastRenderedPageBreak/>
        <w:t xml:space="preserve">Given </w:t>
      </w:r>
      <w:proofErr w:type="gramStart"/>
      <w:r>
        <w:rPr>
          <w:lang w:val="en-AU"/>
        </w:rPr>
        <w:t>a number of</w:t>
      </w:r>
      <w:proofErr w:type="gramEnd"/>
      <w:r>
        <w:rPr>
          <w:lang w:val="en-AU"/>
        </w:rPr>
        <w:t xml:space="preserve"> birds were subspecies, we used a two-tiered approach, where we sought data from the subspecies and then supplemented this with data at the species level.</w:t>
      </w:r>
    </w:p>
    <w:p w14:paraId="2D8F11CA" w14:textId="77777777" w:rsidR="0075180E" w:rsidRDefault="008F4B1A">
      <w:pPr>
        <w:pStyle w:val="normal1"/>
        <w:rPr>
          <w:lang w:val="en-AU"/>
        </w:rPr>
      </w:pPr>
      <w:r>
        <w:rPr>
          <w:lang w:val="en-AU"/>
        </w:rPr>
        <w:t xml:space="preserve">There were also </w:t>
      </w:r>
      <w:proofErr w:type="gramStart"/>
      <w:r>
        <w:rPr>
          <w:lang w:val="en-AU"/>
        </w:rPr>
        <w:t>a number of</w:t>
      </w:r>
      <w:proofErr w:type="gramEnd"/>
      <w:r>
        <w:rPr>
          <w:lang w:val="en-AU"/>
        </w:rPr>
        <w:t xml:space="preserve"> species on the marine list where either one or a handful of individuals have ever been recorded in Australia (e.g. vagrants or unconfirmed observations). These were devoted less attention for the literature review given their low likelihood of appearing within Australia or surrounding waters.</w:t>
      </w:r>
    </w:p>
    <w:p w14:paraId="5FB39C2F" w14:textId="77777777" w:rsidR="0075180E" w:rsidRDefault="008F4B1A">
      <w:pPr>
        <w:pStyle w:val="Heading2"/>
        <w:rPr>
          <w:lang w:val="en-AU"/>
        </w:rPr>
      </w:pPr>
      <w:bookmarkStart w:id="79" w:name="_xzeree2qfp9m"/>
      <w:bookmarkStart w:id="80" w:name="_Toc1700728004"/>
      <w:bookmarkEnd w:id="79"/>
      <w:r>
        <w:rPr>
          <w:lang w:val="en-AU"/>
        </w:rPr>
        <w:t>Traits explored</w:t>
      </w:r>
      <w:bookmarkEnd w:id="80"/>
    </w:p>
    <w:p w14:paraId="40AD43A9" w14:textId="77777777" w:rsidR="0075180E" w:rsidRDefault="008F4B1A">
      <w:pPr>
        <w:pStyle w:val="normal1"/>
        <w:rPr>
          <w:lang w:val="en-AU"/>
        </w:rPr>
      </w:pPr>
      <w:r>
        <w:rPr>
          <w:lang w:val="en-AU"/>
        </w:rPr>
        <w:t>We grouped traits into four main categories based on exposure within a wind farm. Multiple traits informed each grouping which in turn have a different influence on collision risk likelihood. The four main categories include:</w:t>
      </w:r>
    </w:p>
    <w:p w14:paraId="6AB021BD" w14:textId="77777777" w:rsidR="0075180E" w:rsidRDefault="008F4B1A">
      <w:pPr>
        <w:pStyle w:val="normal1"/>
        <w:numPr>
          <w:ilvl w:val="0"/>
          <w:numId w:val="5"/>
        </w:numPr>
        <w:spacing w:after="0"/>
        <w:rPr>
          <w:lang w:val="en-AU"/>
        </w:rPr>
      </w:pPr>
      <w:r>
        <w:rPr>
          <w:lang w:val="en-AU"/>
        </w:rPr>
        <w:t>Spatial exposure</w:t>
      </w:r>
    </w:p>
    <w:p w14:paraId="4AD78C3D" w14:textId="77777777" w:rsidR="0075180E" w:rsidRDefault="008F4B1A">
      <w:pPr>
        <w:pStyle w:val="normal1"/>
        <w:numPr>
          <w:ilvl w:val="0"/>
          <w:numId w:val="5"/>
        </w:numPr>
        <w:spacing w:after="0"/>
        <w:rPr>
          <w:lang w:val="en-AU"/>
        </w:rPr>
      </w:pPr>
      <w:r>
        <w:rPr>
          <w:lang w:val="en-AU"/>
        </w:rPr>
        <w:t>Temporal exposure</w:t>
      </w:r>
    </w:p>
    <w:p w14:paraId="7E043ADF" w14:textId="77777777" w:rsidR="0075180E" w:rsidRDefault="008F4B1A">
      <w:pPr>
        <w:pStyle w:val="normal1"/>
        <w:numPr>
          <w:ilvl w:val="0"/>
          <w:numId w:val="5"/>
        </w:numPr>
        <w:spacing w:after="0"/>
        <w:rPr>
          <w:lang w:val="en-AU"/>
        </w:rPr>
      </w:pPr>
      <w:r>
        <w:rPr>
          <w:lang w:val="en-AU"/>
        </w:rPr>
        <w:t>Flight behaviour</w:t>
      </w:r>
    </w:p>
    <w:p w14:paraId="75156F7E" w14:textId="77777777" w:rsidR="0075180E" w:rsidRDefault="008F4B1A">
      <w:pPr>
        <w:pStyle w:val="normal1"/>
        <w:numPr>
          <w:ilvl w:val="0"/>
          <w:numId w:val="5"/>
        </w:numPr>
        <w:rPr>
          <w:lang w:val="en-AU"/>
        </w:rPr>
      </w:pPr>
      <w:r>
        <w:rPr>
          <w:lang w:val="en-AU"/>
        </w:rPr>
        <w:t>Morphology</w:t>
      </w:r>
    </w:p>
    <w:p w14:paraId="6E6DC6F5" w14:textId="77777777" w:rsidR="0075180E" w:rsidRDefault="008F4B1A">
      <w:pPr>
        <w:pStyle w:val="Heading3"/>
        <w:rPr>
          <w:lang w:val="en-AU"/>
        </w:rPr>
      </w:pPr>
      <w:bookmarkStart w:id="81" w:name="_nyvke4jwo3cx"/>
      <w:bookmarkEnd w:id="81"/>
      <w:r>
        <w:rPr>
          <w:lang w:val="en-AU"/>
        </w:rPr>
        <w:t>Spatial exposure</w:t>
      </w:r>
    </w:p>
    <w:p w14:paraId="4BDF1F10" w14:textId="77777777" w:rsidR="0075180E" w:rsidRDefault="008F4B1A">
      <w:pPr>
        <w:pStyle w:val="normal1"/>
        <w:rPr>
          <w:lang w:val="en-AU"/>
        </w:rPr>
      </w:pPr>
      <w:r>
        <w:rPr>
          <w:lang w:val="en-AU"/>
        </w:rPr>
        <w:t>Flight height is considered one of the key determinants in collision risk likelihood (and often given high weighting) given that exposure within the rotor swept area increases the chance of collision (</w:t>
      </w:r>
      <w:proofErr w:type="spellStart"/>
      <w:r>
        <w:rPr>
          <w:lang w:val="en-AU"/>
        </w:rPr>
        <w:t>BirdLife</w:t>
      </w:r>
      <w:proofErr w:type="spellEnd"/>
      <w:r>
        <w:rPr>
          <w:lang w:val="en-AU"/>
        </w:rPr>
        <w:t xml:space="preserve"> International and </w:t>
      </w:r>
      <w:proofErr w:type="spellStart"/>
      <w:r>
        <w:rPr>
          <w:lang w:val="en-AU"/>
        </w:rPr>
        <w:t>BirdLife</w:t>
      </w:r>
      <w:proofErr w:type="spellEnd"/>
      <w:r>
        <w:rPr>
          <w:lang w:val="en-AU"/>
        </w:rPr>
        <w:t xml:space="preserve"> Australia 2025; Reid and Baker 2025b; Marques et al. 2014). Often, however, flight height profile data are not available in the literature. We were able to extract flight height data on less than 20% of the listed species, highlighting the need for site-collected data to assess risk as well as development of a flight height repository to better inform risk overall.</w:t>
      </w:r>
    </w:p>
    <w:p w14:paraId="74F42232" w14:textId="77777777" w:rsidR="0075180E" w:rsidRDefault="008F4B1A">
      <w:pPr>
        <w:pStyle w:val="normal1"/>
        <w:rPr>
          <w:lang w:val="en-AU"/>
        </w:rPr>
      </w:pPr>
      <w:r>
        <w:rPr>
          <w:lang w:val="en-AU"/>
        </w:rPr>
        <w:t xml:space="preserve">Without flight height data, spatial exposure can still be inferred from </w:t>
      </w:r>
      <w:proofErr w:type="gramStart"/>
      <w:r>
        <w:rPr>
          <w:lang w:val="en-AU"/>
        </w:rPr>
        <w:t>a number of</w:t>
      </w:r>
      <w:proofErr w:type="gramEnd"/>
      <w:r>
        <w:rPr>
          <w:lang w:val="en-AU"/>
        </w:rPr>
        <w:t xml:space="preserve"> traits including:</w:t>
      </w:r>
    </w:p>
    <w:p w14:paraId="7A361898" w14:textId="77777777" w:rsidR="0075180E" w:rsidRDefault="008F4B1A">
      <w:pPr>
        <w:pStyle w:val="normal1"/>
        <w:numPr>
          <w:ilvl w:val="0"/>
          <w:numId w:val="4"/>
        </w:numPr>
        <w:spacing w:after="0" w:line="360" w:lineRule="auto"/>
        <w:rPr>
          <w:lang w:val="en-AU"/>
        </w:rPr>
      </w:pPr>
      <w:r>
        <w:rPr>
          <w:b/>
          <w:bCs/>
          <w:lang w:val="en-AU"/>
        </w:rPr>
        <w:t>flight purpose</w:t>
      </w:r>
      <w:r>
        <w:rPr>
          <w:lang w:val="en-AU"/>
        </w:rPr>
        <w:t xml:space="preserve">: purpose for flight, e.g. foraging, migration, </w:t>
      </w:r>
      <w:proofErr w:type="gramStart"/>
      <w:r>
        <w:rPr>
          <w:lang w:val="en-AU"/>
        </w:rPr>
        <w:t>hunting;</w:t>
      </w:r>
      <w:proofErr w:type="gramEnd"/>
    </w:p>
    <w:p w14:paraId="72ED8C7F" w14:textId="77777777" w:rsidR="0075180E" w:rsidRDefault="008F4B1A">
      <w:pPr>
        <w:pStyle w:val="normal1"/>
        <w:numPr>
          <w:ilvl w:val="0"/>
          <w:numId w:val="4"/>
        </w:numPr>
        <w:spacing w:after="0" w:line="360" w:lineRule="auto"/>
        <w:rPr>
          <w:lang w:val="en-AU"/>
        </w:rPr>
      </w:pPr>
      <w:r>
        <w:rPr>
          <w:b/>
          <w:bCs/>
          <w:lang w:val="en-AU"/>
        </w:rPr>
        <w:t>foraging location</w:t>
      </w:r>
      <w:r>
        <w:rPr>
          <w:lang w:val="en-AU"/>
        </w:rPr>
        <w:t xml:space="preserve">: 3D foraging area, e.g. canopy, open-air, </w:t>
      </w:r>
      <w:proofErr w:type="gramStart"/>
      <w:r>
        <w:rPr>
          <w:lang w:val="en-AU"/>
        </w:rPr>
        <w:t>ground;</w:t>
      </w:r>
      <w:proofErr w:type="gramEnd"/>
    </w:p>
    <w:p w14:paraId="549E5CA9" w14:textId="77777777" w:rsidR="0075180E" w:rsidRDefault="008F4B1A">
      <w:pPr>
        <w:pStyle w:val="normal1"/>
        <w:numPr>
          <w:ilvl w:val="0"/>
          <w:numId w:val="4"/>
        </w:numPr>
        <w:spacing w:after="0" w:line="360" w:lineRule="auto"/>
        <w:rPr>
          <w:lang w:val="en-AU"/>
        </w:rPr>
      </w:pPr>
      <w:r>
        <w:rPr>
          <w:b/>
          <w:bCs/>
          <w:lang w:val="en-AU"/>
        </w:rPr>
        <w:t>preferred habitat density</w:t>
      </w:r>
      <w:r>
        <w:rPr>
          <w:lang w:val="en-AU"/>
        </w:rPr>
        <w:t xml:space="preserve">: preference for habitat categorised by density, e.g. semi-open, dense, </w:t>
      </w:r>
      <w:proofErr w:type="gramStart"/>
      <w:r>
        <w:rPr>
          <w:lang w:val="en-AU"/>
        </w:rPr>
        <w:t>open;</w:t>
      </w:r>
      <w:proofErr w:type="gramEnd"/>
    </w:p>
    <w:p w14:paraId="460EA0B2" w14:textId="77777777" w:rsidR="0075180E" w:rsidRDefault="008F4B1A">
      <w:pPr>
        <w:pStyle w:val="normal1"/>
        <w:numPr>
          <w:ilvl w:val="0"/>
          <w:numId w:val="4"/>
        </w:numPr>
        <w:spacing w:after="0" w:line="360" w:lineRule="auto"/>
        <w:rPr>
          <w:lang w:val="en-AU"/>
        </w:rPr>
      </w:pPr>
      <w:r>
        <w:rPr>
          <w:b/>
          <w:bCs/>
          <w:lang w:val="en-AU"/>
        </w:rPr>
        <w:t>primary lifestyle</w:t>
      </w:r>
      <w:r>
        <w:rPr>
          <w:lang w:val="en-AU"/>
        </w:rPr>
        <w:t xml:space="preserve">: where species spends most of its time in a vertical sense, e.g. aerial, terrestrial, </w:t>
      </w:r>
      <w:proofErr w:type="gramStart"/>
      <w:r>
        <w:rPr>
          <w:lang w:val="en-AU"/>
        </w:rPr>
        <w:t>aquatic;</w:t>
      </w:r>
      <w:proofErr w:type="gramEnd"/>
    </w:p>
    <w:p w14:paraId="4B113A81" w14:textId="77777777" w:rsidR="0075180E" w:rsidRDefault="008F4B1A">
      <w:pPr>
        <w:pStyle w:val="normal1"/>
        <w:numPr>
          <w:ilvl w:val="0"/>
          <w:numId w:val="4"/>
        </w:numPr>
        <w:spacing w:after="0" w:line="360" w:lineRule="auto"/>
        <w:rPr>
          <w:lang w:val="en-AU"/>
        </w:rPr>
      </w:pPr>
      <w:r>
        <w:rPr>
          <w:b/>
          <w:bCs/>
          <w:lang w:val="en-AU"/>
        </w:rPr>
        <w:t>habitat</w:t>
      </w:r>
      <w:r>
        <w:rPr>
          <w:lang w:val="en-AU"/>
        </w:rPr>
        <w:t xml:space="preserve">: class of habitat preferred, e.g. desert, shrubland, </w:t>
      </w:r>
      <w:proofErr w:type="gramStart"/>
      <w:r>
        <w:rPr>
          <w:lang w:val="en-AU"/>
        </w:rPr>
        <w:t>woodland;</w:t>
      </w:r>
      <w:proofErr w:type="gramEnd"/>
    </w:p>
    <w:p w14:paraId="6C8407FC" w14:textId="77777777" w:rsidR="0075180E" w:rsidRDefault="008F4B1A">
      <w:pPr>
        <w:pStyle w:val="normal1"/>
        <w:numPr>
          <w:ilvl w:val="0"/>
          <w:numId w:val="4"/>
        </w:numPr>
        <w:spacing w:after="0" w:line="360" w:lineRule="auto"/>
        <w:rPr>
          <w:lang w:val="en-AU"/>
        </w:rPr>
      </w:pPr>
      <w:r>
        <w:rPr>
          <w:b/>
          <w:bCs/>
          <w:lang w:val="en-AU"/>
        </w:rPr>
        <w:t>trophic level:</w:t>
      </w:r>
      <w:r>
        <w:rPr>
          <w:lang w:val="en-AU"/>
        </w:rPr>
        <w:t xml:space="preserve"> main diet of species from AVONET definitions, e.g. herbivore, </w:t>
      </w:r>
      <w:proofErr w:type="gramStart"/>
      <w:r>
        <w:rPr>
          <w:lang w:val="en-AU"/>
        </w:rPr>
        <w:t>carnivore;</w:t>
      </w:r>
      <w:proofErr w:type="gramEnd"/>
    </w:p>
    <w:p w14:paraId="006DDDB0" w14:textId="77777777" w:rsidR="0075180E" w:rsidRDefault="008F4B1A">
      <w:pPr>
        <w:pStyle w:val="normal1"/>
        <w:numPr>
          <w:ilvl w:val="0"/>
          <w:numId w:val="4"/>
        </w:numPr>
        <w:spacing w:after="0" w:line="360" w:lineRule="auto"/>
        <w:rPr>
          <w:lang w:val="en-AU"/>
        </w:rPr>
      </w:pPr>
      <w:r>
        <w:rPr>
          <w:b/>
          <w:bCs/>
          <w:lang w:val="en-AU"/>
        </w:rPr>
        <w:lastRenderedPageBreak/>
        <w:t>trophic niche</w:t>
      </w:r>
      <w:r>
        <w:rPr>
          <w:lang w:val="en-AU"/>
        </w:rPr>
        <w:t xml:space="preserve">: sub-level of species diet from AVONET definition, e.g. frugivore, </w:t>
      </w:r>
      <w:proofErr w:type="gramStart"/>
      <w:r>
        <w:rPr>
          <w:lang w:val="en-AU"/>
        </w:rPr>
        <w:t>invertivore;</w:t>
      </w:r>
      <w:proofErr w:type="gramEnd"/>
    </w:p>
    <w:p w14:paraId="6B6F2CF2" w14:textId="77777777" w:rsidR="0075180E" w:rsidRDefault="008F4B1A">
      <w:pPr>
        <w:pStyle w:val="normal1"/>
        <w:numPr>
          <w:ilvl w:val="0"/>
          <w:numId w:val="4"/>
        </w:numPr>
        <w:spacing w:after="0" w:line="360" w:lineRule="auto"/>
        <w:rPr>
          <w:lang w:val="en-AU"/>
        </w:rPr>
      </w:pPr>
      <w:r>
        <w:rPr>
          <w:b/>
          <w:bCs/>
          <w:lang w:val="en-AU"/>
        </w:rPr>
        <w:t>nest location</w:t>
      </w:r>
      <w:r>
        <w:rPr>
          <w:lang w:val="en-AU"/>
        </w:rPr>
        <w:t>: category of vegetation preferred for nesting, e.g. tree, ground, etc; and</w:t>
      </w:r>
    </w:p>
    <w:p w14:paraId="493C2064" w14:textId="77777777" w:rsidR="0075180E" w:rsidRDefault="008F4B1A">
      <w:pPr>
        <w:pStyle w:val="normal1"/>
        <w:numPr>
          <w:ilvl w:val="0"/>
          <w:numId w:val="4"/>
        </w:numPr>
        <w:spacing w:line="360" w:lineRule="auto"/>
        <w:rPr>
          <w:lang w:val="en-AU"/>
        </w:rPr>
      </w:pPr>
      <w:r>
        <w:rPr>
          <w:b/>
          <w:bCs/>
          <w:lang w:val="en-AU"/>
        </w:rPr>
        <w:t>nest height</w:t>
      </w:r>
      <w:r>
        <w:rPr>
          <w:lang w:val="en-AU"/>
        </w:rPr>
        <w:t>:  preferred height for nesting.</w:t>
      </w:r>
    </w:p>
    <w:p w14:paraId="737EB5BD" w14:textId="77777777" w:rsidR="0075180E" w:rsidRDefault="008F4B1A">
      <w:pPr>
        <w:pStyle w:val="normal1"/>
        <w:rPr>
          <w:lang w:val="en-AU"/>
        </w:rPr>
      </w:pPr>
      <w:r>
        <w:rPr>
          <w:lang w:val="en-AU"/>
        </w:rPr>
        <w:t xml:space="preserve">All these traits indicate where a species may occur within a site- vertically as well as horizontally. With such data, a proponent can begin to pull together a species profile of </w:t>
      </w:r>
      <w:proofErr w:type="gramStart"/>
      <w:r>
        <w:rPr>
          <w:lang w:val="en-AU"/>
        </w:rPr>
        <w:t>particular areas</w:t>
      </w:r>
      <w:proofErr w:type="gramEnd"/>
      <w:r>
        <w:rPr>
          <w:lang w:val="en-AU"/>
        </w:rPr>
        <w:t xml:space="preserve"> within a wind farm site that should be avoided for siting turbines (e.g. buffers) as well as which turbine types may be more of a risk in terms of rotor swept area and hub height.</w:t>
      </w:r>
    </w:p>
    <w:p w14:paraId="31603CAE" w14:textId="77777777" w:rsidR="0075180E" w:rsidRDefault="008F4B1A">
      <w:pPr>
        <w:pStyle w:val="normal1"/>
        <w:rPr>
          <w:lang w:val="en-AU"/>
        </w:rPr>
      </w:pPr>
      <w:r>
        <w:rPr>
          <w:lang w:val="en-AU"/>
        </w:rPr>
        <w:t>Further, to summarise vertical spatial exposure, we allocated the same height groupings as in Reid and Baker 2025a for flight heights. These groups were applied to both bat and bird species using expert elicitation to proportionally assign species to three height levels around a turbine: below rotor swept area (below 30 m), within rotor swept area (30 - 350 m) or above rotor swept area (above 350 m).</w:t>
      </w:r>
    </w:p>
    <w:p w14:paraId="22484A69" w14:textId="77777777" w:rsidR="0075180E" w:rsidRDefault="008F4B1A">
      <w:pPr>
        <w:pStyle w:val="Heading4"/>
        <w:rPr>
          <w:lang w:val="en-AU"/>
        </w:rPr>
      </w:pPr>
      <w:bookmarkStart w:id="82" w:name="_ktw9hcxth8cy"/>
      <w:bookmarkEnd w:id="82"/>
      <w:r>
        <w:rPr>
          <w:lang w:val="en-AU"/>
        </w:rPr>
        <w:t>Social behaviour</w:t>
      </w:r>
    </w:p>
    <w:p w14:paraId="1737F718" w14:textId="77777777" w:rsidR="0075180E" w:rsidRDefault="008F4B1A">
      <w:pPr>
        <w:pStyle w:val="normal1"/>
        <w:rPr>
          <w:lang w:val="en-AU"/>
        </w:rPr>
      </w:pPr>
      <w:r>
        <w:rPr>
          <w:lang w:val="en-AU"/>
        </w:rPr>
        <w:t>Social behaviour can also be linked to spatial exposure and associated risk likelihood. This is particularly relevant for certain resources that may be located across a site e.g. food and breeding areas. Species may also change social behaviour depending on time of year e.g. during migration, breeding periods or during cold weather. Social behaviour, especially flocking behaviours, have been linked to a higher number of collisions due to a reduction in awareness of surroundings (</w:t>
      </w:r>
      <w:proofErr w:type="spellStart"/>
      <w:r>
        <w:rPr>
          <w:lang w:val="en-AU"/>
        </w:rPr>
        <w:t>Drewitt</w:t>
      </w:r>
      <w:proofErr w:type="spellEnd"/>
      <w:r>
        <w:rPr>
          <w:lang w:val="en-AU"/>
        </w:rPr>
        <w:t xml:space="preserve"> and Langston 2008; Marques et al. 2014).</w:t>
      </w:r>
    </w:p>
    <w:p w14:paraId="31F4A3CF" w14:textId="77777777" w:rsidR="0075180E" w:rsidRDefault="008F4B1A">
      <w:pPr>
        <w:pStyle w:val="normal1"/>
        <w:rPr>
          <w:lang w:val="en-AU"/>
        </w:rPr>
      </w:pPr>
      <w:r>
        <w:rPr>
          <w:lang w:val="en-AU"/>
        </w:rPr>
        <w:t>We used the following groups to categorise social behaviour:</w:t>
      </w:r>
    </w:p>
    <w:p w14:paraId="44A36539" w14:textId="77777777" w:rsidR="0075180E" w:rsidRDefault="008F4B1A">
      <w:pPr>
        <w:pStyle w:val="normal1"/>
        <w:numPr>
          <w:ilvl w:val="0"/>
          <w:numId w:val="3"/>
        </w:numPr>
        <w:spacing w:after="0" w:line="360" w:lineRule="auto"/>
        <w:rPr>
          <w:lang w:val="en-AU"/>
        </w:rPr>
      </w:pPr>
      <w:r>
        <w:rPr>
          <w:lang w:val="en-AU"/>
        </w:rPr>
        <w:t>Flock - more than 10 individuals</w:t>
      </w:r>
    </w:p>
    <w:p w14:paraId="45617016" w14:textId="77777777" w:rsidR="0075180E" w:rsidRDefault="008F4B1A">
      <w:pPr>
        <w:pStyle w:val="normal1"/>
        <w:numPr>
          <w:ilvl w:val="0"/>
          <w:numId w:val="3"/>
        </w:numPr>
        <w:spacing w:after="0" w:line="360" w:lineRule="auto"/>
        <w:rPr>
          <w:lang w:val="en-AU"/>
        </w:rPr>
      </w:pPr>
      <w:r>
        <w:rPr>
          <w:lang w:val="en-AU"/>
        </w:rPr>
        <w:t>Small groups - less than or equal to 10 individuals</w:t>
      </w:r>
    </w:p>
    <w:p w14:paraId="5F32CA34" w14:textId="77777777" w:rsidR="0075180E" w:rsidRDefault="008F4B1A">
      <w:pPr>
        <w:pStyle w:val="normal1"/>
        <w:numPr>
          <w:ilvl w:val="0"/>
          <w:numId w:val="3"/>
        </w:numPr>
        <w:spacing w:after="0" w:line="360" w:lineRule="auto"/>
        <w:rPr>
          <w:lang w:val="en-AU"/>
        </w:rPr>
      </w:pPr>
      <w:r>
        <w:rPr>
          <w:lang w:val="en-AU"/>
        </w:rPr>
        <w:t>Pairs - two individuals</w:t>
      </w:r>
    </w:p>
    <w:p w14:paraId="2A53DE87" w14:textId="77777777" w:rsidR="0075180E" w:rsidRDefault="008F4B1A">
      <w:pPr>
        <w:pStyle w:val="normal1"/>
        <w:numPr>
          <w:ilvl w:val="0"/>
          <w:numId w:val="3"/>
        </w:numPr>
        <w:spacing w:line="360" w:lineRule="auto"/>
        <w:rPr>
          <w:lang w:val="en-AU"/>
        </w:rPr>
      </w:pPr>
      <w:r>
        <w:rPr>
          <w:lang w:val="en-AU"/>
        </w:rPr>
        <w:t>Solitary - one individual</w:t>
      </w:r>
    </w:p>
    <w:p w14:paraId="3AACCD60" w14:textId="77777777" w:rsidR="0075180E" w:rsidRDefault="008F4B1A">
      <w:pPr>
        <w:pStyle w:val="Heading4"/>
        <w:rPr>
          <w:lang w:val="en-AU"/>
        </w:rPr>
      </w:pPr>
      <w:bookmarkStart w:id="83" w:name="_3v6ofewcovzh"/>
      <w:bookmarkEnd w:id="83"/>
      <w:r>
        <w:rPr>
          <w:lang w:val="en-AU"/>
        </w:rPr>
        <w:t>Landform</w:t>
      </w:r>
    </w:p>
    <w:p w14:paraId="1A381A0B" w14:textId="77777777" w:rsidR="0075180E" w:rsidRDefault="008F4B1A">
      <w:pPr>
        <w:pStyle w:val="normal1"/>
        <w:rPr>
          <w:lang w:val="en-AU"/>
        </w:rPr>
      </w:pPr>
      <w:r>
        <w:rPr>
          <w:lang w:val="en-AU"/>
        </w:rPr>
        <w:t>Different species may use airspace depending on how the landscape is arranged in terms of topography. Limited data are available based on species landform preferences, but there is some evidence particularly for raptor species and the white-throated needletail (</w:t>
      </w:r>
      <w:proofErr w:type="spellStart"/>
      <w:r>
        <w:rPr>
          <w:i/>
          <w:iCs/>
          <w:lang w:val="en-AU"/>
        </w:rPr>
        <w:t>Hirundapus</w:t>
      </w:r>
      <w:proofErr w:type="spellEnd"/>
      <w:r>
        <w:rPr>
          <w:i/>
          <w:iCs/>
          <w:lang w:val="en-AU"/>
        </w:rPr>
        <w:t xml:space="preserve"> </w:t>
      </w:r>
      <w:proofErr w:type="spellStart"/>
      <w:r>
        <w:rPr>
          <w:i/>
          <w:iCs/>
          <w:lang w:val="en-AU"/>
        </w:rPr>
        <w:t>caudacutus</w:t>
      </w:r>
      <w:proofErr w:type="spellEnd"/>
      <w:r>
        <w:rPr>
          <w:lang w:val="en-AU"/>
        </w:rPr>
        <w:t>) that prefer updraughts contained within ridgelines to gain altitude (Vignali et al. 2022) (</w:t>
      </w:r>
      <w:proofErr w:type="spellStart"/>
      <w:r>
        <w:rPr>
          <w:lang w:val="en-AU"/>
        </w:rPr>
        <w:t>Tarburton</w:t>
      </w:r>
      <w:proofErr w:type="spellEnd"/>
      <w:r>
        <w:rPr>
          <w:lang w:val="en-AU"/>
        </w:rPr>
        <w:t xml:space="preserve"> 2021).</w:t>
      </w:r>
    </w:p>
    <w:p w14:paraId="667DF1BA" w14:textId="77777777" w:rsidR="0075180E" w:rsidRDefault="008F4B1A">
      <w:pPr>
        <w:pStyle w:val="normal1"/>
        <w:rPr>
          <w:lang w:val="en-AU"/>
        </w:rPr>
      </w:pPr>
      <w:r>
        <w:rPr>
          <w:lang w:val="en-AU"/>
        </w:rPr>
        <w:t xml:space="preserve">This also coincides with preferences for wind farms to be sited on ridgelines to maximise wind energy generation. Other species may prefer different landforms, such as wet areas including </w:t>
      </w:r>
      <w:r>
        <w:rPr>
          <w:lang w:val="en-AU"/>
        </w:rPr>
        <w:lastRenderedPageBreak/>
        <w:t>wetlands, or more protected landforms like gullies. While, generally, wind turbines are unlikely to be directly sited in wetland or gullies, where species are likely to occur can inform how they may move through and/or around a wind farm site. Data were extracted from sources referencing topography and elevation data.</w:t>
      </w:r>
    </w:p>
    <w:p w14:paraId="3510AD34" w14:textId="77777777" w:rsidR="0075180E" w:rsidRDefault="008F4B1A">
      <w:pPr>
        <w:pStyle w:val="Heading3"/>
        <w:rPr>
          <w:lang w:val="en-AU"/>
        </w:rPr>
      </w:pPr>
      <w:bookmarkStart w:id="84" w:name="_kot4dlhco5rj"/>
      <w:bookmarkEnd w:id="84"/>
      <w:r>
        <w:rPr>
          <w:lang w:val="en-AU"/>
        </w:rPr>
        <w:t>Temporal exposure</w:t>
      </w:r>
    </w:p>
    <w:p w14:paraId="77DEAC95" w14:textId="77777777" w:rsidR="0075180E" w:rsidRDefault="008F4B1A">
      <w:pPr>
        <w:pStyle w:val="normal1"/>
        <w:rPr>
          <w:lang w:val="en-AU"/>
        </w:rPr>
      </w:pPr>
      <w:r>
        <w:rPr>
          <w:lang w:val="en-AU"/>
        </w:rPr>
        <w:t>A bird's temporal exposure refers to how long it spends on site across two temporal scales: daily and seasonal or yearly. While some aspects are relatively well understood, e.g. if a species is migratory or nocturnal, the timing of where and when a species migrates remains difficult to ascertain specifically for many species, reinforcing that local records in relation to the proposed wind farm are imperative to understand risk.</w:t>
      </w:r>
    </w:p>
    <w:p w14:paraId="1C3E4CD0" w14:textId="77777777" w:rsidR="0075180E" w:rsidRDefault="008F4B1A">
      <w:pPr>
        <w:pStyle w:val="Heading4"/>
        <w:rPr>
          <w:lang w:val="en-AU"/>
        </w:rPr>
      </w:pPr>
      <w:bookmarkStart w:id="85" w:name="_uczcbucnjubi"/>
      <w:bookmarkEnd w:id="85"/>
      <w:r>
        <w:rPr>
          <w:lang w:val="en-AU"/>
        </w:rPr>
        <w:t>Daily activity</w:t>
      </w:r>
    </w:p>
    <w:p w14:paraId="2DBDB948" w14:textId="77777777" w:rsidR="0075180E" w:rsidRDefault="008F4B1A">
      <w:pPr>
        <w:pStyle w:val="normal1"/>
        <w:rPr>
          <w:lang w:val="en-AU"/>
        </w:rPr>
      </w:pPr>
      <w:r>
        <w:rPr>
          <w:lang w:val="en-AU"/>
        </w:rPr>
        <w:t xml:space="preserve">The day-night cycle is a strong driver of species activity. Depending on a particular behaviour, e.g. foraging, commuting, breeding or migration, a species will be active at different times. </w:t>
      </w:r>
    </w:p>
    <w:p w14:paraId="2E750572" w14:textId="77777777" w:rsidR="0075180E" w:rsidRDefault="008F4B1A">
      <w:pPr>
        <w:pStyle w:val="normal1"/>
        <w:rPr>
          <w:lang w:val="en-AU"/>
        </w:rPr>
      </w:pPr>
      <w:r>
        <w:rPr>
          <w:lang w:val="en-AU"/>
        </w:rPr>
        <w:t xml:space="preserve">For many bat species, peak activity is throughout the night (but see </w:t>
      </w:r>
      <w:r>
        <w:rPr>
          <w:i/>
          <w:iCs/>
          <w:lang w:val="en-AU"/>
        </w:rPr>
        <w:t xml:space="preserve">Pteropus natalis </w:t>
      </w:r>
      <w:r>
        <w:rPr>
          <w:lang w:val="en-AU"/>
        </w:rPr>
        <w:t xml:space="preserve">that is active not only at night but also during part of the day). Birds, on the other hand, are more variable, with a range of species active during the day, dawn and dusk times (crepuscular) and at night. </w:t>
      </w:r>
    </w:p>
    <w:p w14:paraId="47D8F8D9" w14:textId="77777777" w:rsidR="0075180E" w:rsidRDefault="008F4B1A">
      <w:pPr>
        <w:pStyle w:val="normal1"/>
        <w:rPr>
          <w:lang w:val="en-AU"/>
        </w:rPr>
      </w:pPr>
      <w:r>
        <w:rPr>
          <w:lang w:val="en-AU"/>
        </w:rPr>
        <w:t>These daily activity behaviours may also change throughout the year depending on migration and breeding. How the timing of behaviours influences collision risk is still unconfirmed but remains an important data source to know when surveying effort should be applied.</w:t>
      </w:r>
    </w:p>
    <w:p w14:paraId="71F78D5C" w14:textId="77777777" w:rsidR="0075180E" w:rsidRDefault="008F4B1A">
      <w:pPr>
        <w:pStyle w:val="normal1"/>
        <w:rPr>
          <w:lang w:val="en-AU"/>
        </w:rPr>
      </w:pPr>
      <w:r>
        <w:rPr>
          <w:lang w:val="en-AU"/>
        </w:rPr>
        <w:t>Besides natural behaviours, there may also be aspects of the wind farm site itself that can affect when and where a species flies depending on time of day e.g. turbine lighting may attract species to improve visibility and increase feeding opportunities throughout the night.</w:t>
      </w:r>
    </w:p>
    <w:p w14:paraId="04271CDB" w14:textId="77777777" w:rsidR="0075180E" w:rsidRDefault="008F4B1A">
      <w:pPr>
        <w:pStyle w:val="normal1"/>
        <w:rPr>
          <w:lang w:val="en-AU"/>
        </w:rPr>
      </w:pPr>
      <w:r>
        <w:rPr>
          <w:lang w:val="en-AU"/>
        </w:rPr>
        <w:t>We use the following groups for daily activity:</w:t>
      </w:r>
    </w:p>
    <w:p w14:paraId="735B9153" w14:textId="77777777" w:rsidR="0075180E" w:rsidRDefault="008F4B1A">
      <w:pPr>
        <w:pStyle w:val="normal1"/>
        <w:numPr>
          <w:ilvl w:val="0"/>
          <w:numId w:val="2"/>
        </w:numPr>
        <w:spacing w:after="0" w:line="360" w:lineRule="auto"/>
        <w:rPr>
          <w:lang w:val="en-AU"/>
        </w:rPr>
      </w:pPr>
      <w:r>
        <w:rPr>
          <w:lang w:val="en-AU"/>
        </w:rPr>
        <w:t>Nocturnal</w:t>
      </w:r>
    </w:p>
    <w:p w14:paraId="060135EA" w14:textId="77777777" w:rsidR="0075180E" w:rsidRDefault="008F4B1A">
      <w:pPr>
        <w:pStyle w:val="normal1"/>
        <w:numPr>
          <w:ilvl w:val="0"/>
          <w:numId w:val="2"/>
        </w:numPr>
        <w:spacing w:after="0" w:line="360" w:lineRule="auto"/>
        <w:rPr>
          <w:lang w:val="en-AU"/>
        </w:rPr>
      </w:pPr>
      <w:r>
        <w:rPr>
          <w:lang w:val="en-AU"/>
        </w:rPr>
        <w:t>Crepuscular</w:t>
      </w:r>
    </w:p>
    <w:p w14:paraId="36811690" w14:textId="77777777" w:rsidR="0075180E" w:rsidRDefault="008F4B1A">
      <w:pPr>
        <w:pStyle w:val="normal1"/>
        <w:numPr>
          <w:ilvl w:val="0"/>
          <w:numId w:val="2"/>
        </w:numPr>
        <w:spacing w:line="360" w:lineRule="auto"/>
        <w:rPr>
          <w:lang w:val="en-AU"/>
        </w:rPr>
      </w:pPr>
      <w:r>
        <w:rPr>
          <w:lang w:val="en-AU"/>
        </w:rPr>
        <w:t>Diurnal</w:t>
      </w:r>
    </w:p>
    <w:p w14:paraId="7F7FF0B4" w14:textId="77777777" w:rsidR="0075180E" w:rsidRDefault="008F4B1A">
      <w:pPr>
        <w:pStyle w:val="Heading4"/>
        <w:rPr>
          <w:lang w:val="en-AU"/>
        </w:rPr>
      </w:pPr>
      <w:bookmarkStart w:id="86" w:name="_gzkr7311s7mj"/>
      <w:bookmarkEnd w:id="86"/>
      <w:r>
        <w:rPr>
          <w:lang w:val="en-AU"/>
        </w:rPr>
        <w:t>Seasonal activity</w:t>
      </w:r>
    </w:p>
    <w:p w14:paraId="01214A83" w14:textId="77777777" w:rsidR="0075180E" w:rsidRDefault="008F4B1A">
      <w:pPr>
        <w:pStyle w:val="normal1"/>
        <w:rPr>
          <w:lang w:val="en-AU"/>
        </w:rPr>
      </w:pPr>
      <w:r>
        <w:rPr>
          <w:lang w:val="en-AU"/>
        </w:rPr>
        <w:t xml:space="preserve">Beyond daily activity, species exposure differs throughout the year due to migration. Birds and bats migrate for a range of reasons, including breeding and resource acquisition. The distances covered, direction and timing of migration is highly species-specific and often weather dependent. </w:t>
      </w:r>
    </w:p>
    <w:p w14:paraId="44F3EA7B" w14:textId="77777777" w:rsidR="0075180E" w:rsidRDefault="008F4B1A">
      <w:pPr>
        <w:pStyle w:val="normal1"/>
        <w:rPr>
          <w:lang w:val="en-AU"/>
        </w:rPr>
      </w:pPr>
      <w:r>
        <w:rPr>
          <w:lang w:val="en-AU"/>
        </w:rPr>
        <w:lastRenderedPageBreak/>
        <w:t xml:space="preserve">Species that migrate have been associated with higher collision risk likelihood (Aschwanden et al. 2018; Thaxter et al. 2017) given the large distances covered while migrating, leading to a higher potential of exposure to wind farm sites (i.e. the further a species flies the more likely they are to </w:t>
      </w:r>
      <w:proofErr w:type="gramStart"/>
      <w:r>
        <w:rPr>
          <w:lang w:val="en-AU"/>
        </w:rPr>
        <w:t>come into contact with</w:t>
      </w:r>
      <w:proofErr w:type="gramEnd"/>
      <w:r>
        <w:rPr>
          <w:lang w:val="en-AU"/>
        </w:rPr>
        <w:t xml:space="preserve"> one or more wind farms). We extracted data for species in relation to presence of migration, migration period, breeding period, non-breeding period and migratory distance to better understand seasonal activity.</w:t>
      </w:r>
    </w:p>
    <w:p w14:paraId="5891BC68" w14:textId="77777777" w:rsidR="0075180E" w:rsidRDefault="008F4B1A">
      <w:pPr>
        <w:pStyle w:val="normal1"/>
        <w:rPr>
          <w:lang w:val="en-AU"/>
        </w:rPr>
      </w:pPr>
      <w:r>
        <w:rPr>
          <w:lang w:val="en-AU"/>
        </w:rPr>
        <w:t>We use the following groups to categorise seasonal activity:</w:t>
      </w:r>
    </w:p>
    <w:p w14:paraId="632FA17C" w14:textId="77777777" w:rsidR="0075180E" w:rsidRDefault="008F4B1A">
      <w:pPr>
        <w:pStyle w:val="normal1"/>
        <w:numPr>
          <w:ilvl w:val="0"/>
          <w:numId w:val="1"/>
        </w:numPr>
        <w:rPr>
          <w:lang w:val="en-AU"/>
        </w:rPr>
      </w:pPr>
      <w:r>
        <w:rPr>
          <w:lang w:val="en-AU"/>
        </w:rPr>
        <w:t>Migratory - species that move from one place to another based on different cues e.g. seasonal</w:t>
      </w:r>
    </w:p>
    <w:p w14:paraId="5C486611" w14:textId="77777777" w:rsidR="0075180E" w:rsidRDefault="008F4B1A">
      <w:pPr>
        <w:pStyle w:val="normal1"/>
        <w:numPr>
          <w:ilvl w:val="0"/>
          <w:numId w:val="1"/>
        </w:numPr>
        <w:rPr>
          <w:lang w:val="en-AU"/>
        </w:rPr>
      </w:pPr>
      <w:r>
        <w:rPr>
          <w:lang w:val="en-AU"/>
        </w:rPr>
        <w:t>Partially migratory - species where some individuals migrate where others remain sedentary</w:t>
      </w:r>
    </w:p>
    <w:p w14:paraId="666FC95E" w14:textId="77777777" w:rsidR="0075180E" w:rsidRDefault="008F4B1A">
      <w:pPr>
        <w:pStyle w:val="normal1"/>
        <w:numPr>
          <w:ilvl w:val="0"/>
          <w:numId w:val="1"/>
        </w:numPr>
        <w:rPr>
          <w:lang w:val="en-AU"/>
        </w:rPr>
      </w:pPr>
      <w:r>
        <w:rPr>
          <w:lang w:val="en-AU"/>
        </w:rPr>
        <w:t>Sedentary - species that are resident to a certain area, present year round</w:t>
      </w:r>
    </w:p>
    <w:p w14:paraId="2507F4D2" w14:textId="77777777" w:rsidR="0075180E" w:rsidRDefault="008F4B1A">
      <w:pPr>
        <w:pStyle w:val="Heading4"/>
        <w:rPr>
          <w:lang w:val="en-AU"/>
        </w:rPr>
      </w:pPr>
      <w:bookmarkStart w:id="87" w:name="_g5qkysrzjwz6"/>
      <w:bookmarkEnd w:id="87"/>
      <w:r>
        <w:rPr>
          <w:lang w:val="en-AU"/>
        </w:rPr>
        <w:t>Overall time flying</w:t>
      </w:r>
    </w:p>
    <w:p w14:paraId="56D783C0" w14:textId="77777777" w:rsidR="0075180E" w:rsidRDefault="008F4B1A">
      <w:pPr>
        <w:pStyle w:val="normal1"/>
        <w:rPr>
          <w:lang w:val="en-AU"/>
        </w:rPr>
      </w:pPr>
      <w:r>
        <w:rPr>
          <w:lang w:val="en-AU"/>
        </w:rPr>
        <w:t>In addition to this, we extracted data from an index created by Reid and Baker 2025b on the amount of time across a year a bird species is flying. We have included this within the metadata for completeness but highlight data were not available for bats and ~50% of the bird species contained within our species list.</w:t>
      </w:r>
    </w:p>
    <w:p w14:paraId="79375A29" w14:textId="77777777" w:rsidR="0075180E" w:rsidRDefault="008F4B1A">
      <w:pPr>
        <w:pStyle w:val="Heading4"/>
        <w:rPr>
          <w:lang w:val="en-AU"/>
        </w:rPr>
      </w:pPr>
      <w:bookmarkStart w:id="88" w:name="_jipyypfjiapn"/>
      <w:bookmarkEnd w:id="88"/>
      <w:r>
        <w:rPr>
          <w:lang w:val="en-AU"/>
        </w:rPr>
        <w:t>Weather conditions</w:t>
      </w:r>
    </w:p>
    <w:p w14:paraId="61FCA9BB" w14:textId="77777777" w:rsidR="0075180E" w:rsidRDefault="008F4B1A">
      <w:pPr>
        <w:pStyle w:val="normal1"/>
        <w:rPr>
          <w:lang w:val="en-AU"/>
        </w:rPr>
      </w:pPr>
      <w:r>
        <w:rPr>
          <w:lang w:val="en-AU"/>
        </w:rPr>
        <w:t>Species may behave differently in different weather conditions. For example, bats are known to avoid rainy conditions not because of disorientation or inability to detect prey but due to increased foraging energy costs (Voigt et al. 2011). Additionally, species such as the white-throated needletail are known to move ahead of weather fronts which affects their timing of exposure to turbine collision. However, for most species we researched, available weather data related mainly to breeding timing and did not provide strong insights into collision risk.</w:t>
      </w:r>
    </w:p>
    <w:p w14:paraId="76EF4070" w14:textId="77777777" w:rsidR="0075180E" w:rsidRDefault="008F4B1A">
      <w:pPr>
        <w:pStyle w:val="Heading3"/>
        <w:rPr>
          <w:lang w:val="en-AU"/>
        </w:rPr>
      </w:pPr>
      <w:bookmarkStart w:id="89" w:name="_lbu3bwvgx549"/>
      <w:bookmarkEnd w:id="89"/>
      <w:r>
        <w:rPr>
          <w:lang w:val="en-AU"/>
        </w:rPr>
        <w:t>Flight behaviour</w:t>
      </w:r>
    </w:p>
    <w:p w14:paraId="7F98B170" w14:textId="77777777" w:rsidR="0075180E" w:rsidRDefault="008F4B1A">
      <w:pPr>
        <w:pStyle w:val="Heading4"/>
        <w:rPr>
          <w:lang w:val="en-AU"/>
        </w:rPr>
      </w:pPr>
      <w:bookmarkStart w:id="90" w:name="_gc3wkq948v25"/>
      <w:bookmarkEnd w:id="90"/>
      <w:r>
        <w:rPr>
          <w:lang w:val="en-AU"/>
        </w:rPr>
        <w:t>Flight speed</w:t>
      </w:r>
    </w:p>
    <w:p w14:paraId="596C414C" w14:textId="77777777" w:rsidR="0075180E" w:rsidRDefault="008F4B1A">
      <w:pPr>
        <w:pStyle w:val="normal1"/>
        <w:rPr>
          <w:lang w:val="en-AU"/>
        </w:rPr>
      </w:pPr>
      <w:r>
        <w:rPr>
          <w:lang w:val="en-AU"/>
        </w:rPr>
        <w:t xml:space="preserve">Flight speed measures the rate at which species can cover </w:t>
      </w:r>
      <w:proofErr w:type="gramStart"/>
      <w:r>
        <w:rPr>
          <w:lang w:val="en-AU"/>
        </w:rPr>
        <w:t>particular distances</w:t>
      </w:r>
      <w:proofErr w:type="gramEnd"/>
      <w:r>
        <w:rPr>
          <w:lang w:val="en-AU"/>
        </w:rPr>
        <w:t xml:space="preserve"> over time. Flight speed is often hard to measure and can be highly variable depending on flight purpose (e.g. foraging, commuting) and flight stage (e.g. take-off, landing). With improving technology, e.g. </w:t>
      </w:r>
      <w:proofErr w:type="spellStart"/>
      <w:r>
        <w:rPr>
          <w:lang w:val="en-AU"/>
        </w:rPr>
        <w:t>biologgers</w:t>
      </w:r>
      <w:proofErr w:type="spellEnd"/>
      <w:r>
        <w:rPr>
          <w:lang w:val="en-AU"/>
        </w:rPr>
        <w:t xml:space="preserve"> and radar technology, flight speed data have become more widely available. Still, these datasets are often only from a small subset of individuals and still not available for all species. </w:t>
      </w:r>
    </w:p>
    <w:p w14:paraId="38F8052D" w14:textId="77777777" w:rsidR="0075180E" w:rsidRDefault="008F4B1A">
      <w:pPr>
        <w:pStyle w:val="normal1"/>
        <w:rPr>
          <w:lang w:val="en-AU"/>
        </w:rPr>
      </w:pPr>
      <w:r>
        <w:rPr>
          <w:lang w:val="en-AU"/>
        </w:rPr>
        <w:lastRenderedPageBreak/>
        <w:t xml:space="preserve">Therefore, collating existing data on flight speeds remains difficult. Without flight speeds, flight behaviour can still be inferred from </w:t>
      </w:r>
      <w:proofErr w:type="gramStart"/>
      <w:r>
        <w:rPr>
          <w:lang w:val="en-AU"/>
        </w:rPr>
        <w:t>a number of</w:t>
      </w:r>
      <w:proofErr w:type="gramEnd"/>
      <w:r>
        <w:rPr>
          <w:lang w:val="en-AU"/>
        </w:rPr>
        <w:t xml:space="preserve"> traits including flight type and call frequency (in the case of some bats). Avoidance behaviours can also be informative, but data are largely unavailable.</w:t>
      </w:r>
    </w:p>
    <w:p w14:paraId="55C46652" w14:textId="77777777" w:rsidR="0075180E" w:rsidRDefault="008F4B1A">
      <w:pPr>
        <w:pStyle w:val="Heading4"/>
        <w:rPr>
          <w:lang w:val="en-AU"/>
        </w:rPr>
      </w:pPr>
      <w:bookmarkStart w:id="91" w:name="_70yt3yj34og6"/>
      <w:bookmarkEnd w:id="91"/>
      <w:r>
        <w:rPr>
          <w:lang w:val="en-AU"/>
        </w:rPr>
        <w:t>Flight type</w:t>
      </w:r>
    </w:p>
    <w:p w14:paraId="087C7A48" w14:textId="77777777" w:rsidR="0075180E" w:rsidRDefault="008F4B1A">
      <w:pPr>
        <w:pStyle w:val="normal1"/>
        <w:rPr>
          <w:lang w:val="en-AU"/>
        </w:rPr>
      </w:pPr>
      <w:r>
        <w:rPr>
          <w:lang w:val="en-AU"/>
        </w:rPr>
        <w:t>Flapping versus soaring flight can help infer the vertical space a species is likely to occupy. Soaring behaviours are usually associated with greater heights, as species take advantage of thermal updrafts to fly efficiently when migrating/commuting or foraging.</w:t>
      </w:r>
    </w:p>
    <w:p w14:paraId="5A7E273D" w14:textId="77777777" w:rsidR="0075180E" w:rsidRDefault="008F4B1A">
      <w:pPr>
        <w:pStyle w:val="Heading4"/>
        <w:rPr>
          <w:lang w:val="en-AU"/>
        </w:rPr>
      </w:pPr>
      <w:bookmarkStart w:id="92" w:name="_rdz1183bxgi6"/>
      <w:bookmarkEnd w:id="92"/>
      <w:r>
        <w:rPr>
          <w:lang w:val="en-AU"/>
        </w:rPr>
        <w:t>Avoidance behaviours</w:t>
      </w:r>
    </w:p>
    <w:p w14:paraId="5C191E53" w14:textId="77777777" w:rsidR="0075180E" w:rsidRDefault="008F4B1A">
      <w:pPr>
        <w:pStyle w:val="normal1"/>
        <w:rPr>
          <w:lang w:val="en-AU"/>
        </w:rPr>
      </w:pPr>
      <w:r>
        <w:rPr>
          <w:lang w:val="en-AU"/>
        </w:rPr>
        <w:t xml:space="preserve">Avoidance behaviours refer to </w:t>
      </w:r>
      <w:bookmarkStart w:id="93" w:name="_Int_jIGiqNXv"/>
      <w:proofErr w:type="gramStart"/>
      <w:r>
        <w:rPr>
          <w:lang w:val="en-AU"/>
        </w:rPr>
        <w:t>actions</w:t>
      </w:r>
      <w:bookmarkEnd w:id="93"/>
      <w:proofErr w:type="gramEnd"/>
      <w:r>
        <w:rPr>
          <w:lang w:val="en-AU"/>
        </w:rPr>
        <w:t xml:space="preserve"> species use to evade entire wind farms (macro scale), individual turbines (</w:t>
      </w:r>
      <w:proofErr w:type="spellStart"/>
      <w:r>
        <w:rPr>
          <w:lang w:val="en-AU"/>
        </w:rPr>
        <w:t>meso</w:t>
      </w:r>
      <w:proofErr w:type="spellEnd"/>
      <w:r>
        <w:rPr>
          <w:lang w:val="en-AU"/>
        </w:rPr>
        <w:t xml:space="preserve"> scale) and turbine blades (micro scale). In quantitative modelling, avoidance rate is a highly influential parameter, but precise values remain scarce, with only a few species having available data on wind farm avoidance (Hull and Muir 2013).</w:t>
      </w:r>
    </w:p>
    <w:p w14:paraId="19EF7218" w14:textId="77777777" w:rsidR="0075180E" w:rsidRDefault="008F4B1A">
      <w:pPr>
        <w:pStyle w:val="Heading4"/>
        <w:rPr>
          <w:lang w:val="en-AU"/>
        </w:rPr>
      </w:pPr>
      <w:bookmarkStart w:id="94" w:name="_9soyc11t7bok"/>
      <w:bookmarkEnd w:id="94"/>
      <w:r>
        <w:rPr>
          <w:lang w:val="en-AU"/>
        </w:rPr>
        <w:t>Echolocation characteristics</w:t>
      </w:r>
    </w:p>
    <w:p w14:paraId="0E33FB00" w14:textId="77777777" w:rsidR="0075180E" w:rsidRDefault="008F4B1A">
      <w:pPr>
        <w:pStyle w:val="normal1"/>
        <w:rPr>
          <w:lang w:val="en-AU"/>
        </w:rPr>
      </w:pPr>
      <w:r>
        <w:rPr>
          <w:lang w:val="en-AU"/>
        </w:rPr>
        <w:t xml:space="preserve">Echolocation is a key sensory mechanism that allows </w:t>
      </w:r>
      <w:proofErr w:type="gramStart"/>
      <w:r>
        <w:rPr>
          <w:lang w:val="en-AU"/>
        </w:rPr>
        <w:t>particular bats</w:t>
      </w:r>
      <w:proofErr w:type="gramEnd"/>
      <w:r>
        <w:rPr>
          <w:lang w:val="en-AU"/>
        </w:rPr>
        <w:t xml:space="preserve"> to navigate, forage, and avoid obstacles when flying. Understanding the characteristics that contribute to echolocation including call frequency and call shape is important for assessing how bats perceive their surroundings and how they navigate through cluttered and open spaces.</w:t>
      </w:r>
    </w:p>
    <w:p w14:paraId="24C9395D" w14:textId="77777777" w:rsidR="0075180E" w:rsidRDefault="008F4B1A">
      <w:pPr>
        <w:pStyle w:val="Heading3"/>
        <w:rPr>
          <w:lang w:val="en-AU"/>
        </w:rPr>
      </w:pPr>
      <w:bookmarkStart w:id="95" w:name="_7fytkvruhx8o"/>
      <w:bookmarkEnd w:id="95"/>
      <w:r>
        <w:rPr>
          <w:lang w:val="en-AU"/>
        </w:rPr>
        <w:t>Species morphology</w:t>
      </w:r>
    </w:p>
    <w:p w14:paraId="441AC786" w14:textId="77777777" w:rsidR="0075180E" w:rsidRDefault="008F4B1A">
      <w:pPr>
        <w:pStyle w:val="normal1"/>
        <w:rPr>
          <w:lang w:val="en-AU"/>
        </w:rPr>
      </w:pPr>
      <w:r>
        <w:rPr>
          <w:lang w:val="en-AU"/>
        </w:rPr>
        <w:t>Some aspects of morphology are important in determining how a species can physically move through the air. While these traits do not directly indicate the likelihood of collision risk, they are essential inputs for many quantitative collision risk models. Although many of these morphological values—such as body mass, wing length, wingspan, hand-wing index, and wing loading—are widely available, the data are not easily consolidated from a single source. To address this, we compiled these values into our species trait repository.</w:t>
      </w:r>
    </w:p>
    <w:p w14:paraId="0818D7FB" w14:textId="77777777" w:rsidR="0075180E" w:rsidRDefault="008F4B1A">
      <w:pPr>
        <w:pStyle w:val="Heading3"/>
        <w:rPr>
          <w:lang w:val="en-AU"/>
        </w:rPr>
      </w:pPr>
      <w:bookmarkStart w:id="96" w:name="_fr1t2ustft25"/>
      <w:bookmarkEnd w:id="96"/>
      <w:r>
        <w:rPr>
          <w:lang w:val="en-AU"/>
        </w:rPr>
        <w:t>Evidence of collision</w:t>
      </w:r>
    </w:p>
    <w:p w14:paraId="5FA02540" w14:textId="77777777" w:rsidR="0075180E" w:rsidRDefault="008F4B1A">
      <w:pPr>
        <w:pStyle w:val="normal1"/>
        <w:rPr>
          <w:lang w:val="en-AU"/>
        </w:rPr>
      </w:pPr>
      <w:r>
        <w:rPr>
          <w:lang w:val="en-AU"/>
        </w:rPr>
        <w:t>To integrate our risk traits, we compiled data on recorded species collisions at wind farms. We extracted data based on post-construction carcasses at operating wind farms at the family level to provide a consequence aspect to our data repository. This is important as some species considered at high risk may never collide, while others collide frequently. As such, evidence of collision provides the user with a valuable measure of realised risk, rather than only potential risk (likelihood).</w:t>
      </w:r>
    </w:p>
    <w:p w14:paraId="0315FB20" w14:textId="171C8D56" w:rsidR="0075180E" w:rsidRDefault="0075180E" w:rsidP="271A6B99">
      <w:pPr>
        <w:pStyle w:val="Heading1"/>
        <w:rPr>
          <w:lang w:val="en-AU"/>
        </w:rPr>
      </w:pPr>
    </w:p>
    <w:p w14:paraId="5AF90B8E" w14:textId="23A95573" w:rsidR="0075180E" w:rsidRDefault="008F4B1A" w:rsidP="271A6B99">
      <w:pPr>
        <w:pStyle w:val="normal1"/>
      </w:pPr>
      <w:r>
        <w:br w:type="page"/>
      </w:r>
    </w:p>
    <w:p w14:paraId="071E4E01" w14:textId="35B5418D" w:rsidR="0075180E" w:rsidRDefault="271A6B99">
      <w:pPr>
        <w:pStyle w:val="Heading1"/>
        <w:rPr>
          <w:lang w:val="en-AU"/>
        </w:rPr>
      </w:pPr>
      <w:bookmarkStart w:id="97" w:name="_5nw4kk5d5s13"/>
      <w:bookmarkStart w:id="98" w:name="_Toc115302714"/>
      <w:bookmarkEnd w:id="97"/>
      <w:r w:rsidRPr="271A6B99">
        <w:rPr>
          <w:lang w:val="en-AU"/>
        </w:rPr>
        <w:lastRenderedPageBreak/>
        <w:t>References</w:t>
      </w:r>
      <w:bookmarkEnd w:id="98"/>
    </w:p>
    <w:p w14:paraId="2F41F064" w14:textId="77777777" w:rsidR="0075180E" w:rsidRDefault="008F4B1A">
      <w:pPr>
        <w:pStyle w:val="normal1"/>
        <w:spacing w:after="240" w:line="240" w:lineRule="auto"/>
        <w:ind w:left="720"/>
        <w:rPr>
          <w:lang w:val="en-AU"/>
        </w:rPr>
      </w:pPr>
      <w:r>
        <w:rPr>
          <w:lang w:val="en-AU"/>
        </w:rPr>
        <w:t xml:space="preserve">Aronson, J, E Richardson, K MacEwan, et al. 2014. </w:t>
      </w:r>
      <w:r>
        <w:rPr>
          <w:i/>
          <w:iCs/>
          <w:lang w:val="en-AU"/>
        </w:rPr>
        <w:t>South African Good Practice Guidelines for Operational Monitoring for Bats at Wind Energy Facilities</w:t>
      </w:r>
      <w:r>
        <w:rPr>
          <w:lang w:val="en-AU"/>
        </w:rPr>
        <w:t xml:space="preserve">. Arcus Consultancy Services. </w:t>
      </w:r>
    </w:p>
    <w:p w14:paraId="1F3390D5" w14:textId="77777777" w:rsidR="0075180E" w:rsidRDefault="008F4B1A">
      <w:pPr>
        <w:pStyle w:val="normal1"/>
        <w:spacing w:after="240" w:line="240" w:lineRule="auto"/>
        <w:ind w:left="720"/>
        <w:rPr>
          <w:lang w:val="en-AU"/>
        </w:rPr>
      </w:pPr>
      <w:r>
        <w:rPr>
          <w:lang w:val="en-AU"/>
        </w:rPr>
        <w:t xml:space="preserve">Aschwanden, Janine, Herbert Stark, Dieter Peter, Thomas Steuri, Baptiste Schmid, and Felix Liechti. 2018. “Bird Collisions at Wind Turbines in a Mountainous Area Related to Bird Movement Intensities Measured by Radar.” </w:t>
      </w:r>
      <w:r>
        <w:rPr>
          <w:i/>
          <w:iCs/>
          <w:lang w:val="en-AU"/>
        </w:rPr>
        <w:t>Biological Conservation</w:t>
      </w:r>
      <w:r>
        <w:rPr>
          <w:lang w:val="en-AU"/>
        </w:rPr>
        <w:t xml:space="preserve"> 220 (April): 228–36. https://doi.org/10.1016/j.biocon.2018.01.005. </w:t>
      </w:r>
    </w:p>
    <w:p w14:paraId="5E9E2B0D" w14:textId="77777777" w:rsidR="0075180E" w:rsidRDefault="008F4B1A">
      <w:pPr>
        <w:pStyle w:val="normal1"/>
        <w:spacing w:after="240" w:line="240" w:lineRule="auto"/>
        <w:ind w:left="720"/>
        <w:rPr>
          <w:lang w:val="en-AU"/>
        </w:rPr>
      </w:pPr>
      <w:r>
        <w:rPr>
          <w:lang w:val="en-AU"/>
        </w:rPr>
        <w:t xml:space="preserve">Band, Bill. 2012. </w:t>
      </w:r>
      <w:r>
        <w:rPr>
          <w:i/>
          <w:iCs/>
          <w:lang w:val="en-AU"/>
        </w:rPr>
        <w:t>Using a Collision Risk Model to Assess Bird Collision Risks for Offshore Windfarms</w:t>
      </w:r>
      <w:r>
        <w:rPr>
          <w:lang w:val="en-AU"/>
        </w:rPr>
        <w:t xml:space="preserve">. Prepared for The Crown Estate as part of the Strategic Ornithological Support Services programme, project SOSS02. </w:t>
      </w:r>
    </w:p>
    <w:p w14:paraId="1FC0D7FE" w14:textId="77777777" w:rsidR="0075180E" w:rsidRDefault="008F4B1A">
      <w:pPr>
        <w:pStyle w:val="normal1"/>
        <w:spacing w:after="240" w:line="240" w:lineRule="auto"/>
        <w:ind w:left="720"/>
        <w:rPr>
          <w:lang w:val="en-AU"/>
        </w:rPr>
      </w:pPr>
      <w:r>
        <w:rPr>
          <w:lang w:val="en-AU"/>
        </w:rPr>
        <w:t xml:space="preserve">Band, W, M Madders, and D Whitfield. n.d. </w:t>
      </w:r>
      <w:r>
        <w:rPr>
          <w:i/>
          <w:iCs/>
          <w:lang w:val="en-AU"/>
        </w:rPr>
        <w:t>Developing Field and Analytical Methods to Assess Avian Collision Risk at Wind Farms</w:t>
      </w:r>
      <w:r>
        <w:rPr>
          <w:lang w:val="en-AU"/>
        </w:rPr>
        <w:t>. Accessed October 27, 2025. https://www.natural-research.org/application/files/4114/9182/2839/Band_et_al_2007.pdf</w:t>
      </w:r>
    </w:p>
    <w:p w14:paraId="449735A8" w14:textId="77777777" w:rsidR="0075180E" w:rsidRDefault="008F4B1A">
      <w:pPr>
        <w:pStyle w:val="normal1"/>
        <w:spacing w:after="240" w:line="240" w:lineRule="auto"/>
        <w:ind w:left="720"/>
        <w:rPr>
          <w:lang w:val="en-AU"/>
        </w:rPr>
      </w:pPr>
      <w:proofErr w:type="spellStart"/>
      <w:r>
        <w:rPr>
          <w:lang w:val="en-AU"/>
        </w:rPr>
        <w:t>Bennun</w:t>
      </w:r>
      <w:proofErr w:type="spellEnd"/>
      <w:r>
        <w:rPr>
          <w:lang w:val="en-AU"/>
        </w:rPr>
        <w:t xml:space="preserve">, L., J. Van Bochove, C. Ng, et al. 2021. </w:t>
      </w:r>
      <w:r>
        <w:rPr>
          <w:i/>
          <w:iCs/>
          <w:lang w:val="en-AU"/>
        </w:rPr>
        <w:t>Mitigating Biodiversity Impacts Associated with Solar and Wind Energy Development: Guidelines for Project Developers</w:t>
      </w:r>
      <w:r>
        <w:rPr>
          <w:lang w:val="en-AU"/>
        </w:rPr>
        <w:t xml:space="preserve">. IUCN, International Union for Conservation of Nature. https://doi.org/10.2305/IUCN.CH.2021.04.en. </w:t>
      </w:r>
    </w:p>
    <w:p w14:paraId="7BE4A01E" w14:textId="77777777" w:rsidR="0075180E" w:rsidRDefault="008F4B1A">
      <w:pPr>
        <w:pStyle w:val="normal1"/>
        <w:spacing w:after="240" w:line="240" w:lineRule="auto"/>
        <w:ind w:left="720"/>
        <w:rPr>
          <w:lang w:val="en-AU"/>
        </w:rPr>
      </w:pPr>
      <w:proofErr w:type="spellStart"/>
      <w:r>
        <w:rPr>
          <w:lang w:val="en-AU"/>
        </w:rPr>
        <w:t>BirdLife</w:t>
      </w:r>
      <w:proofErr w:type="spellEnd"/>
      <w:r>
        <w:rPr>
          <w:lang w:val="en-AU"/>
        </w:rPr>
        <w:t xml:space="preserve"> International and </w:t>
      </w:r>
      <w:proofErr w:type="spellStart"/>
      <w:r>
        <w:rPr>
          <w:lang w:val="en-AU"/>
        </w:rPr>
        <w:t>BirdLife</w:t>
      </w:r>
      <w:proofErr w:type="spellEnd"/>
      <w:r>
        <w:rPr>
          <w:lang w:val="en-AU"/>
        </w:rPr>
        <w:t xml:space="preserve"> Australia. 2025. </w:t>
      </w:r>
      <w:proofErr w:type="spellStart"/>
      <w:r>
        <w:rPr>
          <w:i/>
          <w:iCs/>
          <w:lang w:val="en-AU"/>
        </w:rPr>
        <w:t>Avistep</w:t>
      </w:r>
      <w:proofErr w:type="spellEnd"/>
      <w:r>
        <w:rPr>
          <w:i/>
          <w:iCs/>
          <w:lang w:val="en-AU"/>
        </w:rPr>
        <w:t xml:space="preserve"> Australia: Calculating Sensitivity of Seabirds to Collision with Offshore Wind Energy Development</w:t>
      </w:r>
      <w:r>
        <w:rPr>
          <w:lang w:val="en-AU"/>
        </w:rPr>
        <w:t xml:space="preserve">. </w:t>
      </w:r>
    </w:p>
    <w:p w14:paraId="0E3A02D5" w14:textId="77777777" w:rsidR="0075180E" w:rsidRDefault="008F4B1A">
      <w:pPr>
        <w:pStyle w:val="normal1"/>
        <w:spacing w:after="240" w:line="240" w:lineRule="auto"/>
        <w:ind w:left="720"/>
        <w:rPr>
          <w:lang w:val="en-AU"/>
        </w:rPr>
      </w:pPr>
      <w:r>
        <w:rPr>
          <w:lang w:val="en-AU"/>
        </w:rPr>
        <w:t xml:space="preserve">Brabant, Robin, Nicolas Vanermen, Eric W. M. Stienen, and Steven Degraer. 2015. “Towards a Cumulative Collision Risk Assessment of Local and Migrating Birds in North Sea Offshore Wind Farms.” </w:t>
      </w:r>
      <w:proofErr w:type="spellStart"/>
      <w:r>
        <w:rPr>
          <w:i/>
          <w:iCs/>
          <w:lang w:val="en-AU"/>
        </w:rPr>
        <w:t>Hydrobiologia</w:t>
      </w:r>
      <w:proofErr w:type="spellEnd"/>
      <w:r>
        <w:rPr>
          <w:lang w:val="en-AU"/>
        </w:rPr>
        <w:t xml:space="preserve"> 756 (1): 63–74. https://doi.org/10.1007/s10750-015-2224-2. </w:t>
      </w:r>
    </w:p>
    <w:p w14:paraId="679C3193" w14:textId="77777777" w:rsidR="0075180E" w:rsidRDefault="008F4B1A">
      <w:pPr>
        <w:pStyle w:val="normal1"/>
        <w:spacing w:after="240" w:line="240" w:lineRule="auto"/>
        <w:ind w:left="720"/>
        <w:rPr>
          <w:lang w:val="en-AU"/>
        </w:rPr>
      </w:pPr>
      <w:r>
        <w:rPr>
          <w:lang w:val="en-AU"/>
        </w:rPr>
        <w:t xml:space="preserve">Briggs, C, M Hemer, P Howard, et al. 2021. </w:t>
      </w:r>
      <w:r>
        <w:rPr>
          <w:i/>
          <w:iCs/>
          <w:lang w:val="en-AU"/>
        </w:rPr>
        <w:t>Offshore Wind Energy in Australia</w:t>
      </w:r>
      <w:r>
        <w:rPr>
          <w:lang w:val="en-AU"/>
        </w:rPr>
        <w:t xml:space="preserve">. Blue Economy Cooperative Research Centre. </w:t>
      </w:r>
    </w:p>
    <w:p w14:paraId="5C43A3F7" w14:textId="77777777" w:rsidR="0075180E" w:rsidRDefault="008F4B1A">
      <w:pPr>
        <w:pStyle w:val="normal1"/>
        <w:spacing w:after="240" w:line="240" w:lineRule="auto"/>
        <w:ind w:left="720"/>
        <w:rPr>
          <w:lang w:val="en-AU"/>
        </w:rPr>
      </w:pPr>
      <w:r>
        <w:rPr>
          <w:lang w:val="en-AU"/>
        </w:rPr>
        <w:t xml:space="preserve">Busch, Malte, and Stefan Garthe. 2018. “Looking at the Bigger Picture: The Importance of Considering Annual Cycles in Impact Assessments Illustrated in a Migratory Seabird Species.” </w:t>
      </w:r>
      <w:r>
        <w:rPr>
          <w:i/>
          <w:iCs/>
          <w:lang w:val="en-AU"/>
        </w:rPr>
        <w:t>ICES Journal of Marine Science</w:t>
      </w:r>
      <w:r>
        <w:rPr>
          <w:lang w:val="en-AU"/>
        </w:rPr>
        <w:t xml:space="preserve"> 75 (2): 690–700. https://doi.org/10.1093/icesjms/fsx170. </w:t>
      </w:r>
    </w:p>
    <w:p w14:paraId="1E19C181" w14:textId="77777777" w:rsidR="0075180E" w:rsidRDefault="008F4B1A">
      <w:pPr>
        <w:pStyle w:val="normal1"/>
        <w:spacing w:after="240" w:line="240" w:lineRule="auto"/>
        <w:ind w:left="720"/>
        <w:rPr>
          <w:lang w:val="en-AU"/>
        </w:rPr>
      </w:pPr>
      <w:proofErr w:type="spellStart"/>
      <w:r>
        <w:rPr>
          <w:lang w:val="en-AU"/>
        </w:rPr>
        <w:t>Caneco</w:t>
      </w:r>
      <w:proofErr w:type="spellEnd"/>
      <w:r>
        <w:rPr>
          <w:lang w:val="en-AU"/>
        </w:rPr>
        <w:t xml:space="preserve">, Bruno, Grant R. W. Humphries, </w:t>
      </w:r>
      <w:proofErr w:type="spellStart"/>
      <w:r>
        <w:rPr>
          <w:lang w:val="en-AU"/>
        </w:rPr>
        <w:t>Aonghais</w:t>
      </w:r>
      <w:proofErr w:type="spellEnd"/>
      <w:r>
        <w:rPr>
          <w:lang w:val="en-AU"/>
        </w:rPr>
        <w:t xml:space="preserve"> Cook, and Elizabeth Masden. 2022. “Estimating Bird Collisions at Offshore Windfarms with {</w:t>
      </w:r>
      <w:proofErr w:type="spellStart"/>
      <w:r>
        <w:rPr>
          <w:lang w:val="en-AU"/>
        </w:rPr>
        <w:t>stochLAB</w:t>
      </w:r>
      <w:proofErr w:type="spellEnd"/>
      <w:r>
        <w:rPr>
          <w:lang w:val="en-AU"/>
        </w:rPr>
        <w:t xml:space="preserve">}.” https://marinescotlandscience.github.io/stochLAB/. </w:t>
      </w:r>
    </w:p>
    <w:p w14:paraId="18CEE7E0" w14:textId="77777777" w:rsidR="0075180E" w:rsidRDefault="008F4B1A">
      <w:pPr>
        <w:pStyle w:val="normal1"/>
        <w:spacing w:after="240" w:line="240" w:lineRule="auto"/>
        <w:ind w:left="720"/>
        <w:rPr>
          <w:lang w:val="en-AU"/>
        </w:rPr>
      </w:pPr>
      <w:r>
        <w:rPr>
          <w:lang w:val="en-AU"/>
        </w:rPr>
        <w:t xml:space="preserve">Cook, </w:t>
      </w:r>
      <w:proofErr w:type="spellStart"/>
      <w:r>
        <w:rPr>
          <w:lang w:val="en-AU"/>
        </w:rPr>
        <w:t>Aonghais</w:t>
      </w:r>
      <w:proofErr w:type="spellEnd"/>
      <w:r>
        <w:rPr>
          <w:lang w:val="en-AU"/>
        </w:rPr>
        <w:t xml:space="preserve"> S.C.P., Eldina Salkanovic, Elizabeth Masden, Hsiu Eik Lee, and Alexander Holm Kiilerich. 2025. “A Critical Appraisal of 40 Years of Avian Collision Risk Modelling: </w:t>
      </w:r>
      <w:r>
        <w:rPr>
          <w:lang w:val="en-AU"/>
        </w:rPr>
        <w:lastRenderedPageBreak/>
        <w:t xml:space="preserve">How Have We Got Here and Where Do We Go Next?” </w:t>
      </w:r>
      <w:r>
        <w:rPr>
          <w:i/>
          <w:iCs/>
          <w:lang w:val="en-AU"/>
        </w:rPr>
        <w:t>Environmental Impact Assessment Review</w:t>
      </w:r>
      <w:r>
        <w:rPr>
          <w:lang w:val="en-AU"/>
        </w:rPr>
        <w:t xml:space="preserve"> 110 (January): 107717. https://doi.org/10.1016/j.eiar.2024.107717. </w:t>
      </w:r>
    </w:p>
    <w:p w14:paraId="5E76B46E" w14:textId="77777777" w:rsidR="0075180E" w:rsidRDefault="008F4B1A">
      <w:pPr>
        <w:pStyle w:val="normal1"/>
        <w:spacing w:after="240" w:line="240" w:lineRule="auto"/>
        <w:ind w:left="720"/>
        <w:rPr>
          <w:lang w:val="en-AU"/>
        </w:rPr>
      </w:pPr>
      <w:r>
        <w:rPr>
          <w:lang w:val="en-AU"/>
        </w:rPr>
        <w:t xml:space="preserve">Drewitt, Allan L., and Rowena H. W. Langston. 2008. “Collision Effects of Wind-Power Generators and Other Obstacles on Birds.” </w:t>
      </w:r>
      <w:r>
        <w:rPr>
          <w:i/>
          <w:iCs/>
          <w:lang w:val="en-AU"/>
        </w:rPr>
        <w:t>Annals of the New York Academy of Sciences</w:t>
      </w:r>
      <w:r>
        <w:rPr>
          <w:lang w:val="en-AU"/>
        </w:rPr>
        <w:t xml:space="preserve"> 1134: 233–66. https://doi.org/10.1196/annals.1439.015. </w:t>
      </w:r>
    </w:p>
    <w:p w14:paraId="62013082" w14:textId="77777777" w:rsidR="0075180E" w:rsidRDefault="008F4B1A">
      <w:pPr>
        <w:pStyle w:val="normal1"/>
        <w:spacing w:after="240" w:line="240" w:lineRule="auto"/>
        <w:ind w:left="720"/>
        <w:rPr>
          <w:lang w:val="en-AU"/>
        </w:rPr>
      </w:pPr>
      <w:r>
        <w:rPr>
          <w:lang w:val="en-AU"/>
        </w:rPr>
        <w:t xml:space="preserve">Goyert, Holly, Evan Adams, Andrew Gilbert, et al. 2024. </w:t>
      </w:r>
      <w:r>
        <w:rPr>
          <w:i/>
          <w:iCs/>
          <w:lang w:val="en-AU"/>
        </w:rPr>
        <w:t>SCRAM 2: Transparent Modelling of Collision Risk for Three Federally Listed Bird Species in Relation to Offshore Wind Energy Development</w:t>
      </w:r>
      <w:r>
        <w:rPr>
          <w:lang w:val="en-AU"/>
        </w:rPr>
        <w:t xml:space="preserve">. Report No.: BOEM 2024-057. U.S. Department of the Interior, Bureau of Ocean Energy Management. https://espis.boem.gov/Final%20Reports/BOEM_2024-057.pdf. </w:t>
      </w:r>
    </w:p>
    <w:p w14:paraId="7289D30F" w14:textId="77777777" w:rsidR="0075180E" w:rsidRDefault="008F4B1A">
      <w:pPr>
        <w:pStyle w:val="normal1"/>
        <w:spacing w:after="240" w:line="240" w:lineRule="auto"/>
        <w:ind w:left="720"/>
        <w:rPr>
          <w:lang w:val="en-AU"/>
        </w:rPr>
      </w:pPr>
      <w:r>
        <w:rPr>
          <w:lang w:val="en-AU"/>
        </w:rPr>
        <w:t xml:space="preserve">Hull, Cindy L., and Stuart C. Muir. 2013. “Behaviour and Turbine Avoidance Rates of Eagles at Two Wind Farms in Tasmania, Australia.” </w:t>
      </w:r>
      <w:r>
        <w:rPr>
          <w:i/>
          <w:iCs/>
          <w:lang w:val="en-AU"/>
        </w:rPr>
        <w:t>Wildlife Society Bulletin</w:t>
      </w:r>
      <w:r>
        <w:rPr>
          <w:lang w:val="en-AU"/>
        </w:rPr>
        <w:t xml:space="preserve"> 37 (1): 49–58. https://doi.org/10.1002/wsb.254. </w:t>
      </w:r>
    </w:p>
    <w:p w14:paraId="7093B1D4" w14:textId="77777777" w:rsidR="0075180E" w:rsidRDefault="008F4B1A">
      <w:pPr>
        <w:pStyle w:val="normal1"/>
        <w:spacing w:after="240" w:line="240" w:lineRule="auto"/>
        <w:ind w:left="720"/>
        <w:rPr>
          <w:lang w:val="en-AU"/>
        </w:rPr>
      </w:pPr>
      <w:r>
        <w:rPr>
          <w:lang w:val="en-AU"/>
        </w:rPr>
        <w:t xml:space="preserve">Marques, Ana Teresa, Helena Batalha, Sandra Rodrigues, et al. 2014. “Understanding Bird Collisions at Wind Farms: An Updated Review on the Causes and Possible Mitigation Strategies.” </w:t>
      </w:r>
      <w:r>
        <w:rPr>
          <w:i/>
          <w:iCs/>
          <w:lang w:val="en-AU"/>
        </w:rPr>
        <w:t>Biological Conservation</w:t>
      </w:r>
      <w:r>
        <w:rPr>
          <w:lang w:val="en-AU"/>
        </w:rPr>
        <w:t xml:space="preserve"> 179 (November): 40–52. https://doi.org/10.1016/j.biocon.2014.08.017. </w:t>
      </w:r>
    </w:p>
    <w:p w14:paraId="4D8C5E1C" w14:textId="77777777" w:rsidR="0075180E" w:rsidRDefault="008F4B1A">
      <w:pPr>
        <w:pStyle w:val="normal1"/>
        <w:spacing w:after="240" w:line="240" w:lineRule="auto"/>
        <w:ind w:left="720"/>
        <w:rPr>
          <w:lang w:val="en-AU"/>
        </w:rPr>
      </w:pPr>
      <w:r>
        <w:rPr>
          <w:lang w:val="en-AU"/>
        </w:rPr>
        <w:t xml:space="preserve">Masden, Elizabeth A., </w:t>
      </w:r>
      <w:proofErr w:type="spellStart"/>
      <w:r>
        <w:rPr>
          <w:lang w:val="en-AU"/>
        </w:rPr>
        <w:t>Aonghais</w:t>
      </w:r>
      <w:proofErr w:type="spellEnd"/>
      <w:r>
        <w:rPr>
          <w:lang w:val="en-AU"/>
        </w:rPr>
        <w:t xml:space="preserve"> S.C.P. Cook, Aly McCluskie, Willem Bouten, Niall H.K. Burton, and Chris B. Thaxter. 2021. “When Speed Matters: The Importance of Flight Speed in an Avian Collision Risk Model.” </w:t>
      </w:r>
      <w:r>
        <w:rPr>
          <w:i/>
          <w:iCs/>
          <w:lang w:val="en-AU"/>
        </w:rPr>
        <w:t>Environmental Impact Assessment Review</w:t>
      </w:r>
      <w:r>
        <w:rPr>
          <w:lang w:val="en-AU"/>
        </w:rPr>
        <w:t xml:space="preserve"> 90 (September): 106622. https://doi.org/10.1016/j.eiar.2021.106622. </w:t>
      </w:r>
    </w:p>
    <w:p w14:paraId="7C993847" w14:textId="77777777" w:rsidR="0075180E" w:rsidRDefault="008F4B1A">
      <w:pPr>
        <w:pStyle w:val="normal1"/>
        <w:spacing w:after="240" w:line="240" w:lineRule="auto"/>
        <w:ind w:left="720"/>
        <w:rPr>
          <w:lang w:val="en-AU"/>
        </w:rPr>
      </w:pPr>
      <w:r>
        <w:rPr>
          <w:lang w:val="en-AU"/>
        </w:rPr>
        <w:t xml:space="preserve">Van Melen, R.S.A, F.H. </w:t>
      </w:r>
      <w:proofErr w:type="spellStart"/>
      <w:r>
        <w:rPr>
          <w:lang w:val="en-AU"/>
        </w:rPr>
        <w:t>Soudijn</w:t>
      </w:r>
      <w:proofErr w:type="spellEnd"/>
      <w:r>
        <w:rPr>
          <w:lang w:val="en-AU"/>
        </w:rPr>
        <w:t xml:space="preserve">, D. Benden, et al. 2022. </w:t>
      </w:r>
      <w:r>
        <w:rPr>
          <w:i/>
          <w:iCs/>
          <w:lang w:val="en-AU"/>
        </w:rPr>
        <w:t xml:space="preserve">Individual-Based Model </w:t>
      </w:r>
      <w:bookmarkStart w:id="99" w:name="_Int_Sq4kFWfk"/>
      <w:proofErr w:type="gramStart"/>
      <w:r>
        <w:rPr>
          <w:i/>
          <w:iCs/>
          <w:lang w:val="en-AU"/>
        </w:rPr>
        <w:t>Lesser Black- Backed</w:t>
      </w:r>
      <w:bookmarkEnd w:id="99"/>
      <w:proofErr w:type="gramEnd"/>
      <w:r>
        <w:rPr>
          <w:i/>
          <w:iCs/>
          <w:lang w:val="en-AU"/>
        </w:rPr>
        <w:t xml:space="preserve"> Gulls in the Netherlands</w:t>
      </w:r>
      <w:r>
        <w:rPr>
          <w:lang w:val="en-AU"/>
        </w:rPr>
        <w:t xml:space="preserve">. . . Report number 21-168. Bureau Waardenburg. https://edepot.wur.nl/567728. </w:t>
      </w:r>
    </w:p>
    <w:p w14:paraId="50A14BF4" w14:textId="77777777" w:rsidR="0075180E" w:rsidRDefault="008F4B1A">
      <w:pPr>
        <w:pStyle w:val="normal1"/>
        <w:spacing w:after="240" w:line="240" w:lineRule="auto"/>
        <w:ind w:left="720"/>
        <w:rPr>
          <w:lang w:val="en-AU"/>
        </w:rPr>
      </w:pPr>
      <w:r>
        <w:rPr>
          <w:lang w:val="en-AU"/>
        </w:rPr>
        <w:t xml:space="preserve">New, Leslie, Emily Bjerre, Brian Millsap, Mark C. Otto, and Michael C. Runge. 2015. “A Collision Risk Model to Predict Avian Fatalities at Wind Facilities: An Example Using Golden Eagles, Aquila Chrysaetos.” </w:t>
      </w:r>
      <w:r>
        <w:rPr>
          <w:i/>
          <w:iCs/>
          <w:lang w:val="en-AU"/>
        </w:rPr>
        <w:t>PLOS ONE</w:t>
      </w:r>
      <w:r>
        <w:rPr>
          <w:lang w:val="en-AU"/>
        </w:rPr>
        <w:t xml:space="preserve"> 10 (7): e0130978. https://doi.org/10.1371/journal.pone.0130978. </w:t>
      </w:r>
    </w:p>
    <w:p w14:paraId="1F12E12A" w14:textId="77777777" w:rsidR="0075180E" w:rsidRDefault="008F4B1A">
      <w:pPr>
        <w:pStyle w:val="normal1"/>
        <w:spacing w:after="240" w:line="240" w:lineRule="auto"/>
        <w:ind w:left="720"/>
        <w:rPr>
          <w:lang w:val="en-AU"/>
        </w:rPr>
      </w:pPr>
      <w:r>
        <w:rPr>
          <w:lang w:val="en-AU"/>
        </w:rPr>
        <w:t xml:space="preserve">Reid, Keith, and G Barry Baker. 2025a. </w:t>
      </w:r>
      <w:r>
        <w:rPr>
          <w:i/>
          <w:iCs/>
          <w:lang w:val="en-AU"/>
        </w:rPr>
        <w:t>Impacts on Birds and Bats from Onshore Wind Farms in Australia: An Ecological Risk Assessment</w:t>
      </w:r>
      <w:r>
        <w:rPr>
          <w:lang w:val="en-AU"/>
        </w:rPr>
        <w:t xml:space="preserve">. Department of Climate Change, Energy, the Environment and Water. </w:t>
      </w:r>
    </w:p>
    <w:p w14:paraId="7D351645" w14:textId="77777777" w:rsidR="0075180E" w:rsidRDefault="008F4B1A">
      <w:pPr>
        <w:pStyle w:val="normal1"/>
        <w:spacing w:after="240" w:line="240" w:lineRule="auto"/>
        <w:ind w:left="720"/>
        <w:rPr>
          <w:lang w:val="en-AU"/>
        </w:rPr>
      </w:pPr>
      <w:r>
        <w:rPr>
          <w:lang w:val="en-AU"/>
        </w:rPr>
        <w:t xml:space="preserve">Reid, Keith, and G Barry Baker. 2025b. </w:t>
      </w:r>
      <w:r>
        <w:rPr>
          <w:i/>
          <w:iCs/>
          <w:lang w:val="en-AU"/>
        </w:rPr>
        <w:t>Impacts on Birds from Offshore Wind Farms in Australia: An Ecological Risk Assessment</w:t>
      </w:r>
      <w:r>
        <w:rPr>
          <w:lang w:val="en-AU"/>
        </w:rPr>
        <w:t xml:space="preserve">. Department of Climate Change, Energy, the Environment and Water. </w:t>
      </w:r>
    </w:p>
    <w:p w14:paraId="473CC8D3" w14:textId="77777777" w:rsidR="0075180E" w:rsidRDefault="008F4B1A">
      <w:pPr>
        <w:pStyle w:val="normal1"/>
        <w:spacing w:after="240" w:line="240" w:lineRule="auto"/>
        <w:ind w:left="720"/>
        <w:rPr>
          <w:lang w:val="en-AU"/>
        </w:rPr>
      </w:pPr>
      <w:r>
        <w:rPr>
          <w:lang w:val="en-AU"/>
        </w:rPr>
        <w:t xml:space="preserve">Smales, Ian. 2017. “Modelling Collision Risk and Populations.” In </w:t>
      </w:r>
      <w:r>
        <w:rPr>
          <w:i/>
          <w:iCs/>
          <w:lang w:val="en-AU"/>
        </w:rPr>
        <w:t>Wildlife and Wind Farms - Conflicts and Solutions: Onshore: Monitoring and Mitigation</w:t>
      </w:r>
      <w:r>
        <w:rPr>
          <w:lang w:val="en-AU"/>
        </w:rPr>
        <w:t xml:space="preserve">, edited by Martin Perrow, vol. 2. Conservation Handbooks. Pelagic Publishing. https://doi.org/10.2307/jj.29010219. </w:t>
      </w:r>
    </w:p>
    <w:p w14:paraId="1528A9B7" w14:textId="77777777" w:rsidR="0075180E" w:rsidRDefault="008F4B1A">
      <w:pPr>
        <w:pStyle w:val="normal1"/>
        <w:spacing w:after="240" w:line="240" w:lineRule="auto"/>
        <w:ind w:left="720"/>
        <w:rPr>
          <w:lang w:val="en-AU"/>
        </w:rPr>
      </w:pPr>
      <w:r>
        <w:rPr>
          <w:lang w:val="en-AU"/>
        </w:rPr>
        <w:lastRenderedPageBreak/>
        <w:t xml:space="preserve">Smales, Ian, Stuart Muir, Charles Meredith, and Robert Baird. 2013. “A Description of the Biosis Model to Assess Risk of Bird Collisions with Wind Turbines.” </w:t>
      </w:r>
      <w:r>
        <w:rPr>
          <w:i/>
          <w:iCs/>
          <w:lang w:val="en-AU"/>
        </w:rPr>
        <w:t>Wildlife Society Bulletin</w:t>
      </w:r>
      <w:r>
        <w:rPr>
          <w:lang w:val="en-AU"/>
        </w:rPr>
        <w:t xml:space="preserve"> 37 (1): 59–65. https://doi.org/10.1002/wsb.257. </w:t>
      </w:r>
    </w:p>
    <w:p w14:paraId="194B2382" w14:textId="77777777" w:rsidR="0075180E" w:rsidRDefault="008F4B1A">
      <w:pPr>
        <w:pStyle w:val="normal1"/>
        <w:spacing w:after="240" w:line="240" w:lineRule="auto"/>
        <w:ind w:left="720"/>
        <w:rPr>
          <w:lang w:val="en-AU"/>
        </w:rPr>
      </w:pPr>
      <w:r>
        <w:rPr>
          <w:lang w:val="en-AU"/>
        </w:rPr>
        <w:t xml:space="preserve">Stark, Elizabeth, Muir, Stuart, Yandell, Peggy (2026). </w:t>
      </w:r>
      <w:r>
        <w:rPr>
          <w:i/>
          <w:iCs/>
          <w:lang w:val="en-AU"/>
        </w:rPr>
        <w:t>collision: Per-turbine stochastic Collision Risk Model for predicting avian collision with onshore and offshore wind turbines.</w:t>
      </w:r>
      <w:r>
        <w:rPr>
          <w:lang w:val="en-AU"/>
        </w:rPr>
        <w:t xml:space="preserve"> R package. version 1.0.4, &lt;https://github.com/SymbolixAU/collision&gt;.</w:t>
      </w:r>
    </w:p>
    <w:p w14:paraId="78027EFF" w14:textId="77777777" w:rsidR="0075180E" w:rsidRDefault="008F4B1A">
      <w:pPr>
        <w:pStyle w:val="normal1"/>
        <w:spacing w:after="240" w:line="240" w:lineRule="auto"/>
        <w:ind w:left="720"/>
        <w:rPr>
          <w:lang w:val="en-AU"/>
        </w:rPr>
      </w:pPr>
      <w:proofErr w:type="spellStart"/>
      <w:r>
        <w:rPr>
          <w:lang w:val="en-AU"/>
        </w:rPr>
        <w:t>Symbolix</w:t>
      </w:r>
      <w:proofErr w:type="spellEnd"/>
      <w:r>
        <w:rPr>
          <w:lang w:val="en-AU"/>
        </w:rPr>
        <w:t xml:space="preserve">. 2021. “St Patricks Plains Wind Farm Eagle Flight Analysis V1.6 - Appendix 3 to Appendix B - Avifauna Report.” In </w:t>
      </w:r>
      <w:r>
        <w:rPr>
          <w:i/>
          <w:iCs/>
          <w:lang w:val="en-AU"/>
        </w:rPr>
        <w:t>St Patricks Plains Wind Farm Environmental Effects Statement - ERA Planning and Environment</w:t>
      </w:r>
      <w:r>
        <w:rPr>
          <w:lang w:val="en-AU"/>
        </w:rPr>
        <w:t xml:space="preserve">. EPBC Reference 2019/8497. Report to North Barker for </w:t>
      </w:r>
      <w:proofErr w:type="spellStart"/>
      <w:r>
        <w:rPr>
          <w:lang w:val="en-AU"/>
        </w:rPr>
        <w:t>Epuron</w:t>
      </w:r>
      <w:proofErr w:type="spellEnd"/>
      <w:r>
        <w:rPr>
          <w:lang w:val="en-AU"/>
        </w:rPr>
        <w:t xml:space="preserve"> (Ark Energy). </w:t>
      </w:r>
    </w:p>
    <w:p w14:paraId="626B1C80" w14:textId="77777777" w:rsidR="0075180E" w:rsidRDefault="008F4B1A">
      <w:pPr>
        <w:pStyle w:val="normal1"/>
        <w:spacing w:after="240" w:line="240" w:lineRule="auto"/>
        <w:ind w:left="720"/>
        <w:rPr>
          <w:lang w:val="en-AU"/>
        </w:rPr>
      </w:pPr>
      <w:proofErr w:type="spellStart"/>
      <w:r>
        <w:rPr>
          <w:lang w:val="en-AU"/>
        </w:rPr>
        <w:t>Tarburton</w:t>
      </w:r>
      <w:proofErr w:type="spellEnd"/>
      <w:r>
        <w:rPr>
          <w:lang w:val="en-AU"/>
        </w:rPr>
        <w:t xml:space="preserve">, M. 2021. “Recent Increase in Knowledge about Numbers and Flight Behaviour in the White-Throated Needletail </w:t>
      </w:r>
      <w:proofErr w:type="spellStart"/>
      <w:r>
        <w:rPr>
          <w:lang w:val="en-AU"/>
        </w:rPr>
        <w:t>Hirundapus</w:t>
      </w:r>
      <w:proofErr w:type="spellEnd"/>
      <w:r>
        <w:rPr>
          <w:lang w:val="en-AU"/>
        </w:rPr>
        <w:t xml:space="preserve"> Caudacutus.” </w:t>
      </w:r>
      <w:r>
        <w:rPr>
          <w:i/>
          <w:iCs/>
          <w:lang w:val="en-AU"/>
        </w:rPr>
        <w:t>Australian Field Ornithology</w:t>
      </w:r>
      <w:r>
        <w:rPr>
          <w:lang w:val="en-AU"/>
        </w:rPr>
        <w:t xml:space="preserve"> 38: 124–39. </w:t>
      </w:r>
    </w:p>
    <w:p w14:paraId="18D15D83" w14:textId="77777777" w:rsidR="0075180E" w:rsidRDefault="008F4B1A">
      <w:pPr>
        <w:pStyle w:val="normal1"/>
        <w:spacing w:after="240" w:line="240" w:lineRule="auto"/>
        <w:ind w:left="720"/>
        <w:rPr>
          <w:lang w:val="en-AU"/>
        </w:rPr>
      </w:pPr>
      <w:r>
        <w:rPr>
          <w:lang w:val="en-AU"/>
        </w:rPr>
        <w:t xml:space="preserve">Thaxter, Chris B., Graeme M. Buchanan, Jamie Carr, et al. 2017. “Bird and Bat Species’ Global Vulnerability to Collision Mortality at Wind Farms Revealed through a Trait-Based Assessment.” </w:t>
      </w:r>
      <w:r>
        <w:rPr>
          <w:i/>
          <w:iCs/>
          <w:lang w:val="en-AU"/>
        </w:rPr>
        <w:t>Proceedings of the Royal Society B: Biological Sciences</w:t>
      </w:r>
      <w:r>
        <w:rPr>
          <w:lang w:val="en-AU"/>
        </w:rPr>
        <w:t xml:space="preserve"> 284 (1862): 20170829. https://doi.org/10.1098/rspb.2017.0829. </w:t>
      </w:r>
    </w:p>
    <w:p w14:paraId="3710D611" w14:textId="77777777" w:rsidR="0075180E" w:rsidRDefault="008F4B1A">
      <w:pPr>
        <w:pStyle w:val="normal1"/>
        <w:spacing w:after="240" w:line="240" w:lineRule="auto"/>
        <w:ind w:left="720"/>
        <w:rPr>
          <w:lang w:val="en-AU"/>
        </w:rPr>
      </w:pPr>
      <w:r>
        <w:rPr>
          <w:lang w:val="en-AU"/>
        </w:rPr>
        <w:t xml:space="preserve">US Fish and Wildlife Service. 2012. </w:t>
      </w:r>
      <w:r>
        <w:rPr>
          <w:i/>
          <w:iCs/>
          <w:lang w:val="en-AU"/>
        </w:rPr>
        <w:t>U.S. Fish and Wildlife Service Land-Based Wind Energy Guidelines</w:t>
      </w:r>
      <w:r>
        <w:rPr>
          <w:lang w:val="en-AU"/>
        </w:rPr>
        <w:t xml:space="preserve">. US Fish and Wildlife Service (USFWS). </w:t>
      </w:r>
    </w:p>
    <w:p w14:paraId="1114C843" w14:textId="77777777" w:rsidR="0075180E" w:rsidRDefault="008F4B1A">
      <w:pPr>
        <w:pStyle w:val="normal1"/>
        <w:spacing w:after="240" w:line="240" w:lineRule="auto"/>
        <w:ind w:left="720"/>
        <w:rPr>
          <w:lang w:val="en-AU"/>
        </w:rPr>
      </w:pPr>
      <w:r>
        <w:rPr>
          <w:lang w:val="en-AU"/>
        </w:rPr>
        <w:t xml:space="preserve">Vignali, D, F </w:t>
      </w:r>
      <w:proofErr w:type="spellStart"/>
      <w:r>
        <w:rPr>
          <w:lang w:val="en-AU"/>
        </w:rPr>
        <w:t>Lörcher</w:t>
      </w:r>
      <w:proofErr w:type="spellEnd"/>
      <w:r>
        <w:rPr>
          <w:lang w:val="en-AU"/>
        </w:rPr>
        <w:t xml:space="preserve">, D Hegglin, R Arlettaz, and V </w:t>
      </w:r>
      <w:proofErr w:type="spellStart"/>
      <w:r>
        <w:rPr>
          <w:lang w:val="en-AU"/>
        </w:rPr>
        <w:t>Braunisch</w:t>
      </w:r>
      <w:proofErr w:type="spellEnd"/>
      <w:r>
        <w:rPr>
          <w:lang w:val="en-AU"/>
        </w:rPr>
        <w:t xml:space="preserve">. 2022. “A Predictive Flight-Altitude Model for Avoiding Future Conflicts between an Emblematic Raptor and Wind Energy Development in the Swiss Alps.” </w:t>
      </w:r>
      <w:r>
        <w:rPr>
          <w:i/>
          <w:iCs/>
          <w:lang w:val="en-AU"/>
        </w:rPr>
        <w:t>R. Soc. Open Sci.</w:t>
      </w:r>
      <w:r>
        <w:rPr>
          <w:lang w:val="en-AU"/>
        </w:rPr>
        <w:t xml:space="preserve"> 9: 211041. https://doi.org/10.1098/rsos.211041. </w:t>
      </w:r>
    </w:p>
    <w:p w14:paraId="544A293E" w14:textId="77777777" w:rsidR="0075180E" w:rsidRDefault="008F4B1A">
      <w:pPr>
        <w:pStyle w:val="normal1"/>
        <w:spacing w:after="240" w:line="240" w:lineRule="auto"/>
        <w:ind w:left="720"/>
        <w:rPr>
          <w:lang w:val="en-AU"/>
        </w:rPr>
      </w:pPr>
      <w:r>
        <w:rPr>
          <w:lang w:val="en-AU"/>
        </w:rPr>
        <w:t>Voigt, Christian C., Karin Schneeberger, Silke L. Voigt-</w:t>
      </w:r>
      <w:proofErr w:type="spellStart"/>
      <w:r>
        <w:rPr>
          <w:lang w:val="en-AU"/>
        </w:rPr>
        <w:t>Heucke</w:t>
      </w:r>
      <w:proofErr w:type="spellEnd"/>
      <w:r>
        <w:rPr>
          <w:lang w:val="en-AU"/>
        </w:rPr>
        <w:t xml:space="preserve">, and Daniel Lewanzik. 2011. “Rain Increases the Energy Cost of Bat Flight.” </w:t>
      </w:r>
      <w:r>
        <w:rPr>
          <w:i/>
          <w:iCs/>
          <w:lang w:val="en-AU"/>
        </w:rPr>
        <w:t>Biology Letters</w:t>
      </w:r>
      <w:r>
        <w:rPr>
          <w:lang w:val="en-AU"/>
        </w:rPr>
        <w:t xml:space="preserve"> 7 (5): 793–95. https://doi.org/10.1098/rsbl.2011.0313. </w:t>
      </w:r>
    </w:p>
    <w:p w14:paraId="18A2634E" w14:textId="77777777" w:rsidR="0075180E" w:rsidRDefault="008F4B1A">
      <w:pPr>
        <w:pStyle w:val="normal1"/>
        <w:spacing w:after="240" w:line="240" w:lineRule="auto"/>
        <w:ind w:left="720"/>
        <w:rPr>
          <w:lang w:val="en-AU"/>
        </w:rPr>
      </w:pPr>
      <w:r>
        <w:rPr>
          <w:lang w:val="en-AU"/>
        </w:rPr>
        <w:t xml:space="preserve">Wood, Kevin A, Carl Mitchell, Larry Griffin, and Geoff Hilton. n.d. </w:t>
      </w:r>
      <w:r>
        <w:rPr>
          <w:i/>
          <w:iCs/>
          <w:lang w:val="en-AU"/>
        </w:rPr>
        <w:t>Predicting Cumulative Wind Turbine and Power Line Collision Mortality for Pink-Footed Geese Using an Individual-Based Model</w:t>
      </w:r>
      <w:r>
        <w:rPr>
          <w:lang w:val="en-AU"/>
        </w:rPr>
        <w:t xml:space="preserve">. Wildfowl &amp; Wetlands Trust Report. Accessed October 27, 2025. https://www.researchgate.net/publication/370891889_Predicting_cumulative_wind_turbine_and_power_line_collision_mortality_for_Pink-footed_Geese_using_an_individual-based_model. </w:t>
      </w:r>
    </w:p>
    <w:p w14:paraId="61CDCEAD" w14:textId="77777777" w:rsidR="0075180E" w:rsidRDefault="0075180E">
      <w:pPr>
        <w:pStyle w:val="normal1"/>
        <w:spacing w:after="240" w:line="240" w:lineRule="auto"/>
        <w:ind w:left="720"/>
        <w:rPr>
          <w:lang w:val="en-AU"/>
        </w:rPr>
      </w:pPr>
    </w:p>
    <w:p w14:paraId="6BB9E253" w14:textId="77777777" w:rsidR="0075180E" w:rsidRDefault="008F4B1A">
      <w:pPr>
        <w:pStyle w:val="normal1"/>
        <w:spacing w:after="240" w:line="240" w:lineRule="auto"/>
        <w:ind w:left="720"/>
        <w:rPr>
          <w:lang w:val="en-AU"/>
        </w:rPr>
      </w:pPr>
      <w:r>
        <w:br w:type="page"/>
      </w:r>
    </w:p>
    <w:p w14:paraId="7151C69F" w14:textId="77777777" w:rsidR="0075180E" w:rsidRDefault="008F4B1A">
      <w:pPr>
        <w:pStyle w:val="Heading1"/>
        <w:rPr>
          <w:lang w:val="en-AU"/>
        </w:rPr>
      </w:pPr>
      <w:bookmarkStart w:id="100" w:name="_73uh93dhhzt"/>
      <w:bookmarkStart w:id="101" w:name="_Toc362050658"/>
      <w:bookmarkEnd w:id="100"/>
      <w:r>
        <w:rPr>
          <w:lang w:val="en-AU"/>
        </w:rPr>
        <w:lastRenderedPageBreak/>
        <w:t>Attachments</w:t>
      </w:r>
      <w:bookmarkEnd w:id="101"/>
    </w:p>
    <w:p w14:paraId="23DE523C" w14:textId="77777777" w:rsidR="0075180E" w:rsidRDefault="0075180E">
      <w:pPr>
        <w:pStyle w:val="normal1"/>
        <w:rPr>
          <w:lang w:val="en-AU"/>
        </w:rPr>
      </w:pPr>
    </w:p>
    <w:p w14:paraId="5A005E23" w14:textId="788E03D2" w:rsidR="271A6B99" w:rsidRDefault="271A6B99" w:rsidP="271A6B99">
      <w:pPr>
        <w:pStyle w:val="normal1"/>
        <w:numPr>
          <w:ilvl w:val="0"/>
          <w:numId w:val="23"/>
        </w:numPr>
        <w:rPr>
          <w:lang w:val="en-AU"/>
        </w:rPr>
      </w:pPr>
      <w:r w:rsidRPr="271A6B99">
        <w:rPr>
          <w:rFonts w:ascii="Roboto Mono" w:eastAsia="Roboto Mono" w:hAnsi="Roboto Mono" w:cs="Roboto Mono"/>
          <w:color w:val="188038"/>
          <w:lang w:val="en-AU"/>
        </w:rPr>
        <w:t>Attachment2_FrameworkReview_2rog.pdf</w:t>
      </w:r>
      <w:r w:rsidRPr="271A6B99">
        <w:rPr>
          <w:lang w:val="en-AU"/>
        </w:rPr>
        <w:t xml:space="preserve"> Detailed review of international frameworks </w:t>
      </w:r>
    </w:p>
    <w:sectPr w:rsidR="271A6B9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20"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230C6" w14:textId="77777777" w:rsidR="008F4B1A" w:rsidRDefault="008F4B1A">
      <w:pPr>
        <w:spacing w:after="0" w:line="240" w:lineRule="auto"/>
      </w:pPr>
      <w:r>
        <w:separator/>
      </w:r>
    </w:p>
  </w:endnote>
  <w:endnote w:type="continuationSeparator" w:id="0">
    <w:p w14:paraId="6A862C9D" w14:textId="77777777" w:rsidR="008F4B1A" w:rsidRDefault="008F4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SemiBold">
    <w:charset w:val="00"/>
    <w:family w:val="auto"/>
    <w:pitch w:val="variable"/>
    <w:sig w:usb0="A00002FF" w:usb1="5000205B" w:usb2="00000000" w:usb3="00000000" w:csb0="00000197" w:csb1="00000000"/>
  </w:font>
  <w:font w:name="Roboto Mono">
    <w:charset w:val="00"/>
    <w:family w:val="modern"/>
    <w:pitch w:val="fixed"/>
    <w:sig w:usb0="E00002FF" w:usb1="1000205B" w:usb2="00000020" w:usb3="00000000" w:csb0="0000019F" w:csb1="00000000"/>
  </w:font>
  <w:font w:name="Raleway">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9294" w14:textId="76FD7B57" w:rsidR="0075180E" w:rsidRDefault="008F4B1A">
    <w:pPr>
      <w:pStyle w:val="normal1"/>
      <w:jc w:val="center"/>
      <w:rPr>
        <w:color w:val="244061"/>
        <w:sz w:val="40"/>
        <w:szCs w:val="40"/>
        <w:highlight w:val="yellow"/>
      </w:rPr>
    </w:pPr>
    <w:r>
      <w:rPr>
        <w:noProof/>
      </w:rPr>
      <mc:AlternateContent>
        <mc:Choice Requires="wps">
          <w:drawing>
            <wp:anchor distT="0" distB="0" distL="0" distR="0" simplePos="0" relativeHeight="251658248" behindDoc="0" locked="0" layoutInCell="1" allowOverlap="1" wp14:anchorId="7571A0FA" wp14:editId="390CB70F">
              <wp:simplePos x="635" y="635"/>
              <wp:positionH relativeFrom="page">
                <wp:align>center</wp:align>
              </wp:positionH>
              <wp:positionV relativeFrom="page">
                <wp:align>bottom</wp:align>
              </wp:positionV>
              <wp:extent cx="622300" cy="404495"/>
              <wp:effectExtent l="0" t="0" r="6350" b="0"/>
              <wp:wrapNone/>
              <wp:docPr id="19727235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5E238EC" w14:textId="62AEAB72" w:rsidR="008F4B1A" w:rsidRPr="008F4B1A" w:rsidRDefault="008F4B1A" w:rsidP="008F4B1A">
                          <w:pPr>
                            <w:spacing w:after="0"/>
                            <w:rPr>
                              <w:rFonts w:ascii="Aptos" w:eastAsia="Aptos" w:hAnsi="Aptos" w:cs="Aptos"/>
                              <w:noProof/>
                              <w:color w:val="FF0000"/>
                              <w:sz w:val="24"/>
                              <w:szCs w:val="24"/>
                            </w:rPr>
                          </w:pPr>
                          <w:r w:rsidRPr="008F4B1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71A0FA" id="_x0000_t202" coordsize="21600,21600" o:spt="202" path="m,l,21600r21600,l21600,xe">
              <v:stroke joinstyle="miter"/>
              <v:path gradientshapeok="t" o:connecttype="rect"/>
            </v:shapetype>
            <v:shape id="Text Box 5" o:spid="_x0000_s1029" type="#_x0000_t202" alt="OFFICIAL" style="position:absolute;left:0;text-align:left;margin-left:0;margin-top:0;width:4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55E238EC" w14:textId="62AEAB72" w:rsidR="008F4B1A" w:rsidRPr="008F4B1A" w:rsidRDefault="008F4B1A" w:rsidP="008F4B1A">
                    <w:pPr>
                      <w:spacing w:after="0"/>
                      <w:rPr>
                        <w:rFonts w:ascii="Aptos" w:eastAsia="Aptos" w:hAnsi="Aptos" w:cs="Aptos"/>
                        <w:noProof/>
                        <w:color w:val="FF0000"/>
                        <w:sz w:val="24"/>
                        <w:szCs w:val="24"/>
                      </w:rPr>
                    </w:pPr>
                    <w:r w:rsidRPr="008F4B1A">
                      <w:rPr>
                        <w:rFonts w:ascii="Aptos" w:eastAsia="Aptos" w:hAnsi="Aptos" w:cs="Aptos"/>
                        <w:noProof/>
                        <w:color w:val="FF0000"/>
                        <w:sz w:val="24"/>
                        <w:szCs w:val="24"/>
                      </w:rPr>
                      <w:t>OFFICIAL</w:t>
                    </w:r>
                  </w:p>
                </w:txbxContent>
              </v:textbox>
              <w10:wrap anchorx="page" anchory="page"/>
            </v:shape>
          </w:pict>
        </mc:Fallback>
      </mc:AlternateContent>
    </w:r>
    <w:r>
      <w:rPr>
        <w:noProof/>
      </w:rPr>
      <w:drawing>
        <wp:anchor distT="0" distB="0" distL="0" distR="0" simplePos="0" relativeHeight="251658246" behindDoc="1" locked="0" layoutInCell="1" allowOverlap="1" wp14:anchorId="6B92A8E3" wp14:editId="07777777">
          <wp:simplePos x="0" y="0"/>
          <wp:positionH relativeFrom="column">
            <wp:posOffset>5095875</wp:posOffset>
          </wp:positionH>
          <wp:positionV relativeFrom="paragraph">
            <wp:posOffset>114300</wp:posOffset>
          </wp:positionV>
          <wp:extent cx="1045210" cy="633095"/>
          <wp:effectExtent l="0" t="0" r="0" b="0"/>
          <wp:wrapNone/>
          <wp:docPr id="11" name="image2.png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Copy 2"/>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fldChar w:fldCharType="begin"/>
    </w:r>
    <w:r>
      <w:instrText xml:space="preserve"> PAGE </w:instrText>
    </w:r>
    <w:r>
      <w:fldChar w:fldCharType="separate"/>
    </w:r>
    <w:r>
      <w:t>0</w:t>
    </w:r>
    <w:r>
      <w:fldChar w:fldCharType="end"/>
    </w:r>
    <w:r>
      <w:t xml:space="preserve">    </w:t>
    </w:r>
  </w:p>
  <w:p w14:paraId="7C2B416C" w14:textId="77777777" w:rsidR="0075180E" w:rsidRDefault="008F4B1A">
    <w:pPr>
      <w:pStyle w:val="normal1"/>
      <w:tabs>
        <w:tab w:val="center" w:pos="4513"/>
        <w:tab w:val="right" w:pos="9026"/>
      </w:tabs>
      <w:spacing w:after="0" w:line="240" w:lineRule="auto"/>
      <w:rPr>
        <w:rFonts w:ascii="Raleway" w:eastAsia="Raleway" w:hAnsi="Raleway" w:cs="Raleway"/>
        <w:color w:val="000000"/>
      </w:rPr>
    </w:pPr>
    <w:r>
      <w:rPr>
        <w:rFonts w:ascii="Raleway" w:eastAsia="Raleway" w:hAnsi="Raleway" w:cs="Raleway"/>
        <w:noProof/>
        <w:color w:val="000000"/>
      </w:rPr>
      <mc:AlternateContent>
        <mc:Choice Requires="wps">
          <w:drawing>
            <wp:anchor distT="0" distB="0" distL="0" distR="0" simplePos="0" relativeHeight="251658240" behindDoc="1" locked="0" layoutInCell="0" allowOverlap="1" wp14:anchorId="0408541F" wp14:editId="07777777">
              <wp:simplePos x="0" y="0"/>
              <wp:positionH relativeFrom="column">
                <wp:posOffset>0</wp:posOffset>
              </wp:positionH>
              <wp:positionV relativeFrom="paragraph">
                <wp:posOffset>635</wp:posOffset>
              </wp:positionV>
              <wp:extent cx="561340" cy="414020"/>
              <wp:effectExtent l="0" t="0" r="0" b="0"/>
              <wp:wrapNone/>
              <wp:docPr id="12" name="Shape 4" descr="OFFICIAL"/>
              <wp:cNvGraphicFramePr/>
              <a:graphic xmlns:a="http://schemas.openxmlformats.org/drawingml/2006/main">
                <a:graphicData uri="http://schemas.microsoft.com/office/word/2010/wordprocessingShape">
                  <wps:wsp>
                    <wps:cNvSpPr/>
                    <wps:spPr>
                      <a:xfrm>
                        <a:off x="0" y="0"/>
                        <a:ext cx="561240" cy="414000"/>
                      </a:xfrm>
                      <a:prstGeom prst="rect">
                        <a:avLst/>
                      </a:prstGeom>
                      <a:noFill/>
                      <a:ln w="0">
                        <a:noFill/>
                      </a:ln>
                    </wps:spPr>
                    <wps:style>
                      <a:lnRef idx="0">
                        <a:scrgbClr r="0" g="0" b="0"/>
                      </a:lnRef>
                      <a:fillRef idx="0">
                        <a:scrgbClr r="0" g="0" b="0"/>
                      </a:fillRef>
                      <a:effectRef idx="0">
                        <a:scrgbClr r="0" g="0" b="0"/>
                      </a:effectRef>
                      <a:fontRef idx="minor"/>
                    </wps:style>
                    <wps:txbx>
                      <w:txbxContent>
                        <w:p w14:paraId="42DD9960" w14:textId="77777777" w:rsidR="0075180E" w:rsidRDefault="008F4B1A">
                          <w:pPr>
                            <w:pStyle w:val="FrameContents"/>
                            <w:spacing w:after="0" w:line="275" w:lineRule="exact"/>
                          </w:pPr>
                          <w:r>
                            <w:rPr>
                              <w:rFonts w:ascii="Calibri" w:eastAsia="Calibri" w:hAnsi="Calibri" w:cs="Calibri"/>
                              <w:color w:val="FF0000"/>
                              <w:sz w:val="24"/>
                            </w:rPr>
                            <w:t>OFFICIAL</w:t>
                          </w:r>
                        </w:p>
                      </w:txbxContent>
                    </wps:txbx>
                    <wps:bodyPr lIns="0" tIns="0" rIns="0" bIns="190440" anchor="b">
                      <a:noAutofit/>
                    </wps:bodyPr>
                  </wps:wsp>
                </a:graphicData>
              </a:graphic>
            </wp:anchor>
          </w:drawing>
        </mc:Choice>
        <mc:Fallback>
          <w:pict>
            <v:rect w14:anchorId="0408541F" id="Shape 4" o:spid="_x0000_s1030" alt="OFFICIAL" style="position:absolute;margin-left:0;margin-top:.05pt;width:44.2pt;height:32.6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Q90gEAAAcEAAAOAAAAZHJzL2Uyb0RvYy54bWysU1GP0zAMfkfiP0R5Z22ncYJp3QlxOoSE&#10;4MTBD0jTZI2UxJGTW7t/j5N1HQdPh3hJXcef7e+zs7udnGVHhdGAb3mzqjlTXkJv/KHlP3/cv3nH&#10;WUzC98KCVy0/qchv969f7cawVWsYwPYKGSXxcTuGlg8phW1VRTkoJ+IKgvJ0qQGdSPSLh6pHMVJ2&#10;Z6t1Xd9UI2AfEKSKkbx350u+L/m1VjJ90zqqxGzLqbdUTixnl89qvxPbA4owGDm3If6hCyeMp6JL&#10;qjuRBHtC81cqZyRCBJ1WElwFWhupCgdi09R/sHkcRFCFC4kTwyJT/H9p5dfjY3hAkmEMcRvJzCwm&#10;jS5/qT82FbFOi1hqSkyS8+1Ns96QpJKuNs2mrouY1RUcMKZPChzLRsuRZlEkEscvMVFBCr2E5Foe&#10;7o21ZR7WszHXe+amcOsJde2zWOlkVY6z/rvSzPSl3eyIEg/dR4vsPG1aR2r2MvOSjAA5UFPZF2Jn&#10;SEarsmQvxC+gUh98WvDOeMC8lWeeZ3aZaJq6ieiR1vk2ezroTw/I7GdP+5B3+2LgxeiK0byvN3lQ&#10;wssBSIxu1vXDUwJtyiSu6ebCtG1lQPPLyOv8+3+Jur7f/S8AAAD//wMAUEsDBBQABgAIAAAAIQAA&#10;T06Q2AAAAAMBAAAPAAAAZHJzL2Rvd25yZXYueG1sTI7dSsNAEIXvBd9hGcE7u/EvhJhNEaEgRQSr&#10;DzDJjkno7mya3bapT+/0Si/nnMM3X7WcvVMHmuIQ2MDtIgNF3AY7cGfg63N1U4CKCdmiC0wGThRh&#10;WV9eVFjacOQPOmxSpwTCsUQDfUpjqXVse/IYF2Eklu47TB6TnFOn7YRHgXun77Is1x4Hlg89jvTS&#10;U7vd7L2B7O01bHdD/l7YXePoJ63tqs2Nub6an59AJZrT3xjO+qIOtTg1Yc82KicM2Z1TJV1RPIBq&#10;DOSP96DrSv93r38BAAD//wMAUEsBAi0AFAAGAAgAAAAhALaDOJL+AAAA4QEAABMAAAAAAAAAAAAA&#10;AAAAAAAAAFtDb250ZW50X1R5cGVzXS54bWxQSwECLQAUAAYACAAAACEAOP0h/9YAAACUAQAACwAA&#10;AAAAAAAAAAAAAAAvAQAAX3JlbHMvLnJlbHNQSwECLQAUAAYACAAAACEAFLYUPdIBAAAHBAAADgAA&#10;AAAAAAAAAAAAAAAuAgAAZHJzL2Uyb0RvYy54bWxQSwECLQAUAAYACAAAACEAAE9OkNgAAAADAQAA&#10;DwAAAAAAAAAAAAAAAAAsBAAAZHJzL2Rvd25yZXYueG1sUEsFBgAAAAAEAAQA8wAAADEFAAAAAA==&#10;" o:allowincell="f" filled="f" stroked="f" strokeweight="0">
              <v:textbox inset="0,0,0,5.29mm">
                <w:txbxContent>
                  <w:p w14:paraId="42DD9960" w14:textId="77777777" w:rsidR="0075180E" w:rsidRDefault="008F4B1A">
                    <w:pPr>
                      <w:pStyle w:val="FrameContents"/>
                      <w:spacing w:after="0" w:line="275" w:lineRule="exact"/>
                    </w:pPr>
                    <w:r>
                      <w:rPr>
                        <w:rFonts w:ascii="Calibri" w:eastAsia="Calibri" w:hAnsi="Calibri" w:cs="Calibri"/>
                        <w:color w:val="FF0000"/>
                        <w:sz w:val="24"/>
                      </w:rPr>
                      <w:t>OFFICIAL</w:t>
                    </w:r>
                  </w:p>
                </w:txbxContent>
              </v:textbox>
            </v:rect>
          </w:pict>
        </mc:Fallback>
      </mc:AlternateContent>
    </w:r>
    <w:r>
      <w:rPr>
        <w:rFonts w:ascii="Raleway" w:eastAsia="Raleway" w:hAnsi="Raleway" w:cs="Raleway"/>
        <w:noProof/>
        <w:color w:val="000000"/>
      </w:rPr>
      <mc:AlternateContent>
        <mc:Choice Requires="wps">
          <w:drawing>
            <wp:anchor distT="0" distB="0" distL="0" distR="0" simplePos="0" relativeHeight="251658243" behindDoc="1" locked="0" layoutInCell="0" allowOverlap="1" wp14:anchorId="1F1522DC" wp14:editId="07777777">
              <wp:simplePos x="0" y="0"/>
              <wp:positionH relativeFrom="column">
                <wp:posOffset>0</wp:posOffset>
              </wp:positionH>
              <wp:positionV relativeFrom="paragraph">
                <wp:posOffset>635</wp:posOffset>
              </wp:positionV>
              <wp:extent cx="748030" cy="393065"/>
              <wp:effectExtent l="0" t="0" r="0" b="0"/>
              <wp:wrapNone/>
              <wp:docPr id="14" name="Shape 5" descr="OFFICIAL"/>
              <wp:cNvGraphicFramePr/>
              <a:graphic xmlns:a="http://schemas.openxmlformats.org/drawingml/2006/main">
                <a:graphicData uri="http://schemas.microsoft.com/office/word/2010/wordprocessingShape">
                  <wps:wsp>
                    <wps:cNvSpPr/>
                    <wps:spPr>
                      <a:xfrm>
                        <a:off x="0" y="0"/>
                        <a:ext cx="748080" cy="393120"/>
                      </a:xfrm>
                      <a:prstGeom prst="rect">
                        <a:avLst/>
                      </a:prstGeom>
                      <a:noFill/>
                      <a:ln w="0">
                        <a:noFill/>
                      </a:ln>
                    </wps:spPr>
                    <wps:style>
                      <a:lnRef idx="0">
                        <a:scrgbClr r="0" g="0" b="0"/>
                      </a:lnRef>
                      <a:fillRef idx="0">
                        <a:scrgbClr r="0" g="0" b="0"/>
                      </a:fillRef>
                      <a:effectRef idx="0">
                        <a:scrgbClr r="0" g="0" b="0"/>
                      </a:effectRef>
                      <a:fontRef idx="minor"/>
                    </wps:style>
                    <wps:txbx>
                      <w:txbxContent>
                        <w:p w14:paraId="6D44D65D" w14:textId="77777777" w:rsidR="0075180E" w:rsidRDefault="008F4B1A">
                          <w:pPr>
                            <w:pStyle w:val="FrameContents"/>
                            <w:spacing w:after="0" w:line="240" w:lineRule="exact"/>
                          </w:pPr>
                          <w:r>
                            <w:rPr>
                              <w:rFonts w:ascii="Aptos" w:eastAsia="Aptos" w:hAnsi="Aptos" w:cs="Aptos"/>
                              <w:color w:val="FF0000"/>
                              <w:sz w:val="24"/>
                            </w:rPr>
                            <w:t>OFFICIAL</w:t>
                          </w:r>
                        </w:p>
                      </w:txbxContent>
                    </wps:txbx>
                    <wps:bodyPr lIns="0" tIns="0" rIns="0" bIns="190440" anchor="b">
                      <a:noAutofit/>
                    </wps:bodyPr>
                  </wps:wsp>
                </a:graphicData>
              </a:graphic>
            </wp:anchor>
          </w:drawing>
        </mc:Choice>
        <mc:Fallback>
          <w:pict>
            <v:rect w14:anchorId="1F1522DC" id="Shape 5" o:spid="_x0000_s1031" alt="OFFICIAL" style="position:absolute;margin-left:0;margin-top:.05pt;width:58.9pt;height:30.95pt;z-index:-251658237;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7L1AEAAAcEAAAOAAAAZHJzL2Uyb0RvYy54bWysU8Fu2zAMvQ/YPwi6L3bSbEuNOMWwosOA&#10;YSva7gNkWYoFyKJAqbHz96MUx9nWU4ddZJriI/keqe3N2Ft2UBgMuJovFyVnyklojdvX/OfT3bsN&#10;ZyEK1woLTtX8qAK/2b19sx18pVbQgW0VMkriQjX4mncx+qooguxUL8ICvHJ0qQF7EekX90WLYqDs&#10;vS1WZfmhGABbjyBVCOS9PV3yXc6vtZLxh9ZBRWZrTr3FfGI+m3QWu62o9ih8Z+TUhviHLnphHBWd&#10;U92KKNgzmhepeiMRAui4kNAXoLWRKnMgNsvyLzaPnfAqcyFxgp9lCv8vrfx+ePT3SDIMPlSBzMRi&#10;1NinL/XHxizWcRZLjZFJcn5cb8oNSSrp6ur6arnKYhYXsMcQvyjoWTJqjjSLLJE4fAuRClLoOSTV&#10;cnBnrM3zsI4Nqd4fbgq3jlCXPrMVj1alOOselGamze0mR5C4bz5bZKdp0zpSs+eZ52QESIGayr4S&#10;O0ESWuUleyV+BuX64OKM740DTFt54nlil4jGsRmJXs3fp9vkaaA93iOzXx3tQ9rts4Fno8nG8rpc&#10;r+leONkBidFMun56jqBNnsQl3VSYti0PaHoZaZ1//89Rl/e7+wUAAP//AwBQSwMEFAAGAAgAAAAh&#10;AJJUzIrYAAAABAEAAA8AAABkcnMvZG93bnJldi54bWxMj8FqwzAMhu+DvoNRobfVbg9ZyeKUUSiU&#10;MQbr9gBOrCWhtpzGbpvu6aectqP0/3z6VGxH78QVh9gF0rBaKhBIdbAdNRq+PvePGxAxGbLGBUIN&#10;d4ywLWcPhcltuNEHXo+pEQyhmBsNbUp9LmWsW/QmLkOPxNl3GLxJPA6NtIO5Mdw7uVYqk950xBda&#10;0+Ouxfp0vHgN6u0QTucue9/Yc+XwJ73afZ1pvZiPL88gEo7prwyTPqtDyU5VuJCNwjGDe9NWTNnq&#10;id+oNGRrBbIs5H/58hcAAP//AwBQSwECLQAUAAYACAAAACEAtoM4kv4AAADhAQAAEwAAAAAAAAAA&#10;AAAAAAAAAAAAW0NvbnRlbnRfVHlwZXNdLnhtbFBLAQItABQABgAIAAAAIQA4/SH/1gAAAJQBAAAL&#10;AAAAAAAAAAAAAAAAAC8BAABfcmVscy8ucmVsc1BLAQItABQABgAIAAAAIQAWVk7L1AEAAAcEAAAO&#10;AAAAAAAAAAAAAAAAAC4CAABkcnMvZTJvRG9jLnhtbFBLAQItABQABgAIAAAAIQCSVMyK2AAAAAQB&#10;AAAPAAAAAAAAAAAAAAAAAC4EAABkcnMvZG93bnJldi54bWxQSwUGAAAAAAQABADzAAAAMwUAAAAA&#10;" o:allowincell="f" filled="f" stroked="f" strokeweight="0">
              <v:textbox inset="0,0,0,5.29mm">
                <w:txbxContent>
                  <w:p w14:paraId="6D44D65D" w14:textId="77777777" w:rsidR="0075180E" w:rsidRDefault="008F4B1A">
                    <w:pPr>
                      <w:pStyle w:val="FrameContents"/>
                      <w:spacing w:after="0" w:line="240" w:lineRule="exact"/>
                    </w:pPr>
                    <w:r>
                      <w:rPr>
                        <w:rFonts w:ascii="Aptos" w:eastAsia="Aptos" w:hAnsi="Aptos" w:cs="Aptos"/>
                        <w:color w:val="FF0000"/>
                        <w:sz w:val="24"/>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15CEA" w14:textId="1BAB0699" w:rsidR="03A76B7A" w:rsidRDefault="03A76B7A" w:rsidP="03A76B7A">
    <w:pPr>
      <w:pStyle w:val="Footer"/>
    </w:pPr>
    <w:r>
      <w:fldChar w:fldCharType="begin"/>
    </w:r>
    <w:r>
      <w:instrText>PAGE</w:instrText>
    </w:r>
    <w:r>
      <w:fldChar w:fldCharType="separate"/>
    </w:r>
    <w:r w:rsidR="008F4B1A">
      <w:rPr>
        <w:noProof/>
      </w:rPr>
      <w:t>2</w:t>
    </w:r>
    <w:r>
      <w:fldChar w:fldCharType="end"/>
    </w:r>
  </w:p>
  <w:p w14:paraId="06CBC2E3" w14:textId="29BB2C00" w:rsidR="03A76B7A" w:rsidRDefault="03A76B7A" w:rsidP="03A76B7A">
    <w:pPr>
      <w:pStyle w:val="Footer"/>
    </w:pPr>
  </w:p>
  <w:p w14:paraId="5F78B716" w14:textId="4CBFFDD4" w:rsidR="0075180E" w:rsidRDefault="008F4B1A">
    <w:pPr>
      <w:pStyle w:val="normal1"/>
      <w:jc w:val="center"/>
      <w:rPr>
        <w:color w:val="244061"/>
        <w:sz w:val="40"/>
        <w:szCs w:val="40"/>
        <w:highlight w:val="yellow"/>
      </w:rPr>
    </w:pPr>
    <w:r>
      <w:rPr>
        <w:noProof/>
      </w:rPr>
      <w:drawing>
        <wp:anchor distT="0" distB="0" distL="0" distR="0" simplePos="0" relativeHeight="251658244" behindDoc="1" locked="0" layoutInCell="0" allowOverlap="1" wp14:anchorId="6FA909FE" wp14:editId="07777777">
          <wp:simplePos x="0" y="0"/>
          <wp:positionH relativeFrom="column">
            <wp:posOffset>5095875</wp:posOffset>
          </wp:positionH>
          <wp:positionV relativeFrom="paragraph">
            <wp:posOffset>114300</wp:posOffset>
          </wp:positionV>
          <wp:extent cx="1045210" cy="633095"/>
          <wp:effectExtent l="0" t="0" r="0" b="0"/>
          <wp:wrapNone/>
          <wp:docPr id="16" name="image2.png" descr="Symbo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descr="Symbolix logo"/>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56223" w14:textId="77777777" w:rsidR="0075180E" w:rsidRDefault="0075180E">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44B88" w14:textId="77777777" w:rsidR="0075180E" w:rsidRDefault="0075180E">
      <w:pPr>
        <w:pStyle w:val="normal1"/>
        <w:rPr>
          <w:sz w:val="12"/>
        </w:rPr>
      </w:pPr>
    </w:p>
  </w:footnote>
  <w:footnote w:type="continuationSeparator" w:id="0">
    <w:p w14:paraId="7F34694F" w14:textId="77777777" w:rsidR="0075180E" w:rsidRDefault="0075180E">
      <w:pPr>
        <w:pStyle w:val="normal1"/>
        <w:rPr>
          <w:sz w:val="12"/>
        </w:rPr>
      </w:pPr>
    </w:p>
  </w:footnote>
  <w:footnote w:id="1">
    <w:p w14:paraId="6B1D34ED" w14:textId="77777777" w:rsidR="0075180E" w:rsidRDefault="008F4B1A">
      <w:pPr>
        <w:pStyle w:val="normal1"/>
        <w:spacing w:line="240" w:lineRule="auto"/>
        <w:rPr>
          <w:i/>
          <w:iCs/>
          <w:sz w:val="18"/>
          <w:szCs w:val="18"/>
        </w:rPr>
      </w:pPr>
      <w:r>
        <w:rPr>
          <w:rStyle w:val="FootnoteCharacters"/>
        </w:rPr>
        <w:footnoteRef/>
      </w:r>
      <w:r>
        <w:rPr>
          <w:i/>
          <w:iCs/>
          <w:sz w:val="18"/>
          <w:szCs w:val="18"/>
        </w:rPr>
        <w:t xml:space="preserve"> Notably a number of post 2020 documents referenced the older 2007 model, not the model versions that superseded that version,  Band 2012 and following,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33FBC" w14:textId="545F23B2" w:rsidR="0075180E" w:rsidRDefault="008F4B1A">
    <w:pPr>
      <w:pStyle w:val="normal1"/>
      <w:tabs>
        <w:tab w:val="center" w:pos="4513"/>
        <w:tab w:val="right" w:pos="9026"/>
      </w:tabs>
      <w:spacing w:after="0" w:line="240" w:lineRule="auto"/>
      <w:rPr>
        <w:rFonts w:ascii="Raleway" w:eastAsia="Raleway" w:hAnsi="Raleway" w:cs="Raleway"/>
        <w:color w:val="000000"/>
      </w:rPr>
    </w:pPr>
    <w:r>
      <w:rPr>
        <w:noProof/>
      </w:rPr>
      <mc:AlternateContent>
        <mc:Choice Requires="wps">
          <w:drawing>
            <wp:anchor distT="0" distB="0" distL="0" distR="0" simplePos="0" relativeHeight="251658247" behindDoc="0" locked="0" layoutInCell="1" allowOverlap="1" wp14:anchorId="60E943F2" wp14:editId="339C4AF1">
              <wp:simplePos x="635" y="635"/>
              <wp:positionH relativeFrom="page">
                <wp:align>center</wp:align>
              </wp:positionH>
              <wp:positionV relativeFrom="page">
                <wp:align>top</wp:align>
              </wp:positionV>
              <wp:extent cx="622300" cy="404495"/>
              <wp:effectExtent l="0" t="0" r="6350" b="14605"/>
              <wp:wrapNone/>
              <wp:docPr id="9102338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BBE28A2" w14:textId="5929A59E" w:rsidR="008F4B1A" w:rsidRPr="008F4B1A" w:rsidRDefault="008F4B1A" w:rsidP="008F4B1A">
                          <w:pPr>
                            <w:spacing w:after="0"/>
                            <w:rPr>
                              <w:rFonts w:ascii="Aptos" w:eastAsia="Aptos" w:hAnsi="Aptos" w:cs="Aptos"/>
                              <w:noProof/>
                              <w:color w:val="FF0000"/>
                              <w:sz w:val="24"/>
                              <w:szCs w:val="24"/>
                            </w:rPr>
                          </w:pPr>
                          <w:r w:rsidRPr="008F4B1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E943F2" id="_x0000_t202" coordsize="21600,21600" o:spt="202" path="m,l,21600r21600,l21600,xe">
              <v:stroke joinstyle="miter"/>
              <v:path gradientshapeok="t" o:connecttype="rect"/>
            </v:shapetype>
            <v:shape id="Text Box 2" o:spid="_x0000_s1026" type="#_x0000_t202" alt="OFFICIAL" style="position:absolute;margin-left:0;margin-top:0;width:49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4BBE28A2" w14:textId="5929A59E" w:rsidR="008F4B1A" w:rsidRPr="008F4B1A" w:rsidRDefault="008F4B1A" w:rsidP="008F4B1A">
                    <w:pPr>
                      <w:spacing w:after="0"/>
                      <w:rPr>
                        <w:rFonts w:ascii="Aptos" w:eastAsia="Aptos" w:hAnsi="Aptos" w:cs="Aptos"/>
                        <w:noProof/>
                        <w:color w:val="FF0000"/>
                        <w:sz w:val="24"/>
                        <w:szCs w:val="24"/>
                      </w:rPr>
                    </w:pPr>
                    <w:r w:rsidRPr="008F4B1A">
                      <w:rPr>
                        <w:rFonts w:ascii="Aptos" w:eastAsia="Aptos" w:hAnsi="Aptos" w:cs="Aptos"/>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0" allowOverlap="1" wp14:anchorId="7704EC32" wp14:editId="07777777">
              <wp:simplePos x="0" y="0"/>
              <wp:positionH relativeFrom="page">
                <wp:align>center</wp:align>
              </wp:positionH>
              <wp:positionV relativeFrom="page">
                <wp:align>top</wp:align>
              </wp:positionV>
              <wp:extent cx="561340" cy="414020"/>
              <wp:effectExtent l="0" t="0" r="0" b="0"/>
              <wp:wrapNone/>
              <wp:docPr id="4" name="Shape 3" descr="OFFICIAL"/>
              <wp:cNvGraphicFramePr/>
              <a:graphic xmlns:a="http://schemas.openxmlformats.org/drawingml/2006/main">
                <a:graphicData uri="http://schemas.microsoft.com/office/word/2010/wordprocessingShape">
                  <wps:wsp>
                    <wps:cNvSpPr/>
                    <wps:spPr>
                      <a:xfrm>
                        <a:off x="0" y="0"/>
                        <a:ext cx="561240" cy="414000"/>
                      </a:xfrm>
                      <a:prstGeom prst="rect">
                        <a:avLst/>
                      </a:prstGeom>
                      <a:noFill/>
                      <a:ln w="0">
                        <a:noFill/>
                      </a:ln>
                    </wps:spPr>
                    <wps:style>
                      <a:lnRef idx="0">
                        <a:scrgbClr r="0" g="0" b="0"/>
                      </a:lnRef>
                      <a:fillRef idx="0">
                        <a:scrgbClr r="0" g="0" b="0"/>
                      </a:fillRef>
                      <a:effectRef idx="0">
                        <a:scrgbClr r="0" g="0" b="0"/>
                      </a:effectRef>
                      <a:fontRef idx="minor"/>
                    </wps:style>
                    <wps:txbx>
                      <w:txbxContent>
                        <w:p w14:paraId="08CE8BEA" w14:textId="77777777" w:rsidR="0075180E" w:rsidRDefault="008F4B1A">
                          <w:pPr>
                            <w:pStyle w:val="FrameContents"/>
                            <w:spacing w:after="0" w:line="275" w:lineRule="exact"/>
                          </w:pPr>
                          <w:r>
                            <w:rPr>
                              <w:rFonts w:ascii="Calibri" w:eastAsia="Calibri" w:hAnsi="Calibri" w:cs="Calibri"/>
                              <w:color w:val="FF0000"/>
                              <w:sz w:val="24"/>
                            </w:rPr>
                            <w:t>OFFICIAL</w:t>
                          </w:r>
                        </w:p>
                      </w:txbxContent>
                    </wps:txbx>
                    <wps:bodyPr lIns="0" tIns="190440" rIns="0" bIns="0" anchor="t">
                      <a:noAutofit/>
                    </wps:bodyPr>
                  </wps:wsp>
                </a:graphicData>
              </a:graphic>
            </wp:anchor>
          </w:drawing>
        </mc:Choice>
        <mc:Fallback>
          <w:pict>
            <v:rect w14:anchorId="7704EC32" id="Shape 3" o:spid="_x0000_s1027" alt="OFFICIAL" style="position:absolute;margin-left:0;margin-top:0;width:44.2pt;height:32.6pt;z-index:-251658239;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9d30wEAAAcEAAAOAAAAZHJzL2Uyb0RvYy54bWysU1GP0zAMfkfiP0R5Z22ncYJq3QlxOoSE&#10;4MTBD0jTZI2UxJGTW7t/j5NtHQdPh3hJXcef7e+zs72dnWUHhdGA73izqjlTXsJg/L7jP3/cv3nH&#10;WUzCD8KCVx0/qshvd69fbafQqjWMYAeFjJL42E6h42NKoa2qKEflRFxBUJ4uNaATiX5xXw0oJsru&#10;bLWu65tqAhwCglQxkvfudMl3Jb/WSqZvWkeVmO049ZbKieXs81nttqLdowijkec2xD904YTxVHRJ&#10;dSeSYE9o/krljESIoNNKgqtAayNV4UBsmvoPNo+jCKpwIXFiWGSK/y+t/Hp4DA9IMkwhtpHMzGLW&#10;6PKX+mNzEeu4iKXmxCQ539406w1JKulq02zquohZXcEBY/qkwLFsdBxpFkUicfgSExWk0EtIruXh&#10;3lhb5mE9m3K9Z24Kt55Q1z6LlY5W5TjrvyvNzFDazY4ocd9/tMhO06Z1pGYvMy/JCJADNZV9IfYM&#10;yWhVluyF+AVU6oNPC94ZD5i38sTzxC4TTXM/Ez16Y/k2e3oYjg/I7GdP+5B3uxjN+3qTx4IXd38x&#10;hJcjkBinKXj48JRAmzKJa7pzYdq2MqDzy8jr/Pt/ibq+390vAAAA//8DAFBLAwQUAAYACAAAACEA&#10;WMpf5dcAAAADAQAADwAAAGRycy9kb3ducmV2LnhtbEyPwU7DMBBE70j8g7VI3KhDaSsrxKmgwAcQ&#10;Is5uvCQW8TqynTb8PQsXuKw0mtHM22q/+FGcMCYXSMPtqgCB1AXrqNfQvr3cKBApG7JmDIQavjDB&#10;vr68qExpw5le8dTkXnAJpdJoGHKeSilTN6A3aRUmJPY+QvQms4y9tNGcudyPcl0UO+mNI14YzISH&#10;AbvPZvYaiOw2PrbF3ftz289qo5rDk3NaX18tD/cgMi75Lww/+IwONTMdw0w2iVEDP5J/L3tKbUAc&#10;Ney2a5B1Jf+z198AAAD//wMAUEsBAi0AFAAGAAgAAAAhALaDOJL+AAAA4QEAABMAAAAAAAAAAAAA&#10;AAAAAAAAAFtDb250ZW50X1R5cGVzXS54bWxQSwECLQAUAAYACAAAACEAOP0h/9YAAACUAQAACwAA&#10;AAAAAAAAAAAAAAAvAQAAX3JlbHMvLnJlbHNQSwECLQAUAAYACAAAACEAfe/Xd9MBAAAHBAAADgAA&#10;AAAAAAAAAAAAAAAuAgAAZHJzL2Uyb0RvYy54bWxQSwECLQAUAAYACAAAACEAWMpf5dcAAAADAQAA&#10;DwAAAAAAAAAAAAAAAAAtBAAAZHJzL2Rvd25yZXYueG1sUEsFBgAAAAAEAAQA8wAAADEFAAAAAA==&#10;" o:allowincell="f" filled="f" stroked="f" strokeweight="0">
              <v:textbox inset="0,5.29mm,0,0">
                <w:txbxContent>
                  <w:p w14:paraId="08CE8BEA" w14:textId="77777777" w:rsidR="0075180E" w:rsidRDefault="008F4B1A">
                    <w:pPr>
                      <w:pStyle w:val="FrameContents"/>
                      <w:spacing w:after="0" w:line="275" w:lineRule="exact"/>
                    </w:pPr>
                    <w:r>
                      <w:rPr>
                        <w:rFonts w:ascii="Calibri" w:eastAsia="Calibri" w:hAnsi="Calibri" w:cs="Calibri"/>
                        <w:color w:val="FF0000"/>
                        <w:sz w:val="24"/>
                      </w:rPr>
                      <w:t>OFFICIAL</w:t>
                    </w:r>
                  </w:p>
                </w:txbxContent>
              </v:textbox>
              <w10:wrap anchorx="page" anchory="page"/>
            </v:rect>
          </w:pict>
        </mc:Fallback>
      </mc:AlternateContent>
    </w:r>
    <w:r>
      <w:rPr>
        <w:noProof/>
      </w:rPr>
      <mc:AlternateContent>
        <mc:Choice Requires="wps">
          <w:drawing>
            <wp:anchor distT="0" distB="0" distL="0" distR="0" simplePos="0" relativeHeight="251658242" behindDoc="1" locked="0" layoutInCell="0" allowOverlap="1" wp14:anchorId="3BA673BE" wp14:editId="07777777">
              <wp:simplePos x="0" y="0"/>
              <wp:positionH relativeFrom="column">
                <wp:posOffset>0</wp:posOffset>
              </wp:positionH>
              <wp:positionV relativeFrom="paragraph">
                <wp:posOffset>635</wp:posOffset>
              </wp:positionV>
              <wp:extent cx="748030" cy="393065"/>
              <wp:effectExtent l="0" t="0" r="0" b="0"/>
              <wp:wrapNone/>
              <wp:docPr id="6" name="Shape 3" descr="OFFICIAL"/>
              <wp:cNvGraphicFramePr/>
              <a:graphic xmlns:a="http://schemas.openxmlformats.org/drawingml/2006/main">
                <a:graphicData uri="http://schemas.microsoft.com/office/word/2010/wordprocessingShape">
                  <wps:wsp>
                    <wps:cNvSpPr/>
                    <wps:spPr>
                      <a:xfrm>
                        <a:off x="0" y="0"/>
                        <a:ext cx="748080" cy="393120"/>
                      </a:xfrm>
                      <a:prstGeom prst="rect">
                        <a:avLst/>
                      </a:prstGeom>
                      <a:noFill/>
                      <a:ln w="0">
                        <a:noFill/>
                      </a:ln>
                    </wps:spPr>
                    <wps:style>
                      <a:lnRef idx="0">
                        <a:scrgbClr r="0" g="0" b="0"/>
                      </a:lnRef>
                      <a:fillRef idx="0">
                        <a:scrgbClr r="0" g="0" b="0"/>
                      </a:fillRef>
                      <a:effectRef idx="0">
                        <a:scrgbClr r="0" g="0" b="0"/>
                      </a:effectRef>
                      <a:fontRef idx="minor"/>
                    </wps:style>
                    <wps:txbx>
                      <w:txbxContent>
                        <w:p w14:paraId="75F360E3" w14:textId="77777777" w:rsidR="0075180E" w:rsidRDefault="008F4B1A">
                          <w:pPr>
                            <w:pStyle w:val="FrameContents"/>
                            <w:spacing w:after="0" w:line="240" w:lineRule="exact"/>
                          </w:pPr>
                          <w:r>
                            <w:rPr>
                              <w:rFonts w:ascii="Aptos" w:eastAsia="Aptos" w:hAnsi="Aptos" w:cs="Aptos"/>
                              <w:color w:val="FF0000"/>
                              <w:sz w:val="24"/>
                            </w:rPr>
                            <w:t>OFFICIAL</w:t>
                          </w:r>
                        </w:p>
                      </w:txbxContent>
                    </wps:txbx>
                    <wps:bodyPr lIns="0" tIns="0" rIns="0" bIns="190440" anchor="b">
                      <a:noAutofit/>
                    </wps:bodyPr>
                  </wps:wsp>
                </a:graphicData>
              </a:graphic>
            </wp:anchor>
          </w:drawing>
        </mc:Choice>
        <mc:Fallback>
          <w:pict>
            <v:rect w14:anchorId="3BA673BE" id="_x0000_s1028" alt="OFFICIAL" style="position:absolute;margin-left:0;margin-top:.05pt;width:58.9pt;height:30.95pt;z-index:-25165823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BM1AEAAAcEAAAOAAAAZHJzL2Uyb0RvYy54bWysU9tu2zAMfR+wfxD0vthJgy0N4hTDig4D&#10;hq1Ytw+QZSkWIIkCpcbO349SHGeXpw57kWmKh+Q5pHZ3o7PsqDAa8A1fLmrOlJfQGX9o+I/vD282&#10;nMUkfCcseNXwk4r8bv/61W4IW7WCHmynkFESH7dDaHifUthWVZS9ciIuIChPlxrQiUS/eKg6FANl&#10;d7Za1fXbagDsAoJUMZL3/nzJ9yW/1kqmr1pHlZhtOPWWyonlbPNZ7Xdie0AReiOnNsQ/dOGE8VR0&#10;TnUvkmDPaP5K5YxEiKDTQoKrQGsjVeFAbJb1H2yeehFU4ULixDDLFP9fWvnl+BQekWQYQtxGMjOL&#10;UaPLX+qPjUWs0yyWGhOT5Hy33tQbklTS1c3tzXJVxKyu4IAxfVTgWDYajjSLIpE4fo6JClLoJSTX&#10;8vBgrC3zsJ4Nud5vbgq3nlDXPouVTlblOOu/Kc1MV9rNjijx0H6wyM7TpnWkZi8zL8kIkAM1lX0h&#10;doJktCpL9kL8DCr1wacZ74wHzFt55nlml4mmsR2JXsNX+TZ7WuhOj8jsJ0/7kHf7YuDFaIuxvK3X&#10;a7oXXvZAYrSTru+fE2hTJnFNNxWmbSsDml5GXudf/0vU9f3ufwIAAP//AwBQSwMEFAAGAAgAAAAh&#10;AJJUzIrYAAAABAEAAA8AAABkcnMvZG93bnJldi54bWxMj8FqwzAMhu+DvoNRobfVbg9ZyeKUUSiU&#10;MQbr9gBOrCWhtpzGbpvu6aectqP0/3z6VGxH78QVh9gF0rBaKhBIdbAdNRq+PvePGxAxGbLGBUIN&#10;d4ywLWcPhcltuNEHXo+pEQyhmBsNbUp9LmWsW/QmLkOPxNl3GLxJPA6NtIO5Mdw7uVYqk950xBda&#10;0+Ouxfp0vHgN6u0QTucue9/Yc+XwJ73afZ1pvZiPL88gEo7prwyTPqtDyU5VuJCNwjGDe9NWTNnq&#10;id+oNGRrBbIs5H/58hcAAP//AwBQSwECLQAUAAYACAAAACEAtoM4kv4AAADhAQAAEwAAAAAAAAAA&#10;AAAAAAAAAAAAW0NvbnRlbnRfVHlwZXNdLnhtbFBLAQItABQABgAIAAAAIQA4/SH/1gAAAJQBAAAL&#10;AAAAAAAAAAAAAAAAAC8BAABfcmVscy8ucmVsc1BLAQItABQABgAIAAAAIQCRbwBM1AEAAAcEAAAO&#10;AAAAAAAAAAAAAAAAAC4CAABkcnMvZTJvRG9jLnhtbFBLAQItABQABgAIAAAAIQCSVMyK2AAAAAQB&#10;AAAPAAAAAAAAAAAAAAAAAC4EAABkcnMvZG93bnJldi54bWxQSwUGAAAAAAQABADzAAAAMwUAAAAA&#10;" o:allowincell="f" filled="f" stroked="f" strokeweight="0">
              <v:textbox inset="0,0,0,5.29mm">
                <w:txbxContent>
                  <w:p w14:paraId="75F360E3" w14:textId="77777777" w:rsidR="0075180E" w:rsidRDefault="008F4B1A">
                    <w:pPr>
                      <w:pStyle w:val="FrameContents"/>
                      <w:spacing w:after="0" w:line="240" w:lineRule="exact"/>
                    </w:pPr>
                    <w:r>
                      <w:rPr>
                        <w:rFonts w:ascii="Aptos" w:eastAsia="Aptos" w:hAnsi="Aptos" w:cs="Aptos"/>
                        <w:color w:val="FF0000"/>
                        <w:sz w:val="24"/>
                      </w:rPr>
                      <w:t>OFFICIAL</w:t>
                    </w:r>
                  </w:p>
                </w:txbxContent>
              </v:textbox>
            </v:rect>
          </w:pict>
        </mc:Fallback>
      </mc:AlternateContent>
    </w:r>
    <w:r>
      <w:rPr>
        <w:color w:val="244061"/>
        <w:sz w:val="16"/>
        <w:szCs w:val="16"/>
      </w:rPr>
      <w:t>Collision Risk Assessment - review of current practice and species data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E6C06" w14:textId="57D91DCC" w:rsidR="0075180E" w:rsidRDefault="008F4B1A">
    <w:pPr>
      <w:pStyle w:val="normal1"/>
      <w:jc w:val="center"/>
    </w:pPr>
    <w:r>
      <w:rPr>
        <w:color w:val="244061"/>
        <w:sz w:val="16"/>
        <w:szCs w:val="16"/>
      </w:rPr>
      <w:t>Collision Risk Assessment – DRAFT review of current practice and species data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DAE9" w14:textId="77777777" w:rsidR="0075180E" w:rsidRDefault="008F4B1A">
    <w:pPr>
      <w:pStyle w:val="normal1"/>
      <w:jc w:val="center"/>
    </w:pPr>
    <w:r>
      <w:rPr>
        <w:noProof/>
      </w:rPr>
      <w:drawing>
        <wp:anchor distT="0" distB="0" distL="0" distR="0" simplePos="0" relativeHeight="251658245" behindDoc="1" locked="0" layoutInCell="0" allowOverlap="1" wp14:anchorId="38A7FC5C" wp14:editId="76FF3E5A">
          <wp:simplePos x="0" y="0"/>
          <wp:positionH relativeFrom="column">
            <wp:posOffset>-752475</wp:posOffset>
          </wp:positionH>
          <wp:positionV relativeFrom="paragraph">
            <wp:posOffset>-466725</wp:posOffset>
          </wp:positionV>
          <wp:extent cx="7586980" cy="10728960"/>
          <wp:effectExtent l="0" t="0" r="0" b="0"/>
          <wp:wrapNone/>
          <wp:docPr id="10" name="drawing" descr="Document cover featuring the Australian Government logo for the Department of Climate Change, Energy, the Environment and Water at the top left, and the Symbolix logo at the bottom right. The top section contains a collage of hexagonal frames featuring a falcon, a tern and a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descr="Document cover featuring the Australian Government logo for the Department of Climate Change, Energy, the Environment and Water at the top left, and the Symbolix logo at the bottom right. The top section contains a collage of hexagonal frames featuring a falcon, a tern and a bat"/>
                  <pic:cNvPicPr>
                    <a:picLocks noChangeAspect="1" noChangeArrowheads="1"/>
                  </pic:cNvPicPr>
                </pic:nvPicPr>
                <pic:blipFill>
                  <a:blip r:embed="rId1"/>
                  <a:stretch>
                    <a:fillRect/>
                  </a:stretch>
                </pic:blipFill>
                <pic:spPr bwMode="auto">
                  <a:xfrm>
                    <a:off x="0" y="0"/>
                    <a:ext cx="7586980" cy="1072896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1rLHS6cVvq+MVk" int2:id="26tx5T38">
      <int2:state int2:value="Rejected" int2:type="spell"/>
    </int2:textHash>
    <int2:textHash int2:hashCode="wSYb4fYDiKCmod" int2:id="2sfpHWtH">
      <int2:state int2:value="Rejected" int2:type="spell"/>
    </int2:textHash>
    <int2:textHash int2:hashCode="DMX/f4siqwHDik" int2:id="3RSAAIHY">
      <int2:state int2:value="Rejected" int2:type="spell"/>
    </int2:textHash>
    <int2:textHash int2:hashCode="IqQoF44S3XYgcv" int2:id="3V8EdVeq">
      <int2:state int2:value="Rejected" int2:type="spell"/>
    </int2:textHash>
    <int2:textHash int2:hashCode="vpNrhIXny6IQvL" int2:id="3lJqQlgI">
      <int2:state int2:value="Rejected" int2:type="spell"/>
    </int2:textHash>
    <int2:textHash int2:hashCode="ZNPCIOjYPa1Rni" int2:id="4FPQzwCs">
      <int2:state int2:value="Rejected" int2:type="spell"/>
    </int2:textHash>
    <int2:textHash int2:hashCode="uN5K8jFxzUxYLa" int2:id="4iNwBEic">
      <int2:state int2:value="Rejected" int2:type="spell"/>
    </int2:textHash>
    <int2:textHash int2:hashCode="/4UYbSdGp0Xsi1" int2:id="6FO9nR5y">
      <int2:state int2:value="Rejected" int2:type="spell"/>
    </int2:textHash>
    <int2:textHash int2:hashCode="MpjPWZVClMx5Cz" int2:id="8HbdIfif">
      <int2:state int2:value="Rejected" int2:type="spell"/>
    </int2:textHash>
    <int2:textHash int2:hashCode="d6jQQmi7EkGMzO" int2:id="8Hjrc3PP">
      <int2:state int2:value="Rejected" int2:type="spell"/>
    </int2:textHash>
    <int2:textHash int2:hashCode="67mAxmnlCX/eyg" int2:id="8LqvpDD6">
      <int2:state int2:value="Rejected" int2:type="spell"/>
    </int2:textHash>
    <int2:textHash int2:hashCode="+ppTZnZ8H9Ep9l" int2:id="AnOf2iiZ">
      <int2:state int2:value="Rejected" int2:type="spell"/>
    </int2:textHash>
    <int2:textHash int2:hashCode="Uw2i4e/Ze8I9Zp" int2:id="Cd2nXRHc">
      <int2:state int2:value="Rejected" int2:type="spell"/>
    </int2:textHash>
    <int2:textHash int2:hashCode="jeeOz8m+3JRbwr" int2:id="EJUB1pFd">
      <int2:state int2:value="Rejected" int2:type="spell"/>
    </int2:textHash>
    <int2:textHash int2:hashCode="0Bb66pz2OpQQYM" int2:id="FhY57voC">
      <int2:state int2:value="Rejected" int2:type="spell"/>
    </int2:textHash>
    <int2:textHash int2:hashCode="iIUj/J02l8V4BC" int2:id="GL0qmLBV">
      <int2:state int2:value="Rejected" int2:type="spell"/>
    </int2:textHash>
    <int2:textHash int2:hashCode="kVxp9fGhH7oKSf" int2:id="GWREvxTr">
      <int2:state int2:value="Rejected" int2:type="spell"/>
    </int2:textHash>
    <int2:textHash int2:hashCode="xWkgpI5CiwZM6S" int2:id="HD8oVKDf">
      <int2:state int2:value="Rejected" int2:type="spell"/>
    </int2:textHash>
    <int2:textHash int2:hashCode="4OmNjyqcDL+akI" int2:id="IlfgHxRQ">
      <int2:state int2:value="Rejected" int2:type="spell"/>
    </int2:textHash>
    <int2:textHash int2:hashCode="Tdjwv3IhUl8/Hm" int2:id="KQIY6FuB">
      <int2:state int2:value="Rejected" int2:type="spell"/>
    </int2:textHash>
    <int2:textHash int2:hashCode="RcxRbN2y0Rn5aO" int2:id="Ke6yzvw5">
      <int2:state int2:value="Rejected" int2:type="spell"/>
    </int2:textHash>
    <int2:textHash int2:hashCode="/DkcMaTJWKzART" int2:id="LL1rpgps">
      <int2:state int2:value="Rejected" int2:type="spell"/>
    </int2:textHash>
    <int2:textHash int2:hashCode="o/pgTNKsfo/8t3" int2:id="UXLrc0Co">
      <int2:state int2:value="Rejected" int2:type="spell"/>
    </int2:textHash>
    <int2:textHash int2:hashCode="h+XmRp5GuWXx7Q" int2:id="V1EHyEmr">
      <int2:state int2:value="Rejected" int2:type="spell"/>
    </int2:textHash>
    <int2:textHash int2:hashCode="+Lhu54CZhCI+hg" int2:id="WAAyzOdA">
      <int2:state int2:value="Rejected" int2:type="spell"/>
    </int2:textHash>
    <int2:textHash int2:hashCode="ChLpHS0UrZbNau" int2:id="axMxND4o">
      <int2:state int2:value="Rejected" int2:type="spell"/>
    </int2:textHash>
    <int2:textHash int2:hashCode="BZdHerP6OzLirV" int2:id="eRyhzHx7">
      <int2:state int2:value="Rejected" int2:type="spell"/>
    </int2:textHash>
    <int2:textHash int2:hashCode="t7gRxjlte5xBRp" int2:id="iTQeHNwn">
      <int2:state int2:value="Rejected" int2:type="spell"/>
    </int2:textHash>
    <int2:textHash int2:hashCode="qmZSiE49WOAJkw" int2:id="nOaWpiqd">
      <int2:state int2:value="Rejected" int2:type="spell"/>
    </int2:textHash>
    <int2:textHash int2:hashCode="tdL3Gh97qm+Bz0" int2:id="uDDKAyKO">
      <int2:state int2:value="Rejected" int2:type="spell"/>
    </int2:textHash>
    <int2:textHash int2:hashCode="wEe+Ie3ZzlB1Ok" int2:id="viA3znNr">
      <int2:state int2:value="Rejected" int2:type="spell"/>
    </int2:textHash>
    <int2:textHash int2:hashCode="r+qlpb/HP+3bMI" int2:id="wBAkAz98">
      <int2:state int2:value="Rejected" int2:type="spell"/>
    </int2:textHash>
    <int2:textHash int2:hashCode="XlYowr2DL1aB2h" int2:id="wb3beH6t">
      <int2:state int2:value="Rejected" int2:type="spell"/>
    </int2:textHash>
    <int2:textHash int2:hashCode="/6UFl6kAzBM6SK" int2:id="we6kJwPp">
      <int2:state int2:value="Rejected" int2:type="spell"/>
    </int2:textHash>
    <int2:textHash int2:hashCode="E3azirj2G6x6Qd" int2:id="whRCYuiv">
      <int2:state int2:value="Rejected" int2:type="spell"/>
    </int2:textHash>
    <int2:textHash int2:hashCode="Xu04lkq0VBCa84" int2:id="ytgGoYat">
      <int2:state int2:value="Rejected" int2:type="spell"/>
    </int2:textHash>
    <int2:bookmark int2:bookmarkName="_Int_zYvwULVu" int2:invalidationBookmarkName="" int2:hashCode="pu2ny85a2rdCh9" int2:id="2VOwsURs">
      <int2:state int2:value="Rejected" int2:type="gram"/>
    </int2:bookmark>
    <int2:bookmark int2:bookmarkName="_Int_ows0vYC4" int2:invalidationBookmarkName="" int2:hashCode="veKINPYyfukNQ3" int2:id="2hYmdZ5X">
      <int2:state int2:value="Rejected" int2:type="gram"/>
    </int2:bookmark>
    <int2:bookmark int2:bookmarkName="_Int_TloHchKd" int2:invalidationBookmarkName="" int2:hashCode="kksmFnJcMDjlR9" int2:id="W51ld6qo">
      <int2:state int2:value="Rejected" int2:type="gram"/>
    </int2:bookmark>
    <int2:bookmark int2:bookmarkName="_Int_bpHgyXOq" int2:invalidationBookmarkName="" int2:hashCode="tH82PitDDAZH8U" int2:id="XTF7Z3Hv">
      <int2:state int2:value="Rejected" int2:type="gram"/>
    </int2:bookmark>
    <int2:bookmark int2:bookmarkName="_Int_Ltbedxyf" int2:invalidationBookmarkName="" int2:hashCode="tH82PitDDAZH8U" int2:id="ZdBdUG76">
      <int2:state int2:value="Rejected" int2:type="gram"/>
    </int2:bookmark>
    <int2:bookmark int2:bookmarkName="_Int_jIGiqNXv" int2:invalidationBookmarkName="" int2:hashCode="MmtCb5rHqW7Wuv" int2:id="ZsiDqMif">
      <int2:state int2:value="Rejected" int2:type="gram"/>
    </int2:bookmark>
    <int2:bookmark int2:bookmarkName="_Int_5lQPAJDu" int2:invalidationBookmarkName="" int2:hashCode="s91cIAnPxblTo3" int2:id="Zv8Fp5UN">
      <int2:state int2:value="Rejected" int2:type="gram"/>
    </int2:bookmark>
    <int2:bookmark int2:bookmarkName="_Int_FTQxxudq" int2:invalidationBookmarkName="" int2:hashCode="6FtqH5FrO6oxRD" int2:id="b1UdpFmf">
      <int2:state int2:value="Rejected" int2:type="gram"/>
    </int2:bookmark>
    <int2:bookmark int2:bookmarkName="_Int_p8N9zA8k" int2:invalidationBookmarkName="" int2:hashCode="lH02sfMA4LsIkt" int2:id="m7fTCofE">
      <int2:state int2:value="Rejected" int2:type="gram"/>
    </int2:bookmark>
    <int2:bookmark int2:bookmarkName="_Int_Sq4kFWfk" int2:invalidationBookmarkName="" int2:hashCode="KZK9F4fl0x1IGS" int2:id="t4i7k29G">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815"/>
    <w:multiLevelType w:val="multilevel"/>
    <w:tmpl w:val="6EB23B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64DB932"/>
    <w:multiLevelType w:val="multilevel"/>
    <w:tmpl w:val="337EBE1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15:restartNumberingAfterBreak="0">
    <w:nsid w:val="18116651"/>
    <w:multiLevelType w:val="multilevel"/>
    <w:tmpl w:val="8CF411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2ACAEAE"/>
    <w:multiLevelType w:val="multilevel"/>
    <w:tmpl w:val="56F45C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2AFDDF2"/>
    <w:multiLevelType w:val="multilevel"/>
    <w:tmpl w:val="55B677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337A9249"/>
    <w:multiLevelType w:val="multilevel"/>
    <w:tmpl w:val="F25AF8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8C6D52B"/>
    <w:multiLevelType w:val="multilevel"/>
    <w:tmpl w:val="D12AC4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F602B1D"/>
    <w:multiLevelType w:val="multilevel"/>
    <w:tmpl w:val="18A48A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99B5CAC"/>
    <w:multiLevelType w:val="multilevel"/>
    <w:tmpl w:val="6BC4C7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4A84776F"/>
    <w:multiLevelType w:val="multilevel"/>
    <w:tmpl w:val="E4AC32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AAEEC9A"/>
    <w:multiLevelType w:val="multilevel"/>
    <w:tmpl w:val="0C4ADE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D3C67BF"/>
    <w:multiLevelType w:val="multilevel"/>
    <w:tmpl w:val="C64E3F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536E95CE"/>
    <w:multiLevelType w:val="multilevel"/>
    <w:tmpl w:val="03B0E5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4597F35"/>
    <w:multiLevelType w:val="multilevel"/>
    <w:tmpl w:val="D1F082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0832BE8"/>
    <w:multiLevelType w:val="multilevel"/>
    <w:tmpl w:val="A66E4E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196A7D4"/>
    <w:multiLevelType w:val="multilevel"/>
    <w:tmpl w:val="7196228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6" w15:restartNumberingAfterBreak="0">
    <w:nsid w:val="61DB31D0"/>
    <w:multiLevelType w:val="multilevel"/>
    <w:tmpl w:val="3ACC02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68A7E9E9"/>
    <w:multiLevelType w:val="multilevel"/>
    <w:tmpl w:val="401619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8C7DC88"/>
    <w:multiLevelType w:val="multilevel"/>
    <w:tmpl w:val="ED02187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9" w15:restartNumberingAfterBreak="0">
    <w:nsid w:val="6E0873BE"/>
    <w:multiLevelType w:val="multilevel"/>
    <w:tmpl w:val="B1E2DE9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0" w15:restartNumberingAfterBreak="0">
    <w:nsid w:val="780D5DB9"/>
    <w:multiLevelType w:val="multilevel"/>
    <w:tmpl w:val="2DAECD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9851508"/>
    <w:multiLevelType w:val="multilevel"/>
    <w:tmpl w:val="3C18F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A73CE1A"/>
    <w:multiLevelType w:val="multilevel"/>
    <w:tmpl w:val="2D3CBEC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3" w15:restartNumberingAfterBreak="0">
    <w:nsid w:val="7FB7E746"/>
    <w:multiLevelType w:val="multilevel"/>
    <w:tmpl w:val="16562F9E"/>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6445088">
    <w:abstractNumId w:val="10"/>
  </w:num>
  <w:num w:numId="2" w16cid:durableId="120079633">
    <w:abstractNumId w:val="5"/>
  </w:num>
  <w:num w:numId="3" w16cid:durableId="1133451255">
    <w:abstractNumId w:val="16"/>
  </w:num>
  <w:num w:numId="4" w16cid:durableId="1294940629">
    <w:abstractNumId w:val="12"/>
  </w:num>
  <w:num w:numId="5" w16cid:durableId="961306659">
    <w:abstractNumId w:val="11"/>
  </w:num>
  <w:num w:numId="6" w16cid:durableId="1820999161">
    <w:abstractNumId w:val="21"/>
  </w:num>
  <w:num w:numId="7" w16cid:durableId="1761559224">
    <w:abstractNumId w:val="2"/>
  </w:num>
  <w:num w:numId="8" w16cid:durableId="280650851">
    <w:abstractNumId w:val="3"/>
  </w:num>
  <w:num w:numId="9" w16cid:durableId="1109545296">
    <w:abstractNumId w:val="7"/>
  </w:num>
  <w:num w:numId="10" w16cid:durableId="1100687145">
    <w:abstractNumId w:val="0"/>
  </w:num>
  <w:num w:numId="11" w16cid:durableId="176890248">
    <w:abstractNumId w:val="23"/>
  </w:num>
  <w:num w:numId="12" w16cid:durableId="299771601">
    <w:abstractNumId w:val="22"/>
  </w:num>
  <w:num w:numId="13" w16cid:durableId="406193742">
    <w:abstractNumId w:val="19"/>
  </w:num>
  <w:num w:numId="14" w16cid:durableId="1462529359">
    <w:abstractNumId w:val="18"/>
  </w:num>
  <w:num w:numId="15" w16cid:durableId="1404571044">
    <w:abstractNumId w:val="1"/>
  </w:num>
  <w:num w:numId="16" w16cid:durableId="465389983">
    <w:abstractNumId w:val="13"/>
  </w:num>
  <w:num w:numId="17" w16cid:durableId="150561738">
    <w:abstractNumId w:val="17"/>
  </w:num>
  <w:num w:numId="18" w16cid:durableId="1796482193">
    <w:abstractNumId w:val="4"/>
  </w:num>
  <w:num w:numId="19" w16cid:durableId="854610026">
    <w:abstractNumId w:val="9"/>
  </w:num>
  <w:num w:numId="20" w16cid:durableId="2120221856">
    <w:abstractNumId w:val="20"/>
  </w:num>
  <w:num w:numId="21" w16cid:durableId="166604921">
    <w:abstractNumId w:val="14"/>
  </w:num>
  <w:num w:numId="22" w16cid:durableId="1652102088">
    <w:abstractNumId w:val="6"/>
  </w:num>
  <w:num w:numId="23" w16cid:durableId="1057507101">
    <w:abstractNumId w:val="15"/>
  </w:num>
  <w:num w:numId="24" w16cid:durableId="6270067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47F567"/>
    <w:rsid w:val="001C330A"/>
    <w:rsid w:val="00614AE5"/>
    <w:rsid w:val="006D40DB"/>
    <w:rsid w:val="0075180E"/>
    <w:rsid w:val="00766EEB"/>
    <w:rsid w:val="008F4B1A"/>
    <w:rsid w:val="00DB2C38"/>
    <w:rsid w:val="0389FFF5"/>
    <w:rsid w:val="03A76B7A"/>
    <w:rsid w:val="0670B33D"/>
    <w:rsid w:val="07724CA2"/>
    <w:rsid w:val="0C2ECA8A"/>
    <w:rsid w:val="0EC92603"/>
    <w:rsid w:val="104EF8F5"/>
    <w:rsid w:val="22F0FA5E"/>
    <w:rsid w:val="271A6B99"/>
    <w:rsid w:val="29B3FDCE"/>
    <w:rsid w:val="2E4DA0B3"/>
    <w:rsid w:val="32A646D8"/>
    <w:rsid w:val="380548ED"/>
    <w:rsid w:val="38C97930"/>
    <w:rsid w:val="4047F567"/>
    <w:rsid w:val="42B2F321"/>
    <w:rsid w:val="46021C5D"/>
    <w:rsid w:val="4C1F799F"/>
    <w:rsid w:val="50D5E7E8"/>
    <w:rsid w:val="5291D45D"/>
    <w:rsid w:val="54D74130"/>
    <w:rsid w:val="5B502305"/>
    <w:rsid w:val="653BA92D"/>
    <w:rsid w:val="6C10CBA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E376C6"/>
  <w15:docId w15:val="{40492508-4040-4C29-A376-7F55199ED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1"/>
    <w:next w:val="normal1"/>
    <w:uiPriority w:val="9"/>
    <w:qFormat/>
    <w:pPr>
      <w:keepNext/>
      <w:keepLines/>
      <w:spacing w:before="400" w:after="120" w:line="240" w:lineRule="auto"/>
      <w:outlineLvl w:val="0"/>
    </w:pPr>
    <w:rPr>
      <w:color w:val="244061"/>
      <w:sz w:val="40"/>
      <w:szCs w:val="40"/>
    </w:rPr>
  </w:style>
  <w:style w:type="paragraph" w:styleId="Heading2">
    <w:name w:val="heading 2"/>
    <w:basedOn w:val="normal1"/>
    <w:next w:val="normal1"/>
    <w:uiPriority w:val="9"/>
    <w:unhideWhenUsed/>
    <w:qFormat/>
    <w:pPr>
      <w:keepNext/>
      <w:keepLines/>
      <w:spacing w:before="249" w:after="120" w:line="264" w:lineRule="auto"/>
      <w:outlineLvl w:val="1"/>
    </w:pPr>
    <w:rPr>
      <w:b/>
      <w:bCs/>
      <w:color w:val="2B579A"/>
      <w:sz w:val="32"/>
      <w:szCs w:val="32"/>
    </w:rPr>
  </w:style>
  <w:style w:type="paragraph" w:styleId="Heading3">
    <w:name w:val="heading 3"/>
    <w:basedOn w:val="normal1"/>
    <w:next w:val="normal1"/>
    <w:uiPriority w:val="9"/>
    <w:unhideWhenUsed/>
    <w:qFormat/>
    <w:pPr>
      <w:keepNext/>
      <w:keepLines/>
      <w:spacing w:before="320" w:after="80" w:line="264" w:lineRule="auto"/>
      <w:outlineLvl w:val="2"/>
    </w:pPr>
    <w:rPr>
      <w:b/>
      <w:bCs/>
      <w:color w:val="244061"/>
      <w:sz w:val="24"/>
      <w:szCs w:val="24"/>
    </w:rPr>
  </w:style>
  <w:style w:type="paragraph" w:styleId="Heading4">
    <w:name w:val="heading 4"/>
    <w:basedOn w:val="normal1"/>
    <w:next w:val="normal1"/>
    <w:uiPriority w:val="9"/>
    <w:unhideWhenUsed/>
    <w:qFormat/>
    <w:pPr>
      <w:keepNext/>
      <w:keepLines/>
      <w:spacing w:before="280" w:after="80" w:line="240" w:lineRule="auto"/>
      <w:outlineLvl w:val="3"/>
    </w:pPr>
    <w:rPr>
      <w:color w:val="073763"/>
      <w:sz w:val="24"/>
      <w:szCs w:val="24"/>
    </w:rPr>
  </w:style>
  <w:style w:type="paragraph" w:styleId="Heading5">
    <w:name w:val="heading 5"/>
    <w:basedOn w:val="normal1"/>
    <w:next w:val="normal1"/>
    <w:uiPriority w:val="9"/>
    <w:semiHidden/>
    <w:unhideWhenUsed/>
    <w:qFormat/>
    <w:pPr>
      <w:keepNext/>
      <w:keepLines/>
      <w:spacing w:before="240" w:after="80" w:line="240" w:lineRule="auto"/>
      <w:outlineLvl w:val="4"/>
    </w:pPr>
    <w:rPr>
      <w:color w:val="666666"/>
      <w:sz w:val="22"/>
      <w:szCs w:val="22"/>
    </w:rPr>
  </w:style>
  <w:style w:type="paragraph" w:styleId="Heading6">
    <w:name w:val="heading 6"/>
    <w:basedOn w:val="normal1"/>
    <w:next w:val="normal1"/>
    <w:uiPriority w:val="9"/>
    <w:semiHidden/>
    <w:unhideWhenUsed/>
    <w:qFormat/>
    <w:pPr>
      <w:keepNext/>
      <w:keepLines/>
      <w:spacing w:before="240" w:after="80" w:line="240" w:lineRule="auto"/>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IndexLink">
    <w:name w:val="Index Link"/>
    <w:qFormat/>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customStyle="1" w:styleId="sectionChar">
    <w:name w:val="section Char"/>
    <w:basedOn w:val="DefaultParagraphFont"/>
    <w:link w:val="section"/>
    <w:qFormat/>
    <w:rsid w:val="092508BE"/>
    <w:rPr>
      <w:rFonts w:ascii="Noto Sans" w:eastAsia="Noto Sans" w:hAnsi="Noto Sans" w:cs="Noto Sans"/>
      <w:color w:val="244061" w:themeColor="accent1" w:themeShade="80"/>
      <w:sz w:val="40"/>
      <w:szCs w:val="40"/>
      <w:lang w:val="en-AU" w:eastAsia="zh-CN" w:bidi="hi-IN"/>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normal1">
    <w:name w:val="normal1"/>
    <w:qFormat/>
    <w:pPr>
      <w:spacing w:after="200" w:line="276" w:lineRule="auto"/>
    </w:pPr>
  </w:style>
  <w:style w:type="paragraph" w:styleId="Title">
    <w:name w:val="Title"/>
    <w:basedOn w:val="normal1"/>
    <w:next w:val="normal1"/>
    <w:uiPriority w:val="10"/>
    <w:qFormat/>
    <w:pPr>
      <w:keepNext/>
      <w:keepLines/>
      <w:spacing w:after="60" w:line="240" w:lineRule="auto"/>
    </w:pPr>
    <w:rPr>
      <w:color w:val="244061"/>
      <w:sz w:val="48"/>
      <w:szCs w:val="48"/>
    </w:rPr>
  </w:style>
  <w:style w:type="paragraph" w:styleId="Subtitle">
    <w:name w:val="Subtitle"/>
    <w:basedOn w:val="normal1"/>
    <w:next w:val="normal1"/>
    <w:uiPriority w:val="11"/>
    <w:qFormat/>
    <w:pPr>
      <w:keepNext/>
      <w:keepLines/>
      <w:spacing w:after="320" w:line="240" w:lineRule="auto"/>
    </w:pPr>
    <w:rPr>
      <w:rFonts w:ascii="Arial" w:eastAsia="Arial" w:hAnsi="Arial" w:cs="Arial"/>
      <w:color w:val="666666"/>
      <w:sz w:val="30"/>
      <w:szCs w:val="30"/>
    </w:rPr>
  </w:style>
  <w:style w:type="paragraph" w:styleId="FootnoteText">
    <w:name w:val="footnote text"/>
    <w:basedOn w:val="Normal"/>
  </w:style>
  <w:style w:type="paragraph" w:customStyle="1" w:styleId="HeaderandFooter">
    <w:name w:val="Header and Footer"/>
    <w:basedOn w:val="Normal"/>
    <w:qFormat/>
  </w:style>
  <w:style w:type="paragraph" w:styleId="Header">
    <w:name w:val="header"/>
    <w:basedOn w:val="HeaderandFooter"/>
  </w:style>
  <w:style w:type="paragraph" w:customStyle="1" w:styleId="FrameContents">
    <w:name w:val="Frame Contents"/>
    <w:basedOn w:val="Normal"/>
    <w:qFormat/>
  </w:style>
  <w:style w:type="paragraph" w:styleId="Footer">
    <w:name w:val="footer"/>
    <w:basedOn w:val="HeaderandFooter"/>
  </w:style>
  <w:style w:type="paragraph" w:styleId="TOC1">
    <w:name w:val="toc 1"/>
    <w:basedOn w:val="Normal"/>
    <w:next w:val="Normal"/>
    <w:uiPriority w:val="39"/>
    <w:unhideWhenUsed/>
    <w:rsid w:val="1F4C4E51"/>
    <w:pPr>
      <w:spacing w:after="100"/>
    </w:pPr>
  </w:style>
  <w:style w:type="paragraph" w:styleId="TOC2">
    <w:name w:val="toc 2"/>
    <w:basedOn w:val="Normal"/>
    <w:next w:val="Normal"/>
    <w:uiPriority w:val="39"/>
    <w:unhideWhenUsed/>
    <w:rsid w:val="1F4C4E51"/>
    <w:pPr>
      <w:spacing w:after="100"/>
      <w:ind w:left="220"/>
    </w:pPr>
  </w:style>
  <w:style w:type="paragraph" w:styleId="TOC3">
    <w:name w:val="toc 3"/>
    <w:basedOn w:val="Normal"/>
    <w:next w:val="Normal"/>
    <w:uiPriority w:val="39"/>
    <w:unhideWhenUsed/>
    <w:rsid w:val="1F4C4E51"/>
    <w:pPr>
      <w:spacing w:after="100"/>
      <w:ind w:left="440"/>
    </w:pPr>
  </w:style>
  <w:style w:type="paragraph" w:styleId="TOC4">
    <w:name w:val="toc 4"/>
    <w:basedOn w:val="Normal"/>
    <w:next w:val="Normal"/>
    <w:uiPriority w:val="39"/>
    <w:unhideWhenUsed/>
    <w:rsid w:val="1F4C4E51"/>
    <w:pPr>
      <w:spacing w:after="100"/>
      <w:ind w:left="660"/>
    </w:pPr>
  </w:style>
  <w:style w:type="paragraph" w:styleId="ListParagraph">
    <w:name w:val="List Paragraph"/>
    <w:basedOn w:val="Normal"/>
    <w:uiPriority w:val="34"/>
    <w:qFormat/>
    <w:rsid w:val="092508BE"/>
    <w:pPr>
      <w:ind w:left="720"/>
      <w:contextualSpacing/>
    </w:pPr>
  </w:style>
  <w:style w:type="paragraph" w:customStyle="1" w:styleId="section">
    <w:name w:val="section"/>
    <w:basedOn w:val="Normal"/>
    <w:link w:val="sectionChar"/>
    <w:uiPriority w:val="1"/>
    <w:qFormat/>
    <w:rsid w:val="092508BE"/>
    <w:pPr>
      <w:keepNext/>
      <w:keepLines/>
      <w:spacing w:before="400" w:after="120"/>
    </w:pPr>
    <w:rPr>
      <w:color w:val="244061" w:themeColor="accent1" w:themeShade="80"/>
      <w:sz w:val="40"/>
      <w:szCs w:val="40"/>
      <w:lang w:val="en-AU"/>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acrf-uat.symbolix.com.au/"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FastMetadata xmlns="972680b6-3035-465a-897e-310bc6370cff" xsi:nil="true"/>
    <_ip_UnifiedCompliancePolicyUIAction xmlns="http://schemas.microsoft.com/sharepoint/v3" xsi:nil="true"/>
    <TaxCatchAll xmlns="e8238601-ce47-4778-85d0-8b1d6564965a" xsi:nil="true"/>
    <MediaServiceLocation xmlns="972680b6-3035-465a-897e-310bc6370cff" xsi:nil="true"/>
    <MediaServiceEventHashCode xmlns="972680b6-3035-465a-897e-310bc6370cff" xsi:nil="true"/>
    <MediaServiceMetadata xmlns="972680b6-3035-465a-897e-310bc6370cff" xsi:nil="true"/>
    <MediaServiceOCR xmlns="972680b6-3035-465a-897e-310bc6370cff" xsi:nil="true"/>
    <MediaServiceDateTaken xmlns="972680b6-3035-465a-897e-310bc6370cff" xsi:nil="true"/>
    <MediaServiceObjectDetectorVersions xmlns="972680b6-3035-465a-897e-310bc6370cff" xsi:nil="true"/>
    <Emaildescription xmlns="d81c2681-db7b-4a56-9abd-a3238a78f6b2" xsi:nil="true"/>
    <_ip_UnifiedCompliancePolicyProperties xmlns="http://schemas.microsoft.com/sharepoint/v3" xsi:nil="true"/>
    <MediaLengthInSeconds xmlns="972680b6-3035-465a-897e-310bc6370cff" xsi:nil="true"/>
    <Comments xmlns="972680b6-3035-465a-897e-310bc6370cff" xsi:nil="true"/>
    <Team xmlns="972680b6-3035-465a-897e-310bc6370cff">
      <Value>UNSPECIFIED</Value>
    </Team>
    <lcf76f155ced4ddcb4097134ff3c332f xmlns="d81c2681-db7b-4a56-9abd-a3238a78f6b2">
      <Terms xmlns="http://schemas.microsoft.com/office/infopath/2007/PartnerControls"/>
    </lcf76f155ced4ddcb4097134ff3c332f>
    <MediaServiceGenerationTime xmlns="972680b6-3035-465a-897e-310bc6370cff" xsi:nil="true"/>
    <_Flow_SignoffStatus xmlns="972680b6-3035-465a-897e-310bc6370cff" xsi:nil="true"/>
    <SharedWithUsers xmlns="1a08d007-d0b5-4b9f-8f77-8e2023610558">
      <UserInfo>
        <DisplayName/>
        <AccountId xsi:nil="true"/>
        <AccountType/>
      </UserInfo>
    </SharedWithUsers>
    <MediaServiceSearchProperties xmlns="972680b6-3035-465a-897e-310bc6370cff" xsi:nil="true"/>
    <ProtectedMatter_x002f_s xmlns="d81c2681-db7b-4a56-9abd-a3238a78f6b2" xsi:nil="true"/>
    <Projectnumber xmlns="972680b6-3035-465a-897e-310bc6370cff" xsi:nil="true"/>
    <SharedWithDetails xmlns="1a08d007-d0b5-4b9f-8f77-8e202361055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15" ma:contentTypeDescription="Create a new document." ma:contentTypeScope="" ma:versionID="8ea44c2c9bbfa0ca7c828f67adbe15b8">
  <xsd:schema xmlns:xsd="http://www.w3.org/2001/XMLSchema" xmlns:xs="http://www.w3.org/2001/XMLSchema" xmlns:p="http://schemas.microsoft.com/office/2006/metadata/properties" xmlns:ns1="http://schemas.microsoft.com/sharepoint/v3" xmlns:ns2="d81c2681-db7b-4a56-9abd-a3238a78f6b2" xmlns:ns3="972680b6-3035-465a-897e-310bc6370cff" xmlns:ns4="e8238601-ce47-4778-85d0-8b1d6564965a" xmlns:ns5="1a08d007-d0b5-4b9f-8f77-8e2023610558" targetNamespace="http://schemas.microsoft.com/office/2006/metadata/properties" ma:root="true" ma:fieldsID="d54b19efd3254cb4db256364209f1857" ns1:_="" ns2:_="" ns3:_="" ns4:_="" ns5:_="">
    <xsd:import namespace="http://schemas.microsoft.com/sharepoint/v3"/>
    <xsd:import namespace="d81c2681-db7b-4a56-9abd-a3238a78f6b2"/>
    <xsd:import namespace="972680b6-3035-465a-897e-310bc6370cff"/>
    <xsd:import namespace="e8238601-ce47-4778-85d0-8b1d6564965a"/>
    <xsd:import namespace="1a08d007-d0b5-4b9f-8f77-8e2023610558"/>
    <xsd:element name="properties">
      <xsd:complexType>
        <xsd:sequence>
          <xsd:element name="documentManagement">
            <xsd:complexType>
              <xsd:all>
                <xsd:element ref="ns2:Emaildescription" minOccurs="0"/>
                <xsd:element ref="ns3:Projectnumber" minOccurs="0"/>
                <xsd:element ref="ns3:Team" minOccurs="0"/>
                <xsd:element ref="ns3:Comments" minOccurs="0"/>
                <xsd:element ref="ns3:_Flow_SignoffStatus" minOccurs="0"/>
                <xsd:element ref="ns1:_ip_UnifiedCompliancePolicyProperties" minOccurs="0"/>
                <xsd:element ref="ns1:_ip_UnifiedCompliancePolicyUIAction" minOccurs="0"/>
                <xsd:element ref="ns2:lcf76f155ced4ddcb4097134ff3c332f" minOccurs="0"/>
                <xsd:element ref="ns4:TaxCatchAll" minOccurs="0"/>
                <xsd:element ref="ns3:MediaServiceMetadata" minOccurs="0"/>
                <xsd:element ref="ns3:MediaServiceFastMetadata" minOccurs="0"/>
                <xsd:element ref="ns5:SharedWithUsers" minOccurs="0"/>
                <xsd:element ref="ns5:SharedWithDetail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element ref="ns2:MediaServiceBillingMetadata" minOccurs="0"/>
                <xsd:element ref="ns2:ProtectedMatter_x002f_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ma:readOnly="false">
      <xsd:simpleType>
        <xsd:restriction base="dms:Note"/>
      </xsd:simpleType>
    </xsd:element>
    <xsd:element name="_ip_UnifiedCompliancePolicyUIAction" ma:index="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Emaildescription" ma:index="2" nillable="true" ma:displayName="Image description" ma:format="Dropdown" ma:internalName="Emaildescription" ma:readOnly="fals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element name="ProtectedMatter_x002f_s" ma:index="31" nillable="true" ma:displayName="Protected Matter/s" ma:format="Dropdown" ma:internalName="ProtectedMatter_x002f_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2680b6-3035-465a-897e-310bc6370cff" elementFormDefault="qualified">
    <xsd:import namespace="http://schemas.microsoft.com/office/2006/documentManagement/types"/>
    <xsd:import namespace="http://schemas.microsoft.com/office/infopath/2007/PartnerControls"/>
    <xsd:element name="Projectnumber" ma:index="3" nillable="true" ma:displayName="Project number" ma:decimals="0" ma:format="Dropdown" ma:internalName="Projectnumber" ma:readOnly="false" ma:percentage="FALSE">
      <xsd:simpleType>
        <xsd:restriction base="dms:Number"/>
      </xsd:simpleType>
    </xsd:element>
    <xsd:element name="Team" ma:index="5" nillable="true" ma:displayName="Team/Function" ma:default="UNSPECIFIED" ma:description="Designates which team, or function, within the section an item belongs to." ma:format="Dropdown" ma:internalName="Team" ma:readOnly="false">
      <xsd:complexType>
        <xsd:complexContent>
          <xsd:extension base="dms:MultiChoice">
            <xsd:sequence>
              <xsd:element name="Value" maxOccurs="unbounded" minOccurs="0" nillable="true">
                <xsd:simpleType>
                  <xsd:restriction base="dms:Choice">
                    <xsd:enumeration value="Policy"/>
                    <xsd:enumeration value="Engagement"/>
                    <xsd:enumeration value="Research"/>
                    <xsd:enumeration value="Program Management"/>
                    <xsd:enumeration value="UNSPECIFIED"/>
                  </xsd:restriction>
                </xsd:simpleType>
              </xsd:element>
            </xsd:sequence>
          </xsd:extension>
        </xsd:complexContent>
      </xsd:complexType>
    </xsd:element>
    <xsd:element name="Comments" ma:index="6" nillable="true" ma:displayName="Comments" ma:format="Dropdown" ma:internalName="Comments" ma:readOnly="false">
      <xsd:simpleType>
        <xsd:restriction base="dms:Text">
          <xsd:maxLength value="255"/>
        </xsd:restriction>
      </xsd:simpleType>
    </xsd:element>
    <xsd:element name="_Flow_SignoffStatus" ma:index="7" nillable="true" ma:displayName="Sign-off status" ma:internalName="Sign_x002d_off_x0020_status" ma:readOnly="false">
      <xsd:simpleType>
        <xsd:restriction base="dms:Text"/>
      </xsd:simpleType>
    </xsd:element>
    <xsd:element name="MediaServiceMetadata" ma:index="17" nillable="true" ma:displayName="MediaServiceMetadata" ma:hidden="true" ma:internalName="MediaServiceMetadata" ma:readOnly="false">
      <xsd:simpleType>
        <xsd:restriction base="dms:Note"/>
      </xsd:simpleType>
    </xsd:element>
    <xsd:element name="MediaServiceFastMetadata" ma:index="18" nillable="true" ma:displayName="MediaServiceFastMetadata" ma:hidden="true" ma:internalName="MediaServiceFastMetadata" ma:readOnly="false">
      <xsd:simpleType>
        <xsd:restriction base="dms:Note"/>
      </xsd:simpleType>
    </xsd:element>
    <xsd:element name="MediaServiceGenerationTime" ma:index="21" nillable="true" ma:displayName="MediaServiceGenerationTime" ma:hidden="true" ma:internalName="MediaServiceGenerationTime" ma:readOnly="false">
      <xsd:simpleType>
        <xsd:restriction base="dms:Text"/>
      </xsd:simpleType>
    </xsd:element>
    <xsd:element name="MediaServiceEventHashCode" ma:index="22" nillable="true" ma:displayName="MediaServiceEventHashCode" ma:hidden="true" ma:internalName="MediaServiceEventHashCode" ma:readOnly="false">
      <xsd:simpleType>
        <xsd:restriction base="dms:Text"/>
      </xsd:simpleType>
    </xsd:element>
    <xsd:element name="MediaServiceOCR" ma:index="23" nillable="true" ma:displayName="Extracted Text" ma:hidden="true" ma:internalName="MediaServiceOCR" ma:readOnly="false">
      <xsd:simpleType>
        <xsd:restriction base="dms:Note"/>
      </xsd:simpleType>
    </xsd:element>
    <xsd:element name="MediaServiceDateTaken" ma:index="24" nillable="true" ma:displayName="MediaServiceDateTaken" ma:hidden="true" ma:indexed="true" ma:internalName="MediaServiceDateTaken" ma:readOnly="false">
      <xsd:simpleType>
        <xsd:restriction base="dms:Text"/>
      </xsd:simpleType>
    </xsd:element>
    <xsd:element name="MediaLengthInSeconds" ma:index="25" nillable="true" ma:displayName="MediaLengthInSeconds" ma:hidden="true" ma:internalName="MediaLengthInSeconds" ma:readOnly="false">
      <xsd:simpleType>
        <xsd:restriction base="dms:Unknown"/>
      </xsd:simpleType>
    </xsd:element>
    <xsd:element name="MediaServiceObjectDetectorVersions" ma:index="26" nillable="true" ma:displayName="MediaServiceObjectDetectorVersions" ma:hidden="true" ma:indexed="true" ma:internalName="MediaServiceObjectDetectorVersions" ma:readOnly="false">
      <xsd:simpleType>
        <xsd:restriction base="dms:Text"/>
      </xsd:simpleType>
    </xsd:element>
    <xsd:element name="MediaServiceLocation" ma:index="27" nillable="true" ma:displayName="Location" ma:hidden="true" ma:indexed="true" ma:internalName="MediaServiceLocation" ma:readOnly="false">
      <xsd:simpleType>
        <xsd:restriction base="dms:Text"/>
      </xsd:simpleType>
    </xsd:element>
    <xsd:element name="MediaServiceSearchProperties" ma:index="28" nillable="true" ma:displayName="MediaServiceSearchProperties" ma:hidden="true" ma:internalName="MediaServiceSearchPropertie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8a06ddf-9f26-4897-bbac-8d3c57cfadb2}"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08d007-d0b5-4b9f-8f77-8e2023610558" elementFormDefault="qualified">
    <xsd:import namespace="http://schemas.microsoft.com/office/2006/documentManagement/types"/>
    <xsd:import namespace="http://schemas.microsoft.com/office/infopath/2007/PartnerControls"/>
    <xsd:element name="SharedWithUsers" ma:index="19" nillable="true" ma:displayName="Shared With" ma:hidden="tru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30543F-44CF-436A-84E6-0841D18E6799}">
  <ds:schemaRefs>
    <ds:schemaRef ds:uri="http://schemas.microsoft.com/office/2006/metadata/properties"/>
    <ds:schemaRef ds:uri="http://schemas.microsoft.com/office/infopath/2007/PartnerControls"/>
    <ds:schemaRef ds:uri="972680b6-3035-465a-897e-310bc6370cff"/>
    <ds:schemaRef ds:uri="http://schemas.microsoft.com/sharepoint/v3"/>
    <ds:schemaRef ds:uri="e8238601-ce47-4778-85d0-8b1d6564965a"/>
    <ds:schemaRef ds:uri="d81c2681-db7b-4a56-9abd-a3238a78f6b2"/>
    <ds:schemaRef ds:uri="1a08d007-d0b5-4b9f-8f77-8e2023610558"/>
  </ds:schemaRefs>
</ds:datastoreItem>
</file>

<file path=customXml/itemProps2.xml><?xml version="1.0" encoding="utf-8"?>
<ds:datastoreItem xmlns:ds="http://schemas.openxmlformats.org/officeDocument/2006/customXml" ds:itemID="{FA095D82-5FB3-4C6E-8FBE-B5A12DFA7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1c2681-db7b-4a56-9abd-a3238a78f6b2"/>
    <ds:schemaRef ds:uri="972680b6-3035-465a-897e-310bc6370cff"/>
    <ds:schemaRef ds:uri="e8238601-ce47-4778-85d0-8b1d6564965a"/>
    <ds:schemaRef ds:uri="1a08d007-d0b5-4b9f-8f77-8e2023610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351835-A9FD-443F-896C-42156A289CBE}">
  <ds:schemaRefs>
    <ds:schemaRef ds:uri="http://schemas.microsoft.com/sharepoint/v3/contenttype/fo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37</Pages>
  <Words>9192</Words>
  <Characters>53834</Characters>
  <Application>Microsoft Office Word</Application>
  <DocSecurity>0</DocSecurity>
  <Lines>1056</Lines>
  <Paragraphs>464</Paragraphs>
  <ScaleCrop>false</ScaleCrop>
  <Company/>
  <LinksUpToDate>false</LinksUpToDate>
  <CharactersWithSpaces>62757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revision>13</cp:revision>
  <dcterms:created xsi:type="dcterms:W3CDTF">2026-03-20T02:54:00Z</dcterms:created>
  <dcterms:modified xsi:type="dcterms:W3CDTF">2026-03-20T02:58:00Z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55a9cc5,2b175b1b,3fbed619,4ce30d8e,75955f51,9ed8408</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757aac01,52a1ea68,27e197ca,661f96c0,364110ed,6f92d93d</vt:lpwstr>
  </property>
  <property fmtid="{D5CDD505-2E9C-101B-9397-08002B2CF9AE}" pid="7" name="ClassificationContentMarkingHeaderText">
    <vt:lpwstr>OFFICIAL</vt:lpwstr>
  </property>
  <property fmtid="{D5CDD505-2E9C-101B-9397-08002B2CF9AE}" pid="8" name="ContentTypeId">
    <vt:lpwstr>0x010100D001B2BE74D025469E1D0E28F10DD2C8</vt:lpwstr>
  </property>
  <property fmtid="{D5CDD505-2E9C-101B-9397-08002B2CF9AE}" pid="9" name="MediaServiceImageTags">
    <vt:lpwstr>MediaServiceImageTags</vt:lpwstr>
  </property>
  <property fmtid="{D5CDD505-2E9C-101B-9397-08002B2CF9AE}" pid="10" name="Record Classification">
    <vt:lpwstr>Record Classification</vt:lpwstr>
  </property>
  <property fmtid="{D5CDD505-2E9C-101B-9397-08002B2CF9AE}" pid="11" name="Record_x0020_Classification">
    <vt:lpwstr>Record Classification</vt:lpwstr>
  </property>
  <property fmtid="{D5CDD505-2E9C-101B-9397-08002B2CF9AE}" pid="12" name="h64465b6520a47a58f1168c7a3f04764">
    <vt:lpwstr>h64465b6520a47a58f1168c7a3f04764</vt:lpwstr>
  </property>
</Properties>
</file>