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B6C97" w14:textId="77777777" w:rsidR="004C4165" w:rsidRDefault="00000000">
      <w:pPr>
        <w:spacing w:after="100"/>
      </w:pPr>
      <w:r>
        <w:rPr>
          <w:rFonts w:ascii="Segoe UI" w:eastAsia="Segoe UI" w:hAnsi="Segoe UI" w:cs="Segoe UI"/>
          <w:b/>
          <w:bCs/>
          <w:color w:val="323130"/>
          <w:sz w:val="34"/>
          <w:szCs w:val="34"/>
        </w:rPr>
        <w:t>Introductory webinar Overview of the Bill-20260505_040014UTC-Meeting Recording</w:t>
      </w:r>
    </w:p>
    <w:p w14:paraId="6AC1A396" w14:textId="77777777" w:rsidR="004C4165" w:rsidRDefault="00000000">
      <w:pPr>
        <w:spacing w:after="100"/>
      </w:pPr>
      <w:r>
        <w:rPr>
          <w:rFonts w:ascii="Segoe UI" w:eastAsia="Segoe UI" w:hAnsi="Segoe UI" w:cs="Segoe UI"/>
          <w:color w:val="605E5C"/>
          <w:sz w:val="17"/>
          <w:szCs w:val="17"/>
        </w:rPr>
        <w:t>5 May 2026, 04:00am</w:t>
      </w:r>
    </w:p>
    <w:p w14:paraId="21AD9D51" w14:textId="77777777" w:rsidR="004C4165" w:rsidRDefault="00000000">
      <w:pPr>
        <w:spacing w:after="100"/>
      </w:pPr>
      <w:r>
        <w:rPr>
          <w:rFonts w:ascii="Segoe UI" w:eastAsia="Segoe UI" w:hAnsi="Segoe UI" w:cs="Segoe UI"/>
          <w:color w:val="605E5C"/>
          <w:sz w:val="17"/>
          <w:szCs w:val="17"/>
        </w:rPr>
        <w:t>59m 51s</w:t>
      </w:r>
    </w:p>
    <w:p w14:paraId="1C78EE84" w14:textId="77777777" w:rsidR="004C4165" w:rsidRDefault="00000000">
      <w:pPr>
        <w:spacing w:line="300" w:lineRule="auto"/>
      </w:pPr>
      <w:r>
        <w:rPr>
          <w:noProof/>
        </w:rPr>
        <w:drawing>
          <wp:anchor distT="0" distB="0" distL="0" distR="0" simplePos="0" relativeHeight="251658241" behindDoc="0" locked="0" layoutInCell="1" allowOverlap="1" wp14:anchorId="0F43DE84" wp14:editId="39BC38CF">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0:05</w:t>
      </w:r>
      <w:r>
        <w:rPr>
          <w:rFonts w:ascii="Segoe UI" w:eastAsia="Segoe UI" w:hAnsi="Segoe UI" w:cs="Segoe UI"/>
          <w:color w:val="323130"/>
          <w:sz w:val="24"/>
          <w:szCs w:val="24"/>
        </w:rPr>
        <w:br/>
        <w:t>Good afternoon, everyone. My name is Kate Lee Perry. I'm the branch head of the Carbon Crediting Branch in the Department of Climate Change, Energy, the Environment and Water. And I'm here today to, with my colleague Ingrid Cripps, present to you an overview of the Carbon Credits and Other Legislation Amendment.</w:t>
      </w:r>
      <w:r>
        <w:rPr>
          <w:rFonts w:ascii="Segoe UI" w:eastAsia="Segoe UI" w:hAnsi="Segoe UI" w:cs="Segoe UI"/>
          <w:color w:val="323130"/>
          <w:sz w:val="24"/>
          <w:szCs w:val="24"/>
        </w:rPr>
        <w:br/>
        <w:t>Integrity.</w:t>
      </w:r>
      <w:r>
        <w:rPr>
          <w:rFonts w:ascii="Segoe UI" w:eastAsia="Segoe UI" w:hAnsi="Segoe UI" w:cs="Segoe UI"/>
          <w:color w:val="323130"/>
          <w:sz w:val="24"/>
          <w:szCs w:val="24"/>
        </w:rPr>
        <w:br/>
        <w:t>the traditional custodians of the land that we're meeting in today in Canberra and acknowledge their continued connexion to the lands, skies and waters of our beautiful community. I'd like to pay my respects to their cultures and to their elders past, present and emerging. I particularly like to acknowledge in Canberra the lands of the Ngunnawal people and as the traditional custodians of these lands and other families that have</w:t>
      </w:r>
      <w:r>
        <w:rPr>
          <w:rFonts w:ascii="Segoe UI" w:eastAsia="Segoe UI" w:hAnsi="Segoe UI" w:cs="Segoe UI"/>
          <w:color w:val="323130"/>
          <w:sz w:val="24"/>
          <w:szCs w:val="24"/>
        </w:rPr>
        <w:br/>
        <w:t>connexion to this region. And also, given we're gathering online, I'd like to acknowledge the traditional custodians of the lands where all of you are calling in from and joining us today, and to extend my respect to any Aboriginal and Torres Strait Islander people attending today's meeting or webinar.</w:t>
      </w:r>
      <w:r>
        <w:rPr>
          <w:rFonts w:ascii="Segoe UI" w:eastAsia="Segoe UI" w:hAnsi="Segoe UI" w:cs="Segoe UI"/>
          <w:color w:val="323130"/>
          <w:sz w:val="24"/>
          <w:szCs w:val="24"/>
        </w:rPr>
        <w:br/>
        <w:t>Before we kick off, I'd just like to turn to a few housekeeping items.</w:t>
      </w:r>
      <w:r>
        <w:rPr>
          <w:rFonts w:ascii="Segoe UI" w:eastAsia="Segoe UI" w:hAnsi="Segoe UI" w:cs="Segoe UI"/>
          <w:color w:val="323130"/>
          <w:sz w:val="24"/>
          <w:szCs w:val="24"/>
        </w:rPr>
        <w:br/>
        <w:t>So this session will be recorded. If you have any concerns, please let us know in the chat function. We will be holding a question and answer session at the end of this webinar and we'd ask that you please submit any questions through the chat function. These questions will be reviewed by our moderators and we will then respond to as many as we possibly can.</w:t>
      </w:r>
      <w:r>
        <w:rPr>
          <w:rFonts w:ascii="Segoe UI" w:eastAsia="Segoe UI" w:hAnsi="Segoe UI" w:cs="Segoe UI"/>
          <w:color w:val="323130"/>
          <w:sz w:val="24"/>
          <w:szCs w:val="24"/>
        </w:rPr>
        <w:br/>
        <w:t>in the session. Subsequent to the session, we'll be updating our website through our HaveYourSay page with some key frequently asked questions that have been raised on the bill. And of course, please do shoot us an email if you have any other further questions or concerns.</w:t>
      </w:r>
      <w:r>
        <w:rPr>
          <w:rFonts w:ascii="Segoe UI" w:eastAsia="Segoe UI" w:hAnsi="Segoe UI" w:cs="Segoe UI"/>
          <w:color w:val="323130"/>
          <w:sz w:val="24"/>
          <w:szCs w:val="24"/>
        </w:rPr>
        <w:br/>
        <w:t xml:space="preserve">We'll also be looking to publish a version of the slides we present today on our website so they can be accessed by you guys and anyone who can't make it today. And importantly for any journalists attending today's meeting, just a reminder, please not to attribute any comments from the webinar today to department staff that are </w:t>
      </w:r>
      <w:r>
        <w:rPr>
          <w:rFonts w:ascii="Segoe UI" w:eastAsia="Segoe UI" w:hAnsi="Segoe UI" w:cs="Segoe UI"/>
          <w:color w:val="323130"/>
          <w:sz w:val="24"/>
          <w:szCs w:val="24"/>
        </w:rPr>
        <w:lastRenderedPageBreak/>
        <w:t>presenting and that any media inquiries should be directed to our media team. There's information on our screen as to the email address where those should be directed.</w:t>
      </w:r>
      <w:r>
        <w:rPr>
          <w:rFonts w:ascii="Segoe UI" w:eastAsia="Segoe UI" w:hAnsi="Segoe UI" w:cs="Segoe UI"/>
          <w:color w:val="323130"/>
          <w:sz w:val="24"/>
          <w:szCs w:val="24"/>
        </w:rPr>
        <w:br/>
        <w:t>So moving on to the main feature of the day, which is firstly, welcome. Thank you very much for attending today's overview session about the amendment bill we have just released on behalf of the government. Our consultation is now open on the Carbon Credits and Other Legislation Amendment Integrity and Transparency Bill.</w:t>
      </w:r>
      <w:r>
        <w:rPr>
          <w:rFonts w:ascii="Segoe UI" w:eastAsia="Segoe UI" w:hAnsi="Segoe UI" w:cs="Segoe UI"/>
          <w:color w:val="323130"/>
          <w:sz w:val="24"/>
          <w:szCs w:val="24"/>
        </w:rPr>
        <w:br/>
        <w:t>2026, it's a mouthful but it's worth it. This bill would amend the Carbon Credits Carbon Farming Initiative Act 2011, known as the CFI Act, and also includes amendments to the National Greenhouse and Energy Reporting Act 2007, which can be referred to as the ANGLIN Act.</w:t>
      </w:r>
      <w:r>
        <w:rPr>
          <w:rFonts w:ascii="Segoe UI" w:eastAsia="Segoe UI" w:hAnsi="Segoe UI" w:cs="Segoe UI"/>
          <w:color w:val="323130"/>
          <w:sz w:val="24"/>
          <w:szCs w:val="24"/>
        </w:rPr>
        <w:br/>
        <w:t>Today's session will primarily focus on a high level overview of the amendment package, most relevant, parts most relevant to the ACCU Scheme and with a very brief overview of the ANGLIN Act amendments. Of course, more detail on both sets of amendments can be found in the exposure draught of the bill, which has been released, and also we have released a consultation paper.</w:t>
      </w:r>
      <w:r>
        <w:rPr>
          <w:rFonts w:ascii="Segoe UI" w:eastAsia="Segoe UI" w:hAnsi="Segoe UI" w:cs="Segoe UI"/>
          <w:color w:val="323130"/>
          <w:sz w:val="24"/>
          <w:szCs w:val="24"/>
        </w:rPr>
        <w:br/>
        <w:t>on the amendments, proposed amendments, which is available on our website on our HaveYourSay page.</w:t>
      </w:r>
      <w:r>
        <w:rPr>
          <w:rFonts w:ascii="Segoe UI" w:eastAsia="Segoe UI" w:hAnsi="Segoe UI" w:cs="Segoe UI"/>
          <w:color w:val="323130"/>
          <w:sz w:val="24"/>
          <w:szCs w:val="24"/>
        </w:rPr>
        <w:br/>
        <w:t>Most importantly, we're very, very keen to hear what you think about the bill that has been released. We would welcome submissions through our HaveYourSay page by Friday the 22nd of May.</w:t>
      </w:r>
      <w:r>
        <w:rPr>
          <w:rFonts w:ascii="Segoe UI" w:eastAsia="Segoe UI" w:hAnsi="Segoe UI" w:cs="Segoe UI"/>
          <w:color w:val="323130"/>
          <w:sz w:val="24"/>
          <w:szCs w:val="24"/>
        </w:rPr>
        <w:br/>
        <w:t>So moving on to what we will cover in today's session, we'll provide a very quick refresher on the ACCU Scheme for those that may be coming to this a little bit, a little bit fresher. We will provide background and context to the amendments that have been proposed from reviews that have been undertaken and consultation that the department has conducted.</w:t>
      </w:r>
      <w:r>
        <w:rPr>
          <w:rFonts w:ascii="Segoe UI" w:eastAsia="Segoe UI" w:hAnsi="Segoe UI" w:cs="Segoe UI"/>
          <w:color w:val="323130"/>
          <w:sz w:val="24"/>
          <w:szCs w:val="24"/>
        </w:rPr>
        <w:br/>
        <w:t>We'll provide an overview of the amendments themselves, information on the consultation process that we are undertaking and the opportunities to engage through that process. And we'll also provide an update on next steps, what happens from here.</w:t>
      </w:r>
      <w:r>
        <w:rPr>
          <w:rFonts w:ascii="Segoe UI" w:eastAsia="Segoe UI" w:hAnsi="Segoe UI" w:cs="Segoe UI"/>
          <w:color w:val="323130"/>
          <w:sz w:val="24"/>
          <w:szCs w:val="24"/>
        </w:rPr>
        <w:br/>
        <w:t>Again, there will be questions at the end. If throughout the session, you'd like to pop questions in the chat as we go, that's completely welcome. And also you can put them forward to us at the end.</w:t>
      </w:r>
      <w:r>
        <w:rPr>
          <w:rFonts w:ascii="Segoe UI" w:eastAsia="Segoe UI" w:hAnsi="Segoe UI" w:cs="Segoe UI"/>
          <w:color w:val="323130"/>
          <w:sz w:val="24"/>
          <w:szCs w:val="24"/>
        </w:rPr>
        <w:br/>
        <w:t xml:space="preserve">Before we move on to the details of the amendments, of course an important legal disclaimer noted on the screen there. Today we'll be explaining the intent behind the </w:t>
      </w:r>
      <w:r>
        <w:rPr>
          <w:rFonts w:ascii="Segoe UI" w:eastAsia="Segoe UI" w:hAnsi="Segoe UI" w:cs="Segoe UI"/>
          <w:color w:val="323130"/>
          <w:sz w:val="24"/>
          <w:szCs w:val="24"/>
        </w:rPr>
        <w:lastRenderedPageBreak/>
        <w:t>legislative reforms from a policy perspective. This does not constitute legal advice and we would recommend that you seek your own legal or other preferences.</w:t>
      </w:r>
      <w:r>
        <w:rPr>
          <w:rFonts w:ascii="Segoe UI" w:eastAsia="Segoe UI" w:hAnsi="Segoe UI" w:cs="Segoe UI"/>
          <w:color w:val="323130"/>
          <w:sz w:val="24"/>
          <w:szCs w:val="24"/>
        </w:rPr>
        <w:br/>
        <w:t>professional advice as needed in regards to the bill.</w:t>
      </w:r>
      <w:r>
        <w:rPr>
          <w:rFonts w:ascii="Segoe UI" w:eastAsia="Segoe UI" w:hAnsi="Segoe UI" w:cs="Segoe UI"/>
          <w:color w:val="323130"/>
          <w:sz w:val="24"/>
          <w:szCs w:val="24"/>
        </w:rPr>
        <w:br/>
        <w:t>So, we'll now move on to the amendments themselves, and I'll pass over to my colleague Ingrid CRIPPS to run you through those. Thanks, Ingrid.</w:t>
      </w:r>
    </w:p>
    <w:p w14:paraId="6662F95F" w14:textId="429AA698" w:rsidR="004C4165" w:rsidRDefault="00000000">
      <w:pPr>
        <w:spacing w:line="300" w:lineRule="auto"/>
      </w:pPr>
      <w:r>
        <w:rPr>
          <w:noProof/>
        </w:rPr>
        <w:drawing>
          <wp:anchor distT="0" distB="0" distL="0" distR="0" simplePos="0" relativeHeight="251658242" behindDoc="0" locked="0" layoutInCell="1" allowOverlap="1" wp14:anchorId="04DC2249" wp14:editId="0C1C1022">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4:59</w:t>
      </w:r>
      <w:r>
        <w:rPr>
          <w:rFonts w:ascii="Segoe UI" w:eastAsia="Segoe UI" w:hAnsi="Segoe UI" w:cs="Segoe UI"/>
          <w:color w:val="323130"/>
          <w:sz w:val="24"/>
          <w:szCs w:val="24"/>
        </w:rPr>
        <w:br/>
        <w:t>Thanks, Kate.</w:t>
      </w:r>
      <w:r>
        <w:rPr>
          <w:rFonts w:ascii="Segoe UI" w:eastAsia="Segoe UI" w:hAnsi="Segoe UI" w:cs="Segoe UI"/>
          <w:color w:val="323130"/>
          <w:sz w:val="24"/>
          <w:szCs w:val="24"/>
        </w:rPr>
        <w:br/>
        <w:t>So I'll provide some background on the scheme and why legislation amendments are being proposed. Next slide, please.</w:t>
      </w:r>
      <w:r>
        <w:rPr>
          <w:rFonts w:ascii="Segoe UI" w:eastAsia="Segoe UI" w:hAnsi="Segoe UI" w:cs="Segoe UI"/>
          <w:color w:val="323130"/>
          <w:sz w:val="24"/>
          <w:szCs w:val="24"/>
        </w:rPr>
        <w:br/>
        <w:t>So hopefully many of you are familiar with the Australian Carbon Credit Unit Scheme. It is a voluntary scheme that provides incentives for organisations and individuals to adopt new practises and technologies to reduce emissions or store carbon. Participants earn ACCU or Australian Carbon Credit Units</w:t>
      </w:r>
      <w:r>
        <w:rPr>
          <w:rFonts w:ascii="Segoe UI" w:eastAsia="Segoe UI" w:hAnsi="Segoe UI" w:cs="Segoe UI"/>
          <w:color w:val="323130"/>
          <w:sz w:val="24"/>
          <w:szCs w:val="24"/>
        </w:rPr>
        <w:br/>
        <w:t>for the emissions stored or avoided by their project.</w:t>
      </w:r>
      <w:r>
        <w:rPr>
          <w:rFonts w:ascii="Segoe UI" w:eastAsia="Segoe UI" w:hAnsi="Segoe UI" w:cs="Segoe UI"/>
          <w:color w:val="323130"/>
          <w:sz w:val="24"/>
          <w:szCs w:val="24"/>
        </w:rPr>
        <w:br/>
        <w:t>can be sold to private buyers or the government.</w:t>
      </w:r>
      <w:r>
        <w:rPr>
          <w:rFonts w:ascii="Segoe UI" w:eastAsia="Segoe UI" w:hAnsi="Segoe UI" w:cs="Segoe UI"/>
          <w:color w:val="323130"/>
          <w:sz w:val="24"/>
          <w:szCs w:val="24"/>
        </w:rPr>
        <w:br/>
        <w:t>As A legislated scheme established by the Carbon Farming Initiative Act, it's administered by both the Department and the Clean Energy Regulator.</w:t>
      </w:r>
      <w:r>
        <w:rPr>
          <w:rFonts w:ascii="Segoe UI" w:eastAsia="Segoe UI" w:hAnsi="Segoe UI" w:cs="Segoe UI"/>
          <w:color w:val="323130"/>
          <w:sz w:val="24"/>
          <w:szCs w:val="24"/>
        </w:rPr>
        <w:br/>
        <w:t>All projects must follow an approved methodology that has been assessed to comply with the legislated offsets integrity standards by the Independent Emissions Reduction Assurance Committee. There are currently 11 methods available for new projects across multiple sectors, which you can see images on the screen there.</w:t>
      </w:r>
      <w:r>
        <w:rPr>
          <w:rFonts w:ascii="Segoe UI" w:eastAsia="Segoe UI" w:hAnsi="Segoe UI" w:cs="Segoe UI"/>
          <w:color w:val="323130"/>
          <w:sz w:val="24"/>
          <w:szCs w:val="24"/>
        </w:rPr>
        <w:br/>
        <w:t>And there are a number of projects being run under older methods.</w:t>
      </w:r>
      <w:r>
        <w:rPr>
          <w:rFonts w:ascii="Segoe UI" w:eastAsia="Segoe UI" w:hAnsi="Segoe UI" w:cs="Segoe UI"/>
          <w:color w:val="323130"/>
          <w:sz w:val="24"/>
          <w:szCs w:val="24"/>
        </w:rPr>
        <w:br/>
        <w:t>Alongside emissions reduction benefits, many projects also have non-carbon benefits, including benefits for the environment, communities and local economies.</w:t>
      </w:r>
      <w:r>
        <w:rPr>
          <w:rFonts w:ascii="Segoe UI" w:eastAsia="Segoe UI" w:hAnsi="Segoe UI" w:cs="Segoe UI"/>
          <w:color w:val="323130"/>
          <w:sz w:val="24"/>
          <w:szCs w:val="24"/>
        </w:rPr>
        <w:br/>
        <w:t>There are over 2500 projects registered and over 180 million tonnes of abatement has been delivered since 2011.</w:t>
      </w:r>
      <w:r>
        <w:rPr>
          <w:rFonts w:ascii="Segoe UI" w:eastAsia="Segoe UI" w:hAnsi="Segoe UI" w:cs="Segoe UI"/>
          <w:color w:val="323130"/>
          <w:sz w:val="24"/>
          <w:szCs w:val="24"/>
        </w:rPr>
        <w:br/>
        <w:t>The Scheme is part of a portfolio of policies. It complements a suite of policy measures that together contribute to Australia's emissions reduction targets.</w:t>
      </w:r>
      <w:r>
        <w:rPr>
          <w:rFonts w:ascii="Segoe UI" w:eastAsia="Segoe UI" w:hAnsi="Segoe UI" w:cs="Segoe UI"/>
          <w:color w:val="323130"/>
          <w:sz w:val="24"/>
          <w:szCs w:val="24"/>
        </w:rPr>
        <w:br/>
        <w:t>Together with the reformed safeguard mechanism, the scheme enables hard to abate industries to manage compliance costs while low emissions technology solutions are developed.</w:t>
      </w:r>
      <w:r>
        <w:rPr>
          <w:rFonts w:ascii="Segoe UI" w:eastAsia="Segoe UI" w:hAnsi="Segoe UI" w:cs="Segoe UI"/>
          <w:color w:val="323130"/>
          <w:sz w:val="24"/>
          <w:szCs w:val="24"/>
        </w:rPr>
        <w:br/>
        <w:t>It will continue to play an important role in Australia's net 0 transition, including through scaling up carbon storage inland as outlined in the net zero plan.</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Reviews by the Climate Change Authority, independent experts and the Australian National Audit Office have found that the scheme is well designed and administered and is contributing to Australia's net 0 transition.</w:t>
      </w:r>
      <w:r>
        <w:rPr>
          <w:rFonts w:ascii="Segoe UI" w:eastAsia="Segoe UI" w:hAnsi="Segoe UI" w:cs="Segoe UI"/>
          <w:color w:val="323130"/>
          <w:sz w:val="24"/>
          <w:szCs w:val="24"/>
        </w:rPr>
        <w:br/>
        <w:t>Reviews have recommended sensible changes to ensure ongoing integrity and alignment with evolving best practice.</w:t>
      </w:r>
      <w:r>
        <w:rPr>
          <w:rFonts w:ascii="Segoe UI" w:eastAsia="Segoe UI" w:hAnsi="Segoe UI" w:cs="Segoe UI"/>
          <w:color w:val="323130"/>
          <w:sz w:val="24"/>
          <w:szCs w:val="24"/>
        </w:rPr>
        <w:br/>
        <w:t>A programme of reform and improvement is well underway, with the most recent updates outlined in a progress report published in February.</w:t>
      </w:r>
      <w:r>
        <w:rPr>
          <w:rFonts w:ascii="Segoe UI" w:eastAsia="Segoe UI" w:hAnsi="Segoe UI" w:cs="Segoe UI"/>
          <w:color w:val="323130"/>
          <w:sz w:val="24"/>
          <w:szCs w:val="24"/>
        </w:rPr>
        <w:br/>
        <w:t>Continuous improvement is embedded in the scheme's design through statutory reviews and periodic method reviews by the Independent Emissions Reduction Assurance Committee.</w:t>
      </w:r>
      <w:r>
        <w:rPr>
          <w:rFonts w:ascii="Segoe UI" w:eastAsia="Segoe UI" w:hAnsi="Segoe UI" w:cs="Segoe UI"/>
          <w:color w:val="323130"/>
          <w:sz w:val="24"/>
          <w:szCs w:val="24"/>
        </w:rPr>
        <w:br/>
        <w:t>This amendment package builds on significant progress in implementing the recommendations of these reviews, including governance changes to strengthen method integrity and scheme administration, such as appointing A full-time emissions reduction assurance committee chair,</w:t>
      </w:r>
      <w:r>
        <w:rPr>
          <w:rFonts w:ascii="Segoe UI" w:eastAsia="Segoe UI" w:hAnsi="Segoe UI" w:cs="Segoe UI"/>
          <w:color w:val="323130"/>
          <w:sz w:val="24"/>
          <w:szCs w:val="24"/>
        </w:rPr>
        <w:br/>
        <w:t>Legislation amendments to improve transparency, such as requiring more project data to be published.</w:t>
      </w:r>
      <w:r>
        <w:rPr>
          <w:rFonts w:ascii="Segoe UI" w:eastAsia="Segoe UI" w:hAnsi="Segoe UI" w:cs="Segoe UI"/>
          <w:color w:val="323130"/>
          <w:sz w:val="24"/>
          <w:szCs w:val="24"/>
        </w:rPr>
        <w:br/>
        <w:t>and changes to bolster the integrity of methods, such as reforms to the landfill gas method to have an upward sloping baseline for landfill gas projects over time.</w:t>
      </w:r>
      <w:r>
        <w:rPr>
          <w:rFonts w:ascii="Segoe UI" w:eastAsia="Segoe UI" w:hAnsi="Segoe UI" w:cs="Segoe UI"/>
          <w:color w:val="323130"/>
          <w:sz w:val="24"/>
          <w:szCs w:val="24"/>
        </w:rPr>
        <w:br/>
        <w:t>The proposed amendments in the bill also build on significant consultation to date, including submissions on proposed policy positions to implement the government's response to reviews in late 2023, as well as feedback we've heard directly from stakeholders via workshops, bilateral discussions and through the development of methods.</w:t>
      </w:r>
      <w:r>
        <w:rPr>
          <w:rFonts w:ascii="Segoe UI" w:eastAsia="Segoe UI" w:hAnsi="Segoe UI" w:cs="Segoe UI"/>
          <w:color w:val="323130"/>
          <w:sz w:val="24"/>
          <w:szCs w:val="24"/>
        </w:rPr>
        <w:br/>
        <w:t>There have also been lessons learned through implementing and governing the scheme over the past 10 years. These amendments seek to action these learnings, including by making administrative improvements, reducing complexity and ensuring the scheme is fit for purpose.</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I'll provide a quick overview of the amendments to both of the acts you can see on the screen, and then outline the details of each upcoming webinar, which focus on the Australian Carbon Credit Unit Scheme amendments.</w:t>
      </w:r>
      <w:r>
        <w:rPr>
          <w:rFonts w:ascii="Segoe UI" w:eastAsia="Segoe UI" w:hAnsi="Segoe UI" w:cs="Segoe UI"/>
          <w:color w:val="323130"/>
          <w:sz w:val="24"/>
          <w:szCs w:val="24"/>
        </w:rPr>
        <w:br/>
        <w:t>X.</w:t>
      </w:r>
      <w:r>
        <w:rPr>
          <w:rFonts w:ascii="Segoe UI" w:eastAsia="Segoe UI" w:hAnsi="Segoe UI" w:cs="Segoe UI"/>
          <w:color w:val="323130"/>
          <w:sz w:val="24"/>
          <w:szCs w:val="24"/>
        </w:rPr>
        <w:br/>
        <w:t>The amendments to the ACCU Scheme seek to bolster scheme integrity, strengthen governance, and improve administration.</w:t>
      </w:r>
      <w:r>
        <w:rPr>
          <w:rFonts w:ascii="Segoe UI" w:eastAsia="Segoe UI" w:hAnsi="Segoe UI" w:cs="Segoe UI"/>
          <w:color w:val="323130"/>
          <w:sz w:val="24"/>
          <w:szCs w:val="24"/>
        </w:rPr>
        <w:br/>
        <w:t xml:space="preserve">The proposed amendments would strengthen scheme consent requirements by </w:t>
      </w:r>
      <w:r>
        <w:rPr>
          <w:rFonts w:ascii="Segoe UI" w:eastAsia="Segoe UI" w:hAnsi="Segoe UI" w:cs="Segoe UI"/>
          <w:color w:val="323130"/>
          <w:sz w:val="24"/>
          <w:szCs w:val="24"/>
        </w:rPr>
        <w:lastRenderedPageBreak/>
        <w:t>recognising registered native title claimants as eligible interest holders and requiring upfront and stage consent for projects on land that is recognised as native title land or is subject to native title claims.</w:t>
      </w:r>
      <w:r>
        <w:rPr>
          <w:rFonts w:ascii="Segoe UI" w:eastAsia="Segoe UI" w:hAnsi="Segoe UI" w:cs="Segoe UI"/>
          <w:color w:val="323130"/>
          <w:sz w:val="24"/>
          <w:szCs w:val="24"/>
        </w:rPr>
        <w:br/>
        <w:t>Amendments aim to enable the existing Emissions Reduction Assurance Committee to evolve into the Carbon Abatement Integrity Committee.</w:t>
      </w:r>
      <w:r>
        <w:rPr>
          <w:rFonts w:ascii="Segoe UI" w:eastAsia="Segoe UI" w:hAnsi="Segoe UI" w:cs="Segoe UI"/>
          <w:color w:val="323130"/>
          <w:sz w:val="24"/>
          <w:szCs w:val="24"/>
        </w:rPr>
        <w:br/>
        <w:t>Amendments clarify the governance arrangements for proponent-led method development in the Scheme.</w:t>
      </w:r>
      <w:r>
        <w:rPr>
          <w:rFonts w:ascii="Segoe UI" w:eastAsia="Segoe UI" w:hAnsi="Segoe UI" w:cs="Segoe UI"/>
          <w:color w:val="323130"/>
          <w:sz w:val="24"/>
          <w:szCs w:val="24"/>
        </w:rPr>
        <w:br/>
        <w:t>Amendments create new ministerial powers to manage critical integrity risks the scheme could face in the future.</w:t>
      </w:r>
      <w:r>
        <w:rPr>
          <w:rFonts w:ascii="Segoe UI" w:eastAsia="Segoe UI" w:hAnsi="Segoe UI" w:cs="Segoe UI"/>
          <w:color w:val="323130"/>
          <w:sz w:val="24"/>
          <w:szCs w:val="24"/>
        </w:rPr>
        <w:br/>
        <w:t>Amendments encourage greater investment and participation in research and development into emissions reduction opportunities for the scheme.</w:t>
      </w:r>
      <w:r>
        <w:rPr>
          <w:rFonts w:ascii="Segoe UI" w:eastAsia="Segoe UI" w:hAnsi="Segoe UI" w:cs="Segoe UI"/>
          <w:color w:val="323130"/>
          <w:sz w:val="24"/>
          <w:szCs w:val="24"/>
        </w:rPr>
        <w:br/>
        <w:t>There are amendments to enhance the Clean Energy Regulator's compliance and publication powers to ensure ongoing integrity and transparency of the scheme. And there are amendments also to simplify and streamline the scheme's administration.</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Yes.</w:t>
      </w:r>
      <w:r>
        <w:rPr>
          <w:rFonts w:ascii="Segoe UI" w:eastAsia="Segoe UI" w:hAnsi="Segoe UI" w:cs="Segoe UI"/>
          <w:color w:val="323130"/>
          <w:sz w:val="24"/>
          <w:szCs w:val="24"/>
        </w:rPr>
        <w:br/>
        <w:t>The National Greenhouse and Energy Reporting, or NGER Scheme, is Australia's national system for reporting greenhouse gas emissions, energy consumption and energy production by Australian corporations.</w:t>
      </w:r>
      <w:r>
        <w:rPr>
          <w:rFonts w:ascii="Segoe UI" w:eastAsia="Segoe UI" w:hAnsi="Segoe UI" w:cs="Segoe UI"/>
          <w:color w:val="323130"/>
          <w:sz w:val="24"/>
          <w:szCs w:val="24"/>
        </w:rPr>
        <w:br/>
        <w:t xml:space="preserve">Amendments are being made to address recommendations by the Climate Change Authority in their 2023 review of </w:t>
      </w:r>
      <w:r w:rsidR="008C5A2C">
        <w:rPr>
          <w:rFonts w:ascii="Segoe UI" w:eastAsia="Segoe UI" w:hAnsi="Segoe UI" w:cs="Segoe UI"/>
          <w:color w:val="323130"/>
          <w:sz w:val="24"/>
          <w:szCs w:val="24"/>
        </w:rPr>
        <w:t>NGER</w:t>
      </w:r>
      <w:r>
        <w:rPr>
          <w:rFonts w:ascii="Segoe UI" w:eastAsia="Segoe UI" w:hAnsi="Segoe UI" w:cs="Segoe UI"/>
          <w:color w:val="323130"/>
          <w:sz w:val="24"/>
          <w:szCs w:val="24"/>
        </w:rPr>
        <w:t xml:space="preserve"> legislation.</w:t>
      </w:r>
      <w:r>
        <w:rPr>
          <w:rFonts w:ascii="Segoe UI" w:eastAsia="Segoe UI" w:hAnsi="Segoe UI" w:cs="Segoe UI"/>
          <w:color w:val="323130"/>
          <w:sz w:val="24"/>
          <w:szCs w:val="24"/>
        </w:rPr>
        <w:br/>
        <w:t>These amendments include a new power to allow for greater transparency of ENGER Scheme data at the facility level, with the details of transparency requirements, for example the granularity of published information and the applicable thresholds, to be set and amended by legislative instrument.</w:t>
      </w:r>
      <w:r>
        <w:rPr>
          <w:rFonts w:ascii="Segoe UI" w:eastAsia="Segoe UI" w:hAnsi="Segoe UI" w:cs="Segoe UI"/>
          <w:color w:val="323130"/>
          <w:sz w:val="24"/>
          <w:szCs w:val="24"/>
        </w:rPr>
        <w:br/>
        <w:t>This will provide flexibility to adjust the requirements over time to meet new needs while still providing parliamentary oversight.</w:t>
      </w:r>
      <w:r>
        <w:rPr>
          <w:rFonts w:ascii="Segoe UI" w:eastAsia="Segoe UI" w:hAnsi="Segoe UI" w:cs="Segoe UI"/>
          <w:color w:val="323130"/>
          <w:sz w:val="24"/>
          <w:szCs w:val="24"/>
        </w:rPr>
        <w:br/>
        <w:t>The amendments aim to reduce administration for the Clean Energy Regulator by allowing the deregistration of companies where they are a Chapter 5 body corporate, for example, being wound up or under administration.</w:t>
      </w:r>
      <w:r>
        <w:rPr>
          <w:rFonts w:ascii="Segoe UI" w:eastAsia="Segoe UI" w:hAnsi="Segoe UI" w:cs="Segoe UI"/>
          <w:color w:val="323130"/>
          <w:sz w:val="24"/>
          <w:szCs w:val="24"/>
        </w:rPr>
        <w:br/>
        <w:t>And amendments aim to fill a gap in reporting obligations, where companies are significantly late in applying for registration under the ANGLIN Scheme, to ensure continuity of obligations to report under the scheme.</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And the next one.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a series of webinars are being held this week to cover the amendments to the Australian Carbon Credit Unit Scheme in more detail and allow for questions and answers.</w:t>
      </w:r>
      <w:r>
        <w:rPr>
          <w:rFonts w:ascii="Segoe UI" w:eastAsia="Segoe UI" w:hAnsi="Segoe UI" w:cs="Segoe UI"/>
          <w:color w:val="323130"/>
          <w:sz w:val="24"/>
          <w:szCs w:val="24"/>
        </w:rPr>
        <w:br/>
        <w:t>Registration is available on the HaveYourSay page on our website, and I encourage you to sign up to those you are interested in following today's presentation. I'll take you through a taster of each of them now.</w:t>
      </w:r>
      <w:r>
        <w:rPr>
          <w:rFonts w:ascii="Segoe UI" w:eastAsia="Segoe UI" w:hAnsi="Segoe UI" w:cs="Segoe UI"/>
          <w:color w:val="323130"/>
          <w:sz w:val="24"/>
          <w:szCs w:val="24"/>
        </w:rPr>
        <w:br/>
        <w:t>The first webinar will cover amendments to establish the Carbon Abatement Integrity Committee to replace the Emissions Reduction Assurance Committee, emphasising the committee's key role in ensuring method integrity.</w:t>
      </w:r>
      <w:r>
        <w:rPr>
          <w:rFonts w:ascii="Segoe UI" w:eastAsia="Segoe UI" w:hAnsi="Segoe UI" w:cs="Segoe UI"/>
          <w:color w:val="323130"/>
          <w:sz w:val="24"/>
          <w:szCs w:val="24"/>
        </w:rPr>
        <w:br/>
        <w:t>The amendments propose to introduce specific expertise criteria to inform appointment processes and a requirement that at least one member is an Aboriginal or Torres Strait Islander.</w:t>
      </w:r>
      <w:r>
        <w:rPr>
          <w:rFonts w:ascii="Segoe UI" w:eastAsia="Segoe UI" w:hAnsi="Segoe UI" w:cs="Segoe UI"/>
          <w:color w:val="323130"/>
          <w:sz w:val="24"/>
          <w:szCs w:val="24"/>
        </w:rPr>
        <w:br/>
        <w:t>The amendments add additional functions for the committee to advise on priorities for method development, including proponent-led methods, with that advice published.</w:t>
      </w:r>
      <w:r>
        <w:rPr>
          <w:rFonts w:ascii="Segoe UI" w:eastAsia="Segoe UI" w:hAnsi="Segoe UI" w:cs="Segoe UI"/>
          <w:color w:val="323130"/>
          <w:sz w:val="24"/>
          <w:szCs w:val="24"/>
        </w:rPr>
        <w:br/>
        <w:t>The amendments enhance the committee's independence and rigour of method assessments, through enabling access to independent advice from experts, and the option to lengthen the mandatory public consultation period on new or varied methods.</w:t>
      </w:r>
      <w:r>
        <w:rPr>
          <w:rFonts w:ascii="Segoe UI" w:eastAsia="Segoe UI" w:hAnsi="Segoe UI" w:cs="Segoe UI"/>
          <w:color w:val="323130"/>
          <w:sz w:val="24"/>
          <w:szCs w:val="24"/>
        </w:rPr>
        <w:br/>
        <w:t>And the amendments enhance the transparency of the committee by requiring the publication of outcomes of their review processes and their advice, which is currently often done on a voluntary basis.</w:t>
      </w:r>
      <w:r>
        <w:rPr>
          <w:rFonts w:ascii="Segoe UI" w:eastAsia="Segoe UI" w:hAnsi="Segoe UI" w:cs="Segoe UI"/>
          <w:color w:val="323130"/>
          <w:sz w:val="24"/>
          <w:szCs w:val="24"/>
        </w:rPr>
        <w:br/>
        <w:t>This first deep dive webinar will also cover changes to the newness requirement to remove barriers that may be discouraging prospective proponents from participating in research and development.</w:t>
      </w:r>
      <w:r>
        <w:rPr>
          <w:rFonts w:ascii="Segoe UI" w:eastAsia="Segoe UI" w:hAnsi="Segoe UI" w:cs="Segoe UI"/>
          <w:color w:val="323130"/>
          <w:sz w:val="24"/>
          <w:szCs w:val="24"/>
        </w:rPr>
        <w:br/>
        <w:t>The establishment of new methods relies on continuous investigation of ways to reduce Australia's greenhouse gas emissions.</w:t>
      </w:r>
      <w:r>
        <w:rPr>
          <w:rFonts w:ascii="Segoe UI" w:eastAsia="Segoe UI" w:hAnsi="Segoe UI" w:cs="Segoe UI"/>
          <w:color w:val="323130"/>
          <w:sz w:val="24"/>
          <w:szCs w:val="24"/>
        </w:rPr>
        <w:br/>
        <w:t>This amendment aims to adjust the scheme's eligibility requirements to reduce the risk that organisations withhold research and development investment or do not participate in trials and pilots.</w:t>
      </w:r>
      <w:r>
        <w:rPr>
          <w:rFonts w:ascii="Segoe UI" w:eastAsia="Segoe UI" w:hAnsi="Segoe UI" w:cs="Segoe UI"/>
          <w:color w:val="323130"/>
          <w:sz w:val="24"/>
          <w:szCs w:val="24"/>
        </w:rPr>
        <w:br/>
        <w:t>The amendments introduce research and development as a key consideration by the Clean Energy Regulator during the newness cheque when registering a project.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The second deep dive will focus on the proposed new integrity risk method declarations powers.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or IRMD for short.</w:t>
      </w:r>
      <w:r>
        <w:rPr>
          <w:rFonts w:ascii="Segoe UI" w:eastAsia="Segoe UI" w:hAnsi="Segoe UI" w:cs="Segoe UI"/>
          <w:color w:val="323130"/>
          <w:sz w:val="24"/>
          <w:szCs w:val="24"/>
        </w:rPr>
        <w:br/>
        <w:t>The proposed amendments would provide the Minister the power to make an integrity risk method declaration if the continued use of a method would create a material risk to the integrity of the ACCU Scheme.</w:t>
      </w:r>
      <w:r>
        <w:rPr>
          <w:rFonts w:ascii="Segoe UI" w:eastAsia="Segoe UI" w:hAnsi="Segoe UI" w:cs="Segoe UI"/>
          <w:color w:val="323130"/>
          <w:sz w:val="24"/>
          <w:szCs w:val="24"/>
        </w:rPr>
        <w:br/>
        <w:t>This new power would complement existing integrity features of the scheme and is envisaged as a measure of last resort.</w:t>
      </w:r>
      <w:r>
        <w:rPr>
          <w:rFonts w:ascii="Segoe UI" w:eastAsia="Segoe UI" w:hAnsi="Segoe UI" w:cs="Segoe UI"/>
          <w:color w:val="323130"/>
          <w:sz w:val="24"/>
          <w:szCs w:val="24"/>
        </w:rPr>
        <w:br/>
        <w:t>It would not be used as a matter of course, for example, when new versions of a method are released. Rather, it would only be used when absolutely warranted to protect the integrity of the entire scheme.</w:t>
      </w:r>
      <w:r>
        <w:rPr>
          <w:rFonts w:ascii="Segoe UI" w:eastAsia="Segoe UI" w:hAnsi="Segoe UI" w:cs="Segoe UI"/>
          <w:color w:val="323130"/>
          <w:sz w:val="24"/>
          <w:szCs w:val="24"/>
        </w:rPr>
        <w:br/>
        <w:t>To provide some more context on the potential situation, an integrity risk method declaration may be appropriate.</w:t>
      </w:r>
      <w:r>
        <w:rPr>
          <w:rFonts w:ascii="Segoe UI" w:eastAsia="Segoe UI" w:hAnsi="Segoe UI" w:cs="Segoe UI"/>
          <w:color w:val="323130"/>
          <w:sz w:val="24"/>
          <w:szCs w:val="24"/>
        </w:rPr>
        <w:br/>
        <w:t>is that it could be where an existing method has an integrity issue discovered, which cannot be sufficiently addressed through other integrity responses to ensure ongoing compliance with the offset's integrity standards.</w:t>
      </w:r>
      <w:r>
        <w:rPr>
          <w:rFonts w:ascii="Segoe UI" w:eastAsia="Segoe UI" w:hAnsi="Segoe UI" w:cs="Segoe UI"/>
          <w:color w:val="323130"/>
          <w:sz w:val="24"/>
          <w:szCs w:val="24"/>
        </w:rPr>
        <w:br/>
        <w:t>Those integrity issues are so serious that the integrity and value of ACCU generated are being questioned by buyers and the public.</w:t>
      </w:r>
      <w:r>
        <w:rPr>
          <w:rFonts w:ascii="Segoe UI" w:eastAsia="Segoe UI" w:hAnsi="Segoe UI" w:cs="Segoe UI"/>
          <w:color w:val="323130"/>
          <w:sz w:val="24"/>
          <w:szCs w:val="24"/>
        </w:rPr>
        <w:br/>
        <w:t>The projects using that method play such a large role in the scheme that if they continue using the identified method, the credibility of the scheme as a whole could be called into question.</w:t>
      </w:r>
      <w:r>
        <w:rPr>
          <w:rFonts w:ascii="Segoe UI" w:eastAsia="Segoe UI" w:hAnsi="Segoe UI" w:cs="Segoe UI"/>
          <w:color w:val="323130"/>
          <w:sz w:val="24"/>
          <w:szCs w:val="24"/>
        </w:rPr>
        <w:br/>
        <w:t>A loss of buyer and public confidence on that scale could undermine the operation of the whole scheme and affect the ability of the scheme to contribute to Australia's emissions reduction targets.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Given the significance of this power, there's a number of criteria and conditions under which it would be used.</w:t>
      </w:r>
      <w:r>
        <w:rPr>
          <w:rFonts w:ascii="Segoe UI" w:eastAsia="Segoe UI" w:hAnsi="Segoe UI" w:cs="Segoe UI"/>
          <w:color w:val="323130"/>
          <w:sz w:val="24"/>
          <w:szCs w:val="24"/>
        </w:rPr>
        <w:br/>
        <w:t>The Minister would only have the option to make an integrity risk method declaration if the integrity risk threshold criteria are met. Those criteria have two components.</w:t>
      </w:r>
      <w:r>
        <w:rPr>
          <w:rFonts w:ascii="Segoe UI" w:eastAsia="Segoe UI" w:hAnsi="Segoe UI" w:cs="Segoe UI"/>
          <w:color w:val="323130"/>
          <w:sz w:val="24"/>
          <w:szCs w:val="24"/>
        </w:rPr>
        <w:br/>
        <w:t>The method must be found not to comply with one or more of the legislated offsets integrity standards.</w:t>
      </w:r>
      <w:r>
        <w:rPr>
          <w:rFonts w:ascii="Segoe UI" w:eastAsia="Segoe UI" w:hAnsi="Segoe UI" w:cs="Segoe UI"/>
          <w:color w:val="323130"/>
          <w:sz w:val="24"/>
          <w:szCs w:val="24"/>
        </w:rPr>
        <w:br/>
        <w:t>Continued crediting under the method would pose a material risk to Scheme integrity. One way that could be demonstrated is if continued crediting would adversely impact the achievement of the objects of the Act. And these objects are to remove greenhouse gases from the atmosphere,</w:t>
      </w:r>
      <w:r>
        <w:rPr>
          <w:rFonts w:ascii="Segoe UI" w:eastAsia="Segoe UI" w:hAnsi="Segoe UI" w:cs="Segoe UI"/>
          <w:color w:val="323130"/>
          <w:sz w:val="24"/>
          <w:szCs w:val="24"/>
        </w:rPr>
        <w:br/>
        <w:t xml:space="preserve">and avoid emissions of greenhouse gases in order to meet Australia's international </w:t>
      </w:r>
      <w:r>
        <w:rPr>
          <w:rFonts w:ascii="Segoe UI" w:eastAsia="Segoe UI" w:hAnsi="Segoe UI" w:cs="Segoe UI"/>
          <w:color w:val="323130"/>
          <w:sz w:val="24"/>
          <w:szCs w:val="24"/>
        </w:rPr>
        <w:lastRenderedPageBreak/>
        <w:t>obligations.</w:t>
      </w:r>
      <w:r>
        <w:rPr>
          <w:rFonts w:ascii="Segoe UI" w:eastAsia="Segoe UI" w:hAnsi="Segoe UI" w:cs="Segoe UI"/>
          <w:color w:val="323130"/>
          <w:sz w:val="24"/>
          <w:szCs w:val="24"/>
        </w:rPr>
        <w:br/>
        <w:t>And to facilitate the achievement of Australia's Greenhouse gas emissions reduction targets.</w:t>
      </w:r>
      <w:r>
        <w:rPr>
          <w:rFonts w:ascii="Segoe UI" w:eastAsia="Segoe UI" w:hAnsi="Segoe UI" w:cs="Segoe UI"/>
          <w:color w:val="323130"/>
          <w:sz w:val="24"/>
          <w:szCs w:val="24"/>
        </w:rPr>
        <w:br/>
        <w:t>Before the Minister can make an integrity risk method declaration, other conditions must always be satisfied.</w:t>
      </w:r>
      <w:r>
        <w:rPr>
          <w:rFonts w:ascii="Segoe UI" w:eastAsia="Segoe UI" w:hAnsi="Segoe UI" w:cs="Segoe UI"/>
          <w:color w:val="323130"/>
          <w:sz w:val="24"/>
          <w:szCs w:val="24"/>
        </w:rPr>
        <w:br/>
      </w:r>
      <w:r>
        <w:rPr>
          <w:rFonts w:ascii="Segoe UI" w:eastAsia="Segoe UI" w:hAnsi="Segoe UI" w:cs="Segoe UI"/>
          <w:color w:val="323130"/>
          <w:sz w:val="24"/>
          <w:szCs w:val="24"/>
        </w:rPr>
        <w:br/>
        <w:t>The committee, sorry, must investigate and consult before providing the Minister advice on whether the integrity risk threshold criteria are met and whether making a declaration would substantially mitigate the risk.</w:t>
      </w:r>
      <w:r>
        <w:rPr>
          <w:rFonts w:ascii="Segoe UI" w:eastAsia="Segoe UI" w:hAnsi="Segoe UI" w:cs="Segoe UI"/>
          <w:color w:val="323130"/>
          <w:sz w:val="24"/>
          <w:szCs w:val="24"/>
        </w:rPr>
        <w:br/>
        <w:t>An alternative method of the same kind must be available and all projects using the method the Integrity Risk Method Declaration would apply to must be reasonably capable of moving to the alternative method.</w:t>
      </w:r>
      <w:r>
        <w:rPr>
          <w:rFonts w:ascii="Segoe UI" w:eastAsia="Segoe UI" w:hAnsi="Segoe UI" w:cs="Segoe UI"/>
          <w:color w:val="323130"/>
          <w:sz w:val="24"/>
          <w:szCs w:val="24"/>
        </w:rPr>
        <w:br/>
        <w:t>And finally, the minister must consult on their preliminary decision whether to make a declaration.</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After an integrity risk method declaration is made, there would be a period of time before it takes effect, providing an opportunity for projects to transition to a new method.</w:t>
      </w:r>
      <w:r>
        <w:rPr>
          <w:rFonts w:ascii="Segoe UI" w:eastAsia="Segoe UI" w:hAnsi="Segoe UI" w:cs="Segoe UI"/>
          <w:color w:val="323130"/>
          <w:sz w:val="24"/>
          <w:szCs w:val="24"/>
        </w:rPr>
        <w:br/>
        <w:t>That period would be up to two years for emissions avoidance projects and up to five years for sequestration projects.</w:t>
      </w:r>
      <w:r>
        <w:rPr>
          <w:rFonts w:ascii="Segoe UI" w:eastAsia="Segoe UI" w:hAnsi="Segoe UI" w:cs="Segoe UI"/>
          <w:color w:val="323130"/>
          <w:sz w:val="24"/>
          <w:szCs w:val="24"/>
        </w:rPr>
        <w:br/>
        <w:t>The minister may choose a shorter period, but no less than six months.</w:t>
      </w:r>
      <w:r>
        <w:rPr>
          <w:rFonts w:ascii="Segoe UI" w:eastAsia="Segoe UI" w:hAnsi="Segoe UI" w:cs="Segoe UI"/>
          <w:color w:val="323130"/>
          <w:sz w:val="24"/>
          <w:szCs w:val="24"/>
        </w:rPr>
        <w:br/>
        <w:t>Once the integrity risk method declaration takes effect, projects will be prevented from continuing to earn ACCU using that method.</w:t>
      </w:r>
      <w:r>
        <w:rPr>
          <w:rFonts w:ascii="Segoe UI" w:eastAsia="Segoe UI" w:hAnsi="Segoe UI" w:cs="Segoe UI"/>
          <w:color w:val="323130"/>
          <w:sz w:val="24"/>
          <w:szCs w:val="24"/>
        </w:rPr>
        <w:br/>
        <w:t>To continue earning ACCU, projects may transition to another method. That may be the suitable alternative method identified in the Minister's decision, or another method that projects are eligible for.</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The third webinar will cover the proposed changes to the scheme's consent requirements.</w:t>
      </w:r>
      <w:r>
        <w:rPr>
          <w:rFonts w:ascii="Segoe UI" w:eastAsia="Segoe UI" w:hAnsi="Segoe UI" w:cs="Segoe UI"/>
          <w:color w:val="323130"/>
          <w:sz w:val="24"/>
          <w:szCs w:val="24"/>
        </w:rPr>
        <w:br/>
        <w:t>These amendments aim to expand eligible interest holders to include registered native title claimants.</w:t>
      </w:r>
      <w:r>
        <w:rPr>
          <w:rFonts w:ascii="Segoe UI" w:eastAsia="Segoe UI" w:hAnsi="Segoe UI" w:cs="Segoe UI"/>
          <w:color w:val="323130"/>
          <w:sz w:val="24"/>
          <w:szCs w:val="24"/>
        </w:rPr>
        <w:br/>
        <w:t>The amendments establish an upfront consent requirement through a two-stage process for area-based offsets projects on native title land or claimed native title land. This prevents projects from being registered without the knowledge or consent of a registered native title body corporate or a registered native title claimant.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 proposed two-stage process will not apply to other categories of eligible interest holders.</w:t>
      </w:r>
      <w:r>
        <w:rPr>
          <w:rFonts w:ascii="Segoe UI" w:eastAsia="Segoe UI" w:hAnsi="Segoe UI" w:cs="Segoe UI"/>
          <w:color w:val="323130"/>
          <w:sz w:val="24"/>
          <w:szCs w:val="24"/>
        </w:rPr>
        <w:br/>
        <w:t>And the amendments will clarify the consent obligations for exclusive possession native title land by removing the need for consent from Crown Lands Ministers.</w:t>
      </w:r>
      <w:r>
        <w:rPr>
          <w:rFonts w:ascii="Segoe UI" w:eastAsia="Segoe UI" w:hAnsi="Segoe UI" w:cs="Segoe UI"/>
          <w:color w:val="323130"/>
          <w:sz w:val="24"/>
          <w:szCs w:val="24"/>
        </w:rPr>
        <w:br/>
        <w:t>These changes aim to ensure registered native title body corporates and registered native title claimants are engaged before a project is registered.</w:t>
      </w:r>
      <w:r>
        <w:rPr>
          <w:rFonts w:ascii="Segoe UI" w:eastAsia="Segoe UI" w:hAnsi="Segoe UI" w:cs="Segoe UI"/>
          <w:color w:val="323130"/>
          <w:sz w:val="24"/>
          <w:szCs w:val="24"/>
        </w:rPr>
        <w:br/>
        <w:t>Earlier engagement provides more time for native title holders and claimants to determine how project activities may affect their rights and interests.</w:t>
      </w:r>
      <w:r>
        <w:rPr>
          <w:rFonts w:ascii="Segoe UI" w:eastAsia="Segoe UI" w:hAnsi="Segoe UI" w:cs="Segoe UI"/>
          <w:color w:val="323130"/>
          <w:sz w:val="24"/>
          <w:szCs w:val="24"/>
        </w:rPr>
        <w:br/>
        <w:t>Overall, the reforms seek to improve alignment with free prior and informed consent principles by strengthening consent requirements at the earliest stages of a project life cycle and reinforcing the need for ongoing engagement throughout the lifespan of the project.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The rest of the bill in regards to the Australian Carbon Credit Unit Scheme amendments focuses on implementing broader changes intended to improve integrity and scheme administration.</w:t>
      </w:r>
      <w:r>
        <w:rPr>
          <w:rFonts w:ascii="Segoe UI" w:eastAsia="Segoe UI" w:hAnsi="Segoe UI" w:cs="Segoe UI"/>
          <w:color w:val="323130"/>
          <w:sz w:val="24"/>
          <w:szCs w:val="24"/>
        </w:rPr>
        <w:br/>
        <w:t>The CFI Act hasn't been broadly amended since 2014, when the scheme moved from being the Carbon Farming Initiative to the Emissions Reduction Fund.</w:t>
      </w:r>
      <w:r>
        <w:rPr>
          <w:rFonts w:ascii="Segoe UI" w:eastAsia="Segoe UI" w:hAnsi="Segoe UI" w:cs="Segoe UI"/>
          <w:color w:val="323130"/>
          <w:sz w:val="24"/>
          <w:szCs w:val="24"/>
        </w:rPr>
        <w:br/>
        <w:t>Through 11 years of administration, important changes have been identified that will improve its operation.</w:t>
      </w:r>
      <w:r>
        <w:rPr>
          <w:rFonts w:ascii="Segoe UI" w:eastAsia="Segoe UI" w:hAnsi="Segoe UI" w:cs="Segoe UI"/>
          <w:color w:val="323130"/>
          <w:sz w:val="24"/>
          <w:szCs w:val="24"/>
        </w:rPr>
        <w:br/>
        <w:t>This includes bolstering the Clean Energy Regulator's powers to support compliance and enforcement, improving flexibility for proponents, and clarifying key concepts and processes.</w:t>
      </w:r>
      <w:r>
        <w:rPr>
          <w:rFonts w:ascii="Segoe UI" w:eastAsia="Segoe UI" w:hAnsi="Segoe UI" w:cs="Segoe UI"/>
          <w:color w:val="323130"/>
          <w:sz w:val="24"/>
          <w:szCs w:val="24"/>
        </w:rPr>
        <w:br/>
        <w:t>This deep dive webinar will cover items in sections E, F and G of the consultation paper.</w:t>
      </w:r>
      <w:r>
        <w:rPr>
          <w:rFonts w:ascii="Segoe UI" w:eastAsia="Segoe UI" w:hAnsi="Segoe UI" w:cs="Segoe UI"/>
          <w:color w:val="323130"/>
          <w:sz w:val="24"/>
          <w:szCs w:val="24"/>
        </w:rPr>
        <w:br/>
        <w:t>I'll outline a couple of amendments here, but please come to the webinar to hear more.</w:t>
      </w:r>
      <w:r>
        <w:rPr>
          <w:rFonts w:ascii="Segoe UI" w:eastAsia="Segoe UI" w:hAnsi="Segoe UI" w:cs="Segoe UI"/>
          <w:color w:val="323130"/>
          <w:sz w:val="24"/>
          <w:szCs w:val="24"/>
        </w:rPr>
        <w:br/>
        <w:t>The Clean Energy Regulator will gain powers to require relinquishment or require the hand back of Australian Carbon Credit Units for abatement that wasn't achieved.</w:t>
      </w:r>
      <w:r>
        <w:rPr>
          <w:rFonts w:ascii="Segoe UI" w:eastAsia="Segoe UI" w:hAnsi="Segoe UI" w:cs="Segoe UI"/>
          <w:color w:val="323130"/>
          <w:sz w:val="24"/>
          <w:szCs w:val="24"/>
        </w:rPr>
        <w:br/>
        <w:t>And a new voluntary relinquishment process will be introduced for when proponents unintentionally provide false information.</w:t>
      </w:r>
      <w:r>
        <w:rPr>
          <w:rFonts w:ascii="Segoe UI" w:eastAsia="Segoe UI" w:hAnsi="Segoe UI" w:cs="Segoe UI"/>
          <w:color w:val="323130"/>
          <w:sz w:val="24"/>
          <w:szCs w:val="24"/>
        </w:rPr>
        <w:br/>
        <w:t>These changes reflect the government's commitment to continuously improve the scheme, with the new relinquishment power complementing existing mechanisms and filling a regulatory gap, and the new voluntary relinquishment process responding directly to stakeholder feedback.</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 Clean Energy Regulator will gain new tools to assist with scheme compliance. This includes being able to issue infringement notices for lower level infringements, being able to reverse decisions if they were made based on false and misleading information, and being able to seek injunctions for breaches of car.</w:t>
      </w:r>
      <w:r>
        <w:rPr>
          <w:rFonts w:ascii="Segoe UI" w:eastAsia="Segoe UI" w:hAnsi="Segoe UI" w:cs="Segoe UI"/>
          <w:color w:val="323130"/>
          <w:sz w:val="24"/>
          <w:szCs w:val="24"/>
        </w:rPr>
        <w:br/>
        <w:t>Other maintenance obligations.</w:t>
      </w:r>
      <w:r>
        <w:rPr>
          <w:rFonts w:ascii="Segoe UI" w:eastAsia="Segoe UI" w:hAnsi="Segoe UI" w:cs="Segoe UI"/>
          <w:color w:val="323130"/>
          <w:sz w:val="24"/>
          <w:szCs w:val="24"/>
        </w:rPr>
        <w:br/>
        <w:t>The fit and proper person test will be expanded to also apply to designated agents who act on behalf of others in the scheme.</w:t>
      </w:r>
      <w:r>
        <w:rPr>
          <w:rFonts w:ascii="Segoe UI" w:eastAsia="Segoe UI" w:hAnsi="Segoe UI" w:cs="Segoe UI"/>
          <w:color w:val="323130"/>
          <w:sz w:val="24"/>
          <w:szCs w:val="24"/>
        </w:rPr>
        <w:br/>
        <w:t>The amendments include clarifications to the way permanence, crediting periods and carbon maintenance obligations work, adding sensible flexibility and closing potential loopholes.</w:t>
      </w:r>
      <w:r>
        <w:rPr>
          <w:rFonts w:ascii="Segoe UI" w:eastAsia="Segoe UI" w:hAnsi="Segoe UI" w:cs="Segoe UI"/>
          <w:color w:val="323130"/>
          <w:sz w:val="24"/>
          <w:szCs w:val="24"/>
        </w:rPr>
        <w:br/>
        <w:t>This includes clarifying that Australian carbon credit units can be relinquished to vary or revoke a carbon maintenance obligation.</w:t>
      </w:r>
      <w:r>
        <w:rPr>
          <w:rFonts w:ascii="Segoe UI" w:eastAsia="Segoe UI" w:hAnsi="Segoe UI" w:cs="Segoe UI"/>
          <w:color w:val="323130"/>
          <w:sz w:val="24"/>
          <w:szCs w:val="24"/>
        </w:rPr>
        <w:br/>
        <w:t>as well as changes to address anomalies to ensure crediting periods are entirely included in a permanence period.</w:t>
      </w:r>
      <w:r>
        <w:rPr>
          <w:rFonts w:ascii="Segoe UI" w:eastAsia="Segoe UI" w:hAnsi="Segoe UI" w:cs="Segoe UI"/>
          <w:color w:val="323130"/>
          <w:sz w:val="24"/>
          <w:szCs w:val="24"/>
        </w:rPr>
        <w:br/>
        <w:t>There are clarifications to reporting obligations and added flexibility. This includes allowing reporting of abatement up to 9 months after reporting period ends and clarifying that reporting is not required after both the crediting period and the permanence period ends.</w:t>
      </w:r>
      <w:r>
        <w:rPr>
          <w:rFonts w:ascii="Segoe UI" w:eastAsia="Segoe UI" w:hAnsi="Segoe UI" w:cs="Segoe UI"/>
          <w:color w:val="323130"/>
          <w:sz w:val="24"/>
          <w:szCs w:val="24"/>
        </w:rPr>
        <w:br/>
        <w:t>The amendments make improvements to the administration of area-based projects to make it easier for projects to switch between emissions avoidance savannah fire management methods and emissions avoidance and sequestration savannah fire management methods.</w:t>
      </w:r>
      <w:r>
        <w:rPr>
          <w:rFonts w:ascii="Segoe UI" w:eastAsia="Segoe UI" w:hAnsi="Segoe UI" w:cs="Segoe UI"/>
          <w:color w:val="323130"/>
          <w:sz w:val="24"/>
          <w:szCs w:val="24"/>
        </w:rPr>
        <w:br/>
        <w:t>and also to make it possible for parts of sequestration projects to be removed from the scheme if the associated Australian Carbon Credit Units are relinquished.</w:t>
      </w:r>
      <w:r>
        <w:rPr>
          <w:rFonts w:ascii="Segoe UI" w:eastAsia="Segoe UI" w:hAnsi="Segoe UI" w:cs="Segoe UI"/>
          <w:color w:val="323130"/>
          <w:sz w:val="24"/>
          <w:szCs w:val="24"/>
        </w:rPr>
        <w:br/>
        <w:t>There are amendments which allow for projects to transition from 25 year to 100 year permanent periods, providing they have obtained the necessary consent.</w:t>
      </w:r>
      <w:r>
        <w:rPr>
          <w:rFonts w:ascii="Segoe UI" w:eastAsia="Segoe UI" w:hAnsi="Segoe UI" w:cs="Segoe UI"/>
          <w:color w:val="323130"/>
          <w:sz w:val="24"/>
          <w:szCs w:val="24"/>
        </w:rPr>
        <w:br/>
        <w:t>And finally...</w:t>
      </w:r>
      <w:r>
        <w:rPr>
          <w:rFonts w:ascii="Segoe UI" w:eastAsia="Segoe UI" w:hAnsi="Segoe UI" w:cs="Segoe UI"/>
          <w:color w:val="323130"/>
          <w:sz w:val="24"/>
          <w:szCs w:val="24"/>
        </w:rPr>
        <w:br/>
        <w:t>The Australian Carbon Credit Unit purchasing function will be moved from the Clean Energy Regulator to the Secretary of the Department of Climate Change, Energy, Environment and Water, fulfilling the Chubb review recommendation that purchasing should be undertaken by another agency.</w:t>
      </w:r>
      <w:r>
        <w:rPr>
          <w:rFonts w:ascii="Segoe UI" w:eastAsia="Segoe UI" w:hAnsi="Segoe UI" w:cs="Segoe UI"/>
          <w:color w:val="323130"/>
          <w:sz w:val="24"/>
          <w:szCs w:val="24"/>
        </w:rPr>
        <w:br/>
        <w:t>I'll now hand back to Kate to take us through the next steps.</w:t>
      </w:r>
    </w:p>
    <w:p w14:paraId="7E058CEC" w14:textId="77777777" w:rsidR="004C4165" w:rsidRDefault="00000000">
      <w:pPr>
        <w:spacing w:line="300" w:lineRule="auto"/>
      </w:pPr>
      <w:r>
        <w:rPr>
          <w:noProof/>
        </w:rPr>
        <w:drawing>
          <wp:anchor distT="0" distB="0" distL="0" distR="0" simplePos="0" relativeHeight="251658243" behindDoc="0" locked="0" layoutInCell="1" allowOverlap="1" wp14:anchorId="2BA39203" wp14:editId="3D2556A1">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25:35</w:t>
      </w:r>
      <w:r>
        <w:rPr>
          <w:rFonts w:ascii="Segoe UI" w:eastAsia="Segoe UI" w:hAnsi="Segoe UI" w:cs="Segoe UI"/>
          <w:color w:val="323130"/>
          <w:sz w:val="24"/>
          <w:szCs w:val="24"/>
        </w:rPr>
        <w:br/>
        <w:t xml:space="preserve">Thanks, Ingrid. So regarding next steps, that was quite a high level overview. I </w:t>
      </w:r>
      <w:r>
        <w:rPr>
          <w:rFonts w:ascii="Segoe UI" w:eastAsia="Segoe UI" w:hAnsi="Segoe UI" w:cs="Segoe UI"/>
          <w:color w:val="323130"/>
          <w:sz w:val="24"/>
          <w:szCs w:val="24"/>
        </w:rPr>
        <w:lastRenderedPageBreak/>
        <w:t>intentionally said that we've got enough time for an initial question and answer session, but also to encourage you to attend those deep dive webinars where we get into depth on the categories that Ingrid outlined.</w:t>
      </w:r>
      <w:r>
        <w:rPr>
          <w:rFonts w:ascii="Segoe UI" w:eastAsia="Segoe UI" w:hAnsi="Segoe UI" w:cs="Segoe UI"/>
          <w:color w:val="323130"/>
          <w:sz w:val="24"/>
          <w:szCs w:val="24"/>
        </w:rPr>
        <w:br/>
        <w:t>So firstly, we would encourage you to register for the deep dive webinars through our HaveYourSay page on our website. Take a look at the bill, take a look at our consultation paper, which we've prepared to speak to the main primary amendments across the bill package and hopefully make them a little easier to navigate because amendment bills can be pretty tricky.</w:t>
      </w:r>
      <w:r>
        <w:rPr>
          <w:rFonts w:ascii="Segoe UI" w:eastAsia="Segoe UI" w:hAnsi="Segoe UI" w:cs="Segoe UI"/>
          <w:color w:val="323130"/>
          <w:sz w:val="24"/>
          <w:szCs w:val="24"/>
        </w:rPr>
        <w:br/>
        <w:t>to work through. I've also included some background information on our website regarding the bill package as well. Please submit then your submission through our HaveYourSay portal, as I said earlier, by the 22nd of May and email us if you've got any concerns there. The feedback will inform the next version of the bill that would be introduced into Parliament for consideration by Parliament.</w:t>
      </w:r>
      <w:r>
        <w:rPr>
          <w:rFonts w:ascii="Segoe UI" w:eastAsia="Segoe UI" w:hAnsi="Segoe UI" w:cs="Segoe UI"/>
          <w:color w:val="323130"/>
          <w:sz w:val="24"/>
          <w:szCs w:val="24"/>
        </w:rPr>
        <w:br/>
        <w:t>and may also inform hopefully the implementation of the amendments if they are passed.</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in terms of the next steps, we are very much at the consultation stage and we'll be working through that through to the 22nd of May. Following consultation, the bill will be refined to consider the consultation feedback. But I would note, as you may have already noted, and we've got some questions about it already coming through the</w:t>
      </w:r>
      <w:r>
        <w:rPr>
          <w:rFonts w:ascii="Segoe UI" w:eastAsia="Segoe UI" w:hAnsi="Segoe UI" w:cs="Segoe UI"/>
          <w:color w:val="323130"/>
          <w:sz w:val="24"/>
          <w:szCs w:val="24"/>
        </w:rPr>
        <w:br/>
        <w:t>Q&amp;A function, the time frame for the consultation is extremely tight and we acknowledge that. We are working to a very tight timeline, potentially to work towards an introduction time frame. It hasn't been confirmed yet and time frame for introduction is a matter for the government, but we are pressing on following.</w:t>
      </w:r>
      <w:r>
        <w:rPr>
          <w:rFonts w:ascii="Segoe UI" w:eastAsia="Segoe UI" w:hAnsi="Segoe UI" w:cs="Segoe UI"/>
          <w:color w:val="323130"/>
          <w:sz w:val="24"/>
          <w:szCs w:val="24"/>
        </w:rPr>
        <w:br/>
        <w:t>what has been quite a long development process for this package of amendments and has been informed hopefully by prior consultation on a lot of the concepts that are now reflected in this bill.</w:t>
      </w:r>
      <w:r>
        <w:rPr>
          <w:rFonts w:ascii="Segoe UI" w:eastAsia="Segoe UI" w:hAnsi="Segoe UI" w:cs="Segoe UI"/>
          <w:color w:val="323130"/>
          <w:sz w:val="24"/>
          <w:szCs w:val="24"/>
        </w:rPr>
        <w:br/>
        <w:t>If the bill is passed, there would be a further package of amendments work that would occur and that includes consequential amendments to the Scheme rule that sits underneath the bill. The CEI would make adjustments to some of its online information through its online services portal and there would be updates also to key communications materials such as guidance materials and web materials.</w:t>
      </w:r>
      <w:r>
        <w:rPr>
          <w:rFonts w:ascii="Segoe UI" w:eastAsia="Segoe UI" w:hAnsi="Segoe UI" w:cs="Segoe UI"/>
          <w:color w:val="323130"/>
          <w:sz w:val="24"/>
          <w:szCs w:val="24"/>
        </w:rPr>
        <w:br/>
        <w:t xml:space="preserve">For added fun in parallel, we're also progressing a remake of the rule for the ACCU Scheme, so the CFI rule. We are doing that because the CFI rule, having been in place </w:t>
      </w:r>
      <w:r>
        <w:rPr>
          <w:rFonts w:ascii="Segoe UI" w:eastAsia="Segoe UI" w:hAnsi="Segoe UI" w:cs="Segoe UI"/>
          <w:color w:val="323130"/>
          <w:sz w:val="24"/>
          <w:szCs w:val="24"/>
        </w:rPr>
        <w:lastRenderedPageBreak/>
        <w:t>for 10 years as a legislative instrument, is due to sunset in 2027 and we need to remake it so that it continues to be</w:t>
      </w:r>
      <w:r>
        <w:rPr>
          <w:rFonts w:ascii="Segoe UI" w:eastAsia="Segoe UI" w:hAnsi="Segoe UI" w:cs="Segoe UI"/>
          <w:color w:val="323130"/>
          <w:sz w:val="24"/>
          <w:szCs w:val="24"/>
        </w:rPr>
        <w:br/>
        <w:t>available. We're doing that in parallel with the bill work and then we will then flow through any relevant changes that reflect or are required due to the bill once it's passed to the parliament into that rule once the bill has completed its parliamentary consideration period. So there's a few parallel legislative processes</w:t>
      </w:r>
      <w:r>
        <w:rPr>
          <w:rFonts w:ascii="Segoe UI" w:eastAsia="Segoe UI" w:hAnsi="Segoe UI" w:cs="Segoe UI"/>
          <w:color w:val="323130"/>
          <w:sz w:val="24"/>
          <w:szCs w:val="24"/>
        </w:rPr>
        <w:br/>
        <w:t>occurring here, but we are right now at the consultation stage on the bill and looking to progress forward down that lovely rd as we go and hopefully achieve passage of the bill in good time. So we might now then move through to the question and answer session of the webinar.</w:t>
      </w:r>
      <w:r>
        <w:rPr>
          <w:rFonts w:ascii="Segoe UI" w:eastAsia="Segoe UI" w:hAnsi="Segoe UI" w:cs="Segoe UI"/>
          <w:color w:val="323130"/>
          <w:sz w:val="24"/>
          <w:szCs w:val="24"/>
        </w:rPr>
        <w:br/>
        <w:t>So I will be working through the questions that have been submitted. I would note that if your question is posted, that the name, as it appears on Microsoft Teams, will also be posted with that question.</w:t>
      </w:r>
      <w:r>
        <w:rPr>
          <w:rFonts w:ascii="Segoe UI" w:eastAsia="Segoe UI" w:hAnsi="Segoe UI" w:cs="Segoe UI"/>
          <w:color w:val="323130"/>
          <w:sz w:val="24"/>
          <w:szCs w:val="24"/>
        </w:rPr>
        <w:br/>
        <w:t>I will answer as many as we can now, but we'll also, as I said earlier, look to update our frequently asked questions on our website on some of the key themes that are being raised. And we very much thank you for your questions and your feedback. My team is also online here and will be available to take some of the questions where they relate to particular details.</w:t>
      </w:r>
      <w:r>
        <w:rPr>
          <w:rFonts w:ascii="Segoe UI" w:eastAsia="Segoe UI" w:hAnsi="Segoe UI" w:cs="Segoe UI"/>
          <w:color w:val="323130"/>
          <w:sz w:val="24"/>
          <w:szCs w:val="24"/>
        </w:rPr>
        <w:br/>
        <w:t>that they've been working through.</w:t>
      </w:r>
      <w:r>
        <w:rPr>
          <w:rFonts w:ascii="Segoe UI" w:eastAsia="Segoe UI" w:hAnsi="Segoe UI" w:cs="Segoe UI"/>
          <w:color w:val="323130"/>
          <w:sz w:val="24"/>
          <w:szCs w:val="24"/>
        </w:rPr>
        <w:br/>
        <w:t>So we might get started on some of the questions that have been the most upvoted that have come through. So question one is, will these deep dive webinars be recorded for those who can't attend, please? The answer is yes. Our intention is to record the deep dive webinars and to publish those on our website.</w:t>
      </w:r>
      <w:r>
        <w:rPr>
          <w:rFonts w:ascii="Segoe UI" w:eastAsia="Segoe UI" w:hAnsi="Segoe UI" w:cs="Segoe UI"/>
          <w:color w:val="323130"/>
          <w:sz w:val="24"/>
          <w:szCs w:val="24"/>
        </w:rPr>
        <w:br/>
        <w:t>So we want to make sure that they are available to as many people as possible, including those that are unable to attend the deep dives themselves. And we'll look to do that as quickly as we can, but it might just take a few days for us to work through with our communications team to make sure we've got a recorded version, but we will get those up as soon as we can.</w:t>
      </w:r>
      <w:r>
        <w:rPr>
          <w:rFonts w:ascii="Segoe UI" w:eastAsia="Segoe UI" w:hAnsi="Segoe UI" w:cs="Segoe UI"/>
          <w:color w:val="323130"/>
          <w:sz w:val="24"/>
          <w:szCs w:val="24"/>
        </w:rPr>
        <w:br/>
        <w:t>Another question, why such a short consultation period? Good question. We are working to a tight timeline to enable the bill package to be ready for introduction into Parliament. We don't have a precise timeline from the government on that yet. It is up to the government as to what their...</w:t>
      </w:r>
      <w:r>
        <w:rPr>
          <w:rFonts w:ascii="Segoe UI" w:eastAsia="Segoe UI" w:hAnsi="Segoe UI" w:cs="Segoe UI"/>
          <w:color w:val="323130"/>
          <w:sz w:val="24"/>
          <w:szCs w:val="24"/>
        </w:rPr>
        <w:br/>
        <w:t xml:space="preserve">programme of bills being introduced into Parliament is, but we have been asked to get everything as ready as we possibly can and so have a tight consultation timeframe to enable that to occur. But yes, if there are major concerns with that </w:t>
      </w:r>
      <w:r>
        <w:rPr>
          <w:rFonts w:ascii="Segoe UI" w:eastAsia="Segoe UI" w:hAnsi="Segoe UI" w:cs="Segoe UI"/>
          <w:color w:val="323130"/>
          <w:sz w:val="24"/>
          <w:szCs w:val="24"/>
        </w:rPr>
        <w:lastRenderedPageBreak/>
        <w:t>timeframe, we would ask that you send us an email, but we are looking to run as many conversations throughout the consultation period as we can to</w:t>
      </w:r>
      <w:r>
        <w:rPr>
          <w:rFonts w:ascii="Segoe UI" w:eastAsia="Segoe UI" w:hAnsi="Segoe UI" w:cs="Segoe UI"/>
          <w:color w:val="323130"/>
          <w:sz w:val="24"/>
          <w:szCs w:val="24"/>
        </w:rPr>
        <w:br/>
        <w:t>ensure that we hear from as many voices as possible on the bill package. And we'll also be attending, there's a Carbon Farming Institute, Carbon Farming Forum in Fremantle. Towards the end of May, we'll be there to speak with attendees of that forum about the bill. We're holding, as we said, a series of webinars and also other meetings to discuss the bill throughout the consultation period, as well as welcoming submissions. So</w:t>
      </w:r>
      <w:r>
        <w:rPr>
          <w:rFonts w:ascii="Segoe UI" w:eastAsia="Segoe UI" w:hAnsi="Segoe UI" w:cs="Segoe UI"/>
          <w:color w:val="323130"/>
          <w:sz w:val="24"/>
          <w:szCs w:val="24"/>
        </w:rPr>
        <w:br/>
        <w:t>We would encourage early feedback to be provided wherever possible, and that can be through participation in those discussion forums, but also of course through providing a submission.</w:t>
      </w:r>
      <w:r>
        <w:rPr>
          <w:rFonts w:ascii="Segoe UI" w:eastAsia="Segoe UI" w:hAnsi="Segoe UI" w:cs="Segoe UI"/>
          <w:color w:val="323130"/>
          <w:sz w:val="24"/>
          <w:szCs w:val="24"/>
        </w:rPr>
        <w:br/>
        <w:t>Another question. Oh, go ahead, Ingrid. Yes.</w:t>
      </w:r>
    </w:p>
    <w:p w14:paraId="35FC2AA7" w14:textId="77777777" w:rsidR="004C4165" w:rsidRDefault="00000000">
      <w:pPr>
        <w:spacing w:line="300" w:lineRule="auto"/>
      </w:pPr>
      <w:r>
        <w:rPr>
          <w:noProof/>
        </w:rPr>
        <w:drawing>
          <wp:anchor distT="0" distB="0" distL="0" distR="0" simplePos="0" relativeHeight="251658244" behindDoc="0" locked="0" layoutInCell="1" allowOverlap="1" wp14:anchorId="5C793AA6" wp14:editId="31CBDC2E">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31:39</w:t>
      </w:r>
      <w:r>
        <w:rPr>
          <w:rFonts w:ascii="Segoe UI" w:eastAsia="Segoe UI" w:hAnsi="Segoe UI" w:cs="Segoe UI"/>
          <w:color w:val="323130"/>
          <w:sz w:val="24"/>
          <w:szCs w:val="24"/>
        </w:rPr>
        <w:br/>
        <w:t>Can I just add to that? Sorry. As I outlined earlier in the presentation, these amendments do build on significant consultation that has been held to date. And I know people come into this scheme at different points, but there was significant consultation</w:t>
      </w:r>
      <w:r>
        <w:rPr>
          <w:rFonts w:ascii="Segoe UI" w:eastAsia="Segoe UI" w:hAnsi="Segoe UI" w:cs="Segoe UI"/>
          <w:color w:val="323130"/>
          <w:sz w:val="24"/>
          <w:szCs w:val="24"/>
        </w:rPr>
        <w:br/>
        <w:t>consultation on the 2023 government response to reviews of the scheme. And there was public consultation carried out then that has fed into the design of these amendments, particularly those relating to the Chubb review. At this time, the department also engaged with the Indigenous Carbon Industry Network to undertake</w:t>
      </w:r>
      <w:r>
        <w:rPr>
          <w:rFonts w:ascii="Segoe UI" w:eastAsia="Segoe UI" w:hAnsi="Segoe UI" w:cs="Segoe UI"/>
          <w:color w:val="323130"/>
          <w:sz w:val="24"/>
          <w:szCs w:val="24"/>
        </w:rPr>
        <w:br/>
        <w:t>undertake dedicated consultation with First Nations groups and communities in relation to the child review recommendations, particularly on the consent processes on native title lands. And we have also been engaging and meeting regularly with stakeholders across the scheme as we continue to implement the scheme.</w:t>
      </w:r>
      <w:r>
        <w:rPr>
          <w:rFonts w:ascii="Segoe UI" w:eastAsia="Segoe UI" w:hAnsi="Segoe UI" w:cs="Segoe UI"/>
          <w:color w:val="323130"/>
          <w:sz w:val="24"/>
          <w:szCs w:val="24"/>
        </w:rPr>
        <w:br/>
        <w:t>and being considering feedback as it comes through. So this is not a three-week period that we haven't heard from everyone for a very long time. I recognise the bill is quite complex, but hopefully I just want to show you that the feedback we've received in the past has been shed into the design of these amendments.</w:t>
      </w:r>
    </w:p>
    <w:p w14:paraId="25FD1852" w14:textId="77777777" w:rsidR="004C4165" w:rsidRDefault="00000000">
      <w:pPr>
        <w:spacing w:line="300" w:lineRule="auto"/>
      </w:pPr>
      <w:r>
        <w:rPr>
          <w:noProof/>
        </w:rPr>
        <w:drawing>
          <wp:anchor distT="0" distB="0" distL="0" distR="0" simplePos="0" relativeHeight="251658245" behindDoc="0" locked="0" layoutInCell="1" allowOverlap="1" wp14:anchorId="74CA9D6F" wp14:editId="1C06AB87">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33:05</w:t>
      </w:r>
      <w:r>
        <w:rPr>
          <w:rFonts w:ascii="Segoe UI" w:eastAsia="Segoe UI" w:hAnsi="Segoe UI" w:cs="Segoe UI"/>
          <w:color w:val="323130"/>
          <w:sz w:val="24"/>
          <w:szCs w:val="24"/>
        </w:rPr>
        <w:br/>
        <w:t xml:space="preserve">Thanks very much, Ingrid. Another question, is it proposed through the amendments </w:t>
      </w:r>
      <w:r>
        <w:rPr>
          <w:rFonts w:ascii="Segoe UI" w:eastAsia="Segoe UI" w:hAnsi="Segoe UI" w:cs="Segoe UI"/>
          <w:color w:val="323130"/>
          <w:sz w:val="24"/>
          <w:szCs w:val="24"/>
        </w:rPr>
        <w:lastRenderedPageBreak/>
        <w:t>to the bill that agriculture emissions will be included in ENGERS?</w:t>
      </w:r>
      <w:r>
        <w:rPr>
          <w:rFonts w:ascii="Segoe UI" w:eastAsia="Segoe UI" w:hAnsi="Segoe UI" w:cs="Segoe UI"/>
          <w:color w:val="323130"/>
          <w:sz w:val="24"/>
          <w:szCs w:val="24"/>
        </w:rPr>
        <w:br/>
        <w:t>I might pass to Ingrid on that one initially.</w:t>
      </w:r>
    </w:p>
    <w:p w14:paraId="799AB87C" w14:textId="77777777" w:rsidR="004C4165" w:rsidRDefault="00000000">
      <w:pPr>
        <w:spacing w:line="300" w:lineRule="auto"/>
      </w:pPr>
      <w:r>
        <w:rPr>
          <w:noProof/>
        </w:rPr>
        <w:drawing>
          <wp:anchor distT="0" distB="0" distL="0" distR="0" simplePos="0" relativeHeight="251658246" behindDoc="0" locked="0" layoutInCell="1" allowOverlap="1" wp14:anchorId="46EF2BCA" wp14:editId="606FC4BD">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33:18</w:t>
      </w:r>
      <w:r>
        <w:rPr>
          <w:rFonts w:ascii="Segoe UI" w:eastAsia="Segoe UI" w:hAnsi="Segoe UI" w:cs="Segoe UI"/>
          <w:color w:val="323130"/>
          <w:sz w:val="24"/>
          <w:szCs w:val="24"/>
        </w:rPr>
        <w:br/>
        <w:t>That's quite an easy answer. It's no. The inclusions in the anger for the anger act were outlined earlier in the presentation and that's the limits of them.</w:t>
      </w:r>
    </w:p>
    <w:p w14:paraId="3FA45DD0" w14:textId="77777777" w:rsidR="004C4165" w:rsidRDefault="00000000">
      <w:pPr>
        <w:spacing w:line="300" w:lineRule="auto"/>
      </w:pPr>
      <w:r>
        <w:rPr>
          <w:noProof/>
        </w:rPr>
        <w:drawing>
          <wp:anchor distT="0" distB="0" distL="0" distR="0" simplePos="0" relativeHeight="251658247" behindDoc="0" locked="0" layoutInCell="1" allowOverlap="1" wp14:anchorId="3ADB7721" wp14:editId="1075F91E">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33:30</w:t>
      </w:r>
      <w:r>
        <w:rPr>
          <w:rFonts w:ascii="Segoe UI" w:eastAsia="Segoe UI" w:hAnsi="Segoe UI" w:cs="Segoe UI"/>
          <w:color w:val="323130"/>
          <w:sz w:val="24"/>
          <w:szCs w:val="24"/>
        </w:rPr>
        <w:br/>
        <w:t>Thanks, Ingrid.</w:t>
      </w:r>
      <w:r>
        <w:rPr>
          <w:rFonts w:ascii="Segoe UI" w:eastAsia="Segoe UI" w:hAnsi="Segoe UI" w:cs="Segoe UI"/>
          <w:color w:val="323130"/>
          <w:sz w:val="24"/>
          <w:szCs w:val="24"/>
        </w:rPr>
        <w:br/>
        <w:t>What if there is an integrity risk method declaration on a method but no alternative method exists? Would they expect projects to pause until the new method is made? Ingrid, I might ask you to take that one as well.</w:t>
      </w:r>
    </w:p>
    <w:p w14:paraId="1FAFDCA4" w14:textId="77777777" w:rsidR="004C4165" w:rsidRDefault="00000000">
      <w:pPr>
        <w:spacing w:line="300" w:lineRule="auto"/>
      </w:pPr>
      <w:r>
        <w:rPr>
          <w:noProof/>
        </w:rPr>
        <w:drawing>
          <wp:anchor distT="0" distB="0" distL="0" distR="0" simplePos="0" relativeHeight="251658248" behindDoc="0" locked="0" layoutInCell="1" allowOverlap="1" wp14:anchorId="18E2BC5B" wp14:editId="4D60BB56">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33:46</w:t>
      </w:r>
      <w:r>
        <w:rPr>
          <w:rFonts w:ascii="Segoe UI" w:eastAsia="Segoe UI" w:hAnsi="Segoe UI" w:cs="Segoe UI"/>
          <w:color w:val="323130"/>
          <w:sz w:val="24"/>
          <w:szCs w:val="24"/>
        </w:rPr>
        <w:br/>
        <w:t>Great. That's a great question. So the Integrity Risk Method Declaration is designed to provide a tool for dealing with serious integrity issues without causing projects to become stranded. And this is reflected in the conditions that are being placed on the Integrity Risk Method Declaration's use.</w:t>
      </w:r>
      <w:r>
        <w:rPr>
          <w:rFonts w:ascii="Segoe UI" w:eastAsia="Segoe UI" w:hAnsi="Segoe UI" w:cs="Segoe UI"/>
          <w:color w:val="323130"/>
          <w:sz w:val="24"/>
          <w:szCs w:val="24"/>
        </w:rPr>
        <w:br/>
        <w:t>So at a point in time, it's possible that a method could present integrity issues that meet the integrity risk threshold criteria that I outlined earlier, and that a suitable alternative method may not yet exist. And so in that situation, the Minister may prioritise development of a suitable alternative method.</w:t>
      </w:r>
      <w:r>
        <w:rPr>
          <w:rFonts w:ascii="Segoe UI" w:eastAsia="Segoe UI" w:hAnsi="Segoe UI" w:cs="Segoe UI"/>
          <w:color w:val="323130"/>
          <w:sz w:val="24"/>
          <w:szCs w:val="24"/>
        </w:rPr>
        <w:br/>
        <w:t>So it's very dependent on the method and the integrity issue in question. And there may be other opportunities to increase integrity or address that issue through changes to other scheme requirements such as auditing or other measures.</w:t>
      </w:r>
    </w:p>
    <w:p w14:paraId="38B03E85" w14:textId="77777777" w:rsidR="004C4165" w:rsidRDefault="00000000">
      <w:pPr>
        <w:spacing w:line="300" w:lineRule="auto"/>
      </w:pPr>
      <w:r>
        <w:rPr>
          <w:noProof/>
        </w:rPr>
        <w:drawing>
          <wp:anchor distT="0" distB="0" distL="0" distR="0" simplePos="0" relativeHeight="251658249" behindDoc="0" locked="0" layoutInCell="1" allowOverlap="1" wp14:anchorId="12FFA8A3" wp14:editId="74F5393F">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34:47</w:t>
      </w:r>
      <w:r>
        <w:rPr>
          <w:rFonts w:ascii="Segoe UI" w:eastAsia="Segoe UI" w:hAnsi="Segoe UI" w:cs="Segoe UI"/>
          <w:color w:val="323130"/>
          <w:sz w:val="24"/>
          <w:szCs w:val="24"/>
        </w:rPr>
        <w:br/>
        <w:t>Thank you. And I think this question is possibly around the integrity risk method declaration as well. Would these changes impact existing projects that are already registered and earning ACCU? How would these boundaries be set?</w:t>
      </w:r>
    </w:p>
    <w:p w14:paraId="5C5B3DF8" w14:textId="77777777" w:rsidR="004C4165" w:rsidRDefault="00000000">
      <w:pPr>
        <w:spacing w:line="300" w:lineRule="auto"/>
      </w:pPr>
      <w:r>
        <w:rPr>
          <w:noProof/>
        </w:rPr>
        <w:drawing>
          <wp:anchor distT="0" distB="0" distL="0" distR="0" simplePos="0" relativeHeight="251658250" behindDoc="0" locked="0" layoutInCell="1" allowOverlap="1" wp14:anchorId="7EA22363" wp14:editId="2D3496C2">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35:02</w:t>
      </w:r>
      <w:r>
        <w:rPr>
          <w:rFonts w:ascii="Segoe UI" w:eastAsia="Segoe UI" w:hAnsi="Segoe UI" w:cs="Segoe UI"/>
          <w:color w:val="323130"/>
          <w:sz w:val="24"/>
          <w:szCs w:val="24"/>
        </w:rPr>
        <w:br/>
        <w:t xml:space="preserve">That's quite a hard question to answer in the broad, because obviously there's a lot of details in the legislative bill. There's a number of transitional provisions set out in the bill, so it's quite easy to see when you get to the end of each schedule. There's a </w:t>
      </w:r>
      <w:r>
        <w:rPr>
          <w:rFonts w:ascii="Segoe UI" w:eastAsia="Segoe UI" w:hAnsi="Segoe UI" w:cs="Segoe UI"/>
          <w:color w:val="323130"/>
          <w:sz w:val="24"/>
          <w:szCs w:val="24"/>
        </w:rPr>
        <w:lastRenderedPageBreak/>
        <w:t>transitional provision that will outline how those</w:t>
      </w:r>
      <w:r>
        <w:rPr>
          <w:rFonts w:ascii="Segoe UI" w:eastAsia="Segoe UI" w:hAnsi="Segoe UI" w:cs="Segoe UI"/>
          <w:color w:val="323130"/>
          <w:sz w:val="24"/>
          <w:szCs w:val="24"/>
        </w:rPr>
        <w:br/>
        <w:t>Changes will be applied.</w:t>
      </w:r>
      <w:r>
        <w:rPr>
          <w:rFonts w:ascii="Segoe UI" w:eastAsia="Segoe UI" w:hAnsi="Segoe UI" w:cs="Segoe UI"/>
          <w:color w:val="323130"/>
          <w:sz w:val="24"/>
          <w:szCs w:val="24"/>
        </w:rPr>
        <w:br/>
        <w:t>On the broad, most changes we provided will come into play once a bill has passed Parliament and has reached royal assent. But there are some existing processes within the Act that have to be carefully managed.</w:t>
      </w:r>
      <w:r>
        <w:rPr>
          <w:rFonts w:ascii="Segoe UI" w:eastAsia="Segoe UI" w:hAnsi="Segoe UI" w:cs="Segoe UI"/>
          <w:color w:val="323130"/>
          <w:sz w:val="24"/>
          <w:szCs w:val="24"/>
        </w:rPr>
        <w:br/>
        <w:t>to make sure that the future changes do not break anything that's been running in the past. So I recommend you have a look at the individual transitional provisions and then reach out if you have particular concerns about particular aspects.</w:t>
      </w:r>
    </w:p>
    <w:p w14:paraId="33654223" w14:textId="77777777" w:rsidR="004C4165" w:rsidRDefault="00000000">
      <w:pPr>
        <w:spacing w:line="300" w:lineRule="auto"/>
      </w:pPr>
      <w:r>
        <w:rPr>
          <w:noProof/>
        </w:rPr>
        <w:drawing>
          <wp:anchor distT="0" distB="0" distL="0" distR="0" simplePos="0" relativeHeight="251658251" behindDoc="0" locked="0" layoutInCell="1" allowOverlap="1" wp14:anchorId="55886BD0" wp14:editId="6D9CF482">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36:04</w:t>
      </w:r>
      <w:r>
        <w:rPr>
          <w:rFonts w:ascii="Segoe UI" w:eastAsia="Segoe UI" w:hAnsi="Segoe UI" w:cs="Segoe UI"/>
          <w:color w:val="323130"/>
          <w:sz w:val="24"/>
          <w:szCs w:val="24"/>
        </w:rPr>
        <w:br/>
        <w:t>Thanks, Ingrid. If projects transition from 25 to 100 year permanence periods, will they be entitled to the ACCU that have been withheld, being the 20% discount that applied to the 25 year option for permanence? Sorry, I just ad libbed on that question a bit, but yes, that's the question. Thanks, Ingrid.</w:t>
      </w:r>
    </w:p>
    <w:p w14:paraId="4EA719E5" w14:textId="77777777" w:rsidR="004C4165" w:rsidRDefault="00000000">
      <w:pPr>
        <w:spacing w:line="300" w:lineRule="auto"/>
      </w:pPr>
      <w:r>
        <w:rPr>
          <w:noProof/>
        </w:rPr>
        <w:drawing>
          <wp:anchor distT="0" distB="0" distL="0" distR="0" simplePos="0" relativeHeight="251658252" behindDoc="0" locked="0" layoutInCell="1" allowOverlap="1" wp14:anchorId="395D1949" wp14:editId="439FDB50">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36:24</w:t>
      </w:r>
      <w:r>
        <w:rPr>
          <w:rFonts w:ascii="Segoe UI" w:eastAsia="Segoe UI" w:hAnsi="Segoe UI" w:cs="Segoe UI"/>
          <w:color w:val="323130"/>
          <w:sz w:val="24"/>
          <w:szCs w:val="24"/>
        </w:rPr>
        <w:br/>
        <w:t>Thank you. So the amendments would allow for the Clean Energy Regulator to issue proponents A portion of the Australian Carbon Credit Units they otherwise would have received had they originally selected A 100 year permanence period. So this is adjusting for the application of the 25 year permanence period discount number.</w:t>
      </w:r>
      <w:r>
        <w:rPr>
          <w:rFonts w:ascii="Segoe UI" w:eastAsia="Segoe UI" w:hAnsi="Segoe UI" w:cs="Segoe UI"/>
          <w:color w:val="323130"/>
          <w:sz w:val="24"/>
          <w:szCs w:val="24"/>
        </w:rPr>
        <w:br/>
        <w:t>To previous ACCU issuance.</w:t>
      </w:r>
      <w:r>
        <w:rPr>
          <w:rFonts w:ascii="Segoe UI" w:eastAsia="Segoe UI" w:hAnsi="Segoe UI" w:cs="Segoe UI"/>
          <w:color w:val="323130"/>
          <w:sz w:val="24"/>
          <w:szCs w:val="24"/>
        </w:rPr>
        <w:br/>
        <w:t>Um...</w:t>
      </w:r>
      <w:r>
        <w:rPr>
          <w:rFonts w:ascii="Segoe UI" w:eastAsia="Segoe UI" w:hAnsi="Segoe UI" w:cs="Segoe UI"/>
          <w:color w:val="323130"/>
          <w:sz w:val="24"/>
          <w:szCs w:val="24"/>
        </w:rPr>
        <w:br/>
        <w:t>And this will be set out in details in the rules. And enabling the Clean Energy Regulator to issue a portion of the ACCU that would have been issued if the project had had a 100 year permanent period from the outset is intended to encourage permanent period transition to the longer time frame.</w:t>
      </w:r>
      <w:r>
        <w:rPr>
          <w:rFonts w:ascii="Segoe UI" w:eastAsia="Segoe UI" w:hAnsi="Segoe UI" w:cs="Segoe UI"/>
          <w:color w:val="323130"/>
          <w:sz w:val="24"/>
          <w:szCs w:val="24"/>
        </w:rPr>
        <w:br/>
        <w:t>without disadvantaging proponents who originally selected 100 year permanence periods at the start of their project.</w:t>
      </w:r>
      <w:r>
        <w:rPr>
          <w:rFonts w:ascii="Segoe UI" w:eastAsia="Segoe UI" w:hAnsi="Segoe UI" w:cs="Segoe UI"/>
          <w:color w:val="323130"/>
          <w:sz w:val="24"/>
          <w:szCs w:val="24"/>
        </w:rPr>
        <w:br/>
        <w:t>The proportion of the credits to be returned would be determined through amendments to the CFI rules, which would be consulted on, to provide flexibility to adjust the proportion in consultation with affected parties and maintain fairness over time.</w:t>
      </w:r>
    </w:p>
    <w:p w14:paraId="7B995695" w14:textId="77777777" w:rsidR="004C4165" w:rsidRDefault="00000000">
      <w:pPr>
        <w:spacing w:line="300" w:lineRule="auto"/>
      </w:pPr>
      <w:r>
        <w:rPr>
          <w:noProof/>
        </w:rPr>
        <w:drawing>
          <wp:anchor distT="0" distB="0" distL="0" distR="0" simplePos="0" relativeHeight="251658253" behindDoc="0" locked="0" layoutInCell="1" allowOverlap="1" wp14:anchorId="66AD6513" wp14:editId="250B8204">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37:36</w:t>
      </w:r>
      <w:r>
        <w:rPr>
          <w:rFonts w:ascii="Segoe UI" w:eastAsia="Segoe UI" w:hAnsi="Segoe UI" w:cs="Segoe UI"/>
          <w:color w:val="323130"/>
          <w:sz w:val="24"/>
          <w:szCs w:val="24"/>
        </w:rPr>
        <w:br/>
        <w:t xml:space="preserve">And relates to CDR. So will the bill be addressing the language underwriting the CFI </w:t>
      </w:r>
      <w:r>
        <w:rPr>
          <w:rFonts w:ascii="Segoe UI" w:eastAsia="Segoe UI" w:hAnsi="Segoe UI" w:cs="Segoe UI"/>
          <w:color w:val="323130"/>
          <w:sz w:val="24"/>
          <w:szCs w:val="24"/>
        </w:rPr>
        <w:lastRenderedPageBreak/>
        <w:t>Act so that CDR methods would be considered? Right now it only references biological sequestration.</w:t>
      </w:r>
      <w:r>
        <w:rPr>
          <w:rFonts w:ascii="Segoe UI" w:eastAsia="Segoe UI" w:hAnsi="Segoe UI" w:cs="Segoe UI"/>
          <w:color w:val="323130"/>
          <w:sz w:val="24"/>
          <w:szCs w:val="24"/>
        </w:rPr>
        <w:br/>
        <w:t>If you take that one Ingrid.</w:t>
      </w:r>
    </w:p>
    <w:p w14:paraId="449B7DA7" w14:textId="77777777" w:rsidR="004C4165" w:rsidRDefault="00000000">
      <w:pPr>
        <w:spacing w:line="300" w:lineRule="auto"/>
      </w:pPr>
      <w:r>
        <w:rPr>
          <w:noProof/>
        </w:rPr>
        <w:drawing>
          <wp:anchor distT="0" distB="0" distL="0" distR="0" simplePos="0" relativeHeight="251658254" behindDoc="0" locked="0" layoutInCell="1" allowOverlap="1" wp14:anchorId="45878D73" wp14:editId="7C4A3EE1">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37:51</w:t>
      </w:r>
      <w:r>
        <w:rPr>
          <w:rFonts w:ascii="Segoe UI" w:eastAsia="Segoe UI" w:hAnsi="Segoe UI" w:cs="Segoe UI"/>
          <w:color w:val="323130"/>
          <w:sz w:val="24"/>
          <w:szCs w:val="24"/>
        </w:rPr>
        <w:br/>
        <w:t>Yeah, thanks for that question. There are no amendments in there to change definitions in the Act to account for CDR projects. The IPCC is going through a process of determining measurement approaches for CDR technologies to enable</w:t>
      </w:r>
      <w:r>
        <w:rPr>
          <w:rFonts w:ascii="Segoe UI" w:eastAsia="Segoe UI" w:hAnsi="Segoe UI" w:cs="Segoe UI"/>
          <w:color w:val="323130"/>
          <w:sz w:val="24"/>
          <w:szCs w:val="24"/>
        </w:rPr>
        <w:br/>
        <w:t>Great National Greenhouse Gas of inventories to include.</w:t>
      </w:r>
      <w:r>
        <w:rPr>
          <w:rFonts w:ascii="Segoe UI" w:eastAsia="Segoe UI" w:hAnsi="Segoe UI" w:cs="Segoe UI"/>
          <w:color w:val="323130"/>
          <w:sz w:val="24"/>
          <w:szCs w:val="24"/>
        </w:rPr>
        <w:br/>
        <w:t>These technologies in their measurement and reporting on emissions.</w:t>
      </w:r>
      <w:r>
        <w:rPr>
          <w:rFonts w:ascii="Segoe UI" w:eastAsia="Segoe UI" w:hAnsi="Segoe UI" w:cs="Segoe UI"/>
          <w:color w:val="323130"/>
          <w:sz w:val="24"/>
          <w:szCs w:val="24"/>
        </w:rPr>
        <w:br/>
        <w:t>At that point in time, when we are able to include CDR technologies in our National Greenhouse Gas Accounts, we can consider relevant amendments to the CFI Act. But a lot of work needs to happen before that can occur.</w:t>
      </w:r>
    </w:p>
    <w:p w14:paraId="1C303C52" w14:textId="77777777" w:rsidR="004C4165" w:rsidRDefault="00000000">
      <w:pPr>
        <w:spacing w:line="300" w:lineRule="auto"/>
      </w:pPr>
      <w:r>
        <w:rPr>
          <w:noProof/>
        </w:rPr>
        <w:drawing>
          <wp:anchor distT="0" distB="0" distL="0" distR="0" simplePos="0" relativeHeight="251658255" behindDoc="0" locked="0" layoutInCell="1" allowOverlap="1" wp14:anchorId="475B303B" wp14:editId="10560FE4">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38:41</w:t>
      </w:r>
      <w:r>
        <w:rPr>
          <w:rFonts w:ascii="Segoe UI" w:eastAsia="Segoe UI" w:hAnsi="Segoe UI" w:cs="Segoe UI"/>
          <w:color w:val="323130"/>
          <w:sz w:val="24"/>
          <w:szCs w:val="24"/>
        </w:rPr>
        <w:br/>
        <w:t>Thanks Ingrid. And sorry Tam, I'm going a bit reform here, but just a few other questions that I can see. What will happen to the ERAC with cake coming in to replace them?</w:t>
      </w:r>
    </w:p>
    <w:p w14:paraId="0186E8AA" w14:textId="77777777" w:rsidR="004C4165" w:rsidRDefault="00000000">
      <w:pPr>
        <w:spacing w:line="300" w:lineRule="auto"/>
      </w:pPr>
      <w:r>
        <w:rPr>
          <w:noProof/>
        </w:rPr>
        <w:drawing>
          <wp:anchor distT="0" distB="0" distL="0" distR="0" simplePos="0" relativeHeight="251658256" behindDoc="0" locked="0" layoutInCell="1" allowOverlap="1" wp14:anchorId="50AC6A1B" wp14:editId="016F6434">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38:57</w:t>
      </w:r>
      <w:r>
        <w:rPr>
          <w:rFonts w:ascii="Segoe UI" w:eastAsia="Segoe UI" w:hAnsi="Segoe UI" w:cs="Segoe UI"/>
          <w:color w:val="323130"/>
          <w:sz w:val="24"/>
          <w:szCs w:val="24"/>
        </w:rPr>
        <w:br/>
        <w:t>So this goes to the transitional provisions in the amendment bill for the Carbon Abatement Integrity Committee.</w:t>
      </w:r>
      <w:r>
        <w:rPr>
          <w:rFonts w:ascii="Segoe UI" w:eastAsia="Segoe UI" w:hAnsi="Segoe UI" w:cs="Segoe UI"/>
          <w:color w:val="323130"/>
          <w:sz w:val="24"/>
          <w:szCs w:val="24"/>
        </w:rPr>
        <w:br/>
        <w:t>It's outlined in the bill that the existing members of the Emissions Reduction Assurance Committee will be transferred over to the Carbon Abatement Integrity Committee.</w:t>
      </w:r>
      <w:r>
        <w:rPr>
          <w:rFonts w:ascii="Segoe UI" w:eastAsia="Segoe UI" w:hAnsi="Segoe UI" w:cs="Segoe UI"/>
          <w:color w:val="323130"/>
          <w:sz w:val="24"/>
          <w:szCs w:val="24"/>
        </w:rPr>
        <w:br/>
        <w:t>And I note that the expertise and the criteria that are being outlined in the amendments have already been applied to appointment processes for those members. So they're very well placed to continue serving as members of the Carbon Abatement Integrity Committee. And then in terms of decisions that are made by the Emissions Reduction Insurance Committee,</w:t>
      </w:r>
      <w:r>
        <w:rPr>
          <w:rFonts w:ascii="Segoe UI" w:eastAsia="Segoe UI" w:hAnsi="Segoe UI" w:cs="Segoe UI"/>
          <w:color w:val="323130"/>
          <w:sz w:val="24"/>
          <w:szCs w:val="24"/>
        </w:rPr>
        <w:br/>
        <w:t>Because we won't know exactly what time at which the bill is being considered by Parliament and the passage, decisions made by the Emissions Production Assurance Committee are carried forward as decisions by the Carbon Abatement Integrity Committee.</w:t>
      </w:r>
      <w:r>
        <w:rPr>
          <w:rFonts w:ascii="Segoe UI" w:eastAsia="Segoe UI" w:hAnsi="Segoe UI" w:cs="Segoe UI"/>
          <w:color w:val="323130"/>
          <w:sz w:val="24"/>
          <w:szCs w:val="24"/>
        </w:rPr>
        <w:br/>
        <w:t>I hope that answers your question.</w:t>
      </w:r>
    </w:p>
    <w:p w14:paraId="2F987130" w14:textId="77777777" w:rsidR="004C4165" w:rsidRDefault="00000000">
      <w:pPr>
        <w:spacing w:line="300" w:lineRule="auto"/>
      </w:pPr>
      <w:r>
        <w:rPr>
          <w:noProof/>
        </w:rPr>
        <w:lastRenderedPageBreak/>
        <w:drawing>
          <wp:anchor distT="0" distB="0" distL="0" distR="0" simplePos="0" relativeHeight="251658257" behindDoc="0" locked="0" layoutInCell="1" allowOverlap="1" wp14:anchorId="2963E2ED" wp14:editId="7805753D">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40:03</w:t>
      </w:r>
      <w:r>
        <w:rPr>
          <w:rFonts w:ascii="Segoe UI" w:eastAsia="Segoe UI" w:hAnsi="Segoe UI" w:cs="Segoe UI"/>
          <w:color w:val="323130"/>
          <w:sz w:val="24"/>
          <w:szCs w:val="24"/>
        </w:rPr>
        <w:br/>
        <w:t>Thanks Ingrid. This one's a little bit along the longer side, but I'll give it a crack. The higher level question is, is there scope for other issues to be considered? But as an example, for example, there has been discussion about restart provisions for expired projects that are wanting to restart under methods</w:t>
      </w:r>
      <w:r>
        <w:rPr>
          <w:rFonts w:ascii="Segoe UI" w:eastAsia="Segoe UI" w:hAnsi="Segoe UI" w:cs="Segoe UI"/>
          <w:color w:val="323130"/>
          <w:sz w:val="24"/>
          <w:szCs w:val="24"/>
        </w:rPr>
        <w:br/>
        <w:t>which has subsequently expanded their crediting period.</w:t>
      </w:r>
      <w:r>
        <w:rPr>
          <w:rFonts w:ascii="Segoe UI" w:eastAsia="Segoe UI" w:hAnsi="Segoe UI" w:cs="Segoe UI"/>
          <w:color w:val="323130"/>
          <w:sz w:val="24"/>
          <w:szCs w:val="24"/>
        </w:rPr>
        <w:br/>
        <w:t>The discussion had been initially that there was no mechanism in the legislation to allow this. A preliminary review of the consultation paper doesn't show anything that might assist with this and the person is having difficulty getting further info on progress to resolve the issue, but was wondering if there's something that could be addressed.</w:t>
      </w:r>
      <w:r>
        <w:rPr>
          <w:rFonts w:ascii="Segoe UI" w:eastAsia="Segoe UI" w:hAnsi="Segoe UI" w:cs="Segoe UI"/>
          <w:color w:val="323130"/>
          <w:sz w:val="24"/>
          <w:szCs w:val="24"/>
        </w:rPr>
        <w:br/>
        <w:t>through this bill process.</w:t>
      </w:r>
      <w:r>
        <w:rPr>
          <w:rFonts w:ascii="Segoe UI" w:eastAsia="Segoe UI" w:hAnsi="Segoe UI" w:cs="Segoe UI"/>
          <w:color w:val="323130"/>
          <w:sz w:val="24"/>
          <w:szCs w:val="24"/>
        </w:rPr>
        <w:br/>
        <w:t>We can take that one offline if it's a little bit.</w:t>
      </w:r>
    </w:p>
    <w:p w14:paraId="063B1775" w14:textId="77777777" w:rsidR="004C4165" w:rsidRDefault="00000000">
      <w:pPr>
        <w:spacing w:line="300" w:lineRule="auto"/>
      </w:pPr>
      <w:r>
        <w:rPr>
          <w:noProof/>
        </w:rPr>
        <w:drawing>
          <wp:anchor distT="0" distB="0" distL="0" distR="0" simplePos="0" relativeHeight="251658258" behindDoc="0" locked="0" layoutInCell="1" allowOverlap="1" wp14:anchorId="046F9405" wp14:editId="478E406F">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40:53</w:t>
      </w:r>
      <w:r>
        <w:rPr>
          <w:rFonts w:ascii="Segoe UI" w:eastAsia="Segoe UI" w:hAnsi="Segoe UI" w:cs="Segoe UI"/>
          <w:color w:val="323130"/>
          <w:sz w:val="24"/>
          <w:szCs w:val="24"/>
        </w:rPr>
        <w:br/>
        <w:t>Yeah, might need some more information about the particular situation, but I can point to a few things on the broad. So there needs to be a live method under which projects are registered under.</w:t>
      </w:r>
    </w:p>
    <w:p w14:paraId="23FF9A64" w14:textId="77777777" w:rsidR="004C4165" w:rsidRDefault="00000000">
      <w:pPr>
        <w:spacing w:line="300" w:lineRule="auto"/>
      </w:pPr>
      <w:r>
        <w:rPr>
          <w:noProof/>
        </w:rPr>
        <w:drawing>
          <wp:anchor distT="0" distB="0" distL="0" distR="0" simplePos="0" relativeHeight="251658259" behindDoc="0" locked="0" layoutInCell="1" allowOverlap="1" wp14:anchorId="374ABA24" wp14:editId="48D3CC6C">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40:54</w:t>
      </w:r>
      <w:r>
        <w:rPr>
          <w:rFonts w:ascii="Segoe UI" w:eastAsia="Segoe UI" w:hAnsi="Segoe UI" w:cs="Segoe UI"/>
          <w:color w:val="323130"/>
          <w:sz w:val="24"/>
          <w:szCs w:val="24"/>
        </w:rPr>
        <w:br/>
        <w:t>Tricky *** does that.</w:t>
      </w:r>
    </w:p>
    <w:p w14:paraId="1FD2B6F9" w14:textId="77777777" w:rsidR="004C4165" w:rsidRDefault="00000000">
      <w:pPr>
        <w:spacing w:line="300" w:lineRule="auto"/>
      </w:pPr>
      <w:r>
        <w:rPr>
          <w:noProof/>
        </w:rPr>
        <w:drawing>
          <wp:anchor distT="0" distB="0" distL="0" distR="0" simplePos="0" relativeHeight="251658260" behindDoc="0" locked="0" layoutInCell="1" allowOverlap="1" wp14:anchorId="005620CF" wp14:editId="033542F3">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41:14</w:t>
      </w:r>
      <w:r>
        <w:rPr>
          <w:rFonts w:ascii="Segoe UI" w:eastAsia="Segoe UI" w:hAnsi="Segoe UI" w:cs="Segoe UI"/>
          <w:color w:val="323130"/>
          <w:sz w:val="24"/>
          <w:szCs w:val="24"/>
        </w:rPr>
        <w:br/>
        <w:t>methods, legislative instruments, and it is standard for any legislative instrument made by a government to sunset after 10 years. So there have been a number of methods under the scheme that have reached that period.</w:t>
      </w:r>
      <w:r>
        <w:rPr>
          <w:rFonts w:ascii="Segoe UI" w:eastAsia="Segoe UI" w:hAnsi="Segoe UI" w:cs="Segoe UI"/>
          <w:color w:val="323130"/>
          <w:sz w:val="24"/>
          <w:szCs w:val="24"/>
        </w:rPr>
        <w:br/>
        <w:t>in the past little while and there's been a process of review undertaken to inform government decisions on which methods may be remade. A method has to be remade to start again. It cannot just be varied because that expiry.</w:t>
      </w:r>
      <w:r>
        <w:rPr>
          <w:rFonts w:ascii="Segoe UI" w:eastAsia="Segoe UI" w:hAnsi="Segoe UI" w:cs="Segoe UI"/>
          <w:color w:val="323130"/>
          <w:sz w:val="24"/>
          <w:szCs w:val="24"/>
        </w:rPr>
        <w:br/>
        <w:t>or the sun setting date and methods expire is set. In terms of what's in the amendment bill, so that's a long way of saying that there needs to be a method available for projects to register under and continue under. And then in terms of the amendments in the bill,</w:t>
      </w:r>
      <w:r>
        <w:rPr>
          <w:rFonts w:ascii="Segoe UI" w:eastAsia="Segoe UI" w:hAnsi="Segoe UI" w:cs="Segoe UI"/>
          <w:color w:val="323130"/>
          <w:sz w:val="24"/>
          <w:szCs w:val="24"/>
        </w:rPr>
        <w:br/>
        <w:t xml:space="preserve">There are amendments that look to enable projects to move to another method to </w:t>
      </w:r>
      <w:r>
        <w:rPr>
          <w:rFonts w:ascii="Segoe UI" w:eastAsia="Segoe UI" w:hAnsi="Segoe UI" w:cs="Segoe UI"/>
          <w:color w:val="323130"/>
          <w:sz w:val="24"/>
          <w:szCs w:val="24"/>
        </w:rPr>
        <w:lastRenderedPageBreak/>
        <w:t>extend their crediting period and provisions to make that process a bit more streamlined and straightforward. So I recommend you having a look at the section G of the consultation paper. They're set out in that section.</w:t>
      </w:r>
      <w:r>
        <w:rPr>
          <w:rFonts w:ascii="Segoe UI" w:eastAsia="Segoe UI" w:hAnsi="Segoe UI" w:cs="Segoe UI"/>
          <w:color w:val="323130"/>
          <w:sz w:val="24"/>
          <w:szCs w:val="24"/>
        </w:rPr>
        <w:br/>
        <w:t>and then reach out if you have further questions.</w:t>
      </w:r>
    </w:p>
    <w:p w14:paraId="71C238F8" w14:textId="77777777" w:rsidR="004C4165" w:rsidRDefault="00000000">
      <w:pPr>
        <w:spacing w:line="300" w:lineRule="auto"/>
      </w:pPr>
      <w:r>
        <w:rPr>
          <w:noProof/>
        </w:rPr>
        <w:drawing>
          <wp:anchor distT="0" distB="0" distL="0" distR="0" simplePos="0" relativeHeight="251658261" behindDoc="0" locked="0" layoutInCell="1" allowOverlap="1" wp14:anchorId="2D561C07" wp14:editId="5B7DFFC9">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42:39</w:t>
      </w:r>
      <w:r>
        <w:rPr>
          <w:rFonts w:ascii="Segoe UI" w:eastAsia="Segoe UI" w:hAnsi="Segoe UI" w:cs="Segoe UI"/>
          <w:color w:val="323130"/>
          <w:sz w:val="24"/>
          <w:szCs w:val="24"/>
        </w:rPr>
        <w:br/>
        <w:t>Thanks.</w:t>
      </w:r>
      <w:r>
        <w:rPr>
          <w:rFonts w:ascii="Segoe UI" w:eastAsia="Segoe UI" w:hAnsi="Segoe UI" w:cs="Segoe UI"/>
          <w:color w:val="323130"/>
          <w:sz w:val="24"/>
          <w:szCs w:val="24"/>
        </w:rPr>
        <w:br/>
        <w:t>This is regarding the rule process. Will there be consultation on the new or updated rule, and if so, when might that occur?</w:t>
      </w:r>
    </w:p>
    <w:p w14:paraId="431087BA" w14:textId="77777777" w:rsidR="004C4165" w:rsidRDefault="00000000">
      <w:pPr>
        <w:spacing w:line="300" w:lineRule="auto"/>
      </w:pPr>
      <w:r>
        <w:rPr>
          <w:noProof/>
        </w:rPr>
        <w:drawing>
          <wp:anchor distT="0" distB="0" distL="0" distR="0" simplePos="0" relativeHeight="251658262" behindDoc="0" locked="0" layoutInCell="1" allowOverlap="1" wp14:anchorId="0BCAB85F" wp14:editId="7B0FD758">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42:50</w:t>
      </w:r>
      <w:r>
        <w:rPr>
          <w:rFonts w:ascii="Segoe UI" w:eastAsia="Segoe UI" w:hAnsi="Segoe UI" w:cs="Segoe UI"/>
          <w:color w:val="323130"/>
          <w:sz w:val="24"/>
          <w:szCs w:val="24"/>
        </w:rPr>
        <w:br/>
        <w:t>Um...</w:t>
      </w:r>
      <w:r>
        <w:rPr>
          <w:rFonts w:ascii="Segoe UI" w:eastAsia="Segoe UI" w:hAnsi="Segoe UI" w:cs="Segoe UI"/>
          <w:color w:val="323130"/>
          <w:sz w:val="24"/>
          <w:szCs w:val="24"/>
        </w:rPr>
        <w:br/>
        <w:t>That's a good question. Yes, most legislative instruments undergo a consultation period before they are made, and we're certainly anticipating that will be the case with the changes to the rule to support the ACCU Scheme. The time frames of that is dependent on the priorities of government and other work underway.</w:t>
      </w:r>
      <w:r>
        <w:rPr>
          <w:rFonts w:ascii="Segoe UI" w:eastAsia="Segoe UI" w:hAnsi="Segoe UI" w:cs="Segoe UI"/>
          <w:color w:val="323130"/>
          <w:sz w:val="24"/>
          <w:szCs w:val="24"/>
        </w:rPr>
        <w:br/>
        <w:t>So, we can't provide specifics, but hoping for it to be in the second half of this calendar year.</w:t>
      </w:r>
    </w:p>
    <w:p w14:paraId="6C33D5F1" w14:textId="77777777" w:rsidR="004C4165" w:rsidRDefault="00000000">
      <w:pPr>
        <w:spacing w:line="300" w:lineRule="auto"/>
      </w:pPr>
      <w:r>
        <w:rPr>
          <w:noProof/>
        </w:rPr>
        <w:drawing>
          <wp:anchor distT="0" distB="0" distL="0" distR="0" simplePos="0" relativeHeight="251658263" behindDoc="0" locked="0" layoutInCell="1" allowOverlap="1" wp14:anchorId="29C54C12" wp14:editId="1104272F">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43:22</w:t>
      </w:r>
      <w:r>
        <w:rPr>
          <w:rFonts w:ascii="Segoe UI" w:eastAsia="Segoe UI" w:hAnsi="Segoe UI" w:cs="Segoe UI"/>
          <w:color w:val="323130"/>
          <w:sz w:val="24"/>
          <w:szCs w:val="24"/>
        </w:rPr>
        <w:br/>
        <w:t>Thanks.</w:t>
      </w:r>
      <w:r>
        <w:rPr>
          <w:rFonts w:ascii="Segoe UI" w:eastAsia="Segoe UI" w:hAnsi="Segoe UI" w:cs="Segoe UI"/>
          <w:color w:val="323130"/>
          <w:sz w:val="24"/>
          <w:szCs w:val="24"/>
        </w:rPr>
        <w:br/>
        <w:t>This is regarding the native title consent changes. So I might ask Matt in my team to take this question. Can you please confirm if native title consent amendments will apply to freehold land within the area of a yet to be determined native title claim?</w:t>
      </w:r>
      <w:r>
        <w:rPr>
          <w:rFonts w:ascii="Segoe UI" w:eastAsia="Segoe UI" w:hAnsi="Segoe UI" w:cs="Segoe UI"/>
          <w:color w:val="323130"/>
          <w:sz w:val="24"/>
          <w:szCs w:val="24"/>
        </w:rPr>
        <w:br/>
        <w:t>For example, an environmental planting project on agricultural properties in the eastern wheatbelt of WA.</w:t>
      </w:r>
    </w:p>
    <w:p w14:paraId="1BA3638F" w14:textId="77777777" w:rsidR="004C4165" w:rsidRDefault="00000000">
      <w:pPr>
        <w:spacing w:line="300" w:lineRule="auto"/>
      </w:pPr>
      <w:r>
        <w:rPr>
          <w:noProof/>
        </w:rPr>
        <w:drawing>
          <wp:anchor distT="0" distB="0" distL="0" distR="0" simplePos="0" relativeHeight="251658264" behindDoc="0" locked="0" layoutInCell="1" allowOverlap="1" wp14:anchorId="675FE4FA" wp14:editId="64E03FC8">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Matt FLUX   </w:t>
      </w:r>
      <w:r>
        <w:rPr>
          <w:rFonts w:ascii="Segoe UI" w:eastAsia="Segoe UI" w:hAnsi="Segoe UI" w:cs="Segoe UI"/>
          <w:color w:val="A19F9D"/>
          <w:sz w:val="24"/>
          <w:szCs w:val="24"/>
        </w:rPr>
        <w:t>43:53</w:t>
      </w:r>
      <w:r>
        <w:rPr>
          <w:rFonts w:ascii="Segoe UI" w:eastAsia="Segoe UI" w:hAnsi="Segoe UI" w:cs="Segoe UI"/>
          <w:color w:val="323130"/>
          <w:sz w:val="24"/>
          <w:szCs w:val="24"/>
        </w:rPr>
        <w:br/>
        <w:t>Yep, thanks, Kate. So the...</w:t>
      </w:r>
      <w:r>
        <w:rPr>
          <w:rFonts w:ascii="Segoe UI" w:eastAsia="Segoe UI" w:hAnsi="Segoe UI" w:cs="Segoe UI"/>
          <w:color w:val="323130"/>
          <w:sz w:val="24"/>
          <w:szCs w:val="24"/>
        </w:rPr>
        <w:br/>
        <w:t>The bill will expand eligible interest holder consent status to registered native title claimants. So if there was a claim that's yet to be determined, but there was registered native title claimants on the land on which the project is going to be undertaken, then the registered native title claimants may be an eligible interest holder.</w:t>
      </w:r>
      <w:r>
        <w:rPr>
          <w:rFonts w:ascii="Segoe UI" w:eastAsia="Segoe UI" w:hAnsi="Segoe UI" w:cs="Segoe UI"/>
          <w:color w:val="323130"/>
          <w:sz w:val="24"/>
          <w:szCs w:val="24"/>
        </w:rPr>
        <w:br/>
        <w:t>So we'd recommend that you get advice and look into this.</w:t>
      </w:r>
    </w:p>
    <w:p w14:paraId="662F12BA" w14:textId="77777777" w:rsidR="004C4165" w:rsidRDefault="00000000">
      <w:pPr>
        <w:spacing w:line="300" w:lineRule="auto"/>
      </w:pPr>
      <w:r>
        <w:rPr>
          <w:noProof/>
        </w:rPr>
        <w:lastRenderedPageBreak/>
        <w:drawing>
          <wp:anchor distT="0" distB="0" distL="0" distR="0" simplePos="0" relativeHeight="251658265" behindDoc="0" locked="0" layoutInCell="1" allowOverlap="1" wp14:anchorId="09FBCA41" wp14:editId="1B8AD6FD">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44:26</w:t>
      </w:r>
      <w:r>
        <w:rPr>
          <w:rFonts w:ascii="Segoe UI" w:eastAsia="Segoe UI" w:hAnsi="Segoe UI" w:cs="Segoe UI"/>
          <w:color w:val="323130"/>
          <w:sz w:val="24"/>
          <w:szCs w:val="24"/>
        </w:rPr>
        <w:br/>
        <w:t>Thanks, Matt.</w:t>
      </w:r>
    </w:p>
    <w:p w14:paraId="36EE6919" w14:textId="77777777" w:rsidR="004C4165" w:rsidRDefault="00000000">
      <w:pPr>
        <w:spacing w:line="300" w:lineRule="auto"/>
      </w:pPr>
      <w:r>
        <w:rPr>
          <w:noProof/>
        </w:rPr>
        <w:drawing>
          <wp:anchor distT="0" distB="0" distL="0" distR="0" simplePos="0" relativeHeight="251658266" behindDoc="0" locked="0" layoutInCell="1" allowOverlap="1" wp14:anchorId="3866644E" wp14:editId="4B22C73F">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Matt FLUX   </w:t>
      </w:r>
      <w:r>
        <w:rPr>
          <w:rFonts w:ascii="Segoe UI" w:eastAsia="Segoe UI" w:hAnsi="Segoe UI" w:cs="Segoe UI"/>
          <w:color w:val="A19F9D"/>
          <w:sz w:val="24"/>
          <w:szCs w:val="24"/>
        </w:rPr>
        <w:t>44:26</w:t>
      </w:r>
      <w:r>
        <w:rPr>
          <w:rFonts w:ascii="Segoe UI" w:eastAsia="Segoe UI" w:hAnsi="Segoe UI" w:cs="Segoe UI"/>
          <w:color w:val="323130"/>
          <w:sz w:val="24"/>
          <w:szCs w:val="24"/>
        </w:rPr>
        <w:br/>
        <w:t>Thanks, Kate.</w:t>
      </w:r>
    </w:p>
    <w:p w14:paraId="7342C3C3" w14:textId="77777777" w:rsidR="004C4165" w:rsidRDefault="00000000">
      <w:pPr>
        <w:spacing w:line="300" w:lineRule="auto"/>
      </w:pPr>
      <w:r>
        <w:rPr>
          <w:noProof/>
        </w:rPr>
        <w:drawing>
          <wp:anchor distT="0" distB="0" distL="0" distR="0" simplePos="0" relativeHeight="251658267" behindDoc="0" locked="0" layoutInCell="1" allowOverlap="1" wp14:anchorId="10429D99" wp14:editId="66A4A4A9">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44:28</w:t>
      </w:r>
      <w:r>
        <w:rPr>
          <w:rFonts w:ascii="Segoe UI" w:eastAsia="Segoe UI" w:hAnsi="Segoe UI" w:cs="Segoe UI"/>
          <w:color w:val="323130"/>
          <w:sz w:val="24"/>
          <w:szCs w:val="24"/>
        </w:rPr>
        <w:br/>
        <w:t>I just, I just said.</w:t>
      </w:r>
    </w:p>
    <w:p w14:paraId="635D0E51" w14:textId="77777777" w:rsidR="004C4165" w:rsidRDefault="00000000">
      <w:pPr>
        <w:spacing w:line="300" w:lineRule="auto"/>
      </w:pPr>
      <w:r>
        <w:rPr>
          <w:noProof/>
        </w:rPr>
        <w:drawing>
          <wp:anchor distT="0" distB="0" distL="0" distR="0" simplePos="0" relativeHeight="251658268" behindDoc="0" locked="0" layoutInCell="1" allowOverlap="1" wp14:anchorId="554DDC6E" wp14:editId="270E5D86">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44:29</w:t>
      </w:r>
      <w:r>
        <w:rPr>
          <w:rFonts w:ascii="Segoe UI" w:eastAsia="Segoe UI" w:hAnsi="Segoe UI" w:cs="Segoe UI"/>
          <w:color w:val="323130"/>
          <w:sz w:val="24"/>
          <w:szCs w:val="24"/>
        </w:rPr>
        <w:br/>
        <w:t>Oh, sorry, Ingrid, would you like to add to that? Yep, go ahead.</w:t>
      </w:r>
    </w:p>
    <w:p w14:paraId="03FB2AA5" w14:textId="77777777" w:rsidR="004C4165" w:rsidRDefault="00000000">
      <w:pPr>
        <w:spacing w:line="300" w:lineRule="auto"/>
      </w:pPr>
      <w:r>
        <w:rPr>
          <w:noProof/>
        </w:rPr>
        <w:drawing>
          <wp:anchor distT="0" distB="0" distL="0" distR="0" simplePos="0" relativeHeight="251658269" behindDoc="0" locked="0" layoutInCell="1" allowOverlap="1" wp14:anchorId="6D26B74B" wp14:editId="01529B61">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44:31</w:t>
      </w:r>
      <w:r>
        <w:rPr>
          <w:rFonts w:ascii="Segoe UI" w:eastAsia="Segoe UI" w:hAnsi="Segoe UI" w:cs="Segoe UI"/>
          <w:color w:val="323130"/>
          <w:sz w:val="24"/>
          <w:szCs w:val="24"/>
        </w:rPr>
        <w:br/>
        <w:t>Yeah, just add to that is that the requirements for projects is very dependent on the land tenure over which they're being carried out. So the Act sets out the relevant eligible interest holders that need to provide consent to projects</w:t>
      </w:r>
      <w:r>
        <w:rPr>
          <w:rFonts w:ascii="Segoe UI" w:eastAsia="Segoe UI" w:hAnsi="Segoe UI" w:cs="Segoe UI"/>
          <w:color w:val="323130"/>
          <w:sz w:val="24"/>
          <w:szCs w:val="24"/>
        </w:rPr>
        <w:br/>
        <w:t>in order for Australian Carbon Credit units to be issued to those projects and we're making some changes to the native title, registered native title body corporate and then adding in registered native title claimants to those consent processes. But the details of exactly how your land tenure interacts with that is</w:t>
      </w:r>
      <w:r>
        <w:rPr>
          <w:rFonts w:ascii="Segoe UI" w:eastAsia="Segoe UI" w:hAnsi="Segoe UI" w:cs="Segoe UI"/>
          <w:color w:val="323130"/>
          <w:sz w:val="24"/>
          <w:szCs w:val="24"/>
        </w:rPr>
        <w:br/>
        <w:t>is something you'll need to get advice on and we won't talk to that in specifics because there will be information we don't have and I don't want to provide you with the wrong steer. So yeah, I really recommend you understand what the Amendment Bill is doing but then get your own advice for your own situation.</w:t>
      </w:r>
    </w:p>
    <w:p w14:paraId="559FC106" w14:textId="77777777" w:rsidR="004C4165" w:rsidRDefault="00000000">
      <w:pPr>
        <w:spacing w:line="300" w:lineRule="auto"/>
      </w:pPr>
      <w:r>
        <w:rPr>
          <w:noProof/>
        </w:rPr>
        <w:drawing>
          <wp:anchor distT="0" distB="0" distL="0" distR="0" simplePos="0" relativeHeight="251658270" behindDoc="0" locked="0" layoutInCell="1" allowOverlap="1" wp14:anchorId="591F97B4" wp14:editId="2C0BA876">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45:30</w:t>
      </w:r>
      <w:r>
        <w:rPr>
          <w:rFonts w:ascii="Segoe UI" w:eastAsia="Segoe UI" w:hAnsi="Segoe UI" w:cs="Segoe UI"/>
          <w:color w:val="323130"/>
          <w:sz w:val="24"/>
          <w:szCs w:val="24"/>
        </w:rPr>
        <w:br/>
        <w:t>This is a question that's sort of more in the method space, not directly the bill space, but there is some interest in it. So is there any update on the timeline for delivery of the ERACS review of the soil carbon method? I might take that one. The work by the Emissions Production Assurance Committee to conduct a review of the soil carbon 2021 method</w:t>
      </w:r>
      <w:r>
        <w:rPr>
          <w:rFonts w:ascii="Segoe UI" w:eastAsia="Segoe UI" w:hAnsi="Segoe UI" w:cs="Segoe UI"/>
          <w:color w:val="323130"/>
          <w:sz w:val="24"/>
          <w:szCs w:val="24"/>
        </w:rPr>
        <w:br/>
        <w:t>has been completed, but it is yet to, the ERAC are yet to publish their review findings and the Minister is considering the advice of the ERAC on that matter. So further information about the outcomes of that review will be released, but that has not yet.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Yeah, been released.</w:t>
      </w:r>
      <w:r>
        <w:rPr>
          <w:rFonts w:ascii="Segoe UI" w:eastAsia="Segoe UI" w:hAnsi="Segoe UI" w:cs="Segoe UI"/>
          <w:color w:val="323130"/>
          <w:sz w:val="24"/>
          <w:szCs w:val="24"/>
        </w:rPr>
        <w:br/>
        <w:t>would be my response to that one. So, but I would encourage you if you have any further questions on that to reach out to our colleagues that look after the Emissions Reduction Assurance Committee Secretariat and the relevant contact there is my colleague Matt SEARSON, but there's also an inbox, the ACCU Methods inbox, email inbox, you can email with questions about that process.</w:t>
      </w:r>
      <w:r>
        <w:rPr>
          <w:rFonts w:ascii="Segoe UI" w:eastAsia="Segoe UI" w:hAnsi="Segoe UI" w:cs="Segoe UI"/>
          <w:color w:val="323130"/>
          <w:sz w:val="24"/>
          <w:szCs w:val="24"/>
        </w:rPr>
        <w:br/>
        <w:t>Will there be consultation on the new, oh no, we did that one, sorry, delete, done that one on the rule. It looks like the government will be able to buy ACCU with a value for money mandate. What is the plan for purchasing ACCU or investing in new projects?</w:t>
      </w:r>
      <w:r>
        <w:rPr>
          <w:rFonts w:ascii="Segoe UI" w:eastAsia="Segoe UI" w:hAnsi="Segoe UI" w:cs="Segoe UI"/>
          <w:color w:val="323130"/>
          <w:sz w:val="24"/>
          <w:szCs w:val="24"/>
        </w:rPr>
        <w:br/>
        <w:t>Ingrid, I might have to take that one.</w:t>
      </w:r>
    </w:p>
    <w:p w14:paraId="6CBCEF26" w14:textId="77777777" w:rsidR="004C4165" w:rsidRDefault="00000000">
      <w:pPr>
        <w:spacing w:line="300" w:lineRule="auto"/>
      </w:pPr>
      <w:r>
        <w:rPr>
          <w:noProof/>
        </w:rPr>
        <w:drawing>
          <wp:anchor distT="0" distB="0" distL="0" distR="0" simplePos="0" relativeHeight="251658271" behindDoc="0" locked="0" layoutInCell="1" allowOverlap="1" wp14:anchorId="564A9487" wp14:editId="0630DAD5">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46:58</w:t>
      </w:r>
      <w:r>
        <w:rPr>
          <w:rFonts w:ascii="Segoe UI" w:eastAsia="Segoe UI" w:hAnsi="Segoe UI" w:cs="Segoe UI"/>
          <w:color w:val="323130"/>
          <w:sz w:val="24"/>
          <w:szCs w:val="24"/>
        </w:rPr>
        <w:br/>
        <w:t>Yep. So the proposed amendments move the responsibility for government purchasing of Australian Carbon Credit Units outside of the Clean Energy Regulator, which would enable the Secretary of the Department to purchase ACCU in the future and avoid risks of</w:t>
      </w:r>
      <w:r>
        <w:rPr>
          <w:rFonts w:ascii="Segoe UI" w:eastAsia="Segoe UI" w:hAnsi="Segoe UI" w:cs="Segoe UI"/>
          <w:color w:val="323130"/>
          <w:sz w:val="24"/>
          <w:szCs w:val="24"/>
        </w:rPr>
        <w:br/>
        <w:t>Future perceived or actual conflicts of interest.</w:t>
      </w:r>
      <w:r>
        <w:rPr>
          <w:rFonts w:ascii="Segoe UI" w:eastAsia="Segoe UI" w:hAnsi="Segoe UI" w:cs="Segoe UI"/>
          <w:color w:val="323130"/>
          <w:sz w:val="24"/>
          <w:szCs w:val="24"/>
        </w:rPr>
        <w:br/>
        <w:t>When and how ACCU purchase is a matter for government, there is no requirement for the government to resume carbon abatement contract auction processes as they existed under the emissions reduction fund. So the government is considering its role as a direct purchaser of abatement in light of the safeguard mechanism reforms which are driving increased</w:t>
      </w:r>
      <w:r>
        <w:rPr>
          <w:rFonts w:ascii="Segoe UI" w:eastAsia="Segoe UI" w:hAnsi="Segoe UI" w:cs="Segoe UI"/>
          <w:color w:val="323130"/>
          <w:sz w:val="24"/>
          <w:szCs w:val="24"/>
        </w:rPr>
        <w:br/>
        <w:t>compliance demand for Australian Carbon Credit units, as well as the evolving role of the scheme in the net 0 transition.</w:t>
      </w:r>
      <w:r>
        <w:rPr>
          <w:rFonts w:ascii="Segoe UI" w:eastAsia="Segoe UI" w:hAnsi="Segoe UI" w:cs="Segoe UI"/>
          <w:color w:val="323130"/>
          <w:sz w:val="24"/>
          <w:szCs w:val="24"/>
        </w:rPr>
        <w:br/>
        <w:t>If these proposed amendments are made and passed by Parliament, the department will consider options to implement future purchasing processes where they may support the government's priorities for carbon and non-carbon benefits of the scheme.</w:t>
      </w:r>
    </w:p>
    <w:p w14:paraId="272F7B31" w14:textId="77777777" w:rsidR="004C4165" w:rsidRDefault="00000000">
      <w:pPr>
        <w:spacing w:line="300" w:lineRule="auto"/>
      </w:pPr>
      <w:r>
        <w:rPr>
          <w:noProof/>
        </w:rPr>
        <w:drawing>
          <wp:anchor distT="0" distB="0" distL="0" distR="0" simplePos="0" relativeHeight="251658272" behindDoc="0" locked="0" layoutInCell="1" allowOverlap="1" wp14:anchorId="1B47E46A" wp14:editId="3012717A">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48:09</w:t>
      </w:r>
      <w:r>
        <w:rPr>
          <w:rFonts w:ascii="Segoe UI" w:eastAsia="Segoe UI" w:hAnsi="Segoe UI" w:cs="Segoe UI"/>
          <w:color w:val="323130"/>
          <w:sz w:val="24"/>
          <w:szCs w:val="24"/>
        </w:rPr>
        <w:br/>
        <w:t xml:space="preserve">This one always relates to the purchasing changes. The bill proposed to the secretary and the secretary of our department, Department of Climate Change, Energy, Environment and Water, takes the powers on purchasing where any other alternative, </w:t>
      </w:r>
      <w:r>
        <w:rPr>
          <w:rFonts w:ascii="Segoe UI" w:eastAsia="Segoe UI" w:hAnsi="Segoe UI" w:cs="Segoe UI"/>
          <w:color w:val="323130"/>
          <w:sz w:val="24"/>
          <w:szCs w:val="24"/>
        </w:rPr>
        <w:lastRenderedPageBreak/>
        <w:t>were, sorry, I think it is, were any other alternatives considered such as the CFC who have strong capability in investment and purchasing?</w:t>
      </w:r>
    </w:p>
    <w:p w14:paraId="6395E057" w14:textId="77777777" w:rsidR="004C4165" w:rsidRDefault="00000000">
      <w:pPr>
        <w:spacing w:line="300" w:lineRule="auto"/>
      </w:pPr>
      <w:r>
        <w:rPr>
          <w:noProof/>
        </w:rPr>
        <w:drawing>
          <wp:anchor distT="0" distB="0" distL="0" distR="0" simplePos="0" relativeHeight="251658273" behindDoc="0" locked="0" layoutInCell="1" allowOverlap="1" wp14:anchorId="4E982D49" wp14:editId="3F0E2CCD">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48:36</w:t>
      </w:r>
      <w:r>
        <w:rPr>
          <w:rFonts w:ascii="Segoe UI" w:eastAsia="Segoe UI" w:hAnsi="Segoe UI" w:cs="Segoe UI"/>
          <w:color w:val="323130"/>
          <w:sz w:val="24"/>
          <w:szCs w:val="24"/>
        </w:rPr>
        <w:br/>
        <w:t>As part of the policy consideration for government in looking at the Chubb review recommendation to remove the purchasing role outside of the Clean Energy Regulator, other agencies were looked at.</w:t>
      </w:r>
      <w:r>
        <w:rPr>
          <w:rFonts w:ascii="Segoe UI" w:eastAsia="Segoe UI" w:hAnsi="Segoe UI" w:cs="Segoe UI"/>
          <w:color w:val="323130"/>
          <w:sz w:val="24"/>
          <w:szCs w:val="24"/>
        </w:rPr>
        <w:br/>
        <w:t>Not to go into specifics of that process, but one thing that was quite relevant in terms of the Clean Energy Finance Corporation's role is they have strong roles in financing particular projects across Australia.</w:t>
      </w:r>
      <w:r>
        <w:rPr>
          <w:rFonts w:ascii="Segoe UI" w:eastAsia="Segoe UI" w:hAnsi="Segoe UI" w:cs="Segoe UI"/>
          <w:color w:val="323130"/>
          <w:sz w:val="24"/>
          <w:szCs w:val="24"/>
        </w:rPr>
        <w:br/>
        <w:t>and this includes Australian Carbon Credit Unit projects. And so there was some conflict of interest considerations there for that organisation, given that they are playing a role in supporting projects to provide ACCU to the market. And how would that be managed if they were then to be given the purchasing?</w:t>
      </w:r>
      <w:r>
        <w:rPr>
          <w:rFonts w:ascii="Segoe UI" w:eastAsia="Segoe UI" w:hAnsi="Segoe UI" w:cs="Segoe UI"/>
          <w:color w:val="323130"/>
          <w:sz w:val="24"/>
          <w:szCs w:val="24"/>
        </w:rPr>
        <w:br/>
        <w:t>function to buy ACCU, which could lead to some questions or perceived conflicts of interest. So the government made the determination that the department was best placed to do that and there would be appropriate.</w:t>
      </w:r>
      <w:r>
        <w:rPr>
          <w:rFonts w:ascii="Segoe UI" w:eastAsia="Segoe UI" w:hAnsi="Segoe UI" w:cs="Segoe UI"/>
          <w:color w:val="323130"/>
          <w:sz w:val="24"/>
          <w:szCs w:val="24"/>
        </w:rPr>
        <w:br/>
        <w:t>separation of policy functions from purchasing functions and required probity procedures put in place if the government was to continue purchasing ACCU.</w:t>
      </w:r>
    </w:p>
    <w:p w14:paraId="07CC45C5" w14:textId="781C07EF" w:rsidR="004C4165" w:rsidRDefault="00000000">
      <w:pPr>
        <w:spacing w:line="300" w:lineRule="auto"/>
      </w:pPr>
      <w:r>
        <w:rPr>
          <w:noProof/>
        </w:rPr>
        <w:drawing>
          <wp:anchor distT="0" distB="0" distL="0" distR="0" simplePos="0" relativeHeight="251658274" behindDoc="0" locked="0" layoutInCell="1" allowOverlap="1" wp14:anchorId="1DD981CD" wp14:editId="3C555A55">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50:02</w:t>
      </w:r>
      <w:r>
        <w:rPr>
          <w:rFonts w:ascii="Segoe UI" w:eastAsia="Segoe UI" w:hAnsi="Segoe UI" w:cs="Segoe UI"/>
          <w:color w:val="323130"/>
          <w:sz w:val="24"/>
          <w:szCs w:val="24"/>
        </w:rPr>
        <w:br/>
        <w:t xml:space="preserve">Thanks. Will the </w:t>
      </w:r>
      <w:r w:rsidR="0079505E">
        <w:rPr>
          <w:rFonts w:ascii="Segoe UI" w:eastAsia="Segoe UI" w:hAnsi="Segoe UI" w:cs="Segoe UI"/>
          <w:color w:val="323130"/>
          <w:sz w:val="24"/>
          <w:szCs w:val="24"/>
        </w:rPr>
        <w:t>CAIC</w:t>
      </w:r>
      <w:r>
        <w:rPr>
          <w:rFonts w:ascii="Segoe UI" w:eastAsia="Segoe UI" w:hAnsi="Segoe UI" w:cs="Segoe UI"/>
          <w:color w:val="323130"/>
          <w:sz w:val="24"/>
          <w:szCs w:val="24"/>
        </w:rPr>
        <w:t xml:space="preserve"> Secretariat be housed independently to the department? I might take that one initially. There's no proposal to have an external or independent secretariat established to support the Carbon Abatement Integrity Committee. Currently, the Emissions Reduction Assurance Committee Secretariat is</w:t>
      </w:r>
      <w:r>
        <w:rPr>
          <w:rFonts w:ascii="Segoe UI" w:eastAsia="Segoe UI" w:hAnsi="Segoe UI" w:cs="Segoe UI"/>
          <w:color w:val="323130"/>
          <w:sz w:val="24"/>
          <w:szCs w:val="24"/>
        </w:rPr>
        <w:br/>
        <w:t>is housed within the department, not in my branch, but in the branch led by Matt SEARSON that services the committee and that structure will be proposed to continue or planned to continue if these changes were made.</w:t>
      </w:r>
      <w:r>
        <w:rPr>
          <w:rFonts w:ascii="Segoe UI" w:eastAsia="Segoe UI" w:hAnsi="Segoe UI" w:cs="Segoe UI"/>
          <w:color w:val="323130"/>
          <w:sz w:val="24"/>
          <w:szCs w:val="24"/>
        </w:rPr>
        <w:br/>
        <w:t>Next question, Team. I'll pick one, unless you direct me.</w:t>
      </w:r>
      <w:r>
        <w:rPr>
          <w:rFonts w:ascii="Segoe UI" w:eastAsia="Segoe UI" w:hAnsi="Segoe UI" w:cs="Segoe UI"/>
          <w:color w:val="323130"/>
          <w:sz w:val="24"/>
          <w:szCs w:val="24"/>
        </w:rPr>
        <w:br/>
        <w:t>I might go to another one on the native title consent changes. The updated native title consent proposal has some differences to the Nature Repair Act, although the consultation paper mentions aligning them. Are there more details on the rationale for any differences? Interoperability across schemes is quite important and these differences can create challenges.</w:t>
      </w:r>
      <w:r>
        <w:rPr>
          <w:rFonts w:ascii="Segoe UI" w:eastAsia="Segoe UI" w:hAnsi="Segoe UI" w:cs="Segoe UI"/>
          <w:color w:val="323130"/>
          <w:sz w:val="24"/>
          <w:szCs w:val="24"/>
        </w:rPr>
        <w:br/>
        <w:t>Ingrid, I might throw to you initially on that, and Matt, happy for you to support.</w:t>
      </w:r>
    </w:p>
    <w:p w14:paraId="429D5A14" w14:textId="77777777" w:rsidR="004C4165" w:rsidRDefault="00000000">
      <w:pPr>
        <w:spacing w:line="300" w:lineRule="auto"/>
      </w:pPr>
      <w:r>
        <w:rPr>
          <w:noProof/>
        </w:rPr>
        <w:lastRenderedPageBreak/>
        <w:drawing>
          <wp:anchor distT="0" distB="0" distL="0" distR="0" simplePos="0" relativeHeight="251658275" behindDoc="0" locked="0" layoutInCell="1" allowOverlap="1" wp14:anchorId="317745F2" wp14:editId="47C3314D">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51:20</w:t>
      </w:r>
      <w:r>
        <w:rPr>
          <w:rFonts w:ascii="Segoe UI" w:eastAsia="Segoe UI" w:hAnsi="Segoe UI" w:cs="Segoe UI"/>
          <w:color w:val="323130"/>
          <w:sz w:val="24"/>
          <w:szCs w:val="24"/>
        </w:rPr>
        <w:br/>
        <w:t>Yeah, thanks for that question.</w:t>
      </w:r>
      <w:r>
        <w:rPr>
          <w:rFonts w:ascii="Segoe UI" w:eastAsia="Segoe UI" w:hAnsi="Segoe UI" w:cs="Segoe UI"/>
          <w:color w:val="323130"/>
          <w:sz w:val="24"/>
          <w:szCs w:val="24"/>
        </w:rPr>
        <w:br/>
        <w:t>I will note the sort of timing of this. So the Nature Repair Act was under design and consideration quite early on when the chub review was released. And as part of that design process, the teams took on board the chub review recommendations and looked at what they could</w:t>
      </w:r>
      <w:r>
        <w:rPr>
          <w:rFonts w:ascii="Segoe UI" w:eastAsia="Segoe UI" w:hAnsi="Segoe UI" w:cs="Segoe UI"/>
          <w:color w:val="323130"/>
          <w:sz w:val="24"/>
          <w:szCs w:val="24"/>
        </w:rPr>
        <w:br/>
        <w:t>Change or introduce into their legislation to address some of those concerns.</w:t>
      </w:r>
      <w:r>
        <w:rPr>
          <w:rFonts w:ascii="Segoe UI" w:eastAsia="Segoe UI" w:hAnsi="Segoe UI" w:cs="Segoe UI"/>
          <w:color w:val="323130"/>
          <w:sz w:val="24"/>
          <w:szCs w:val="24"/>
        </w:rPr>
        <w:br/>
        <w:t>And then subsequent to that, we had a consultation process that asked stakeholders what consent processes should look like in the Australian Carbon Credit Unit Scheme and were provided with a diverse array of views on that that were taken into consideration when designing</w:t>
      </w:r>
      <w:r>
        <w:rPr>
          <w:rFonts w:ascii="Segoe UI" w:eastAsia="Segoe UI" w:hAnsi="Segoe UI" w:cs="Segoe UI"/>
          <w:color w:val="323130"/>
          <w:sz w:val="24"/>
          <w:szCs w:val="24"/>
        </w:rPr>
        <w:br/>
        <w:t>These amendments.</w:t>
      </w:r>
      <w:r>
        <w:rPr>
          <w:rFonts w:ascii="Segoe UI" w:eastAsia="Segoe UI" w:hAnsi="Segoe UI" w:cs="Segoe UI"/>
          <w:color w:val="323130"/>
          <w:sz w:val="24"/>
          <w:szCs w:val="24"/>
        </w:rPr>
        <w:br/>
        <w:t>We work very closely with our nature repair colleagues to align the schemes where possible, but there are different considerations that are needed in both of our schemes, given that they do different things. And carbon rights over the land is different to a biodiversity certificate or the way the</w:t>
      </w:r>
      <w:r>
        <w:rPr>
          <w:rFonts w:ascii="Segoe UI" w:eastAsia="Segoe UI" w:hAnsi="Segoe UI" w:cs="Segoe UI"/>
          <w:color w:val="323130"/>
          <w:sz w:val="24"/>
          <w:szCs w:val="24"/>
        </w:rPr>
        <w:br/>
        <w:t>repair market is designed. So I recognise complexities if there's differences. We do try and align where possible, but there is also particular reasons decisions are made in the ACCU Scheme context that may not apply as</w:t>
      </w:r>
      <w:r>
        <w:rPr>
          <w:rFonts w:ascii="Segoe UI" w:eastAsia="Segoe UI" w:hAnsi="Segoe UI" w:cs="Segoe UI"/>
          <w:color w:val="323130"/>
          <w:sz w:val="24"/>
          <w:szCs w:val="24"/>
        </w:rPr>
        <w:br/>
        <w:t>May not work for the nature repair market context.</w:t>
      </w:r>
    </w:p>
    <w:p w14:paraId="29957DFE" w14:textId="77777777" w:rsidR="004C4165" w:rsidRDefault="00000000">
      <w:pPr>
        <w:spacing w:line="300" w:lineRule="auto"/>
      </w:pPr>
      <w:r>
        <w:rPr>
          <w:noProof/>
        </w:rPr>
        <w:drawing>
          <wp:anchor distT="0" distB="0" distL="0" distR="0" simplePos="0" relativeHeight="251658276" behindDoc="0" locked="0" layoutInCell="1" allowOverlap="1" wp14:anchorId="26472F64" wp14:editId="13F1CFB2">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53:07</w:t>
      </w:r>
      <w:r>
        <w:rPr>
          <w:rFonts w:ascii="Segoe UI" w:eastAsia="Segoe UI" w:hAnsi="Segoe UI" w:cs="Segoe UI"/>
          <w:color w:val="323130"/>
          <w:sz w:val="24"/>
          <w:szCs w:val="24"/>
        </w:rPr>
        <w:br/>
        <w:t>Thanks. So there's another one. The bill still refers to Kyoto ACCU, but Kyoto has finished. Have you considered the need to remove references to specific UNFCCC reporting periods or add Paris ACCU?</w:t>
      </w:r>
    </w:p>
    <w:p w14:paraId="670F531C" w14:textId="77777777" w:rsidR="004C4165" w:rsidRDefault="00000000">
      <w:pPr>
        <w:spacing w:line="300" w:lineRule="auto"/>
      </w:pPr>
      <w:r>
        <w:rPr>
          <w:noProof/>
        </w:rPr>
        <w:drawing>
          <wp:anchor distT="0" distB="0" distL="0" distR="0" simplePos="0" relativeHeight="251658277" behindDoc="0" locked="0" layoutInCell="1" allowOverlap="1" wp14:anchorId="3EB99444" wp14:editId="7079BBCF">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53:27</w:t>
      </w:r>
      <w:r>
        <w:rPr>
          <w:rFonts w:ascii="Segoe UI" w:eastAsia="Segoe UI" w:hAnsi="Segoe UI" w:cs="Segoe UI"/>
          <w:color w:val="323130"/>
          <w:sz w:val="24"/>
          <w:szCs w:val="24"/>
        </w:rPr>
        <w:br/>
        <w:t>That's a good question.</w:t>
      </w:r>
      <w:r>
        <w:rPr>
          <w:rFonts w:ascii="Segoe UI" w:eastAsia="Segoe UI" w:hAnsi="Segoe UI" w:cs="Segoe UI"/>
          <w:color w:val="323130"/>
          <w:sz w:val="24"/>
          <w:szCs w:val="24"/>
        </w:rPr>
        <w:br/>
        <w:t>Efforts have been very focused on the priority amendments that government have identified and that have been recommended by reviews.</w:t>
      </w:r>
      <w:r>
        <w:rPr>
          <w:rFonts w:ascii="Segoe UI" w:eastAsia="Segoe UI" w:hAnsi="Segoe UI" w:cs="Segoe UI"/>
          <w:color w:val="323130"/>
          <w:sz w:val="24"/>
          <w:szCs w:val="24"/>
        </w:rPr>
        <w:br/>
        <w:t>While it would be nice to clean up the statute and make sure everything is perfect, that's not always possible in the time frames. So no, there has not been a...</w:t>
      </w:r>
      <w:r>
        <w:rPr>
          <w:rFonts w:ascii="Segoe UI" w:eastAsia="Segoe UI" w:hAnsi="Segoe UI" w:cs="Segoe UI"/>
          <w:color w:val="323130"/>
          <w:sz w:val="24"/>
          <w:szCs w:val="24"/>
        </w:rPr>
        <w:br/>
        <w:t xml:space="preserve">proposed changes to do this. Also note that we need to make sure we're not changing anything that might break something. So yeah, our focus has been on the </w:t>
      </w:r>
      <w:r>
        <w:rPr>
          <w:rFonts w:ascii="Segoe UI" w:eastAsia="Segoe UI" w:hAnsi="Segoe UI" w:cs="Segoe UI"/>
          <w:color w:val="323130"/>
          <w:sz w:val="24"/>
          <w:szCs w:val="24"/>
        </w:rPr>
        <w:lastRenderedPageBreak/>
        <w:t>priority amendments as recommended by reviews and not on just</w:t>
      </w:r>
      <w:r>
        <w:rPr>
          <w:rFonts w:ascii="Segoe UI" w:eastAsia="Segoe UI" w:hAnsi="Segoe UI" w:cs="Segoe UI"/>
          <w:color w:val="323130"/>
          <w:sz w:val="24"/>
          <w:szCs w:val="24"/>
        </w:rPr>
        <w:br/>
        <w:t>Sort of minor changes that would clean up the statute.</w:t>
      </w:r>
    </w:p>
    <w:p w14:paraId="51F45135" w14:textId="77777777" w:rsidR="004C4165" w:rsidRDefault="00000000">
      <w:pPr>
        <w:spacing w:line="300" w:lineRule="auto"/>
      </w:pPr>
      <w:r>
        <w:rPr>
          <w:noProof/>
        </w:rPr>
        <w:drawing>
          <wp:anchor distT="0" distB="0" distL="0" distR="0" simplePos="0" relativeHeight="251658278" behindDoc="0" locked="0" layoutInCell="1" allowOverlap="1" wp14:anchorId="0926DC81" wp14:editId="32E5EE59">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54:19</w:t>
      </w:r>
      <w:r>
        <w:rPr>
          <w:rFonts w:ascii="Segoe UI" w:eastAsia="Segoe UI" w:hAnsi="Segoe UI" w:cs="Segoe UI"/>
          <w:color w:val="323130"/>
          <w:sz w:val="24"/>
          <w:szCs w:val="24"/>
        </w:rPr>
        <w:br/>
        <w:t>Ingrid. The bill replaces ERAC with cake and ERF with the ACCU Scheme, but continues to refer to offset projects. This is another nomenclature thing, I think, which is a legacy from the Carbon Pollution Reduction Scheme when there was a whole of economy carbon price. Carbon farming projects are not offset.</w:t>
      </w:r>
      <w:r>
        <w:rPr>
          <w:rFonts w:ascii="Segoe UI" w:eastAsia="Segoe UI" w:hAnsi="Segoe UI" w:cs="Segoe UI"/>
          <w:color w:val="323130"/>
          <w:sz w:val="24"/>
          <w:szCs w:val="24"/>
        </w:rPr>
        <w:br/>
        <w:t>projects, whether an ACCU is an offset, an inset or at, sorry, I'm still trying to read this question in the Senate as I read it. Sorry, carbon farming projects are not offset projects, whether an ACCU is an offset, an inset or at point decarbonisation depends on how it is used. Have you considered changing this term?</w:t>
      </w:r>
      <w:r>
        <w:rPr>
          <w:rFonts w:ascii="Segoe UI" w:eastAsia="Segoe UI" w:hAnsi="Segoe UI" w:cs="Segoe UI"/>
          <w:color w:val="323130"/>
          <w:sz w:val="24"/>
          <w:szCs w:val="24"/>
        </w:rPr>
        <w:br/>
        <w:t>Being offsets projects to ACCU projects.</w:t>
      </w:r>
    </w:p>
    <w:p w14:paraId="24DC37A5" w14:textId="77777777" w:rsidR="004C4165" w:rsidRDefault="00000000">
      <w:pPr>
        <w:spacing w:line="300" w:lineRule="auto"/>
      </w:pPr>
      <w:r>
        <w:rPr>
          <w:noProof/>
        </w:rPr>
        <w:drawing>
          <wp:anchor distT="0" distB="0" distL="0" distR="0" simplePos="0" relativeHeight="251658279" behindDoc="0" locked="0" layoutInCell="1" allowOverlap="1" wp14:anchorId="39F589A0" wp14:editId="1BAD88EF">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55:06</w:t>
      </w:r>
      <w:r>
        <w:rPr>
          <w:rFonts w:ascii="Segoe UI" w:eastAsia="Segoe UI" w:hAnsi="Segoe UI" w:cs="Segoe UI"/>
          <w:color w:val="323130"/>
          <w:sz w:val="24"/>
          <w:szCs w:val="24"/>
        </w:rPr>
        <w:br/>
        <w:t>You, you will see in the bill, yes, that that is not changed. Interested in your views on that, given how</w:t>
      </w:r>
      <w:r>
        <w:rPr>
          <w:rFonts w:ascii="Segoe UI" w:eastAsia="Segoe UI" w:hAnsi="Segoe UI" w:cs="Segoe UI"/>
          <w:color w:val="323130"/>
          <w:sz w:val="24"/>
          <w:szCs w:val="24"/>
        </w:rPr>
        <w:br/>
        <w:t>how people are quite comfortable with the nomenclature. We haven't tried to change things that are not part of those priority recommendations and priority policy positions of the government, but very happy to hear more information about this one. But yeah, it's not.</w:t>
      </w:r>
      <w:r>
        <w:rPr>
          <w:rFonts w:ascii="Segoe UI" w:eastAsia="Segoe UI" w:hAnsi="Segoe UI" w:cs="Segoe UI"/>
          <w:color w:val="323130"/>
          <w:sz w:val="24"/>
          <w:szCs w:val="24"/>
        </w:rPr>
        <w:br/>
        <w:t>in the amendment bill at the moment.</w:t>
      </w:r>
    </w:p>
    <w:p w14:paraId="2F4F832B" w14:textId="77777777" w:rsidR="004C4165" w:rsidRDefault="00000000">
      <w:pPr>
        <w:spacing w:line="300" w:lineRule="auto"/>
      </w:pPr>
      <w:r>
        <w:rPr>
          <w:noProof/>
        </w:rPr>
        <w:drawing>
          <wp:anchor distT="0" distB="0" distL="0" distR="0" simplePos="0" relativeHeight="251658280" behindDoc="0" locked="0" layoutInCell="1" allowOverlap="1" wp14:anchorId="6B6AE913" wp14:editId="7F7C7D34">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55:40</w:t>
      </w:r>
      <w:r>
        <w:rPr>
          <w:rFonts w:ascii="Segoe UI" w:eastAsia="Segoe UI" w:hAnsi="Segoe UI" w:cs="Segoe UI"/>
          <w:color w:val="323130"/>
          <w:sz w:val="24"/>
          <w:szCs w:val="24"/>
        </w:rPr>
        <w:br/>
        <w:t>Thanks. On integrity risk methods, has there been previous consultation on the integrity risk method concept? Was this a recommendation from the CHUB review?</w:t>
      </w:r>
    </w:p>
    <w:p w14:paraId="1867D460" w14:textId="77777777" w:rsidR="004C4165" w:rsidRDefault="00000000">
      <w:pPr>
        <w:spacing w:line="300" w:lineRule="auto"/>
      </w:pPr>
      <w:r>
        <w:rPr>
          <w:noProof/>
        </w:rPr>
        <w:drawing>
          <wp:anchor distT="0" distB="0" distL="0" distR="0" simplePos="0" relativeHeight="251658281" behindDoc="0" locked="0" layoutInCell="1" allowOverlap="1" wp14:anchorId="65DC251B" wp14:editId="49886855">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55:51</w:t>
      </w:r>
      <w:r>
        <w:rPr>
          <w:rFonts w:ascii="Segoe UI" w:eastAsia="Segoe UI" w:hAnsi="Segoe UI" w:cs="Segoe UI"/>
          <w:color w:val="323130"/>
          <w:sz w:val="24"/>
          <w:szCs w:val="24"/>
        </w:rPr>
        <w:br/>
        <w:t>Thanks for that question. So the concept of method transition, which has been how this has been referred to previously, has been recommended by the Climate Change Authority in their previous reviews. Both the 2017 and the 2023 statutory reviews of the</w:t>
      </w:r>
      <w:r>
        <w:rPr>
          <w:rFonts w:ascii="Segoe UI" w:eastAsia="Segoe UI" w:hAnsi="Segoe UI" w:cs="Segoe UI"/>
          <w:color w:val="323130"/>
          <w:sz w:val="24"/>
          <w:szCs w:val="24"/>
        </w:rPr>
        <w:br/>
        <w:t>The CFI Act recommended a mandatory transition to new or varied methods that were made within two years of their making based on advice by the Emissions Reduction Assurance Committee.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that's the origin of where the concept has come from.</w:t>
      </w:r>
      <w:r>
        <w:rPr>
          <w:rFonts w:ascii="Segoe UI" w:eastAsia="Segoe UI" w:hAnsi="Segoe UI" w:cs="Segoe UI"/>
          <w:color w:val="323130"/>
          <w:sz w:val="24"/>
          <w:szCs w:val="24"/>
        </w:rPr>
        <w:br/>
        <w:t>A proposed approach to address that recommendation was outlined in the discussion paper in 2023, which looked at how that could be implemented in the Scheme and we received a lot of feedback from that process.</w:t>
      </w:r>
      <w:r>
        <w:rPr>
          <w:rFonts w:ascii="Segoe UI" w:eastAsia="Segoe UI" w:hAnsi="Segoe UI" w:cs="Segoe UI"/>
          <w:color w:val="323130"/>
          <w:sz w:val="24"/>
          <w:szCs w:val="24"/>
        </w:rPr>
        <w:br/>
        <w:t>that discussion paper process. And so that feedback has fed into the design of how the integrity risk method declaration process could work. We certainly heard from people about the concerns.</w:t>
      </w:r>
      <w:r>
        <w:rPr>
          <w:rFonts w:ascii="Segoe UI" w:eastAsia="Segoe UI" w:hAnsi="Segoe UI" w:cs="Segoe UI"/>
          <w:color w:val="323130"/>
          <w:sz w:val="24"/>
          <w:szCs w:val="24"/>
        </w:rPr>
        <w:br/>
        <w:t>to investments from changing things. So that's set into the conditions and the criteria that would need to be met for the integrity risk method declaration to be used in the future.</w:t>
      </w:r>
    </w:p>
    <w:p w14:paraId="624B32DA" w14:textId="77777777" w:rsidR="004C4165" w:rsidRDefault="00000000">
      <w:pPr>
        <w:spacing w:line="300" w:lineRule="auto"/>
      </w:pPr>
      <w:r>
        <w:rPr>
          <w:noProof/>
        </w:rPr>
        <w:drawing>
          <wp:anchor distT="0" distB="0" distL="0" distR="0" simplePos="0" relativeHeight="251658282" behindDoc="0" locked="0" layoutInCell="1" allowOverlap="1" wp14:anchorId="11175175" wp14:editId="469CC168">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57:28</w:t>
      </w:r>
      <w:r>
        <w:rPr>
          <w:rFonts w:ascii="Segoe UI" w:eastAsia="Segoe UI" w:hAnsi="Segoe UI" w:cs="Segoe UI"/>
          <w:color w:val="323130"/>
          <w:sz w:val="24"/>
          <w:szCs w:val="24"/>
        </w:rPr>
        <w:br/>
        <w:t>Very much, Ingrid. I think we might try and squeeze one more question in and then we will draw to a close. So I'll try and just pick up something that hasn't necessarily been.</w:t>
      </w:r>
      <w:r>
        <w:rPr>
          <w:rFonts w:ascii="Segoe UI" w:eastAsia="Segoe UI" w:hAnsi="Segoe UI" w:cs="Segoe UI"/>
          <w:color w:val="323130"/>
          <w:sz w:val="24"/>
          <w:szCs w:val="24"/>
        </w:rPr>
        <w:br/>
        <w:t>Of it as much.</w:t>
      </w:r>
      <w:r>
        <w:rPr>
          <w:rFonts w:ascii="Segoe UI" w:eastAsia="Segoe UI" w:hAnsi="Segoe UI" w:cs="Segoe UI"/>
          <w:color w:val="323130"/>
          <w:sz w:val="24"/>
          <w:szCs w:val="24"/>
        </w:rPr>
        <w:br/>
        <w:t>Here's our final question. Thank you, team. What is the plan for enabling ACCU to be traded on an exchange platform? Will there be amendments to other acts to enable exchange trading of ACCU?</w:t>
      </w:r>
    </w:p>
    <w:p w14:paraId="79EAB613" w14:textId="77777777" w:rsidR="004C4165" w:rsidRDefault="00000000">
      <w:pPr>
        <w:spacing w:line="300" w:lineRule="auto"/>
      </w:pPr>
      <w:r>
        <w:rPr>
          <w:noProof/>
        </w:rPr>
        <w:drawing>
          <wp:anchor distT="0" distB="0" distL="0" distR="0" simplePos="0" relativeHeight="251658283" behindDoc="0" locked="0" layoutInCell="1" allowOverlap="1" wp14:anchorId="06B48CB3" wp14:editId="5786614E">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58:03</w:t>
      </w:r>
      <w:r>
        <w:rPr>
          <w:rFonts w:ascii="Segoe UI" w:eastAsia="Segoe UI" w:hAnsi="Segoe UI" w:cs="Segoe UI"/>
          <w:color w:val="323130"/>
          <w:sz w:val="24"/>
          <w:szCs w:val="24"/>
        </w:rPr>
        <w:br/>
        <w:t>So I think this question goes to some of the work that the Clean Energy Regulator has been looking at in terms of interoperability of the ANRU, the Australian National Emissions Units. Sorry, I've had a mental blank. ANDRZEJEWSKI.</w:t>
      </w:r>
    </w:p>
    <w:p w14:paraId="3C57F1C9" w14:textId="77777777" w:rsidR="004C4165" w:rsidRDefault="00000000">
      <w:pPr>
        <w:spacing w:line="300" w:lineRule="auto"/>
      </w:pPr>
      <w:r>
        <w:rPr>
          <w:noProof/>
        </w:rPr>
        <w:drawing>
          <wp:anchor distT="0" distB="0" distL="0" distR="0" simplePos="0" relativeHeight="251658284" behindDoc="0" locked="0" layoutInCell="1" allowOverlap="1" wp14:anchorId="594FC29A" wp14:editId="63E982E8">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58:20</w:t>
      </w:r>
      <w:r>
        <w:rPr>
          <w:rFonts w:ascii="Segoe UI" w:eastAsia="Segoe UI" w:hAnsi="Segoe UI" w:cs="Segoe UI"/>
          <w:color w:val="323130"/>
          <w:sz w:val="24"/>
          <w:szCs w:val="24"/>
        </w:rPr>
        <w:br/>
        <w:t>Registry of admissions units, yeah.</w:t>
      </w:r>
    </w:p>
    <w:p w14:paraId="14E381AA" w14:textId="77777777" w:rsidR="004C4165" w:rsidRDefault="00000000">
      <w:pPr>
        <w:spacing w:line="300" w:lineRule="auto"/>
      </w:pPr>
      <w:r>
        <w:rPr>
          <w:noProof/>
        </w:rPr>
        <w:drawing>
          <wp:anchor distT="0" distB="0" distL="0" distR="0" simplePos="0" relativeHeight="251658285" behindDoc="0" locked="0" layoutInCell="1" allowOverlap="1" wp14:anchorId="104FECE1" wp14:editId="653F2B1C">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58:21</w:t>
      </w:r>
      <w:r>
        <w:rPr>
          <w:rFonts w:ascii="Segoe UI" w:eastAsia="Segoe UI" w:hAnsi="Segoe UI" w:cs="Segoe UI"/>
          <w:color w:val="323130"/>
          <w:sz w:val="24"/>
          <w:szCs w:val="24"/>
        </w:rPr>
        <w:br/>
        <w:t>Registry, registry of admissions units. Thank you. And so they've also consulted on the design of the improved unit and certificate registry that covers some of these elements. There are no changes in our bill. The bill changes are focusing on the CFI Act.</w:t>
      </w:r>
      <w:r>
        <w:rPr>
          <w:rFonts w:ascii="Segoe UI" w:eastAsia="Segoe UI" w:hAnsi="Segoe UI" w:cs="Segoe UI"/>
          <w:color w:val="323130"/>
          <w:sz w:val="24"/>
          <w:szCs w:val="24"/>
        </w:rPr>
        <w:br/>
        <w:t>The Andrew Act would need to be changed potentially to operationalize some of those changes, but that is not part of this bill.</w:t>
      </w:r>
    </w:p>
    <w:p w14:paraId="76F221D5" w14:textId="77777777" w:rsidR="004C4165" w:rsidRDefault="00000000">
      <w:pPr>
        <w:spacing w:line="300" w:lineRule="auto"/>
      </w:pPr>
      <w:r>
        <w:rPr>
          <w:noProof/>
        </w:rPr>
        <w:lastRenderedPageBreak/>
        <w:drawing>
          <wp:anchor distT="0" distB="0" distL="0" distR="0" simplePos="0" relativeHeight="251658286" behindDoc="0" locked="0" layoutInCell="1" allowOverlap="1" wp14:anchorId="4365B3ED" wp14:editId="2FB47460">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Kate LEA-PERRY   </w:t>
      </w:r>
      <w:r>
        <w:rPr>
          <w:rFonts w:ascii="Segoe UI" w:eastAsia="Segoe UI" w:hAnsi="Segoe UI" w:cs="Segoe UI"/>
          <w:color w:val="A19F9D"/>
          <w:sz w:val="24"/>
          <w:szCs w:val="24"/>
        </w:rPr>
        <w:t>58:54</w:t>
      </w:r>
      <w:r>
        <w:rPr>
          <w:rFonts w:ascii="Segoe UI" w:eastAsia="Segoe UI" w:hAnsi="Segoe UI" w:cs="Segoe UI"/>
          <w:color w:val="323130"/>
          <w:sz w:val="24"/>
          <w:szCs w:val="24"/>
        </w:rPr>
        <w:br/>
        <w:t>Thanks very much, Ingrid. Okay, I think that brings us to the end of this webinar. Not to be the end of the conversation, though. Please very much encourage you to attend our deep dive webinars where we can get more into some of these questions and really unpack things like the integrity risk method declaration proposal and the other range of administrative changes that we</w:t>
      </w:r>
      <w:r>
        <w:rPr>
          <w:rFonts w:ascii="Segoe UI" w:eastAsia="Segoe UI" w:hAnsi="Segoe UI" w:cs="Segoe UI"/>
          <w:color w:val="323130"/>
          <w:sz w:val="24"/>
          <w:szCs w:val="24"/>
        </w:rPr>
        <w:br/>
        <w:t>went through fairly quickly, but they are all equally important to the scheme. So please do register for those webinars and come along and we can continue working these things through. But huge thank you to you for coming along today and to my team for supporting and attending and presenting, particularly thanks to Ingrid, the knowledgeable one across</w:t>
      </w:r>
      <w:r>
        <w:rPr>
          <w:rFonts w:ascii="Segoe UI" w:eastAsia="Segoe UI" w:hAnsi="Segoe UI" w:cs="Segoe UI"/>
          <w:color w:val="323130"/>
          <w:sz w:val="24"/>
          <w:szCs w:val="24"/>
        </w:rPr>
        <w:br/>
        <w:t>many of the amendments as you can see. Thanks again and we look forward to engaging with you further throughout the consultation period. Thanks very much.</w:t>
      </w:r>
    </w:p>
    <w:p w14:paraId="4208E8BB" w14:textId="77777777" w:rsidR="004C4165" w:rsidRDefault="00000000">
      <w:pPr>
        <w:spacing w:line="300" w:lineRule="auto"/>
      </w:pPr>
      <w:r>
        <w:rPr>
          <w:noProof/>
        </w:rPr>
        <w:drawing>
          <wp:anchor distT="0" distB="0" distL="0" distR="0" simplePos="0" relativeHeight="251658287" behindDoc="0" locked="0" layoutInCell="1" allowOverlap="1" wp14:anchorId="38E14238" wp14:editId="34B632CA">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Ingrid CRIPPS   </w:t>
      </w:r>
      <w:r>
        <w:rPr>
          <w:rFonts w:ascii="Segoe UI" w:eastAsia="Segoe UI" w:hAnsi="Segoe UI" w:cs="Segoe UI"/>
          <w:color w:val="A19F9D"/>
          <w:sz w:val="24"/>
          <w:szCs w:val="24"/>
        </w:rPr>
        <w:t>59:44</w:t>
      </w:r>
      <w:r>
        <w:rPr>
          <w:rFonts w:ascii="Segoe UI" w:eastAsia="Segoe UI" w:hAnsi="Segoe UI" w:cs="Segoe UI"/>
          <w:color w:val="323130"/>
          <w:sz w:val="24"/>
          <w:szCs w:val="24"/>
        </w:rPr>
        <w:br/>
        <w:t>Thank you.</w:t>
      </w:r>
    </w:p>
    <w:p w14:paraId="6AD52D9D" w14:textId="77777777" w:rsidR="004C4165" w:rsidRDefault="00000000">
      <w:pPr>
        <w:spacing w:line="300" w:lineRule="auto"/>
      </w:pPr>
      <w:r>
        <w:rPr>
          <w:noProof/>
        </w:rPr>
        <w:drawing>
          <wp:anchor distT="0" distB="0" distL="0" distR="0" simplePos="0" relativeHeight="251658240" behindDoc="0" locked="0" layoutInCell="1" allowOverlap="1" wp14:anchorId="4CC73E0F" wp14:editId="12A494A7">
            <wp:simplePos x="0" y="0"/>
            <wp:positionH relativeFrom="page">
              <wp:posOffset>621792</wp:posOffset>
            </wp:positionH>
            <wp:positionV relativeFrom="paragraph">
              <wp:posOffset>274320</wp:posOffset>
            </wp:positionV>
            <wp:extent cx="209550" cy="20955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stopped transcription</w:t>
      </w:r>
    </w:p>
    <w:sectPr w:rsidR="004C416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3D4E4" w14:textId="77777777" w:rsidR="00904620" w:rsidRDefault="00904620"/>
  </w:endnote>
  <w:endnote w:type="continuationSeparator" w:id="0">
    <w:p w14:paraId="2816FF9D" w14:textId="77777777" w:rsidR="00904620" w:rsidRDefault="009046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EDA2" w14:textId="77777777" w:rsidR="00645F16" w:rsidRDefault="00645F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3FBA" w14:textId="77777777" w:rsidR="00645F16" w:rsidRDefault="00645F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1A51" w14:textId="77777777" w:rsidR="00645F16" w:rsidRDefault="00645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D10EC" w14:textId="77777777" w:rsidR="00904620" w:rsidRDefault="00904620"/>
  </w:footnote>
  <w:footnote w:type="continuationSeparator" w:id="0">
    <w:p w14:paraId="74314C1C" w14:textId="77777777" w:rsidR="00904620" w:rsidRDefault="009046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5899" w14:textId="77777777" w:rsidR="00645F16" w:rsidRDefault="00645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74D17" w14:textId="77777777" w:rsidR="00645F16" w:rsidRDefault="00645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413D" w14:textId="77777777" w:rsidR="00645F16" w:rsidRDefault="00645F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42D06"/>
    <w:multiLevelType w:val="hybridMultilevel"/>
    <w:tmpl w:val="EE70D522"/>
    <w:lvl w:ilvl="0" w:tplc="F90A895C">
      <w:start w:val="1"/>
      <w:numFmt w:val="bullet"/>
      <w:lvlText w:val="●"/>
      <w:lvlJc w:val="left"/>
      <w:pPr>
        <w:ind w:left="720" w:hanging="360"/>
      </w:pPr>
    </w:lvl>
    <w:lvl w:ilvl="1" w:tplc="17B4CC92">
      <w:start w:val="1"/>
      <w:numFmt w:val="bullet"/>
      <w:lvlText w:val="○"/>
      <w:lvlJc w:val="left"/>
      <w:pPr>
        <w:ind w:left="1440" w:hanging="360"/>
      </w:pPr>
    </w:lvl>
    <w:lvl w:ilvl="2" w:tplc="7C58A1D6">
      <w:start w:val="1"/>
      <w:numFmt w:val="bullet"/>
      <w:lvlText w:val="■"/>
      <w:lvlJc w:val="left"/>
      <w:pPr>
        <w:ind w:left="2160" w:hanging="360"/>
      </w:pPr>
    </w:lvl>
    <w:lvl w:ilvl="3" w:tplc="21D67784">
      <w:start w:val="1"/>
      <w:numFmt w:val="bullet"/>
      <w:lvlText w:val="●"/>
      <w:lvlJc w:val="left"/>
      <w:pPr>
        <w:ind w:left="2880" w:hanging="360"/>
      </w:pPr>
    </w:lvl>
    <w:lvl w:ilvl="4" w:tplc="81FC1360">
      <w:start w:val="1"/>
      <w:numFmt w:val="bullet"/>
      <w:lvlText w:val="○"/>
      <w:lvlJc w:val="left"/>
      <w:pPr>
        <w:ind w:left="3600" w:hanging="360"/>
      </w:pPr>
    </w:lvl>
    <w:lvl w:ilvl="5" w:tplc="BFAE1730">
      <w:start w:val="1"/>
      <w:numFmt w:val="bullet"/>
      <w:lvlText w:val="■"/>
      <w:lvlJc w:val="left"/>
      <w:pPr>
        <w:ind w:left="4320" w:hanging="360"/>
      </w:pPr>
    </w:lvl>
    <w:lvl w:ilvl="6" w:tplc="0ADE42B6">
      <w:start w:val="1"/>
      <w:numFmt w:val="bullet"/>
      <w:lvlText w:val="●"/>
      <w:lvlJc w:val="left"/>
      <w:pPr>
        <w:ind w:left="5040" w:hanging="360"/>
      </w:pPr>
    </w:lvl>
    <w:lvl w:ilvl="7" w:tplc="AF4EF398">
      <w:start w:val="1"/>
      <w:numFmt w:val="bullet"/>
      <w:lvlText w:val="●"/>
      <w:lvlJc w:val="left"/>
      <w:pPr>
        <w:ind w:left="5760" w:hanging="360"/>
      </w:pPr>
    </w:lvl>
    <w:lvl w:ilvl="8" w:tplc="9258AEF6">
      <w:start w:val="1"/>
      <w:numFmt w:val="bullet"/>
      <w:lvlText w:val="●"/>
      <w:lvlJc w:val="left"/>
      <w:pPr>
        <w:ind w:left="6480" w:hanging="360"/>
      </w:pPr>
    </w:lvl>
  </w:abstractNum>
  <w:num w:numId="1" w16cid:durableId="15749735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165"/>
    <w:rsid w:val="000419A3"/>
    <w:rsid w:val="000748F1"/>
    <w:rsid w:val="0030736F"/>
    <w:rsid w:val="003B4BD7"/>
    <w:rsid w:val="004C4165"/>
    <w:rsid w:val="00505AF7"/>
    <w:rsid w:val="006402EB"/>
    <w:rsid w:val="00645F16"/>
    <w:rsid w:val="0079505E"/>
    <w:rsid w:val="008C5A2C"/>
    <w:rsid w:val="00904620"/>
    <w:rsid w:val="009415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9A9B6"/>
  <w15:docId w15:val="{64882D50-B336-4E87-B789-00FCF5958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paragraph" w:styleId="Header">
    <w:name w:val="header"/>
    <w:basedOn w:val="Normal"/>
    <w:link w:val="HeaderChar"/>
    <w:uiPriority w:val="99"/>
    <w:unhideWhenUsed/>
    <w:rsid w:val="00645F16"/>
    <w:pPr>
      <w:tabs>
        <w:tab w:val="center" w:pos="4513"/>
        <w:tab w:val="right" w:pos="9026"/>
      </w:tabs>
    </w:pPr>
  </w:style>
  <w:style w:type="character" w:customStyle="1" w:styleId="HeaderChar">
    <w:name w:val="Header Char"/>
    <w:basedOn w:val="DefaultParagraphFont"/>
    <w:link w:val="Header"/>
    <w:uiPriority w:val="99"/>
    <w:rsid w:val="00645F16"/>
  </w:style>
  <w:style w:type="paragraph" w:styleId="Footer">
    <w:name w:val="footer"/>
    <w:basedOn w:val="Normal"/>
    <w:link w:val="FooterChar"/>
    <w:uiPriority w:val="99"/>
    <w:unhideWhenUsed/>
    <w:rsid w:val="00645F16"/>
    <w:pPr>
      <w:tabs>
        <w:tab w:val="center" w:pos="4513"/>
        <w:tab w:val="right" w:pos="9026"/>
      </w:tabs>
    </w:pPr>
  </w:style>
  <w:style w:type="character" w:customStyle="1" w:styleId="FooterChar">
    <w:name w:val="Footer Char"/>
    <w:basedOn w:val="DefaultParagraphFont"/>
    <w:link w:val="Footer"/>
    <w:uiPriority w:val="99"/>
    <w:rsid w:val="00645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C074256DEA914AA1984EA4CA8CCBC5" ma:contentTypeVersion="9" ma:contentTypeDescription="Create a new document." ma:contentTypeScope="" ma:versionID="c0283fbbb17452dec7a71d15e7c527ca">
  <xsd:schema xmlns:xsd="http://www.w3.org/2001/XMLSchema" xmlns:xs="http://www.w3.org/2001/XMLSchema" xmlns:p="http://schemas.microsoft.com/office/2006/metadata/properties" xmlns:ns1="http://schemas.microsoft.com/sharepoint/v3" xmlns:ns2="d7a77615-ed37-43d9-b035-4bf025af0aa7" xmlns:ns3="7aa79b77-889d-483d-961b-ceaf78895730" xmlns:ns4="13853254-d893-4798-8b15-cb73ae0cd19e" xmlns:ns5="e8238601-ce47-4778-85d0-8b1d6564965a" targetNamespace="http://schemas.microsoft.com/office/2006/metadata/properties" ma:root="true" ma:fieldsID="e00b617bce5d62e909ce9b5b483919a3" ns1:_="" ns2:_="" ns3:_="" ns4:_="" ns5:_="">
    <xsd:import namespace="http://schemas.microsoft.com/sharepoint/v3"/>
    <xsd:import namespace="d7a77615-ed37-43d9-b035-4bf025af0aa7"/>
    <xsd:import namespace="7aa79b77-889d-483d-961b-ceaf78895730"/>
    <xsd:import namespace="13853254-d893-4798-8b15-cb73ae0cd19e"/>
    <xsd:import namespace="e8238601-ce47-4778-85d0-8b1d6564965a"/>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77615-ed37-43d9-b035-4bf025af0a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a79b77-889d-483d-961b-ceaf788957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53254-d893-4798-8b15-cb73ae0cd19e"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4516796-82ae-4caa-b3ad-222c41a33246}"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13853254-d893-4798-8b15-cb73ae0cd19e">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2F5395E-DA0A-45B2-8CC0-8FB40E0F03BA}"/>
</file>

<file path=customXml/itemProps2.xml><?xml version="1.0" encoding="utf-8"?>
<ds:datastoreItem xmlns:ds="http://schemas.openxmlformats.org/officeDocument/2006/customXml" ds:itemID="{4DC22CEB-7933-46D7-9468-48ED1032B3B1}">
  <ds:schemaRefs>
    <ds:schemaRef ds:uri="http://schemas.microsoft.com/sharepoint/v3/contenttype/forms"/>
  </ds:schemaRefs>
</ds:datastoreItem>
</file>

<file path=customXml/itemProps3.xml><?xml version="1.0" encoding="utf-8"?>
<ds:datastoreItem xmlns:ds="http://schemas.openxmlformats.org/officeDocument/2006/customXml" ds:itemID="{254C1B43-500F-483C-AAAF-181181A4B30B}">
  <ds:schemaRefs>
    <ds:schemaRef ds:uri="http://schemas.microsoft.com/office/2006/metadata/properties"/>
    <ds:schemaRef ds:uri="http://schemas.microsoft.com/office/infopath/2007/PartnerControls"/>
    <ds:schemaRef ds:uri="http://schemas.microsoft.com/sharepoint/v3"/>
    <ds:schemaRef ds:uri="e8238601-ce47-4778-85d0-8b1d6564965a"/>
    <ds:schemaRef ds:uri="13853254-d893-4798-8b15-cb73ae0cd19e"/>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13</TotalTime>
  <Pages>25</Pages>
  <Words>6643</Words>
  <Characters>44708</Characters>
  <Application>Microsoft Office Word</Application>
  <DocSecurity>0</DocSecurity>
  <Lines>1090</Lines>
  <Paragraphs>815</Paragraphs>
  <ScaleCrop>false</ScaleCrop>
  <Company/>
  <LinksUpToDate>false</LinksUpToDate>
  <CharactersWithSpaces>50536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Ingrid CRIPPS</cp:lastModifiedBy>
  <cp:revision>7</cp:revision>
  <dcterms:created xsi:type="dcterms:W3CDTF">2026-05-05T08:19:00Z</dcterms:created>
  <dcterms:modified xsi:type="dcterms:W3CDTF">2026-05-05T11:19:00Z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0x01010075C074256DEA914AA1984EA4CA8CCBC5</vt:lpwstr>
  </property>
  <property fmtid="{D5CDD505-2E9C-101B-9397-08002B2CF9AE}" pid="3" name="Record_x0020_Classification">
    <vt:lpwstr/>
  </property>
  <property fmtid="{D5CDD505-2E9C-101B-9397-08002B2CF9AE}" pid="4" name="MediaServiceImageTags">
    <vt:lpwstr/>
  </property>
  <property fmtid="{D5CDD505-2E9C-101B-9397-08002B2CF9AE}" pid="5" name="h64465b6520a47a58f1168c7a3f04764">
    <vt:lpwstr/>
  </property>
  <property fmtid="{D5CDD505-2E9C-101B-9397-08002B2CF9AE}" pid="6" name="Record Classification">
    <vt:lpwstr/>
  </property>
</Properties>
</file>